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FC8B0" w14:textId="77777777" w:rsidR="005D0340" w:rsidRPr="00AD2F44" w:rsidRDefault="00F42107" w:rsidP="002F69CA">
      <w:pPr>
        <w:pStyle w:val="01ChapterNumber"/>
        <w:tabs>
          <w:tab w:val="left" w:pos="810"/>
        </w:tabs>
      </w:pPr>
      <w:bookmarkStart w:id="0" w:name="_Hlk163581224"/>
      <w:r w:rsidRPr="00AD2F44">
        <w:t>Chapter 17</w:t>
      </w:r>
    </w:p>
    <w:bookmarkEnd w:id="0"/>
    <w:p w14:paraId="7542E31F" w14:textId="77777777" w:rsidR="005D0340" w:rsidRPr="00AD2F44" w:rsidRDefault="00F42107">
      <w:pPr>
        <w:pStyle w:val="02ChapterTitle"/>
      </w:pPr>
      <w:r w:rsidRPr="00AD2F44">
        <w:t>COLLECTIVE ACTIONS AND “HYBRID” CLASS ACTIONS</w:t>
      </w:r>
    </w:p>
    <w:p w14:paraId="7CD05D88" w14:textId="394DC86A" w:rsidR="005D0340" w:rsidRPr="002F69CA" w:rsidRDefault="00F42107">
      <w:pPr>
        <w:pStyle w:val="10BTextWithoutIndent"/>
        <w:spacing w:before="0" w:after="0"/>
        <w:rPr>
          <w:rFonts w:eastAsiaTheme="minorHAnsi"/>
          <w:i/>
          <w:iCs/>
          <w:color w:val="000000"/>
        </w:rPr>
      </w:pPr>
      <w:r w:rsidRPr="002F69CA">
        <w:rPr>
          <w:rFonts w:eastAsiaTheme="minorHAnsi"/>
          <w:i/>
          <w:iCs/>
          <w:color w:val="000000"/>
        </w:rPr>
        <w:t>Lead Authors</w:t>
      </w:r>
      <w:r w:rsidR="00C73E1E" w:rsidRPr="002F69CA">
        <w:rPr>
          <w:rFonts w:eastAsiaTheme="minorHAnsi"/>
          <w:i/>
          <w:iCs/>
          <w:color w:val="000000"/>
        </w:rPr>
        <w:t>:</w:t>
      </w:r>
      <w:r w:rsidR="00C73E1E" w:rsidRPr="002F69CA">
        <w:rPr>
          <w:rFonts w:eastAsiaTheme="minorHAnsi"/>
          <w:b/>
          <w:bCs/>
          <w:i/>
          <w:iCs/>
          <w:color w:val="000000"/>
        </w:rPr>
        <w:t xml:space="preserve"> </w:t>
      </w:r>
      <w:hyperlink r:id="rId10" w:history="1">
        <w:r w:rsidR="00C73E1E" w:rsidRPr="002F69CA">
          <w:rPr>
            <w:rStyle w:val="Hyperlink"/>
            <w:rFonts w:eastAsiaTheme="minorHAnsi"/>
            <w:b/>
            <w:bCs/>
            <w:i/>
            <w:iCs/>
            <w:u w:val="none"/>
          </w:rPr>
          <w:t>Timothy J. Long,</w:t>
        </w:r>
      </w:hyperlink>
      <w:r w:rsidR="00C73E1E" w:rsidRPr="002F69CA">
        <w:rPr>
          <w:rFonts w:eastAsiaTheme="minorHAnsi"/>
          <w:b/>
          <w:bCs/>
          <w:i/>
          <w:iCs/>
          <w:color w:val="000000"/>
        </w:rPr>
        <w:t xml:space="preserve"> </w:t>
      </w:r>
      <w:r w:rsidRPr="002F69CA">
        <w:rPr>
          <w:rFonts w:eastAsiaTheme="minorHAnsi"/>
          <w:i/>
          <w:iCs/>
          <w:color w:val="000000"/>
        </w:rPr>
        <w:t>Greenberg Traurig LLP, Sacramento, CA</w:t>
      </w:r>
      <w:r w:rsidR="00C73E1E" w:rsidRPr="002F69CA">
        <w:rPr>
          <w:rFonts w:eastAsiaTheme="minorHAnsi"/>
          <w:i/>
          <w:iCs/>
          <w:color w:val="000000"/>
        </w:rPr>
        <w:t xml:space="preserve"> </w:t>
      </w:r>
      <w:r w:rsidRPr="002F69CA">
        <w:rPr>
          <w:rFonts w:eastAsiaTheme="minorHAnsi"/>
          <w:i/>
          <w:iCs/>
          <w:color w:val="000000"/>
        </w:rPr>
        <w:t>(Fourth Edition)</w:t>
      </w:r>
      <w:r w:rsidR="00C73E1E" w:rsidRPr="002F69CA">
        <w:rPr>
          <w:rFonts w:eastAsiaTheme="minorHAnsi"/>
          <w:i/>
          <w:iCs/>
          <w:color w:val="000000"/>
        </w:rPr>
        <w:t xml:space="preserve">; </w:t>
      </w:r>
      <w:hyperlink r:id="rId11" w:history="1">
        <w:r w:rsidR="00C73E1E" w:rsidRPr="002F69CA">
          <w:rPr>
            <w:rStyle w:val="Hyperlink"/>
            <w:rFonts w:eastAsiaTheme="minorHAnsi"/>
            <w:b/>
            <w:bCs/>
            <w:i/>
            <w:iCs/>
            <w:u w:val="none"/>
          </w:rPr>
          <w:t>Gregory K. McGillivary,</w:t>
        </w:r>
      </w:hyperlink>
      <w:r w:rsidR="00C73E1E" w:rsidRPr="002F69CA">
        <w:rPr>
          <w:rFonts w:eastAsiaTheme="minorHAnsi"/>
          <w:i/>
          <w:iCs/>
          <w:color w:val="000000"/>
        </w:rPr>
        <w:t xml:space="preserve"> </w:t>
      </w:r>
      <w:r w:rsidRPr="002F69CA">
        <w:rPr>
          <w:rFonts w:eastAsiaTheme="minorHAnsi"/>
          <w:i/>
          <w:iCs/>
          <w:color w:val="000000"/>
        </w:rPr>
        <w:t>McGillivary Steele Elkin LLP, Washington, DC</w:t>
      </w:r>
      <w:r w:rsidR="00C73E1E" w:rsidRPr="002F69CA">
        <w:rPr>
          <w:rFonts w:eastAsiaTheme="minorHAnsi"/>
          <w:i/>
          <w:iCs/>
          <w:color w:val="000000"/>
        </w:rPr>
        <w:t xml:space="preserve"> </w:t>
      </w:r>
      <w:r w:rsidRPr="002F69CA">
        <w:rPr>
          <w:rFonts w:eastAsiaTheme="minorHAnsi"/>
          <w:i/>
          <w:iCs/>
          <w:color w:val="000000"/>
        </w:rPr>
        <w:t>(Fourth Edition)</w:t>
      </w:r>
      <w:r w:rsidR="00C73E1E" w:rsidRPr="002F69CA">
        <w:rPr>
          <w:rFonts w:eastAsiaTheme="minorHAnsi"/>
          <w:i/>
          <w:iCs/>
          <w:color w:val="000000"/>
        </w:rPr>
        <w:t xml:space="preserve">; </w:t>
      </w:r>
      <w:hyperlink r:id="rId12" w:history="1">
        <w:r w:rsidR="00C73E1E" w:rsidRPr="002F69CA">
          <w:rPr>
            <w:rStyle w:val="Hyperlink"/>
            <w:rFonts w:eastAsiaTheme="minorHAnsi"/>
            <w:b/>
            <w:bCs/>
            <w:i/>
            <w:iCs/>
            <w:u w:val="none"/>
          </w:rPr>
          <w:t>Nantiya Ruan,</w:t>
        </w:r>
      </w:hyperlink>
      <w:r w:rsidR="00C73E1E" w:rsidRPr="002F69CA">
        <w:rPr>
          <w:rFonts w:eastAsiaTheme="minorHAnsi"/>
          <w:i/>
          <w:iCs/>
          <w:color w:val="000000"/>
        </w:rPr>
        <w:t xml:space="preserve"> </w:t>
      </w:r>
      <w:r w:rsidR="00CD73FF" w:rsidRPr="002F69CA">
        <w:rPr>
          <w:rFonts w:eastAsiaTheme="minorHAnsi"/>
          <w:i/>
          <w:iCs/>
          <w:color w:val="000000"/>
        </w:rPr>
        <w:t>University of Nevada, Las Vegas Williams S. Boyd School of Law</w:t>
      </w:r>
      <w:r w:rsidRPr="002F69CA">
        <w:rPr>
          <w:rFonts w:eastAsiaTheme="minorHAnsi"/>
          <w:i/>
          <w:iCs/>
          <w:color w:val="000000"/>
        </w:rPr>
        <w:t xml:space="preserve">, </w:t>
      </w:r>
      <w:r w:rsidR="000B66AD" w:rsidRPr="002F69CA">
        <w:rPr>
          <w:rFonts w:eastAsiaTheme="minorHAnsi"/>
          <w:i/>
          <w:iCs/>
          <w:color w:val="000000"/>
        </w:rPr>
        <w:t xml:space="preserve">Senior </w:t>
      </w:r>
      <w:r w:rsidRPr="002F69CA">
        <w:rPr>
          <w:rFonts w:eastAsiaTheme="minorHAnsi"/>
          <w:i/>
          <w:iCs/>
          <w:color w:val="000000"/>
        </w:rPr>
        <w:t xml:space="preserve">Counsel, Outten &amp; Golden LLP, </w:t>
      </w:r>
      <w:r w:rsidR="00CD73FF" w:rsidRPr="002F69CA">
        <w:rPr>
          <w:rFonts w:eastAsiaTheme="minorHAnsi"/>
          <w:i/>
          <w:iCs/>
          <w:color w:val="000000"/>
        </w:rPr>
        <w:t>New York, NY</w:t>
      </w:r>
      <w:r w:rsidR="00C73E1E" w:rsidRPr="002F69CA">
        <w:rPr>
          <w:rFonts w:eastAsiaTheme="minorHAnsi"/>
          <w:i/>
          <w:iCs/>
          <w:color w:val="000000"/>
        </w:rPr>
        <w:t xml:space="preserve"> </w:t>
      </w:r>
      <w:r w:rsidRPr="002F69CA">
        <w:rPr>
          <w:rFonts w:eastAsiaTheme="minorHAnsi"/>
          <w:i/>
          <w:iCs/>
          <w:color w:val="000000"/>
        </w:rPr>
        <w:t>(2021 Update, 2022 Update</w:t>
      </w:r>
      <w:r w:rsidR="008C1781" w:rsidRPr="002F69CA">
        <w:rPr>
          <w:rFonts w:eastAsiaTheme="minorHAnsi"/>
          <w:i/>
          <w:iCs/>
          <w:color w:val="000000"/>
        </w:rPr>
        <w:t>, 2023 Update</w:t>
      </w:r>
      <w:r w:rsidRPr="002F69CA">
        <w:rPr>
          <w:rFonts w:eastAsiaTheme="minorHAnsi"/>
          <w:i/>
          <w:iCs/>
          <w:color w:val="000000"/>
        </w:rPr>
        <w:t>)</w:t>
      </w:r>
      <w:r w:rsidR="007D7F24" w:rsidRPr="002F69CA">
        <w:rPr>
          <w:rFonts w:eastAsiaTheme="minorHAnsi"/>
          <w:i/>
          <w:iCs/>
          <w:color w:val="000000"/>
        </w:rPr>
        <w:t xml:space="preserve">; </w:t>
      </w:r>
      <w:hyperlink r:id="rId13" w:history="1">
        <w:r w:rsidR="007D7F24" w:rsidRPr="002F69CA">
          <w:rPr>
            <w:rStyle w:val="Hyperlink"/>
            <w:rFonts w:eastAsiaTheme="minorHAnsi"/>
            <w:b/>
            <w:bCs/>
            <w:i/>
            <w:iCs/>
            <w:u w:val="none"/>
          </w:rPr>
          <w:t>Matthew C. Helland,</w:t>
        </w:r>
      </w:hyperlink>
      <w:r w:rsidR="007D7F24" w:rsidRPr="002F69CA">
        <w:rPr>
          <w:rFonts w:eastAsiaTheme="minorHAnsi"/>
          <w:i/>
          <w:iCs/>
          <w:color w:val="000000"/>
        </w:rPr>
        <w:t xml:space="preserve"> Nichols Kaster, LLP, San Francisco, CA (2024 Update); </w:t>
      </w:r>
      <w:hyperlink r:id="rId14" w:history="1">
        <w:r w:rsidR="007D7F24" w:rsidRPr="002F69CA">
          <w:rPr>
            <w:rStyle w:val="Hyperlink"/>
            <w:rFonts w:eastAsiaTheme="minorHAnsi"/>
            <w:b/>
            <w:bCs/>
            <w:i/>
            <w:iCs/>
            <w:u w:val="none"/>
          </w:rPr>
          <w:t>Reed L. Russell,</w:t>
        </w:r>
      </w:hyperlink>
      <w:r w:rsidR="007D7F24" w:rsidRPr="002F69CA">
        <w:rPr>
          <w:rFonts w:eastAsiaTheme="minorHAnsi"/>
          <w:i/>
          <w:iCs/>
          <w:color w:val="000000"/>
        </w:rPr>
        <w:t xml:space="preserve"> Phelps Dunbar LLP, Tampa, FL (2024 Update)</w:t>
      </w:r>
    </w:p>
    <w:p w14:paraId="60A12B35" w14:textId="77777777" w:rsidR="005D0340" w:rsidRPr="002F69CA" w:rsidRDefault="005D0340">
      <w:pPr>
        <w:pStyle w:val="10BTextWithoutIndent"/>
        <w:spacing w:before="0" w:after="0"/>
        <w:rPr>
          <w:rFonts w:eastAsiaTheme="minorHAnsi"/>
          <w:i/>
          <w:iCs/>
          <w:color w:val="000000"/>
        </w:rPr>
      </w:pPr>
    </w:p>
    <w:p w14:paraId="13724F5C" w14:textId="26BFDA01" w:rsidR="005D0340" w:rsidRPr="002F69CA" w:rsidRDefault="00F42107">
      <w:pPr>
        <w:pStyle w:val="10BTextWithoutIndent"/>
        <w:spacing w:before="0" w:after="0"/>
        <w:rPr>
          <w:rFonts w:eastAsiaTheme="minorHAnsi"/>
          <w:i/>
          <w:iCs/>
          <w:color w:val="000000"/>
        </w:rPr>
      </w:pPr>
      <w:r w:rsidRPr="002F69CA">
        <w:rPr>
          <w:rFonts w:eastAsiaTheme="minorHAnsi"/>
          <w:i/>
          <w:iCs/>
          <w:color w:val="000000"/>
        </w:rPr>
        <w:t>Authors</w:t>
      </w:r>
      <w:r w:rsidR="00C73E1E" w:rsidRPr="002F69CA">
        <w:rPr>
          <w:rFonts w:eastAsiaTheme="minorHAnsi"/>
          <w:i/>
          <w:iCs/>
          <w:color w:val="000000"/>
        </w:rPr>
        <w:t xml:space="preserve">: </w:t>
      </w:r>
      <w:hyperlink r:id="rId15" w:history="1">
        <w:r w:rsidR="00C73E1E" w:rsidRPr="002F69CA">
          <w:rPr>
            <w:rStyle w:val="Hyperlink"/>
            <w:rFonts w:eastAsiaTheme="minorHAnsi"/>
            <w:b/>
            <w:bCs/>
            <w:i/>
            <w:iCs/>
            <w:u w:val="none"/>
          </w:rPr>
          <w:t>Robert A. Boonin,</w:t>
        </w:r>
      </w:hyperlink>
      <w:r w:rsidR="00C73E1E" w:rsidRPr="002F69CA">
        <w:rPr>
          <w:rFonts w:eastAsiaTheme="minorHAnsi"/>
          <w:i/>
          <w:iCs/>
          <w:color w:val="000000"/>
        </w:rPr>
        <w:t xml:space="preserve"> </w:t>
      </w:r>
      <w:r w:rsidRPr="002F69CA">
        <w:rPr>
          <w:rFonts w:eastAsiaTheme="minorHAnsi"/>
          <w:i/>
          <w:iCs/>
          <w:color w:val="000000"/>
        </w:rPr>
        <w:t>Dykema Gossett PLLC, Ann Arbor, MI</w:t>
      </w:r>
      <w:r w:rsidR="00C73E1E" w:rsidRPr="002F69CA">
        <w:rPr>
          <w:rFonts w:eastAsiaTheme="minorHAnsi"/>
          <w:i/>
          <w:iCs/>
          <w:color w:val="000000"/>
        </w:rPr>
        <w:t xml:space="preserve"> </w:t>
      </w:r>
      <w:r w:rsidRPr="002F69CA">
        <w:rPr>
          <w:rFonts w:eastAsiaTheme="minorHAnsi"/>
          <w:i/>
          <w:iCs/>
          <w:color w:val="000000"/>
        </w:rPr>
        <w:t>(Fourth Edition)</w:t>
      </w:r>
      <w:r w:rsidR="00C73E1E" w:rsidRPr="002F69CA">
        <w:rPr>
          <w:rFonts w:eastAsiaTheme="minorHAnsi"/>
          <w:i/>
          <w:iCs/>
          <w:color w:val="000000"/>
        </w:rPr>
        <w:t xml:space="preserve">; </w:t>
      </w:r>
      <w:hyperlink r:id="rId16" w:history="1">
        <w:r w:rsidR="00C73E1E" w:rsidRPr="002F69CA">
          <w:rPr>
            <w:rStyle w:val="Hyperlink"/>
            <w:rFonts w:eastAsiaTheme="minorHAnsi"/>
            <w:b/>
            <w:bCs/>
            <w:i/>
            <w:iCs/>
            <w:u w:val="none"/>
          </w:rPr>
          <w:t>Matthew C. Helland,</w:t>
        </w:r>
      </w:hyperlink>
      <w:r w:rsidR="00C73E1E" w:rsidRPr="002F69CA">
        <w:rPr>
          <w:rFonts w:eastAsiaTheme="minorHAnsi"/>
          <w:i/>
          <w:iCs/>
          <w:color w:val="000000"/>
        </w:rPr>
        <w:t xml:space="preserve"> </w:t>
      </w:r>
      <w:r w:rsidRPr="002F69CA">
        <w:rPr>
          <w:rFonts w:eastAsiaTheme="minorHAnsi"/>
          <w:i/>
          <w:iCs/>
          <w:color w:val="000000"/>
        </w:rPr>
        <w:t>Nichols Kaster, LLP, San Francisco, CA</w:t>
      </w:r>
      <w:r w:rsidR="00C73E1E" w:rsidRPr="002F69CA">
        <w:rPr>
          <w:rFonts w:eastAsiaTheme="minorHAnsi"/>
          <w:i/>
          <w:iCs/>
          <w:color w:val="000000"/>
        </w:rPr>
        <w:t xml:space="preserve"> </w:t>
      </w:r>
      <w:r w:rsidRPr="002F69CA">
        <w:rPr>
          <w:rFonts w:eastAsiaTheme="minorHAnsi"/>
          <w:i/>
          <w:iCs/>
          <w:color w:val="000000"/>
        </w:rPr>
        <w:t>(Fourth Edition)</w:t>
      </w:r>
    </w:p>
    <w:p w14:paraId="235B2D81" w14:textId="77777777" w:rsidR="005D0340" w:rsidRPr="002F69CA" w:rsidRDefault="005D0340">
      <w:pPr>
        <w:pStyle w:val="10BTextWithoutIndent"/>
        <w:spacing w:before="0" w:after="0"/>
        <w:rPr>
          <w:rFonts w:eastAsiaTheme="minorHAnsi"/>
          <w:i/>
          <w:iCs/>
          <w:color w:val="000000"/>
        </w:rPr>
      </w:pPr>
    </w:p>
    <w:p w14:paraId="47128FED" w14:textId="1413490F" w:rsidR="005D0340" w:rsidRPr="002F69CA" w:rsidRDefault="00F42107">
      <w:pPr>
        <w:pStyle w:val="10BTextWithoutIndent"/>
        <w:spacing w:before="0" w:after="0"/>
        <w:rPr>
          <w:rFonts w:eastAsiaTheme="minorHAnsi"/>
          <w:i/>
          <w:iCs/>
          <w:color w:val="000000"/>
        </w:rPr>
      </w:pPr>
      <w:r w:rsidRPr="002F69CA">
        <w:rPr>
          <w:rFonts w:eastAsiaTheme="minorHAnsi"/>
          <w:i/>
          <w:iCs/>
          <w:color w:val="000000"/>
        </w:rPr>
        <w:t>Primary Editors</w:t>
      </w:r>
      <w:r w:rsidR="00C73E1E" w:rsidRPr="002F69CA">
        <w:rPr>
          <w:rFonts w:eastAsiaTheme="minorHAnsi"/>
          <w:i/>
          <w:iCs/>
          <w:color w:val="000000"/>
        </w:rPr>
        <w:t xml:space="preserve">: </w:t>
      </w:r>
      <w:hyperlink r:id="rId17" w:history="1">
        <w:r w:rsidR="00C73E1E" w:rsidRPr="002F69CA">
          <w:rPr>
            <w:rStyle w:val="Hyperlink"/>
            <w:rFonts w:eastAsiaTheme="minorHAnsi"/>
            <w:b/>
            <w:bCs/>
            <w:i/>
            <w:iCs/>
            <w:u w:val="none"/>
          </w:rPr>
          <w:t>Matthew C. Helland,</w:t>
        </w:r>
      </w:hyperlink>
      <w:r w:rsidR="00C73E1E" w:rsidRPr="002F69CA">
        <w:rPr>
          <w:rFonts w:eastAsiaTheme="minorHAnsi"/>
          <w:i/>
          <w:iCs/>
          <w:color w:val="000000"/>
        </w:rPr>
        <w:t xml:space="preserve"> </w:t>
      </w:r>
      <w:r w:rsidRPr="002F69CA">
        <w:rPr>
          <w:rFonts w:eastAsiaTheme="minorHAnsi"/>
          <w:i/>
          <w:iCs/>
          <w:color w:val="000000"/>
        </w:rPr>
        <w:t>Nichols Kaster, LLP, San Francisco, CA</w:t>
      </w:r>
      <w:r w:rsidR="00C73E1E" w:rsidRPr="002F69CA">
        <w:rPr>
          <w:rFonts w:eastAsiaTheme="minorHAnsi"/>
          <w:i/>
          <w:iCs/>
          <w:color w:val="000000"/>
        </w:rPr>
        <w:t xml:space="preserve"> </w:t>
      </w:r>
      <w:r w:rsidRPr="002F69CA">
        <w:rPr>
          <w:rFonts w:eastAsiaTheme="minorHAnsi"/>
          <w:i/>
          <w:iCs/>
          <w:color w:val="000000"/>
        </w:rPr>
        <w:t>(2021 Update, 2022 Update</w:t>
      </w:r>
      <w:r w:rsidR="008C1781" w:rsidRPr="002F69CA">
        <w:rPr>
          <w:rFonts w:eastAsiaTheme="minorHAnsi"/>
          <w:i/>
          <w:iCs/>
          <w:color w:val="000000"/>
        </w:rPr>
        <w:t>, 2023 Update</w:t>
      </w:r>
      <w:r w:rsidRPr="002F69CA">
        <w:rPr>
          <w:rFonts w:eastAsiaTheme="minorHAnsi"/>
          <w:i/>
          <w:iCs/>
          <w:color w:val="000000"/>
        </w:rPr>
        <w:t>)</w:t>
      </w:r>
      <w:r w:rsidR="00C73E1E" w:rsidRPr="002F69CA">
        <w:rPr>
          <w:rFonts w:eastAsiaTheme="minorHAnsi"/>
          <w:i/>
          <w:iCs/>
          <w:color w:val="000000"/>
        </w:rPr>
        <w:t xml:space="preserve">; </w:t>
      </w:r>
      <w:hyperlink r:id="rId18" w:history="1">
        <w:r w:rsidR="00C73E1E" w:rsidRPr="002F69CA">
          <w:rPr>
            <w:rStyle w:val="Hyperlink"/>
            <w:rFonts w:eastAsiaTheme="minorHAnsi"/>
            <w:b/>
            <w:bCs/>
            <w:i/>
            <w:iCs/>
            <w:u w:val="none"/>
          </w:rPr>
          <w:t>Reed L. Russell,</w:t>
        </w:r>
      </w:hyperlink>
      <w:r w:rsidR="00C73E1E" w:rsidRPr="002F69CA">
        <w:rPr>
          <w:rFonts w:eastAsiaTheme="minorHAnsi"/>
          <w:i/>
          <w:iCs/>
          <w:color w:val="000000"/>
        </w:rPr>
        <w:t xml:space="preserve"> </w:t>
      </w:r>
      <w:r w:rsidRPr="002F69CA">
        <w:rPr>
          <w:rFonts w:eastAsiaTheme="minorHAnsi"/>
          <w:i/>
          <w:iCs/>
          <w:color w:val="000000"/>
        </w:rPr>
        <w:t>Phelps Dunbar LLP, Tampa, FL</w:t>
      </w:r>
      <w:r w:rsidR="00C73E1E" w:rsidRPr="002F69CA">
        <w:rPr>
          <w:rFonts w:eastAsiaTheme="minorHAnsi"/>
          <w:i/>
          <w:iCs/>
          <w:color w:val="000000"/>
        </w:rPr>
        <w:t xml:space="preserve"> </w:t>
      </w:r>
      <w:r w:rsidRPr="002F69CA">
        <w:rPr>
          <w:rFonts w:eastAsiaTheme="minorHAnsi"/>
          <w:i/>
          <w:iCs/>
          <w:color w:val="000000"/>
        </w:rPr>
        <w:t>(2021 Update, 2022 Update</w:t>
      </w:r>
      <w:r w:rsidR="008C1781" w:rsidRPr="002F69CA">
        <w:rPr>
          <w:rFonts w:eastAsiaTheme="minorHAnsi"/>
          <w:i/>
          <w:iCs/>
          <w:color w:val="000000"/>
        </w:rPr>
        <w:t>, 2023 Update</w:t>
      </w:r>
      <w:r w:rsidRPr="002F69CA">
        <w:rPr>
          <w:rFonts w:eastAsiaTheme="minorHAnsi"/>
          <w:i/>
          <w:iCs/>
          <w:color w:val="000000"/>
        </w:rPr>
        <w:t>)</w:t>
      </w:r>
      <w:r w:rsidR="007D7F24" w:rsidRPr="002F69CA">
        <w:rPr>
          <w:rFonts w:eastAsiaTheme="minorHAnsi"/>
          <w:i/>
          <w:iCs/>
          <w:color w:val="000000"/>
        </w:rPr>
        <w:t xml:space="preserve">; </w:t>
      </w:r>
      <w:hyperlink r:id="rId19" w:history="1">
        <w:r w:rsidR="007D7F24" w:rsidRPr="002F69CA">
          <w:rPr>
            <w:rStyle w:val="Hyperlink"/>
            <w:rFonts w:eastAsiaTheme="minorHAnsi"/>
            <w:b/>
            <w:bCs/>
            <w:i/>
            <w:iCs/>
            <w:u w:val="none"/>
          </w:rPr>
          <w:t>Eve H. Cervantez,</w:t>
        </w:r>
      </w:hyperlink>
      <w:r w:rsidR="007D7F24" w:rsidRPr="002F69CA">
        <w:rPr>
          <w:rFonts w:eastAsiaTheme="minorHAnsi"/>
          <w:i/>
          <w:iCs/>
          <w:color w:val="000000"/>
        </w:rPr>
        <w:t xml:space="preserve"> Altshuler Berzon LLP, San Francisco, CA (2024 Update); </w:t>
      </w:r>
      <w:hyperlink r:id="rId20" w:history="1">
        <w:r w:rsidR="007D7F24" w:rsidRPr="002F69CA">
          <w:rPr>
            <w:rStyle w:val="Hyperlink"/>
            <w:rFonts w:eastAsiaTheme="minorHAnsi"/>
            <w:b/>
            <w:bCs/>
            <w:i/>
            <w:iCs/>
            <w:u w:val="none"/>
          </w:rPr>
          <w:t>Aaron D. Kaufmann,</w:t>
        </w:r>
      </w:hyperlink>
      <w:r w:rsidR="007D7F24" w:rsidRPr="002F69CA">
        <w:rPr>
          <w:rFonts w:eastAsiaTheme="minorHAnsi"/>
          <w:i/>
          <w:iCs/>
          <w:color w:val="000000"/>
        </w:rPr>
        <w:t xml:space="preserve"> Kaufmann &amp; Gropman LLP, Oakland, CA (2024 Update); </w:t>
      </w:r>
      <w:hyperlink r:id="rId21" w:history="1">
        <w:r w:rsidR="007D7F24" w:rsidRPr="002F69CA">
          <w:rPr>
            <w:rStyle w:val="Hyperlink"/>
            <w:rFonts w:eastAsiaTheme="minorHAnsi"/>
            <w:b/>
            <w:bCs/>
            <w:i/>
            <w:iCs/>
            <w:u w:val="none"/>
          </w:rPr>
          <w:t>Ellen C. Kearns,</w:t>
        </w:r>
      </w:hyperlink>
      <w:r w:rsidR="007D7F24" w:rsidRPr="002F69CA">
        <w:rPr>
          <w:rFonts w:eastAsiaTheme="minorHAnsi"/>
          <w:i/>
          <w:iCs/>
          <w:color w:val="000000"/>
        </w:rPr>
        <w:t xml:space="preserve"> Constangy Brooks Smith &amp; Prophete, Boston, MA (2024 Update)</w:t>
      </w:r>
    </w:p>
    <w:p w14:paraId="2E284733" w14:textId="77777777" w:rsidR="005D0340" w:rsidRDefault="005D0340">
      <w:pPr>
        <w:pStyle w:val="10BTextWithoutIndent"/>
        <w:spacing w:before="0" w:after="0"/>
        <w:rPr>
          <w:rFonts w:eastAsiaTheme="minorHAnsi"/>
          <w:color w:val="000000"/>
        </w:rPr>
      </w:pPr>
    </w:p>
    <w:p w14:paraId="66A69B31" w14:textId="51EF249A" w:rsidR="00C73E1E" w:rsidRPr="00AD2F44" w:rsidRDefault="00F42107" w:rsidP="00C73E1E">
      <w:pPr>
        <w:pStyle w:val="10BTextWithoutIndent"/>
        <w:spacing w:before="0" w:after="0"/>
        <w:rPr>
          <w:i/>
          <w:iCs/>
          <w:sz w:val="22"/>
        </w:rPr>
      </w:pPr>
      <w:r w:rsidRPr="00AD2F44">
        <w:rPr>
          <w:i/>
          <w:iCs/>
        </w:rPr>
        <w:t>This chapter is current through May 202</w:t>
      </w:r>
      <w:r w:rsidR="007D7F24">
        <w:rPr>
          <w:i/>
          <w:iCs/>
        </w:rPr>
        <w:t>3</w:t>
      </w:r>
      <w:r w:rsidRPr="00AD2F44">
        <w:rPr>
          <w:i/>
          <w:iCs/>
        </w:rPr>
        <w:t>, with major case law developments through May 202</w:t>
      </w:r>
      <w:r w:rsidR="007D7F24">
        <w:rPr>
          <w:i/>
          <w:iCs/>
        </w:rPr>
        <w:t>4</w:t>
      </w:r>
      <w:r w:rsidRPr="00AD2F44">
        <w:rPr>
          <w:i/>
          <w:iCs/>
        </w:rPr>
        <w:t xml:space="preserve"> and regulatory developments through August 202</w:t>
      </w:r>
      <w:r w:rsidR="007D7F24">
        <w:rPr>
          <w:i/>
          <w:iCs/>
        </w:rPr>
        <w:t>4</w:t>
      </w:r>
      <w:r w:rsidRPr="00AD2F44">
        <w:rPr>
          <w:i/>
          <w:iCs/>
        </w:rPr>
        <w:t>.</w:t>
      </w:r>
    </w:p>
    <w:p w14:paraId="5A4029AC" w14:textId="77777777" w:rsidR="005D0340" w:rsidRPr="00AD2F44" w:rsidRDefault="005D0340">
      <w:pPr>
        <w:autoSpaceDE w:val="0"/>
        <w:autoSpaceDN w:val="0"/>
        <w:adjustRightInd w:val="0"/>
        <w:spacing w:line="260" w:lineRule="atLeast"/>
        <w:jc w:val="center"/>
        <w:textAlignment w:val="center"/>
        <w:rPr>
          <w:i/>
          <w:sz w:val="24"/>
        </w:rPr>
      </w:pPr>
    </w:p>
    <w:p w14:paraId="6A8B8386"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I.</w:t>
      </w:r>
      <w:r w:rsidRPr="00AD2F44">
        <w:tab/>
        <w:t>Overview</w:t>
      </w:r>
    </w:p>
    <w:p w14:paraId="054195EF"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II.</w:t>
      </w:r>
      <w:r w:rsidRPr="00AD2F44">
        <w:tab/>
        <w:t>Procedural Requirements of Section 216(b)</w:t>
      </w:r>
    </w:p>
    <w:p w14:paraId="402194AB"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A.</w:t>
      </w:r>
      <w:r w:rsidRPr="00AD2F44">
        <w:tab/>
        <w:t>The Opt-In Versus Opt-Out Requirement</w:t>
      </w:r>
    </w:p>
    <w:p w14:paraId="6351295A"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B.</w:t>
      </w:r>
      <w:r w:rsidRPr="00AD2F44">
        <w:tab/>
        <w:t>The Consent Requirement</w:t>
      </w:r>
    </w:p>
    <w:p w14:paraId="3BAC5B9B"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1.</w:t>
      </w:r>
      <w:r w:rsidRPr="00AD2F44">
        <w:tab/>
        <w:t>Scope and Use of Consent Form</w:t>
      </w:r>
    </w:p>
    <w:p w14:paraId="5E431117"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2.</w:t>
      </w:r>
      <w:r w:rsidRPr="00AD2F44">
        <w:tab/>
        <w:t>Form of Consent</w:t>
      </w:r>
    </w:p>
    <w:p w14:paraId="4DF379A5"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C.</w:t>
      </w:r>
      <w:r w:rsidRPr="00AD2F44">
        <w:tab/>
        <w:t>Impact of Department of Labor Actions for Back Wages on Collective Actions</w:t>
      </w:r>
    </w:p>
    <w:p w14:paraId="108E8410"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III.</w:t>
      </w:r>
      <w:r w:rsidRPr="00AD2F44">
        <w:tab/>
        <w:t>The Two-Stage Process Used to Determine if a Collective Action May Proceed to Trial</w:t>
      </w:r>
    </w:p>
    <w:p w14:paraId="466D1A7A"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A.</w:t>
      </w:r>
      <w:r w:rsidRPr="00AD2F44">
        <w:tab/>
        <w:t>Overview</w:t>
      </w:r>
    </w:p>
    <w:p w14:paraId="629D8ACB"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ind w:left="1080" w:hanging="1080"/>
      </w:pPr>
      <w:r w:rsidRPr="00AD2F44">
        <w:tab/>
        <w:t>B.</w:t>
      </w:r>
      <w:r w:rsidRPr="00AD2F44">
        <w:tab/>
        <w:t xml:space="preserve">Stage I: Standard for Determining Whether Conditional Certification Should </w:t>
      </w:r>
    </w:p>
    <w:p w14:paraId="50E26ABB"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ind w:left="1080" w:hanging="1080"/>
      </w:pPr>
      <w:r w:rsidRPr="00AD2F44">
        <w:tab/>
      </w:r>
      <w:r w:rsidRPr="00AD2F44">
        <w:tab/>
        <w:t>Be Granted</w:t>
      </w:r>
    </w:p>
    <w:p w14:paraId="192571BC"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1.</w:t>
      </w:r>
      <w:r w:rsidRPr="00AD2F44">
        <w:tab/>
        <w:t>The “Modest Factual Showing” Standard</w:t>
      </w:r>
    </w:p>
    <w:p w14:paraId="4C88FF0E"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ind w:left="1620" w:hanging="1620"/>
      </w:pPr>
      <w:r w:rsidRPr="00AD2F44">
        <w:tab/>
      </w:r>
      <w:r w:rsidRPr="00AD2F44">
        <w:tab/>
        <w:t>2.</w:t>
      </w:r>
      <w:r w:rsidRPr="00AD2F44">
        <w:tab/>
        <w:t>The “Intermediate” or “Heightened” Standard for Conditional Certification</w:t>
      </w:r>
      <w:r w:rsidRPr="00AD2F44">
        <w:br/>
        <w:t>Where Discovery Has Occurred</w:t>
      </w:r>
    </w:p>
    <w:p w14:paraId="3EAD9A0C"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3.</w:t>
      </w:r>
      <w:r w:rsidRPr="00AD2F44">
        <w:tab/>
        <w:t>Scope of Discovery Prior to Conditional Certification</w:t>
      </w:r>
    </w:p>
    <w:p w14:paraId="24FB8FA9"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a.</w:t>
      </w:r>
      <w:r w:rsidRPr="00AD2F44">
        <w:tab/>
        <w:t>Cases Denying Discovery</w:t>
      </w:r>
    </w:p>
    <w:p w14:paraId="61C2FCF1"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w:t>
      </w:r>
      <w:r w:rsidRPr="00AD2F44">
        <w:tab/>
        <w:t>Cases Explicitly Denying Discovery</w:t>
      </w:r>
    </w:p>
    <w:p w14:paraId="106E8C62"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w:t>
      </w:r>
      <w:r w:rsidRPr="00AD2F44">
        <w:tab/>
        <w:t>Cases Granting Notice and Noting No Need to Await Discovery</w:t>
      </w:r>
    </w:p>
    <w:p w14:paraId="7C0C557A"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b.</w:t>
      </w:r>
      <w:r w:rsidRPr="00AD2F44">
        <w:tab/>
        <w:t>Cases Granting Discovery</w:t>
      </w:r>
    </w:p>
    <w:p w14:paraId="00382D46"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c.</w:t>
      </w:r>
      <w:r w:rsidRPr="00AD2F44">
        <w:tab/>
        <w:t xml:space="preserve">Cases Addressing Whether Discovery of Names and Addresses of </w:t>
      </w:r>
      <w:r w:rsidRPr="00AD2F44">
        <w:tab/>
      </w:r>
      <w:r w:rsidRPr="00AD2F44">
        <w:tab/>
      </w:r>
      <w:r w:rsidRPr="00AD2F44">
        <w:tab/>
      </w:r>
      <w:r w:rsidRPr="00AD2F44">
        <w:tab/>
      </w:r>
      <w:r w:rsidRPr="00AD2F44">
        <w:tab/>
      </w:r>
      <w:r w:rsidRPr="00AD2F44">
        <w:tab/>
        <w:t xml:space="preserve">Potential Opt-In Plaintiffs Is Appropriate in Advance of Conditional </w:t>
      </w:r>
      <w:r w:rsidRPr="00AD2F44">
        <w:tab/>
      </w:r>
      <w:r w:rsidRPr="00AD2F44">
        <w:lastRenderedPageBreak/>
        <w:tab/>
      </w:r>
      <w:r w:rsidRPr="00AD2F44">
        <w:tab/>
      </w:r>
      <w:r w:rsidRPr="00AD2F44">
        <w:tab/>
      </w:r>
      <w:r w:rsidRPr="00AD2F44">
        <w:tab/>
        <w:t>Certification</w:t>
      </w:r>
    </w:p>
    <w:p w14:paraId="062D84F7"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ind w:left="1440" w:hanging="1440"/>
      </w:pPr>
      <w:r w:rsidRPr="00AD2F44">
        <w:tab/>
      </w:r>
      <w:r w:rsidRPr="00AD2F44">
        <w:tab/>
        <w:t>4.</w:t>
      </w:r>
      <w:r w:rsidRPr="00AD2F44">
        <w:tab/>
        <w:t>Issues Courts Have Considered in Determining Whether to Grant Conditional Certification</w:t>
      </w:r>
    </w:p>
    <w:p w14:paraId="1B52A37E"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a.</w:t>
      </w:r>
      <w:r w:rsidRPr="00AD2F44">
        <w:tab/>
        <w:t>Geographical Scope</w:t>
      </w:r>
    </w:p>
    <w:p w14:paraId="4C56DD9E"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b.</w:t>
      </w:r>
      <w:r w:rsidRPr="00AD2F44">
        <w:tab/>
        <w:t>Variance in Job Duties</w:t>
      </w:r>
    </w:p>
    <w:p w14:paraId="3B80DCF0"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c.</w:t>
      </w:r>
      <w:r w:rsidRPr="00AD2F44">
        <w:tab/>
        <w:t>Individualized Allegations or Defenses</w:t>
      </w:r>
    </w:p>
    <w:p w14:paraId="59A8BFF3"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d.</w:t>
      </w:r>
      <w:r w:rsidRPr="00AD2F44">
        <w:tab/>
        <w:t>Interest in Joining the Action</w:t>
      </w:r>
    </w:p>
    <w:p w14:paraId="39D8A22C"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e.</w:t>
      </w:r>
      <w:r w:rsidRPr="00AD2F44">
        <w:tab/>
        <w:t>Similar Practices or Policies</w:t>
      </w:r>
    </w:p>
    <w:p w14:paraId="46D2441B"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5.</w:t>
      </w:r>
      <w:r w:rsidRPr="00AD2F44">
        <w:tab/>
        <w:t>Conditional Certification in Specific Types of Cases</w:t>
      </w:r>
    </w:p>
    <w:p w14:paraId="0B8B9CA6"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a.</w:t>
      </w:r>
      <w:r w:rsidRPr="00AD2F44">
        <w:tab/>
        <w:t>Misclassification Cases</w:t>
      </w:r>
    </w:p>
    <w:p w14:paraId="060541CF"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w:t>
      </w:r>
      <w:r w:rsidRPr="00AD2F44">
        <w:tab/>
        <w:t>Exemption Cases</w:t>
      </w:r>
    </w:p>
    <w:p w14:paraId="12BA49D7"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w:t>
      </w:r>
      <w:r w:rsidRPr="00AD2F44">
        <w:tab/>
        <w:t>Independent Contractor Cases</w:t>
      </w:r>
    </w:p>
    <w:p w14:paraId="0FAF73F5"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b.</w:t>
      </w:r>
      <w:r w:rsidRPr="00AD2F44">
        <w:tab/>
        <w:t>Off-the-Clock Cases</w:t>
      </w:r>
    </w:p>
    <w:p w14:paraId="59002FFB"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w:t>
      </w:r>
      <w:r w:rsidRPr="00AD2F44">
        <w:tab/>
        <w:t>Pre-Shift and Post-Shift Cases</w:t>
      </w:r>
    </w:p>
    <w:p w14:paraId="773D8FF0"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w:t>
      </w:r>
      <w:r w:rsidRPr="00AD2F44">
        <w:tab/>
        <w:t>Uncompensated Work During Meal Break Time</w:t>
      </w:r>
    </w:p>
    <w:p w14:paraId="0FC7EFA3"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(iii.)</w:t>
      </w:r>
      <w:r w:rsidRPr="00AD2F44">
        <w:tab/>
        <w:t>Rounding Cases</w:t>
      </w:r>
    </w:p>
    <w:p w14:paraId="04410707"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(iv.)</w:t>
      </w:r>
      <w:r w:rsidRPr="00AD2F44">
        <w:tab/>
        <w:t>Time Shaving Cases</w:t>
      </w:r>
    </w:p>
    <w:p w14:paraId="4DB73D9B"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(v.)</w:t>
      </w:r>
      <w:r w:rsidRPr="00AD2F44">
        <w:tab/>
        <w:t>Travel Time Cases</w:t>
      </w:r>
    </w:p>
    <w:p w14:paraId="09C347A4"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(vi.)</w:t>
      </w:r>
      <w:r w:rsidRPr="00AD2F44">
        <w:tab/>
        <w:t>Tip Credit Cases</w:t>
      </w:r>
    </w:p>
    <w:p w14:paraId="23A01A5F"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(vii.)</w:t>
      </w:r>
      <w:r w:rsidRPr="00AD2F44">
        <w:tab/>
        <w:t>Regular Rate Cases</w:t>
      </w:r>
    </w:p>
    <w:p w14:paraId="50208667"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6.</w:t>
      </w:r>
      <w:r w:rsidRPr="00AD2F44">
        <w:tab/>
        <w:t>Other Issues That May Be Considered at or Before Stage I</w:t>
      </w:r>
    </w:p>
    <w:p w14:paraId="0AD0F9BC"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a.</w:t>
      </w:r>
      <w:r w:rsidRPr="00AD2F44">
        <w:tab/>
        <w:t>Addressing “Dispositive Issues” Prior to Conditional Certification</w:t>
      </w:r>
    </w:p>
    <w:p w14:paraId="3E7B623D" w14:textId="1D6AA6F7" w:rsidR="00AE02E3"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b.</w:t>
      </w:r>
      <w:r w:rsidRPr="00AD2F44">
        <w:tab/>
        <w:t>Lack of Personal Jurisdiction</w:t>
      </w:r>
    </w:p>
    <w:p w14:paraId="15C41017"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w:t>
      </w:r>
      <w:r w:rsidRPr="00AD2F44">
        <w:tab/>
        <w:t>Jurisdiction Over Defendant</w:t>
      </w:r>
    </w:p>
    <w:p w14:paraId="1DA9F695" w14:textId="1EE890B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w:t>
      </w:r>
      <w:r w:rsidRPr="00AD2F44">
        <w:tab/>
        <w:t xml:space="preserve">Jurisdiction Over </w:t>
      </w:r>
      <w:r w:rsidR="00740B42" w:rsidRPr="00AD2F44">
        <w:t xml:space="preserve">Defendant as to Claims of </w:t>
      </w:r>
      <w:r w:rsidRPr="00AD2F44">
        <w:t>Opt-Ins</w:t>
      </w:r>
    </w:p>
    <w:p w14:paraId="1C657CC3"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c.</w:t>
      </w:r>
      <w:r w:rsidRPr="00AD2F44">
        <w:tab/>
        <w:t xml:space="preserve">The Time Period of Employment </w:t>
      </w:r>
    </w:p>
    <w:p w14:paraId="7C6FF504"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d.</w:t>
      </w:r>
      <w:r w:rsidRPr="00AD2F44">
        <w:tab/>
        <w:t>Certification in Cases Involving Multiple Employers</w:t>
      </w:r>
    </w:p>
    <w:p w14:paraId="6E1792C9"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e.</w:t>
      </w:r>
      <w:r w:rsidRPr="00AD2F44">
        <w:tab/>
        <w:t>Prior Publicity About the Lawsuit</w:t>
      </w:r>
    </w:p>
    <w:p w14:paraId="19671E6F"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7.</w:t>
      </w:r>
      <w:r w:rsidRPr="00AD2F44">
        <w:tab/>
        <w:t>Communication About the Collective Action</w:t>
      </w:r>
    </w:p>
    <w:p w14:paraId="24075414"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a.</w:t>
      </w:r>
      <w:r w:rsidRPr="00AD2F44">
        <w:tab/>
        <w:t>Contact by the Parties</w:t>
      </w:r>
    </w:p>
    <w:p w14:paraId="48314F3E"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w:t>
      </w:r>
      <w:r w:rsidRPr="00AD2F44">
        <w:tab/>
        <w:t>Contact by Plaintiffs and Their Counsel</w:t>
      </w:r>
    </w:p>
    <w:p w14:paraId="26B9DE68"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w:t>
      </w:r>
      <w:r w:rsidRPr="00AD2F44">
        <w:tab/>
        <w:t>Contact by Defendants and Their Counsel</w:t>
      </w:r>
    </w:p>
    <w:p w14:paraId="4396104D"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b.</w:t>
      </w:r>
      <w:r w:rsidRPr="00AD2F44">
        <w:tab/>
        <w:t>Court-Facilitated Notice</w:t>
      </w:r>
    </w:p>
    <w:p w14:paraId="6EFC2F9D"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w:t>
      </w:r>
      <w:r w:rsidRPr="00AD2F44">
        <w:tab/>
        <w:t>Notice Content</w:t>
      </w:r>
    </w:p>
    <w:p w14:paraId="5BBB8B7A"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w:t>
      </w:r>
      <w:r w:rsidRPr="00AD2F44">
        <w:tab/>
        <w:t>Scope of Providing Notice</w:t>
      </w:r>
    </w:p>
    <w:p w14:paraId="44E2A176"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(iii.)</w:t>
      </w:r>
      <w:r w:rsidRPr="00AD2F44">
        <w:tab/>
        <w:t>Method of Providing Notice and Data Provided by the Defendant</w:t>
      </w:r>
    </w:p>
    <w:p w14:paraId="4558F30D"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C.</w:t>
      </w:r>
      <w:r w:rsidRPr="00AD2F44">
        <w:tab/>
        <w:t>Stage II: The Standard for Deciding Motions to Decertify Collective Actions</w:t>
      </w:r>
    </w:p>
    <w:p w14:paraId="007102A2"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1.</w:t>
      </w:r>
      <w:r w:rsidRPr="00AD2F44">
        <w:tab/>
        <w:t>Introduction</w:t>
      </w:r>
    </w:p>
    <w:p w14:paraId="0A7EAA37"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2.</w:t>
      </w:r>
      <w:r w:rsidRPr="00AD2F44">
        <w:tab/>
        <w:t>Disparate Factual and Employment Settings of the Plaintiffs</w:t>
      </w:r>
    </w:p>
    <w:p w14:paraId="3854BDA6"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3.</w:t>
      </w:r>
      <w:r w:rsidRPr="00AD2F44">
        <w:tab/>
        <w:t>Individualized Defenses</w:t>
      </w:r>
    </w:p>
    <w:p w14:paraId="25FC5B17"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4.</w:t>
      </w:r>
      <w:r w:rsidRPr="00AD2F44">
        <w:tab/>
        <w:t>Fairness and Procedural Considerations</w:t>
      </w:r>
    </w:p>
    <w:p w14:paraId="5D3F51FA"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5.</w:t>
      </w:r>
      <w:r w:rsidRPr="00AD2F44">
        <w:tab/>
        <w:t>Decertification Motions in Specific Types of Cases</w:t>
      </w:r>
    </w:p>
    <w:p w14:paraId="6138CEBE"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a.</w:t>
      </w:r>
      <w:r w:rsidRPr="00AD2F44">
        <w:tab/>
        <w:t>Misclassification Cases</w:t>
      </w:r>
    </w:p>
    <w:p w14:paraId="5B603094"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w:t>
      </w:r>
      <w:r w:rsidRPr="00AD2F44">
        <w:tab/>
        <w:t>Independent Contractor Cases</w:t>
      </w:r>
    </w:p>
    <w:p w14:paraId="14348AA4"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w:t>
      </w:r>
      <w:r w:rsidRPr="00AD2F44">
        <w:tab/>
        <w:t>Cases Involving FLSA Exemptions</w:t>
      </w:r>
    </w:p>
    <w:p w14:paraId="3EB76622"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b.</w:t>
      </w:r>
      <w:r w:rsidRPr="00AD2F44">
        <w:tab/>
        <w:t>Off-the-Clock Claims</w:t>
      </w:r>
    </w:p>
    <w:p w14:paraId="1CD5F4CE"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lastRenderedPageBreak/>
        <w:tab/>
      </w:r>
      <w:r w:rsidRPr="00AD2F44">
        <w:tab/>
      </w:r>
      <w:r w:rsidRPr="00AD2F44">
        <w:tab/>
      </w:r>
      <w:r w:rsidRPr="00AD2F44">
        <w:tab/>
        <w:t>(i.)</w:t>
      </w:r>
      <w:r w:rsidRPr="00AD2F44">
        <w:tab/>
        <w:t>Pre-Shift and Post-Shift Cases</w:t>
      </w:r>
    </w:p>
    <w:p w14:paraId="571D3D21"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w:t>
      </w:r>
      <w:r w:rsidRPr="00AD2F44">
        <w:tab/>
        <w:t>Uncompensated Work During Meal Break Time</w:t>
      </w:r>
    </w:p>
    <w:p w14:paraId="17BF00F8"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(iii.)</w:t>
      </w:r>
      <w:r w:rsidRPr="00AD2F44">
        <w:tab/>
        <w:t>Rounding Cases</w:t>
      </w:r>
    </w:p>
    <w:p w14:paraId="1594E5BD"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(iv.)</w:t>
      </w:r>
      <w:r w:rsidRPr="00AD2F44">
        <w:tab/>
        <w:t>Time Shaving Cases</w:t>
      </w:r>
    </w:p>
    <w:p w14:paraId="0C3E4D9E"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(v.)</w:t>
      </w:r>
      <w:r w:rsidRPr="00AD2F44">
        <w:tab/>
        <w:t>Travel Time Cases</w:t>
      </w:r>
    </w:p>
    <w:p w14:paraId="4D346497"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c.</w:t>
      </w:r>
      <w:r w:rsidRPr="00AD2F44">
        <w:tab/>
        <w:t>Tip Credit Cases</w:t>
      </w:r>
    </w:p>
    <w:p w14:paraId="6E03C58D"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d.</w:t>
      </w:r>
      <w:r w:rsidRPr="00AD2F44">
        <w:tab/>
        <w:t>Regular Rate Cases</w:t>
      </w:r>
    </w:p>
    <w:p w14:paraId="21BEA41E"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IV.</w:t>
      </w:r>
      <w:r w:rsidRPr="00AD2F44">
        <w:tab/>
        <w:t>Treatment of Opt-Ins Following Denial of Notice or Grant of Decertification</w:t>
      </w:r>
    </w:p>
    <w:p w14:paraId="29AAC9F9"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A.</w:t>
      </w:r>
      <w:r w:rsidRPr="00AD2F44">
        <w:tab/>
        <w:t>Intervention</w:t>
      </w:r>
    </w:p>
    <w:p w14:paraId="18131C58"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B.</w:t>
      </w:r>
      <w:r w:rsidRPr="00AD2F44">
        <w:tab/>
        <w:t>Joinder</w:t>
      </w:r>
    </w:p>
    <w:p w14:paraId="30330900"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V.</w:t>
      </w:r>
      <w:r w:rsidRPr="00AD2F44">
        <w:tab/>
        <w:t>Case Management Issues</w:t>
      </w:r>
    </w:p>
    <w:p w14:paraId="30ED2536"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A.</w:t>
      </w:r>
      <w:r w:rsidRPr="00AD2F44">
        <w:tab/>
        <w:t>Scope of Discovery From Opt-In Plaintiffs</w:t>
      </w:r>
    </w:p>
    <w:p w14:paraId="14B944CA"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B.</w:t>
      </w:r>
      <w:r w:rsidRPr="00AD2F44">
        <w:tab/>
        <w:t>Bifurcation of Liability and Damages</w:t>
      </w:r>
    </w:p>
    <w:p w14:paraId="2290A764"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C.</w:t>
      </w:r>
      <w:r w:rsidRPr="00AD2F44">
        <w:tab/>
        <w:t>Test Plaintiffs</w:t>
      </w:r>
    </w:p>
    <w:p w14:paraId="22726F09"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VI.</w:t>
      </w:r>
      <w:r w:rsidRPr="00AD2F44">
        <w:tab/>
        <w:t>Management of Multiple Collective Actions</w:t>
      </w:r>
    </w:p>
    <w:p w14:paraId="1B1A7F98"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A.</w:t>
      </w:r>
      <w:r w:rsidRPr="00AD2F44">
        <w:tab/>
        <w:t>Multidistrict Transfer Under Section 1407</w:t>
      </w:r>
    </w:p>
    <w:p w14:paraId="629D9D18"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B.</w:t>
      </w:r>
      <w:r w:rsidRPr="00AD2F44">
        <w:tab/>
        <w:t>Alternatives to Section 1407 Transfer</w:t>
      </w:r>
    </w:p>
    <w:p w14:paraId="53A0885F"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C.</w:t>
      </w:r>
      <w:r w:rsidRPr="00AD2F44">
        <w:tab/>
        <w:t>The Section 1407 “Common Issues” Standard Versus the “Similarly Situated” Standard</w:t>
      </w:r>
    </w:p>
    <w:p w14:paraId="509C7881"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D.</w:t>
      </w:r>
      <w:r w:rsidRPr="00AD2F44">
        <w:tab/>
        <w:t>Notice and Opting In/Out of a Multidistrict Litigation Case</w:t>
      </w:r>
    </w:p>
    <w:p w14:paraId="1DC7DE75"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E.</w:t>
      </w:r>
      <w:r w:rsidRPr="00AD2F44">
        <w:tab/>
        <w:t>The First-to-File Rule</w:t>
      </w:r>
    </w:p>
    <w:p w14:paraId="17ADF012"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F.</w:t>
      </w:r>
      <w:r w:rsidRPr="00AD2F44">
        <w:tab/>
        <w:t>Stays and Injunctions</w:t>
      </w:r>
    </w:p>
    <w:p w14:paraId="06DF938C"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VII.</w:t>
      </w:r>
      <w:r w:rsidRPr="00AD2F44">
        <w:tab/>
        <w:t>Pretrial Disposition of Cases</w:t>
      </w:r>
    </w:p>
    <w:p w14:paraId="4A2C0D64"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A.</w:t>
      </w:r>
      <w:r w:rsidRPr="00AD2F44">
        <w:tab/>
        <w:t>Offers of Judgment in Collective and Class Actions</w:t>
      </w:r>
    </w:p>
    <w:p w14:paraId="170AA3A0"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1.</w:t>
      </w:r>
      <w:r w:rsidRPr="00AD2F44">
        <w:tab/>
      </w:r>
      <w:r w:rsidRPr="00AD2F44">
        <w:rPr>
          <w:i/>
          <w:iCs/>
        </w:rPr>
        <w:t>Genesis Healthcare Corp. v. Symczyk</w:t>
      </w:r>
    </w:p>
    <w:p w14:paraId="0E33F2FE"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2.</w:t>
      </w:r>
      <w:r w:rsidRPr="00AD2F44">
        <w:tab/>
      </w:r>
      <w:r w:rsidRPr="00AD2F44">
        <w:rPr>
          <w:i/>
          <w:iCs/>
        </w:rPr>
        <w:t>Campbell-Ewald v. Gomez</w:t>
      </w:r>
    </w:p>
    <w:p w14:paraId="79FDA0C9"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3.</w:t>
      </w:r>
      <w:r w:rsidRPr="00AD2F44">
        <w:tab/>
        <w:t>Rule 68 Offers in Hybrid Class/Collective Actions</w:t>
      </w:r>
    </w:p>
    <w:p w14:paraId="120E26CC"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B.</w:t>
      </w:r>
      <w:r w:rsidRPr="00AD2F44">
        <w:tab/>
        <w:t>Issue Preclusion in Multiple Collective Actions</w:t>
      </w:r>
    </w:p>
    <w:p w14:paraId="43F3299D"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VIII.</w:t>
      </w:r>
      <w:r w:rsidRPr="00AD2F44">
        <w:tab/>
        <w:t>Trial</w:t>
      </w:r>
    </w:p>
    <w:p w14:paraId="62904D24"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A.</w:t>
      </w:r>
      <w:r w:rsidRPr="00AD2F44">
        <w:tab/>
        <w:t>Representative Testimony and Evidence</w:t>
      </w:r>
    </w:p>
    <w:p w14:paraId="54EC4780"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B.</w:t>
      </w:r>
      <w:r w:rsidRPr="00AD2F44">
        <w:tab/>
        <w:t>Use of Expert Witnesses</w:t>
      </w:r>
    </w:p>
    <w:p w14:paraId="077FE926"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1.</w:t>
      </w:r>
      <w:r w:rsidRPr="00AD2F44">
        <w:tab/>
        <w:t>Damages</w:t>
      </w:r>
    </w:p>
    <w:p w14:paraId="511FFCA5"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2.</w:t>
      </w:r>
      <w:r w:rsidRPr="00AD2F44">
        <w:tab/>
        <w:t>Former Department of Labor Officials</w:t>
      </w:r>
    </w:p>
    <w:p w14:paraId="532C155D"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3.</w:t>
      </w:r>
      <w:r w:rsidRPr="00AD2F44">
        <w:tab/>
        <w:t>Surveys</w:t>
      </w:r>
    </w:p>
    <w:p w14:paraId="5D3C7F4E"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4.</w:t>
      </w:r>
      <w:r w:rsidRPr="00AD2F44">
        <w:tab/>
        <w:t>Time Studies</w:t>
      </w:r>
    </w:p>
    <w:p w14:paraId="74ECAA1A"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C.</w:t>
      </w:r>
      <w:r w:rsidRPr="00AD2F44">
        <w:tab/>
        <w:t>Order and Presentation of Proof</w:t>
      </w:r>
    </w:p>
    <w:p w14:paraId="36468E53"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IX.</w:t>
      </w:r>
      <w:r w:rsidRPr="00AD2F44">
        <w:tab/>
        <w:t>Appellate Issues for Collective Actions</w:t>
      </w:r>
    </w:p>
    <w:p w14:paraId="4BCEC8C3"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X.</w:t>
      </w:r>
      <w:r w:rsidRPr="00AD2F44">
        <w:tab/>
        <w:t>The Collective Action Mechanism in Arbitration</w:t>
      </w:r>
    </w:p>
    <w:p w14:paraId="56F8CD09"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A.</w:t>
      </w:r>
      <w:r w:rsidRPr="00AD2F44">
        <w:tab/>
        <w:t>Arbitration Agreements Expressly Prohibiting Class and Collective Arbitration</w:t>
      </w:r>
    </w:p>
    <w:p w14:paraId="21DEB733"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B.</w:t>
      </w:r>
      <w:r w:rsidRPr="00AD2F44">
        <w:tab/>
        <w:t>Arbitration Agreements Without an Express Class/Collective Waiver</w:t>
      </w:r>
    </w:p>
    <w:p w14:paraId="7826ECB3"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ind w:left="1080" w:hanging="1080"/>
      </w:pPr>
      <w:r w:rsidRPr="00AD2F44">
        <w:tab/>
        <w:t>C.</w:t>
      </w:r>
      <w:r w:rsidRPr="00AD2F44">
        <w:tab/>
        <w:t>Determining Whether an Arbitration Agreement Permits Class or Collective Arbitration</w:t>
      </w:r>
    </w:p>
    <w:p w14:paraId="085392AE"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D.</w:t>
      </w:r>
      <w:r w:rsidRPr="00AD2F44">
        <w:tab/>
        <w:t>Procedural Rules for Arbitrating FLSA Class and Collective Actions</w:t>
      </w:r>
    </w:p>
    <w:p w14:paraId="092ED63C"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E.</w:t>
      </w:r>
      <w:r w:rsidRPr="00AD2F44">
        <w:tab/>
        <w:t xml:space="preserve">Conditional Certification When Putative Class Members May Be Subject to </w:t>
      </w:r>
      <w:r w:rsidRPr="00AD2F44">
        <w:br/>
        <w:t>Arbitration Agreements</w:t>
      </w:r>
    </w:p>
    <w:p w14:paraId="64DD780A"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XI.</w:t>
      </w:r>
      <w:r w:rsidRPr="00AD2F44">
        <w:tab/>
        <w:t>Hybrid FLSA/State Law Class Actions</w:t>
      </w:r>
    </w:p>
    <w:p w14:paraId="1F52F2F9"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lastRenderedPageBreak/>
        <w:tab/>
        <w:t>A.</w:t>
      </w:r>
      <w:r w:rsidRPr="00AD2F44">
        <w:tab/>
        <w:t>Introduction</w:t>
      </w:r>
    </w:p>
    <w:p w14:paraId="4C3FFE0B"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B.</w:t>
      </w:r>
      <w:r w:rsidRPr="00AD2F44">
        <w:tab/>
        <w:t>Why Hybrid Actions?</w:t>
      </w:r>
    </w:p>
    <w:p w14:paraId="4E01BFB1"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C.</w:t>
      </w:r>
      <w:r w:rsidRPr="00AD2F44">
        <w:tab/>
        <w:t>Legal Challenges to Hybrid Actions</w:t>
      </w:r>
    </w:p>
    <w:p w14:paraId="3423BF05"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1.</w:t>
      </w:r>
      <w:r w:rsidRPr="00AD2F44">
        <w:tab/>
        <w:t>“Incompatibility”</w:t>
      </w:r>
    </w:p>
    <w:p w14:paraId="5A63F4DD"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2.</w:t>
      </w:r>
      <w:r w:rsidRPr="00AD2F44">
        <w:tab/>
        <w:t>Rules Enabling Act</w:t>
      </w:r>
    </w:p>
    <w:p w14:paraId="47B59827"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D.</w:t>
      </w:r>
      <w:r w:rsidRPr="00AD2F44">
        <w:tab/>
        <w:t>Federal Jurisdiction Over State Law Claims in Hybrid Actions</w:t>
      </w:r>
    </w:p>
    <w:p w14:paraId="1C9AF027"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1.</w:t>
      </w:r>
      <w:r w:rsidRPr="00AD2F44">
        <w:tab/>
        <w:t>Diversity Jurisdiction Under the Class Action Fairness Act</w:t>
      </w:r>
    </w:p>
    <w:p w14:paraId="7EFBD5CA"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2.</w:t>
      </w:r>
      <w:r w:rsidRPr="00AD2F44">
        <w:tab/>
        <w:t>Supplemental Jurisdiction Under 28 U.S.C. §1367</w:t>
      </w:r>
    </w:p>
    <w:p w14:paraId="1E45AD7B"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a.</w:t>
      </w:r>
      <w:r w:rsidRPr="00AD2F44">
        <w:tab/>
        <w:t>The Supplemental Jurisdiction Statute</w:t>
      </w:r>
    </w:p>
    <w:p w14:paraId="721D0E57"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b.</w:t>
      </w:r>
      <w:r w:rsidRPr="00AD2F44">
        <w:tab/>
        <w:t>Whether Supplemental Jurisdiction Is Authorized</w:t>
      </w:r>
    </w:p>
    <w:p w14:paraId="5FBC0475"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w:t>
      </w:r>
      <w:r w:rsidRPr="00AD2F44">
        <w:tab/>
        <w:t>No Federal Statute “Expressly” Precludes Jurisdiction</w:t>
      </w:r>
    </w:p>
    <w:p w14:paraId="4B03E939"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ind w:left="2700" w:hanging="2700"/>
      </w:pPr>
      <w:r w:rsidRPr="00AD2F44">
        <w:tab/>
      </w:r>
      <w:r w:rsidRPr="00AD2F44">
        <w:tab/>
      </w:r>
      <w:r w:rsidRPr="00AD2F44">
        <w:tab/>
      </w:r>
      <w:r w:rsidRPr="00AD2F44">
        <w:tab/>
        <w:t>(ii.)</w:t>
      </w:r>
      <w:r w:rsidRPr="00AD2F44">
        <w:tab/>
        <w:t xml:space="preserve">Whether the State Law Claims Are So Related to the FLSA </w:t>
      </w:r>
      <w:r w:rsidRPr="00AD2F44">
        <w:br/>
        <w:t>Claims That They Form Part of the “Same Case or Controversy”</w:t>
      </w:r>
    </w:p>
    <w:p w14:paraId="70171F0C"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ind w:left="2700" w:hanging="2700"/>
      </w:pPr>
      <w:r w:rsidRPr="00AD2F44">
        <w:tab/>
      </w:r>
      <w:r w:rsidRPr="00AD2F44">
        <w:tab/>
      </w:r>
      <w:r w:rsidRPr="00AD2F44">
        <w:tab/>
      </w:r>
      <w:r w:rsidRPr="00AD2F44">
        <w:tab/>
        <w:t>(iii.)</w:t>
      </w:r>
      <w:r w:rsidRPr="00AD2F44">
        <w:tab/>
        <w:t xml:space="preserve">Whether Supplemental Jurisdiction Extends to </w:t>
      </w:r>
      <w:r w:rsidRPr="00AD2F44">
        <w:br/>
        <w:t>Individuals Who Do Not Opt In to the FLSA Action</w:t>
      </w:r>
    </w:p>
    <w:p w14:paraId="420F0C6A"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c.</w:t>
      </w:r>
      <w:r w:rsidRPr="00AD2F44">
        <w:tab/>
        <w:t>Whether the Court Should Decline to Exercise Supplemental Jurisdiction</w:t>
      </w:r>
    </w:p>
    <w:p w14:paraId="565C1E7D"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w:t>
      </w:r>
      <w:r w:rsidRPr="00AD2F44">
        <w:tab/>
        <w:t>Novel or Complex Issues of State Law</w:t>
      </w:r>
    </w:p>
    <w:p w14:paraId="270A9567"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w:t>
      </w:r>
      <w:r w:rsidRPr="00AD2F44">
        <w:tab/>
        <w:t>Substantial Predominance of State Law Claims</w:t>
      </w:r>
    </w:p>
    <w:p w14:paraId="5C124AC9"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(iii.)</w:t>
      </w:r>
      <w:r w:rsidRPr="00AD2F44">
        <w:tab/>
        <w:t xml:space="preserve">Dismissal of the FLSA Claims </w:t>
      </w:r>
    </w:p>
    <w:p w14:paraId="44CBEDF7"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(iv.)</w:t>
      </w:r>
      <w:r w:rsidRPr="00AD2F44">
        <w:tab/>
        <w:t>“Exceptional Circumstances”/“Compelling Reasons”</w:t>
      </w:r>
    </w:p>
    <w:p w14:paraId="5E74FA9D"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E.</w:t>
      </w:r>
      <w:r w:rsidRPr="00AD2F44">
        <w:tab/>
        <w:t>Standing to Prosecute the State Law Claims in Hybrid Actions</w:t>
      </w:r>
    </w:p>
    <w:p w14:paraId="48BF49BA"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F.</w:t>
      </w:r>
      <w:r w:rsidRPr="00AD2F44">
        <w:tab/>
        <w:t>Rule 23 Class Certification in Hybrid Actions</w:t>
      </w:r>
    </w:p>
    <w:p w14:paraId="6D7C459A"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1.</w:t>
      </w:r>
      <w:r w:rsidRPr="00AD2F44">
        <w:tab/>
        <w:t xml:space="preserve">Numerosity/Impracticability of Joinder </w:t>
      </w:r>
    </w:p>
    <w:p w14:paraId="53870766"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2.</w:t>
      </w:r>
      <w:r w:rsidRPr="00AD2F44">
        <w:tab/>
        <w:t>Superiority</w:t>
      </w:r>
    </w:p>
    <w:p w14:paraId="7E33C7F7"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a.</w:t>
      </w:r>
      <w:r w:rsidRPr="00AD2F44">
        <w:tab/>
        <w:t>Availability of an Opt-In Action for the FLSA Claims</w:t>
      </w:r>
    </w:p>
    <w:p w14:paraId="238B4EDC"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ind w:left="2160" w:hanging="2160"/>
      </w:pPr>
      <w:r w:rsidRPr="00AD2F44">
        <w:tab/>
      </w:r>
      <w:r w:rsidRPr="00AD2F44">
        <w:tab/>
      </w:r>
      <w:r w:rsidRPr="00AD2F44">
        <w:tab/>
        <w:t>b.</w:t>
      </w:r>
      <w:r w:rsidRPr="00AD2F44">
        <w:tab/>
        <w:t>Considerations Relating to Supplemental Jurisdiction and Congressional Intent</w:t>
      </w:r>
    </w:p>
    <w:p w14:paraId="325D18C7"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c.</w:t>
      </w:r>
      <w:r w:rsidRPr="00AD2F44">
        <w:tab/>
        <w:t>Class Member Confusion</w:t>
      </w:r>
    </w:p>
    <w:p w14:paraId="388C4F61" w14:textId="77777777" w:rsidR="005D0340" w:rsidRPr="00AD2F44" w:rsidRDefault="00F42107">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d.</w:t>
      </w:r>
      <w:r w:rsidRPr="00AD2F44">
        <w:tab/>
        <w:t>Manageability</w:t>
      </w:r>
    </w:p>
    <w:p w14:paraId="79CE01D8" w14:textId="77777777" w:rsidR="005D0340" w:rsidRPr="00AD2F44" w:rsidRDefault="005D0340">
      <w:pPr>
        <w:autoSpaceDE w:val="0"/>
        <w:autoSpaceDN w:val="0"/>
        <w:adjustRightInd w:val="0"/>
        <w:spacing w:line="260" w:lineRule="atLeast"/>
        <w:jc w:val="center"/>
        <w:textAlignment w:val="center"/>
        <w:rPr>
          <w:rFonts w:ascii="Times New Roman" w:eastAsiaTheme="minorHAnsi" w:hAnsi="Times New Roman" w:cs="Times New Roman"/>
          <w:i/>
          <w:iCs/>
          <w:color w:val="000000"/>
          <w:sz w:val="24"/>
          <w:szCs w:val="24"/>
        </w:rPr>
      </w:pPr>
    </w:p>
    <w:p w14:paraId="6F29B1DA" w14:textId="77777777" w:rsidR="005D0340" w:rsidRPr="00AD2F44" w:rsidRDefault="00F42107">
      <w:pPr>
        <w:pStyle w:val="04First-LevelHeadIIIIII"/>
      </w:pPr>
      <w:r w:rsidRPr="00AD2F44">
        <w:t>I.</w:t>
      </w:r>
      <w:r w:rsidRPr="00AD2F44">
        <w:t> </w:t>
      </w:r>
      <w:r w:rsidRPr="00AD2F44">
        <w:t>Overview</w:t>
      </w:r>
    </w:p>
    <w:p w14:paraId="2D98F819" w14:textId="77777777" w:rsidR="005D0340" w:rsidRPr="00AD2F44" w:rsidRDefault="00F42107">
      <w:pPr>
        <w:pStyle w:val="10ATextWithIndent"/>
        <w:rPr>
          <w:vertAlign w:val="superscript"/>
        </w:rPr>
      </w:pPr>
      <w:r w:rsidRPr="00AD2F44">
        <w:t>The Fair Labor Standards Act (FLSA) initially allowed “employees and their ‘representatives’ the right to bring actions to recover amounts due under the FLSA.”</w:t>
      </w:r>
      <w:r>
        <w:rPr>
          <w:vertAlign w:val="superscript"/>
        </w:rPr>
        <w:footnoteReference w:id="2"/>
      </w:r>
      <w:r w:rsidRPr="00AD2F44">
        <w:t xml:space="preserve"> Third parties, such as labor unions, were allowed to file such representative actions, and there was no requirement that a plaintiff file a written consent to join a case.</w:t>
      </w:r>
      <w:r>
        <w:rPr>
          <w:vertAlign w:val="superscript"/>
        </w:rPr>
        <w:footnoteReference w:id="3"/>
      </w:r>
    </w:p>
    <w:p w14:paraId="6072B351" w14:textId="77777777" w:rsidR="005D0340" w:rsidRPr="00AD2F44" w:rsidRDefault="00F42107">
      <w:pPr>
        <w:pStyle w:val="10ATextWithIndent"/>
        <w:rPr>
          <w:vertAlign w:val="superscript"/>
        </w:rPr>
      </w:pPr>
      <w:r w:rsidRPr="00AD2F44">
        <w:t>In 1947, purportedly in response to “excessive litigation spawned by plaintiffs lacking a personal interest in the outcome,”</w:t>
      </w:r>
      <w:r>
        <w:rPr>
          <w:vertAlign w:val="superscript"/>
        </w:rPr>
        <w:footnoteReference w:id="4"/>
      </w:r>
      <w:r w:rsidRPr="00AD2F44">
        <w:t xml:space="preserve"> Congress passed the Portal-to-Portal Act,</w:t>
      </w:r>
      <w:r>
        <w:rPr>
          <w:vertAlign w:val="superscript"/>
        </w:rPr>
        <w:footnoteReference w:id="5"/>
      </w:r>
      <w:r w:rsidRPr="00AD2F44">
        <w:t xml:space="preserve"> which banned the </w:t>
      </w:r>
      <w:r w:rsidRPr="00AD2F44">
        <w:lastRenderedPageBreak/>
        <w:t>designation by employees of a representative to maintain an action on behalf of all employees similarly situated and instituted a requirement that an employee file a written consent (“opt in”) to join an FLSA action.</w:t>
      </w:r>
      <w:r>
        <w:rPr>
          <w:vertAlign w:val="superscript"/>
        </w:rPr>
        <w:footnoteReference w:id="6"/>
      </w:r>
      <w:r w:rsidRPr="00AD2F44">
        <w:t xml:space="preserve"> This amendment of the FLSA was “for the purpose of limiting private FLSA plaintiffs to employees who asserted claims in their own right.”</w:t>
      </w:r>
      <w:r>
        <w:rPr>
          <w:vertAlign w:val="superscript"/>
        </w:rPr>
        <w:footnoteReference w:id="7"/>
      </w:r>
      <w:r w:rsidRPr="00AD2F44">
        <w:t xml:space="preserve"> “Congress left intact the ‘similarly situated’ language providing for collective actions.”</w:t>
      </w:r>
      <w:r>
        <w:rPr>
          <w:vertAlign w:val="superscript"/>
        </w:rPr>
        <w:footnoteReference w:id="8"/>
      </w:r>
    </w:p>
    <w:p w14:paraId="2B561B45" w14:textId="77777777" w:rsidR="005D0340" w:rsidRPr="00AD2F44" w:rsidRDefault="00F42107">
      <w:pPr>
        <w:pStyle w:val="10ATextWithIndent"/>
      </w:pPr>
      <w:r w:rsidRPr="00AD2F44">
        <w:t>Since 1947, the collective action procedure provided by Section 216(b) of the FLSA has been the exclusive procedural mechanism available to private plaintiffs to prosecute violations of the FLSA on a collective basis.</w:t>
      </w:r>
      <w:r>
        <w:rPr>
          <w:vertAlign w:val="superscript"/>
        </w:rPr>
        <w:footnoteReference w:id="9"/>
      </w:r>
      <w:r w:rsidRPr="00AD2F44">
        <w:t xml:space="preserve"> Section 216(b) provides in part:</w:t>
      </w:r>
    </w:p>
    <w:p w14:paraId="2160EEAD" w14:textId="77777777" w:rsidR="005D0340" w:rsidRPr="00AD2F44" w:rsidRDefault="00F42107">
      <w:pPr>
        <w:pStyle w:val="09BBlockQuoteWithoutIndent"/>
        <w:rPr>
          <w:vertAlign w:val="superscript"/>
        </w:rPr>
      </w:pPr>
      <w:r w:rsidRPr="00AD2F44">
        <w:t>An action to recover the liability prescribed in [this section] may be maintained against any employer (including a public agency) in any Federal or State court of competent jurisdiction by any one or more employees for and in behalf of himself or themselves and other employees similarly situated. No employee shall be a party plaintiff to any such action unless he gives his consent in writing to become such a party and such consent is filed in the court in which such action is brought.</w:t>
      </w:r>
      <w:r>
        <w:rPr>
          <w:vertAlign w:val="superscript"/>
        </w:rPr>
        <w:footnoteReference w:id="10"/>
      </w:r>
    </w:p>
    <w:p w14:paraId="1EB116B3" w14:textId="77777777" w:rsidR="005D0340" w:rsidRPr="00AD2F44" w:rsidRDefault="00F42107">
      <w:pPr>
        <w:pStyle w:val="10ATextWithIndent"/>
      </w:pPr>
      <w:r w:rsidRPr="00AD2F44">
        <w:t xml:space="preserve">In 1989, in the landmark case, </w:t>
      </w:r>
      <w:r w:rsidRPr="00AD2F44">
        <w:rPr>
          <w:i/>
          <w:iCs/>
        </w:rPr>
        <w:t>Hoffmann-La Roche v. Sperling</w:t>
      </w:r>
      <w:r w:rsidRPr="00AD2F44">
        <w:t>,</w:t>
      </w:r>
      <w:r>
        <w:rPr>
          <w:vertAlign w:val="superscript"/>
        </w:rPr>
        <w:footnoteReference w:id="11"/>
      </w:r>
      <w:r w:rsidRPr="00AD2F44">
        <w:t xml:space="preserve"> the U.S. Supreme Court addressed the collective action process and confirmed courts’ authority to facilitate notice to potential opt-in plaintiffs under Section 216(b). The Court explained that Congress had expressly authorized collective actions and stated its policy that persons with similar claims “should have the opportunity to proceed collectively.”</w:t>
      </w:r>
      <w:r>
        <w:rPr>
          <w:vertAlign w:val="superscript"/>
        </w:rPr>
        <w:footnoteReference w:id="12"/>
      </w:r>
      <w:r w:rsidRPr="00AD2F44">
        <w:t xml:space="preserve"> According to the Court, collective actions offer a number of benefits to both class members and the court system:</w:t>
      </w:r>
    </w:p>
    <w:p w14:paraId="0AC09F2E" w14:textId="77777777" w:rsidR="005D0340" w:rsidRPr="00AD2F44" w:rsidRDefault="00F42107">
      <w:pPr>
        <w:pStyle w:val="09BBlockQuoteWithoutIndent"/>
        <w:rPr>
          <w:vertAlign w:val="superscript"/>
        </w:rPr>
      </w:pPr>
      <w:r w:rsidRPr="00AD2F44">
        <w:t>A collective action allows … the advantage of lower individual costs to vindicate rights by the pooling of resources. The judicial system benefits by efficient resolution in one proceeding of common issues of law and fact arising from the same alleged [unlawful] activity.</w:t>
      </w:r>
      <w:r>
        <w:rPr>
          <w:vertAlign w:val="superscript"/>
        </w:rPr>
        <w:footnoteReference w:id="13"/>
      </w:r>
    </w:p>
    <w:p w14:paraId="1AA76C7F" w14:textId="77777777" w:rsidR="005D0340" w:rsidRPr="00AD2F44" w:rsidRDefault="00F42107">
      <w:pPr>
        <w:pStyle w:val="10ATextWithIndent"/>
        <w:rPr>
          <w:vertAlign w:val="superscript"/>
        </w:rPr>
      </w:pPr>
      <w:r w:rsidRPr="00AD2F44">
        <w:t xml:space="preserve">In concluding that the district court’s facilitation of notice was proper, the </w:t>
      </w:r>
      <w:r w:rsidRPr="00AD2F44">
        <w:rPr>
          <w:i/>
        </w:rPr>
        <w:t>Hoffmann-La Roche</w:t>
      </w:r>
      <w:r w:rsidRPr="00AD2F44">
        <w:t xml:space="preserve"> Court emphasized that the benefits to the judicial system of a collective action “depend on employees receiving accurate and timely notice concerning the pendency of the collective action, </w:t>
      </w:r>
      <w:r w:rsidRPr="00AD2F44">
        <w:lastRenderedPageBreak/>
        <w:t>so that they can make informed decisions about whether to participate.”</w:t>
      </w:r>
      <w:r>
        <w:rPr>
          <w:vertAlign w:val="superscript"/>
        </w:rPr>
        <w:footnoteReference w:id="14"/>
      </w:r>
      <w:r w:rsidRPr="00AD2F44">
        <w:t xml:space="preserve"> The Court held that in order to obtain the benefits of a collective action sought by Congress, a district court has “a managerial responsibility” to oversee the FLSA opt-in process “to assure that the task is accomplished in an efficient and proper way.”</w:t>
      </w:r>
      <w:r>
        <w:rPr>
          <w:vertAlign w:val="superscript"/>
        </w:rPr>
        <w:footnoteReference w:id="15"/>
      </w:r>
    </w:p>
    <w:p w14:paraId="23FA143D" w14:textId="77777777" w:rsidR="005D0340" w:rsidRPr="00AD2F44" w:rsidRDefault="00F42107">
      <w:pPr>
        <w:pStyle w:val="10ATextWithIndent"/>
      </w:pPr>
      <w:r w:rsidRPr="00AD2F44">
        <w:t>This chapter sets forth the requirements for bringing a collective action under Section 216(b), as well as a discussion of the many issues practitioners face when bringing or defending against a collective action.</w:t>
      </w:r>
      <w:r>
        <w:rPr>
          <w:vertAlign w:val="superscript"/>
        </w:rPr>
        <w:footnoteReference w:id="16"/>
      </w:r>
      <w:r w:rsidRPr="00AD2F44">
        <w:t xml:space="preserve"> Focusing on the different types of FLSA claims that have been brought as collective actions, it also discusses the standards courts have adopted for determining whether conditional certification should be granted and notice provided to potential opt-in plaintiffs.</w:t>
      </w:r>
      <w:r>
        <w:rPr>
          <w:vertAlign w:val="superscript"/>
        </w:rPr>
        <w:footnoteReference w:id="17"/>
      </w:r>
      <w:r w:rsidRPr="00AD2F44">
        <w:t xml:space="preserve"> The chapter includes a discussion of the issues surrounding court-ordered notice to collective action members,</w:t>
      </w:r>
      <w:r>
        <w:rPr>
          <w:vertAlign w:val="superscript"/>
        </w:rPr>
        <w:footnoteReference w:id="18"/>
      </w:r>
      <w:r w:rsidRPr="00AD2F44">
        <w:t xml:space="preserve"> as well as issues related to management of one or more collective actions.</w:t>
      </w:r>
      <w:r>
        <w:rPr>
          <w:vertAlign w:val="superscript"/>
        </w:rPr>
        <w:footnoteReference w:id="19"/>
      </w:r>
      <w:r w:rsidRPr="00AD2F44">
        <w:t xml:space="preserve"> It provides insight into not only the fundamentals of collective action practice, but also the problems practitioners may confront with respect to intervention under Rule 24 of the Federal Rules of Civil Procedure, trial practice, and appellate issues.</w:t>
      </w:r>
      <w:r>
        <w:rPr>
          <w:vertAlign w:val="superscript"/>
        </w:rPr>
        <w:footnoteReference w:id="20"/>
      </w:r>
      <w:r w:rsidRPr="00AD2F44">
        <w:t xml:space="preserve"> Further, the chapter addresses unique issues arising in collective actions in arbitration.</w:t>
      </w:r>
      <w:r>
        <w:rPr>
          <w:vertAlign w:val="superscript"/>
        </w:rPr>
        <w:footnoteReference w:id="21"/>
      </w:r>
      <w:r w:rsidRPr="00AD2F44">
        <w:t xml:space="preserve"> Finally, the chapter addresses distinct aspects of hybrid FLSA/state law class actions.</w:t>
      </w:r>
      <w:r>
        <w:rPr>
          <w:vertAlign w:val="superscript"/>
        </w:rPr>
        <w:footnoteReference w:id="22"/>
      </w:r>
    </w:p>
    <w:p w14:paraId="4BE7224E" w14:textId="77777777" w:rsidR="005D0340" w:rsidRPr="00AD2F44" w:rsidRDefault="00F42107">
      <w:pPr>
        <w:pStyle w:val="04First-LevelHeadIIIIII"/>
      </w:pPr>
      <w:r w:rsidRPr="00AD2F44">
        <w:t>II.</w:t>
      </w:r>
      <w:r w:rsidRPr="00AD2F44">
        <w:t> </w:t>
      </w:r>
      <w:r w:rsidRPr="00AD2F44">
        <w:t>Procedural Requirements of Section 216(b)</w:t>
      </w:r>
    </w:p>
    <w:p w14:paraId="7D1BE260" w14:textId="77777777" w:rsidR="005D0340" w:rsidRPr="00AD2F44" w:rsidRDefault="00F42107">
      <w:pPr>
        <w:pStyle w:val="05Second-LevelHeadABC"/>
      </w:pPr>
      <w:r w:rsidRPr="00AD2F44">
        <w:t>A.</w:t>
      </w:r>
      <w:r w:rsidRPr="00AD2F44">
        <w:tab/>
        <w:t>The Opt-In Versus Opt-Out Requirement</w:t>
      </w:r>
    </w:p>
    <w:p w14:paraId="31C86720" w14:textId="77777777" w:rsidR="005D0340" w:rsidRPr="00AD2F44" w:rsidRDefault="00F42107">
      <w:pPr>
        <w:pStyle w:val="10ATextWithIndent"/>
      </w:pPr>
      <w:r w:rsidRPr="00AD2F44">
        <w:t>The FLSA contains its own procedural requirements for the litigation of claims of multiple plaintiffs. Section 216(b) of the FLSA provides in part:</w:t>
      </w:r>
    </w:p>
    <w:p w14:paraId="7028FFFA" w14:textId="77777777" w:rsidR="005D0340" w:rsidRPr="00AD2F44" w:rsidRDefault="00F42107">
      <w:pPr>
        <w:pStyle w:val="09BBlockQuoteWithoutIndent"/>
        <w:rPr>
          <w:vertAlign w:val="superscript"/>
        </w:rPr>
      </w:pPr>
      <w:r w:rsidRPr="00AD2F44">
        <w:t xml:space="preserve">An action to recover the liability prescribed in [this section] may be maintained against any employer (including a public agency) in any Federal or State court of competent jurisdiction by any one or more employees for and in behalf of himself or themselves and other employees similarly situated. No employee </w:t>
      </w:r>
      <w:r w:rsidRPr="00AD2F44">
        <w:lastRenderedPageBreak/>
        <w:t>shall be a party plaintiff to any such action unless he gives his consent in writing to become such a party and such consent is filed in the court in which such action is brought.</w:t>
      </w:r>
      <w:r>
        <w:rPr>
          <w:vertAlign w:val="superscript"/>
        </w:rPr>
        <w:footnoteReference w:id="23"/>
      </w:r>
    </w:p>
    <w:p w14:paraId="6FF1135A" w14:textId="77777777" w:rsidR="005D0340" w:rsidRPr="00AD2F44" w:rsidRDefault="00F42107">
      <w:pPr>
        <w:pStyle w:val="10ATextWithIndent"/>
        <w:rPr>
          <w:vertAlign w:val="superscript"/>
        </w:rPr>
      </w:pPr>
      <w:r w:rsidRPr="00AD2F44">
        <w:t>The opt-in provision of Section 216(b) thus provides that no person can become a party plaintiff unless that person consents in writing to become a plaintiff and that consent is filed with the court.</w:t>
      </w:r>
      <w:r>
        <w:rPr>
          <w:vertAlign w:val="superscript"/>
        </w:rPr>
        <w:footnoteReference w:id="24"/>
      </w:r>
      <w:r w:rsidRPr="00AD2F44">
        <w:t xml:space="preserve"> Accordingly, in a Section 216(b) collective action, no person is bound by or can benefit from the judgment unless that person has affirmatively “opted into” the case by filing a written consent with the court.</w:t>
      </w:r>
      <w:r>
        <w:rPr>
          <w:vertAlign w:val="superscript"/>
        </w:rPr>
        <w:footnoteReference w:id="25"/>
      </w:r>
    </w:p>
    <w:p w14:paraId="0E805584" w14:textId="77777777" w:rsidR="005D0340" w:rsidRPr="00AD2F44" w:rsidRDefault="00F42107">
      <w:pPr>
        <w:pStyle w:val="10ATextWithIndent"/>
        <w:rPr>
          <w:vertAlign w:val="superscript"/>
        </w:rPr>
      </w:pPr>
      <w:r w:rsidRPr="00AD2F44">
        <w:t>This “opt in” requirement differs from the requirements under Rule 23 of the Federal Rules of Civil Procedure. For example, under Rule 23(b)(3), each person within the class definition of a certified class is considered to be a class member unless that person “opts out” of the lawsuit. No consent is required; instead, the putative class member has a right to be notified of the class action and to opt out of it and seek his or her own remedies.</w:t>
      </w:r>
      <w:r>
        <w:rPr>
          <w:vertAlign w:val="superscript"/>
        </w:rPr>
        <w:footnoteReference w:id="26"/>
      </w:r>
      <w:r w:rsidRPr="00AD2F44">
        <w:t xml:space="preserve"> A class member who does not “opt out” of a Rule 23(b)(3) action will be bound by the judgment, whether favorable or unfavorable.</w:t>
      </w:r>
      <w:r>
        <w:rPr>
          <w:vertAlign w:val="superscript"/>
        </w:rPr>
        <w:footnoteReference w:id="27"/>
      </w:r>
    </w:p>
    <w:p w14:paraId="6C5D5921" w14:textId="77777777" w:rsidR="005D0340" w:rsidRPr="00AD2F44" w:rsidRDefault="00F42107">
      <w:pPr>
        <w:pStyle w:val="05Second-LevelHeadABC"/>
      </w:pPr>
      <w:r w:rsidRPr="00AD2F44">
        <w:t>B.</w:t>
      </w:r>
      <w:r w:rsidRPr="00AD2F44">
        <w:tab/>
        <w:t>The Consent Requirement</w:t>
      </w:r>
    </w:p>
    <w:p w14:paraId="54313F52" w14:textId="77777777" w:rsidR="005D0340" w:rsidRPr="00AD2F44" w:rsidRDefault="00F42107">
      <w:pPr>
        <w:pStyle w:val="10ATextWithIndent"/>
        <w:rPr>
          <w:vertAlign w:val="superscript"/>
        </w:rPr>
      </w:pPr>
      <w:r w:rsidRPr="00AD2F44">
        <w:t xml:space="preserve">An FLSA collective action is deemed commenced for limitations purposes for the named plaintiff only when that plaintiff has filed both a complaint </w:t>
      </w:r>
      <w:r w:rsidRPr="00AD2F44">
        <w:rPr>
          <w:i/>
          <w:iCs/>
        </w:rPr>
        <w:t xml:space="preserve">and </w:t>
      </w:r>
      <w:r w:rsidRPr="00AD2F44">
        <w:t>a “consent to become a party plaintiff.”</w:t>
      </w:r>
      <w:r>
        <w:rPr>
          <w:vertAlign w:val="superscript"/>
        </w:rPr>
        <w:footnoteReference w:id="28"/>
      </w:r>
      <w:r w:rsidRPr="00AD2F44">
        <w:t xml:space="preserve"> For opt-in plaintiffs in a collective action under Section 216(b), the statute of </w:t>
      </w:r>
      <w:r w:rsidRPr="00AD2F44">
        <w:lastRenderedPageBreak/>
        <w:t>limitations is not tolled until the date on which the opt-in plaintiff’s written consent is filed with the court.</w:t>
      </w:r>
      <w:r>
        <w:rPr>
          <w:vertAlign w:val="superscript"/>
        </w:rPr>
        <w:footnoteReference w:id="29"/>
      </w:r>
      <w:r w:rsidRPr="00AD2F44">
        <w:t xml:space="preserve"> Once an individual opts into an FLSA collective action, the statute of limitations is </w:t>
      </w:r>
      <w:r w:rsidRPr="00AD2F44">
        <w:lastRenderedPageBreak/>
        <w:t>tolled from the date the consent form was filed, but if the court later denies certification of the collective action and dismisses the opt-in plaintiffs, the statute of limitations resumes upon that dismissal.</w:t>
      </w:r>
      <w:r>
        <w:rPr>
          <w:vertAlign w:val="superscript"/>
        </w:rPr>
        <w:footnoteReference w:id="30"/>
      </w:r>
    </w:p>
    <w:p w14:paraId="00572235" w14:textId="77777777" w:rsidR="005D0340" w:rsidRPr="00AD2F44" w:rsidRDefault="00F42107">
      <w:pPr>
        <w:pStyle w:val="10ATextWithIndent"/>
        <w:rPr>
          <w:vertAlign w:val="superscript"/>
        </w:rPr>
      </w:pPr>
      <w:r w:rsidRPr="00AD2F44">
        <w:t>However, because the provision pertaining to the filing of written consents applies only to collective actions, a plaintiff does not need to file a written consent to toll FLSA claims if the case is not a collective action under Section 216(b).</w:t>
      </w:r>
      <w:r>
        <w:rPr>
          <w:vertAlign w:val="superscript"/>
        </w:rPr>
        <w:footnoteReference w:id="31"/>
      </w:r>
      <w:r w:rsidRPr="00AD2F44">
        <w:t xml:space="preserve"> Similarly, courts have permitted plaintiffs </w:t>
      </w:r>
      <w:r w:rsidRPr="00AD2F44">
        <w:lastRenderedPageBreak/>
        <w:t>to pursue their claims on an individual basis when they have failed to file a timely consent, if they filed a complaint in a “dual capacity,” both individually and as a collective action.</w:t>
      </w:r>
      <w:r>
        <w:rPr>
          <w:vertAlign w:val="superscript"/>
        </w:rPr>
        <w:footnoteReference w:id="32"/>
      </w:r>
      <w:r w:rsidRPr="00AD2F44">
        <w:t xml:space="preserve"> Moreover, a collective action in which no one files a consent to join may be governed by permissive joinder. For example, in </w:t>
      </w:r>
      <w:r w:rsidRPr="00AD2F44">
        <w:rPr>
          <w:i/>
          <w:iCs/>
        </w:rPr>
        <w:t>Allen v. Atlantic Richfield Co</w:t>
      </w:r>
      <w:r w:rsidRPr="00AD2F44">
        <w:t>.,</w:t>
      </w:r>
      <w:r>
        <w:rPr>
          <w:vertAlign w:val="superscript"/>
        </w:rPr>
        <w:footnoteReference w:id="33"/>
      </w:r>
      <w:r w:rsidRPr="00AD2F44">
        <w:t xml:space="preserve"> the Fifth Circuit held that 22 plaintiffs, who were named in the complaint and who alleged individual causes of action, did not need to file consents to join the action. Although plaintiffs alleged in the complaint that they sought to represent “other similarly situated Atlantic Richfield employees,” the court noted that the action never evolved into a collective or class action since no unnamed plaintiff ever came forward and filed a written consent to join the suit, asking to be made a party plaintiff.</w:t>
      </w:r>
      <w:r>
        <w:rPr>
          <w:vertAlign w:val="superscript"/>
        </w:rPr>
        <w:footnoteReference w:id="34"/>
      </w:r>
      <w:r w:rsidRPr="00AD2F44">
        <w:t xml:space="preserve"> The only parties to the suit were named plaintiffs represented by the lawyer who signed the complaint, and their ability to participate in the action was governed by the joinder requirements of Federal Rule of Civil Procedure 20.</w:t>
      </w:r>
      <w:r>
        <w:rPr>
          <w:vertAlign w:val="superscript"/>
        </w:rPr>
        <w:footnoteReference w:id="35"/>
      </w:r>
    </w:p>
    <w:p w14:paraId="29C7F092" w14:textId="77777777" w:rsidR="005D0340" w:rsidRPr="00AD2F44" w:rsidRDefault="00F42107">
      <w:pPr>
        <w:pStyle w:val="10ATextWithIndent"/>
      </w:pPr>
      <w:r w:rsidRPr="00AD2F44">
        <w:t>Courts generally have allowed consents to join to be filed prior to court-approved notice.</w:t>
      </w:r>
      <w:r>
        <w:rPr>
          <w:vertAlign w:val="superscript"/>
        </w:rPr>
        <w:footnoteReference w:id="36"/>
      </w:r>
      <w:r w:rsidRPr="00AD2F44">
        <w:t xml:space="preserve"> Other courts, however, have placed limits on the ability to file before court-approved </w:t>
      </w:r>
      <w:r w:rsidRPr="00AD2F44">
        <w:lastRenderedPageBreak/>
        <w:t>notice.</w:t>
      </w:r>
      <w:r>
        <w:rPr>
          <w:vertAlign w:val="superscript"/>
        </w:rPr>
        <w:footnoteReference w:id="37"/>
      </w:r>
      <w:r w:rsidRPr="00AD2F44">
        <w:t xml:space="preserve"> At least one circuit court has recognized that the opt-in requirement under Section 216(b) is nonjurisdictional.</w:t>
      </w:r>
      <w:r>
        <w:rPr>
          <w:vertAlign w:val="superscript"/>
        </w:rPr>
        <w:footnoteReference w:id="38"/>
      </w:r>
      <w:r w:rsidRPr="00AD2F44">
        <w:t xml:space="preserve"> </w:t>
      </w:r>
    </w:p>
    <w:p w14:paraId="7664D60C" w14:textId="77777777" w:rsidR="005D0340" w:rsidRPr="00AD2F44" w:rsidRDefault="00F42107">
      <w:pPr>
        <w:pStyle w:val="06Third-LevelHead123"/>
      </w:pPr>
      <w:r w:rsidRPr="00AD2F44">
        <w:t>1.</w:t>
      </w:r>
      <w:r w:rsidRPr="00AD2F44">
        <w:tab/>
        <w:t>Scope and Use of Consent Form</w:t>
      </w:r>
    </w:p>
    <w:p w14:paraId="15747DC0" w14:textId="77777777" w:rsidR="005D0340" w:rsidRPr="00AD2F44" w:rsidRDefault="00F42107">
      <w:pPr>
        <w:pStyle w:val="10ATextWithIndent"/>
        <w:rPr>
          <w:vertAlign w:val="superscript"/>
        </w:rPr>
      </w:pPr>
      <w:r w:rsidRPr="00AD2F44">
        <w:t>In addressing what claims are presented by the filing of a consent form, a court “must interpret consent forms according to the plain meaning of their language.”</w:t>
      </w:r>
      <w:r>
        <w:rPr>
          <w:vertAlign w:val="superscript"/>
        </w:rPr>
        <w:footnoteReference w:id="39"/>
      </w:r>
      <w:r w:rsidRPr="00AD2F44">
        <w:t xml:space="preserve"> For instance, in </w:t>
      </w:r>
      <w:r w:rsidRPr="00AD2F44">
        <w:rPr>
          <w:i/>
          <w:iCs/>
        </w:rPr>
        <w:t>Prickett v. Dekalb County</w:t>
      </w:r>
      <w:r w:rsidRPr="00AD2F44">
        <w:t>,</w:t>
      </w:r>
      <w:r>
        <w:rPr>
          <w:vertAlign w:val="superscript"/>
        </w:rPr>
        <w:footnoteReference w:id="40"/>
      </w:r>
      <w:r w:rsidRPr="00AD2F44">
        <w:t xml:space="preserve"> the Eleventh Circuit found that amendments to the complaint were encompassed within the scope of the previously filed consent to join where the language in the consent demonstrated that the plaintiffs consented to the adjudication of “all of their claims for overtime compensation under FLSA, not merely the claims … specified in the [original] complaint.”</w:t>
      </w:r>
      <w:r>
        <w:rPr>
          <w:vertAlign w:val="superscript"/>
        </w:rPr>
        <w:footnoteReference w:id="41"/>
      </w:r>
      <w:r w:rsidRPr="00AD2F44">
        <w:t xml:space="preserve"> The court noted that opt-in plaintiffs do not opt in or consent as to specific claims, but as to the action as a whole, because Section 216(b) speaks of employees becoming party plaintiffs “to any such action” by filing their written consents.</w:t>
      </w:r>
      <w:r>
        <w:rPr>
          <w:vertAlign w:val="superscript"/>
        </w:rPr>
        <w:footnoteReference w:id="42"/>
      </w:r>
      <w:r w:rsidRPr="00AD2F44">
        <w:t xml:space="preserve"> At least one court has recognized </w:t>
      </w:r>
      <w:r w:rsidRPr="00AD2F44">
        <w:lastRenderedPageBreak/>
        <w:t>that this means that opt-in plaintiffs can participate in related state law wage and hour claims in addition to FLSA claims.</w:t>
      </w:r>
      <w:r>
        <w:rPr>
          <w:vertAlign w:val="superscript"/>
        </w:rPr>
        <w:footnoteReference w:id="43"/>
      </w:r>
    </w:p>
    <w:p w14:paraId="3108FE1A" w14:textId="77777777" w:rsidR="005D0340" w:rsidRPr="00AD2F44" w:rsidRDefault="00F42107">
      <w:pPr>
        <w:pStyle w:val="10ATextWithIndent"/>
        <w:rPr>
          <w:vertAlign w:val="superscript"/>
        </w:rPr>
      </w:pPr>
      <w:r w:rsidRPr="00AD2F44">
        <w:t xml:space="preserve">However, courts may not rewrite consent forms to broaden their scope. This issue typically arises where consents from a decertified collective action are filed in subsequent cases. In </w:t>
      </w:r>
      <w:r w:rsidRPr="00AD2F44">
        <w:rPr>
          <w:i/>
          <w:iCs/>
        </w:rPr>
        <w:t>Albritton v. Cagle’s, Inc</w:t>
      </w:r>
      <w:r w:rsidRPr="00AD2F44">
        <w:t>.,</w:t>
      </w:r>
      <w:r>
        <w:rPr>
          <w:vertAlign w:val="superscript"/>
        </w:rPr>
        <w:footnoteReference w:id="44"/>
      </w:r>
      <w:r w:rsidRPr="00AD2F44">
        <w:t xml:space="preserve"> plaintiffs who were dismissed from one suit as a result of a decertification order attempted to participate in two new lawsuits by filing the same consent forms that had been filed in the decertified case. The notices and consents specifically referred only to the decertified action and contained no language that authorized litigation of claims in any new action. The Eleventh Circuit held that because the consent forms from the decertified action specifically referenced only the decertified action, they were invalid for litigating the two new lawsuits.</w:t>
      </w:r>
      <w:r>
        <w:rPr>
          <w:vertAlign w:val="superscript"/>
        </w:rPr>
        <w:footnoteReference w:id="45"/>
      </w:r>
    </w:p>
    <w:p w14:paraId="4108ECA2" w14:textId="77777777" w:rsidR="005D0340" w:rsidRPr="00AD2F44" w:rsidRDefault="00F42107">
      <w:pPr>
        <w:pStyle w:val="06Third-LevelHead123"/>
      </w:pPr>
      <w:r w:rsidRPr="00AD2F44">
        <w:t>2.</w:t>
      </w:r>
      <w:r w:rsidRPr="00AD2F44">
        <w:tab/>
        <w:t>Form of Consent</w:t>
      </w:r>
    </w:p>
    <w:p w14:paraId="0E6ADDBE" w14:textId="77777777" w:rsidR="005D0340" w:rsidRPr="00AD2F44" w:rsidRDefault="00F42107">
      <w:pPr>
        <w:pStyle w:val="10ATextWithIndent"/>
        <w:rPr>
          <w:vertAlign w:val="superscript"/>
        </w:rPr>
      </w:pPr>
      <w:r w:rsidRPr="00AD2F44">
        <w:t>Section 216(b) does not dictate any particular language or format for a consent form,</w:t>
      </w:r>
      <w:r>
        <w:rPr>
          <w:vertAlign w:val="superscript"/>
        </w:rPr>
        <w:footnoteReference w:id="46"/>
      </w:r>
      <w:r w:rsidRPr="00AD2F44">
        <w:t xml:space="preserve"> but a consent form must “clearly manifest the individual’s consent to become a party plaintiff to </w:t>
      </w:r>
      <w:r w:rsidRPr="00AD2F44">
        <w:lastRenderedPageBreak/>
        <w:t>the litigation.”</w:t>
      </w:r>
      <w:r>
        <w:rPr>
          <w:vertAlign w:val="superscript"/>
        </w:rPr>
        <w:footnoteReference w:id="47"/>
      </w:r>
      <w:r w:rsidRPr="00AD2F44">
        <w:t xml:space="preserve"> Consent forms need not reference the specific claims in the lawsuit for which they are filed.</w:t>
      </w:r>
      <w:r>
        <w:rPr>
          <w:vertAlign w:val="superscript"/>
        </w:rPr>
        <w:footnoteReference w:id="48"/>
      </w:r>
    </w:p>
    <w:p w14:paraId="34C9822A" w14:textId="77777777" w:rsidR="005D0340" w:rsidRPr="00AD2F44" w:rsidRDefault="00F42107">
      <w:pPr>
        <w:pStyle w:val="10ATextWithIndent"/>
      </w:pPr>
      <w:r w:rsidRPr="00AD2F44">
        <w:t xml:space="preserve">Courts generally require the consent form to be signed. For instance, in </w:t>
      </w:r>
      <w:r w:rsidRPr="00AD2F44">
        <w:rPr>
          <w:i/>
          <w:iCs/>
        </w:rPr>
        <w:t>Davis v. Novastar Mortgage, Inc</w:t>
      </w:r>
      <w:r w:rsidRPr="00AD2F44">
        <w:t>.,</w:t>
      </w:r>
      <w:r>
        <w:rPr>
          <w:vertAlign w:val="superscript"/>
        </w:rPr>
        <w:footnoteReference w:id="49"/>
      </w:r>
      <w:r w:rsidRPr="00AD2F44">
        <w:t xml:space="preserve"> the district court required opt-in plaintiffs to provide signatures on their opt-in forms. Similarly, in </w:t>
      </w:r>
      <w:r w:rsidRPr="00AD2F44">
        <w:rPr>
          <w:i/>
          <w:iCs/>
        </w:rPr>
        <w:t>Kulik v. Superior Pipe Specialties Co</w:t>
      </w:r>
      <w:r w:rsidRPr="00AD2F44">
        <w:t>.,</w:t>
      </w:r>
      <w:r>
        <w:rPr>
          <w:vertAlign w:val="superscript"/>
        </w:rPr>
        <w:footnoteReference w:id="50"/>
      </w:r>
      <w:r w:rsidRPr="00AD2F44">
        <w:t xml:space="preserve"> the district court found that a typewritten list of names without signatures was insufficient to constitute “written consent” to join a suit.</w:t>
      </w:r>
      <w:r>
        <w:rPr>
          <w:vertAlign w:val="superscript"/>
        </w:rPr>
        <w:footnoteReference w:id="51"/>
      </w:r>
      <w:r w:rsidRPr="00AD2F44">
        <w:t xml:space="preserve"> A signed retainer agreement, which contained language consenting to inclusion in suit, was accepted in place of a consent form in </w:t>
      </w:r>
      <w:r w:rsidRPr="00AD2F44">
        <w:rPr>
          <w:i/>
          <w:iCs/>
        </w:rPr>
        <w:t>Brown v. Dunbar &amp; Sullivan Dredging Co</w:t>
      </w:r>
      <w:r w:rsidRPr="00AD2F44">
        <w:t>.</w:t>
      </w:r>
      <w:r>
        <w:rPr>
          <w:vertAlign w:val="superscript"/>
        </w:rPr>
        <w:footnoteReference w:id="52"/>
      </w:r>
      <w:r w:rsidRPr="00AD2F44">
        <w:t xml:space="preserve"> The retainer authorized counsel “to prosecute by suit or otherwise the signer’s claim for overtime wages and liquidated damages under the [FLSA] against one or more of four named companies, one of which was the defendant,” and the signer “agree[d] that [his] claim may be joined in any </w:t>
      </w:r>
      <w:r w:rsidRPr="00AD2F44">
        <w:lastRenderedPageBreak/>
        <w:t>suit brought by [him]self and various other employees.”</w:t>
      </w:r>
      <w:r>
        <w:rPr>
          <w:vertAlign w:val="superscript"/>
        </w:rPr>
        <w:footnoteReference w:id="53"/>
      </w:r>
      <w:r w:rsidRPr="00AD2F44">
        <w:t xml:space="preserve"> Courts have approved the use of online, electronic signature consent forms.</w:t>
      </w:r>
      <w:r>
        <w:rPr>
          <w:vertAlign w:val="superscript"/>
        </w:rPr>
        <w:footnoteReference w:id="54"/>
      </w:r>
      <w:r w:rsidRPr="00AD2F44">
        <w:t xml:space="preserve"> One court allowed pseudonyms on consent forms because of the risk of reputational or even physical harm to exotic dancer plaintiffs, where the defendant received the actual names under protective order.</w:t>
      </w:r>
      <w:r>
        <w:rPr>
          <w:vertAlign w:val="superscript"/>
        </w:rPr>
        <w:footnoteReference w:id="55"/>
      </w:r>
      <w:r w:rsidRPr="00AD2F44">
        <w:t xml:space="preserve"> </w:t>
      </w:r>
    </w:p>
    <w:p w14:paraId="31934B51" w14:textId="77777777" w:rsidR="005D0340" w:rsidRPr="00AD2F44" w:rsidRDefault="00F42107">
      <w:pPr>
        <w:pStyle w:val="05Second-LevelHeadABC"/>
      </w:pPr>
      <w:r w:rsidRPr="00AD2F44">
        <w:t>C.</w:t>
      </w:r>
      <w:r w:rsidRPr="00AD2F44">
        <w:tab/>
        <w:t>Impact of Department of Labor Actions for Back Wages on Collective Actions</w:t>
      </w:r>
    </w:p>
    <w:p w14:paraId="7ABD35E5" w14:textId="77777777" w:rsidR="005D0340" w:rsidRPr="00AD2F44" w:rsidRDefault="00F42107">
      <w:pPr>
        <w:pStyle w:val="10ATextWithIndent"/>
        <w:rPr>
          <w:vertAlign w:val="superscript"/>
        </w:rPr>
      </w:pPr>
      <w:r w:rsidRPr="00AD2F44">
        <w:t>Section 216(c) of the FLSA permits the Secretary of Labor to bring an action for a money judgment on behalf of an employee or group of employees for unpaid minimum wages or overtime pay and for an equal amount as liquidated damages.</w:t>
      </w:r>
      <w:r>
        <w:rPr>
          <w:vertAlign w:val="superscript"/>
        </w:rPr>
        <w:footnoteReference w:id="56"/>
      </w:r>
    </w:p>
    <w:p w14:paraId="47C9795E" w14:textId="77777777" w:rsidR="005D0340" w:rsidRPr="00AD2F44" w:rsidRDefault="00F42107">
      <w:pPr>
        <w:pStyle w:val="10ATextWithIndent"/>
        <w:rPr>
          <w:spacing w:val="2"/>
          <w:vertAlign w:val="superscript"/>
        </w:rPr>
      </w:pPr>
      <w:r w:rsidRPr="00AD2F44">
        <w:t>Once the Secretary files an action for back wages, an employee’s right to maintain a collective action is terminated.</w:t>
      </w:r>
      <w:r>
        <w:rPr>
          <w:spacing w:val="2"/>
          <w:vertAlign w:val="superscript"/>
        </w:rPr>
        <w:footnoteReference w:id="57"/>
      </w:r>
      <w:r w:rsidRPr="00AD2F44">
        <w:t xml:space="preserve"> This statutory rule does not apply, however, if the employee is </w:t>
      </w:r>
      <w:r w:rsidRPr="00AD2F44">
        <w:lastRenderedPageBreak/>
        <w:t>suing based on a different time period or on claims covering a different location.</w:t>
      </w:r>
      <w:r>
        <w:rPr>
          <w:spacing w:val="2"/>
          <w:vertAlign w:val="superscript"/>
        </w:rPr>
        <w:footnoteReference w:id="58"/>
      </w:r>
      <w:r w:rsidRPr="00AD2F44">
        <w:t xml:space="preserve"> Employees who have commenced their own private actions before the time the Secretary files may continue to pursue those claims.</w:t>
      </w:r>
      <w:r>
        <w:rPr>
          <w:spacing w:val="2"/>
          <w:vertAlign w:val="superscript"/>
        </w:rPr>
        <w:footnoteReference w:id="59"/>
      </w:r>
      <w:r w:rsidRPr="00AD2F44">
        <w:t xml:space="preserve"> The Secretary’s subsequent settlement of all claims asserted in the government’s suit will not resolve similar but different wage hour claims (for example, claims brought under state law) asserted in previously pending private claims.</w:t>
      </w:r>
      <w:r>
        <w:rPr>
          <w:spacing w:val="2"/>
          <w:vertAlign w:val="superscript"/>
        </w:rPr>
        <w:footnoteReference w:id="60"/>
      </w:r>
    </w:p>
    <w:p w14:paraId="1741E9A3" w14:textId="77777777" w:rsidR="005D0340" w:rsidRPr="00AD2F44" w:rsidRDefault="00F42107">
      <w:pPr>
        <w:pStyle w:val="04First-LevelHeadIIIIII"/>
      </w:pPr>
      <w:r w:rsidRPr="00AD2F44">
        <w:t xml:space="preserve">III. The Two-Stage Process Used to Determine if a Collective Action </w:t>
      </w:r>
      <w:r w:rsidRPr="00AD2F44">
        <w:br/>
        <w:t>May Proceed to Trial</w:t>
      </w:r>
    </w:p>
    <w:p w14:paraId="56ACC790" w14:textId="77777777" w:rsidR="005D0340" w:rsidRPr="00AD2F44" w:rsidRDefault="00F42107">
      <w:pPr>
        <w:pStyle w:val="05Second-LevelHeadABC"/>
      </w:pPr>
      <w:r w:rsidRPr="00AD2F44">
        <w:t>A.</w:t>
      </w:r>
      <w:r w:rsidRPr="00AD2F44">
        <w:tab/>
        <w:t>Overview</w:t>
      </w:r>
    </w:p>
    <w:p w14:paraId="3D70C5BD" w14:textId="10707329" w:rsidR="005D0340" w:rsidRPr="00AD2F44" w:rsidRDefault="00F42107">
      <w:pPr>
        <w:pStyle w:val="10ATextWithIndent"/>
        <w:rPr>
          <w:spacing w:val="5"/>
          <w:vertAlign w:val="superscript"/>
        </w:rPr>
      </w:pPr>
      <w:r w:rsidRPr="00AD2F44">
        <w:lastRenderedPageBreak/>
        <w:t>Most courts use a two-stage analysis when determining whether employees are similarly situated so that the case may proceed to trial as an opt-in collective action,</w:t>
      </w:r>
      <w:r>
        <w:rPr>
          <w:vertAlign w:val="superscript"/>
        </w:rPr>
        <w:footnoteReference w:id="61"/>
      </w:r>
      <w:r w:rsidRPr="00AD2F44">
        <w:t xml:space="preserve"> although this </w:t>
      </w:r>
      <w:r w:rsidRPr="00AD2F44">
        <w:lastRenderedPageBreak/>
        <w:t>approach is not mandated.</w:t>
      </w:r>
      <w:r>
        <w:rPr>
          <w:vertAlign w:val="superscript"/>
        </w:rPr>
        <w:footnoteReference w:id="62"/>
      </w:r>
      <w:r w:rsidRPr="00AD2F44">
        <w:t xml:space="preserve"> At the first stage, </w:t>
      </w:r>
      <w:r w:rsidRPr="00AD2F44">
        <w:rPr>
          <w:spacing w:val="5"/>
        </w:rPr>
        <w:t>referred to as the “notice stage”</w:t>
      </w:r>
      <w:r>
        <w:rPr>
          <w:spacing w:val="5"/>
          <w:vertAlign w:val="superscript"/>
        </w:rPr>
        <w:footnoteReference w:id="63"/>
      </w:r>
      <w:r w:rsidRPr="00AD2F44">
        <w:rPr>
          <w:spacing w:val="5"/>
        </w:rPr>
        <w:t xml:space="preserve"> or “conditional certification” stage,</w:t>
      </w:r>
      <w:r>
        <w:rPr>
          <w:spacing w:val="5"/>
          <w:vertAlign w:val="superscript"/>
        </w:rPr>
        <w:footnoteReference w:id="64"/>
      </w:r>
      <w:r w:rsidRPr="00AD2F44">
        <w:rPr>
          <w:spacing w:val="5"/>
        </w:rPr>
        <w:t xml:space="preserve"> the trial court determines whether notice of the action </w:t>
      </w:r>
      <w:r w:rsidRPr="00AD2F44">
        <w:rPr>
          <w:spacing w:val="5"/>
        </w:rPr>
        <w:lastRenderedPageBreak/>
        <w:t>should be given to potential opt-in plaintiffs and whether the case should initially proceed as a collective action.</w:t>
      </w:r>
      <w:r>
        <w:rPr>
          <w:spacing w:val="5"/>
          <w:vertAlign w:val="superscript"/>
        </w:rPr>
        <w:footnoteReference w:id="65"/>
      </w:r>
      <w:r w:rsidRPr="00AD2F44">
        <w:rPr>
          <w:spacing w:val="5"/>
        </w:rPr>
        <w:t xml:space="preserve"> If conditional certification is granted, the action then proceeds as a collective action throughout discovery.</w:t>
      </w:r>
      <w:r>
        <w:rPr>
          <w:spacing w:val="5"/>
          <w:vertAlign w:val="superscript"/>
        </w:rPr>
        <w:footnoteReference w:id="66"/>
      </w:r>
    </w:p>
    <w:p w14:paraId="2A5EC91D" w14:textId="77777777" w:rsidR="005D0340" w:rsidRPr="00AD2F44" w:rsidRDefault="00F42107">
      <w:pPr>
        <w:pStyle w:val="10ATextWithIndent"/>
      </w:pPr>
      <w:r w:rsidRPr="00AD2F44">
        <w:t>At the second stage, the court determines whether the case should continue to be certified as a collective action for trial.</w:t>
      </w:r>
      <w:r>
        <w:rPr>
          <w:vertAlign w:val="superscript"/>
        </w:rPr>
        <w:footnoteReference w:id="67"/>
      </w:r>
      <w:r w:rsidRPr="00AD2F44">
        <w:t xml:space="preserve"> The second-stage determination is usually based on the </w:t>
      </w:r>
      <w:r w:rsidRPr="00AD2F44">
        <w:lastRenderedPageBreak/>
        <w:t>employer’s motion filed at or near the end of discovery requesting that the court decertify the case as a collective action.</w:t>
      </w:r>
      <w:r>
        <w:rPr>
          <w:vertAlign w:val="superscript"/>
        </w:rPr>
        <w:footnoteReference w:id="68"/>
      </w:r>
    </w:p>
    <w:p w14:paraId="11563521" w14:textId="77777777" w:rsidR="005D0340" w:rsidRPr="00AD2F44" w:rsidRDefault="00F42107">
      <w:pPr>
        <w:pStyle w:val="10ATextWithIndent"/>
        <w:rPr>
          <w:lang w:eastAsia="pt-PT"/>
        </w:rPr>
      </w:pPr>
      <w:r w:rsidRPr="00AD2F44">
        <w:rPr>
          <w:lang w:eastAsia="pt-PT"/>
        </w:rPr>
        <w:t xml:space="preserve">The Fifth Circuit, in </w:t>
      </w:r>
      <w:r w:rsidRPr="00AD2F44">
        <w:rPr>
          <w:i/>
          <w:iCs/>
          <w:lang w:eastAsia="pt-PT"/>
        </w:rPr>
        <w:t>Swales v. KLLM Transportation Services, LLC</w:t>
      </w:r>
      <w:r w:rsidRPr="00AD2F44">
        <w:rPr>
          <w:lang w:eastAsia="pt-PT"/>
        </w:rPr>
        <w:t>,</w:t>
      </w:r>
      <w:r>
        <w:rPr>
          <w:rStyle w:val="FootnoteReference"/>
          <w:lang w:eastAsia="pt-PT"/>
        </w:rPr>
        <w:footnoteReference w:id="69"/>
      </w:r>
      <w:r w:rsidRPr="00AD2F44">
        <w:rPr>
          <w:i/>
          <w:iCs/>
          <w:lang w:eastAsia="pt-PT"/>
        </w:rPr>
        <w:t xml:space="preserve"> </w:t>
      </w:r>
      <w:r w:rsidRPr="00AD2F44">
        <w:rPr>
          <w:lang w:eastAsia="pt-PT"/>
        </w:rPr>
        <w:t>rejected the two-stage process</w:t>
      </w:r>
      <w:r>
        <w:rPr>
          <w:rStyle w:val="FootnoteReference"/>
          <w:lang w:eastAsia="pt-PT"/>
        </w:rPr>
        <w:footnoteReference w:id="70"/>
      </w:r>
      <w:r w:rsidRPr="00AD2F44">
        <w:rPr>
          <w:lang w:eastAsia="pt-PT"/>
        </w:rPr>
        <w:t xml:space="preserve"> and established a new standard to send notice by requiring district courts to</w:t>
      </w:r>
    </w:p>
    <w:p w14:paraId="0FC72A1E" w14:textId="798D4273" w:rsidR="001A10D7" w:rsidRPr="00AD2F44" w:rsidRDefault="00F42107">
      <w:pPr>
        <w:pStyle w:val="09BBlockQuoteWithoutIndent"/>
        <w:rPr>
          <w:lang w:eastAsia="pt-PT"/>
        </w:rPr>
      </w:pPr>
      <w:r w:rsidRPr="00AD2F44">
        <w:rPr>
          <w:lang w:eastAsia="pt-PT"/>
        </w:rPr>
        <w:t>rigorously scrutinize the realm of “similarly situated” workers, and … do so from the outset of the case, not after a lenient, step-one “conditional certification.” Only then can the district court determine whether the requested opt-in notice will go to those who are actually similar to the named plaintiffs. These bedrock rules, not [the two-stage process], define and delimit the district court’s discretion.</w:t>
      </w:r>
      <w:r>
        <w:rPr>
          <w:rStyle w:val="FootnoteReference"/>
          <w:szCs w:val="20"/>
          <w:lang w:eastAsia="pt-PT"/>
        </w:rPr>
        <w:footnoteReference w:id="71"/>
      </w:r>
      <w:r w:rsidRPr="00AD2F44">
        <w:rPr>
          <w:lang w:eastAsia="pt-PT"/>
        </w:rPr>
        <w:t xml:space="preserve"> </w:t>
      </w:r>
    </w:p>
    <w:p w14:paraId="46023D41" w14:textId="54284299" w:rsidR="001A10D7" w:rsidRPr="00AD2F44" w:rsidRDefault="00F42107" w:rsidP="00F23572">
      <w:pPr>
        <w:pStyle w:val="10ATextWithIndent"/>
        <w:rPr>
          <w:lang w:eastAsia="pt-PT"/>
        </w:rPr>
      </w:pPr>
      <w:r w:rsidRPr="00AD2F44">
        <w:rPr>
          <w:lang w:eastAsia="pt-PT"/>
        </w:rPr>
        <w:t xml:space="preserve">Since </w:t>
      </w:r>
      <w:r w:rsidRPr="00AD2F44">
        <w:rPr>
          <w:i/>
          <w:iCs/>
          <w:lang w:eastAsia="pt-PT"/>
        </w:rPr>
        <w:t>Swales</w:t>
      </w:r>
      <w:r w:rsidRPr="00AD2F44">
        <w:rPr>
          <w:lang w:eastAsia="pt-PT"/>
        </w:rPr>
        <w:t xml:space="preserve">, </w:t>
      </w:r>
      <w:r w:rsidR="00604088" w:rsidRPr="00AD2F44">
        <w:rPr>
          <w:lang w:eastAsia="pt-PT"/>
        </w:rPr>
        <w:t xml:space="preserve">district courts in the Fifth Circuit have </w:t>
      </w:r>
      <w:r w:rsidR="00E072DB" w:rsidRPr="00AD2F44">
        <w:rPr>
          <w:lang w:eastAsia="pt-PT"/>
        </w:rPr>
        <w:t xml:space="preserve">largely </w:t>
      </w:r>
      <w:r w:rsidR="00604088" w:rsidRPr="00AD2F44">
        <w:rPr>
          <w:lang w:eastAsia="pt-PT"/>
        </w:rPr>
        <w:t>abandoned the two-step approach</w:t>
      </w:r>
      <w:r w:rsidR="000A2C68" w:rsidRPr="00AD2F44">
        <w:rPr>
          <w:lang w:eastAsia="pt-PT"/>
        </w:rPr>
        <w:t>.</w:t>
      </w:r>
      <w:r>
        <w:rPr>
          <w:rStyle w:val="FootnoteReference"/>
          <w:lang w:eastAsia="pt-PT"/>
        </w:rPr>
        <w:footnoteReference w:id="72"/>
      </w:r>
      <w:r w:rsidR="00604088" w:rsidRPr="00AD2F44">
        <w:rPr>
          <w:lang w:eastAsia="pt-PT"/>
        </w:rPr>
        <w:t xml:space="preserve"> </w:t>
      </w:r>
      <w:r w:rsidR="00F152AE" w:rsidRPr="00AD2F44">
        <w:rPr>
          <w:lang w:eastAsia="pt-PT"/>
        </w:rPr>
        <w:t>C</w:t>
      </w:r>
      <w:r w:rsidR="00CF050B" w:rsidRPr="00AD2F44">
        <w:rPr>
          <w:lang w:eastAsia="pt-PT"/>
        </w:rPr>
        <w:t xml:space="preserve">ourts </w:t>
      </w:r>
      <w:r w:rsidR="00901E68" w:rsidRPr="00AD2F44">
        <w:rPr>
          <w:lang w:eastAsia="pt-PT"/>
        </w:rPr>
        <w:t>continue to evaluate whether putative collective members are similarly situated prior to allowing notice to potential opt-in plaintiffs</w:t>
      </w:r>
      <w:r w:rsidR="00CF050B" w:rsidRPr="00AD2F44">
        <w:rPr>
          <w:lang w:eastAsia="pt-PT"/>
        </w:rPr>
        <w:t xml:space="preserve"> and to determine if additional discovery is needed</w:t>
      </w:r>
      <w:r w:rsidR="00901E68" w:rsidRPr="00AD2F44">
        <w:rPr>
          <w:lang w:eastAsia="pt-PT"/>
        </w:rPr>
        <w:t>.</w:t>
      </w:r>
      <w:r>
        <w:rPr>
          <w:rStyle w:val="FootnoteReference"/>
          <w:lang w:eastAsia="pt-PT"/>
        </w:rPr>
        <w:footnoteReference w:id="73"/>
      </w:r>
      <w:r w:rsidR="00901E68" w:rsidRPr="00AD2F44">
        <w:rPr>
          <w:lang w:eastAsia="pt-PT"/>
        </w:rPr>
        <w:t xml:space="preserve"> </w:t>
      </w:r>
      <w:r w:rsidR="007F1A0C" w:rsidRPr="00AD2F44">
        <w:rPr>
          <w:lang w:eastAsia="pt-PT"/>
        </w:rPr>
        <w:t>Most d</w:t>
      </w:r>
      <w:r w:rsidR="00604088" w:rsidRPr="00AD2F44">
        <w:rPr>
          <w:lang w:eastAsia="pt-PT"/>
        </w:rPr>
        <w:t xml:space="preserve">istrict courts </w:t>
      </w:r>
      <w:r w:rsidR="00901E68" w:rsidRPr="00AD2F44">
        <w:rPr>
          <w:lang w:eastAsia="pt-PT"/>
        </w:rPr>
        <w:t>in other circuits</w:t>
      </w:r>
      <w:r w:rsidR="00F152AE" w:rsidRPr="00AD2F44">
        <w:rPr>
          <w:lang w:eastAsia="pt-PT"/>
        </w:rPr>
        <w:t>, however,</w:t>
      </w:r>
      <w:r w:rsidR="00901E68" w:rsidRPr="00AD2F44">
        <w:rPr>
          <w:lang w:eastAsia="pt-PT"/>
        </w:rPr>
        <w:t xml:space="preserve"> </w:t>
      </w:r>
      <w:r w:rsidR="00604088" w:rsidRPr="00AD2F44">
        <w:rPr>
          <w:lang w:eastAsia="pt-PT"/>
        </w:rPr>
        <w:t xml:space="preserve">have continued </w:t>
      </w:r>
      <w:r w:rsidR="004E486B" w:rsidRPr="00AD2F44">
        <w:rPr>
          <w:lang w:eastAsia="pt-PT"/>
        </w:rPr>
        <w:t xml:space="preserve">to </w:t>
      </w:r>
      <w:r w:rsidR="008D1320" w:rsidRPr="00AD2F44">
        <w:rPr>
          <w:lang w:eastAsia="pt-PT"/>
        </w:rPr>
        <w:t xml:space="preserve">apply the </w:t>
      </w:r>
      <w:r w:rsidR="00901E68" w:rsidRPr="00AD2F44">
        <w:rPr>
          <w:lang w:eastAsia="pt-PT"/>
        </w:rPr>
        <w:lastRenderedPageBreak/>
        <w:t xml:space="preserve">two-step </w:t>
      </w:r>
      <w:r w:rsidR="008D1320" w:rsidRPr="00AD2F44">
        <w:rPr>
          <w:lang w:eastAsia="pt-PT"/>
        </w:rPr>
        <w:t>framework</w:t>
      </w:r>
      <w:r w:rsidR="00AD4534" w:rsidRPr="00AD2F44">
        <w:rPr>
          <w:lang w:eastAsia="pt-PT"/>
        </w:rPr>
        <w:t xml:space="preserve"> when faced with arguments</w:t>
      </w:r>
      <w:r w:rsidR="00234D13" w:rsidRPr="00AD2F44">
        <w:rPr>
          <w:lang w:eastAsia="pt-PT"/>
        </w:rPr>
        <w:t xml:space="preserve"> to abandon it</w:t>
      </w:r>
      <w:r w:rsidR="00AD4534" w:rsidRPr="00AD2F44">
        <w:rPr>
          <w:lang w:eastAsia="pt-PT"/>
        </w:rPr>
        <w:t xml:space="preserve"> based on </w:t>
      </w:r>
      <w:r w:rsidR="00AD4534" w:rsidRPr="00AD2F44">
        <w:rPr>
          <w:i/>
          <w:iCs/>
          <w:lang w:eastAsia="pt-PT"/>
        </w:rPr>
        <w:t>Swales</w:t>
      </w:r>
      <w:r w:rsidR="008D1320" w:rsidRPr="00AD2F44">
        <w:rPr>
          <w:lang w:eastAsia="pt-PT"/>
        </w:rPr>
        <w:t>.</w:t>
      </w:r>
      <w:r>
        <w:rPr>
          <w:rStyle w:val="FootnoteReference"/>
          <w:lang w:eastAsia="pt-PT"/>
        </w:rPr>
        <w:footnoteReference w:id="74"/>
      </w:r>
      <w:r w:rsidR="008D1320" w:rsidRPr="00AD2F44">
        <w:rPr>
          <w:lang w:eastAsia="pt-PT"/>
        </w:rPr>
        <w:t xml:space="preserve"> </w:t>
      </w:r>
      <w:r w:rsidR="00535A54">
        <w:rPr>
          <w:lang w:eastAsia="pt-PT"/>
        </w:rPr>
        <w:t xml:space="preserve">Some district courts outside the Fifth Circuit have adopted the </w:t>
      </w:r>
      <w:r w:rsidR="00535A54">
        <w:rPr>
          <w:i/>
          <w:iCs/>
          <w:lang w:eastAsia="pt-PT"/>
        </w:rPr>
        <w:t>Swales</w:t>
      </w:r>
      <w:r w:rsidR="00535A54">
        <w:rPr>
          <w:lang w:eastAsia="pt-PT"/>
        </w:rPr>
        <w:t xml:space="preserve"> approach.</w:t>
      </w:r>
      <w:r>
        <w:rPr>
          <w:rStyle w:val="FootnoteReference"/>
          <w:lang w:eastAsia="pt-PT"/>
        </w:rPr>
        <w:footnoteReference w:id="75"/>
      </w:r>
      <w:r w:rsidR="00535A54">
        <w:rPr>
          <w:lang w:eastAsia="pt-PT"/>
        </w:rPr>
        <w:t xml:space="preserve"> </w:t>
      </w:r>
      <w:r w:rsidR="00D8260F" w:rsidRPr="00AD2F44">
        <w:rPr>
          <w:lang w:eastAsia="pt-PT"/>
        </w:rPr>
        <w:t xml:space="preserve">The Seventh Circuit has </w:t>
      </w:r>
      <w:r w:rsidR="0035709D" w:rsidRPr="00AD2F44">
        <w:rPr>
          <w:lang w:eastAsia="pt-PT"/>
        </w:rPr>
        <w:t>refused to adopt</w:t>
      </w:r>
      <w:r w:rsidR="00D8260F" w:rsidRPr="00AD2F44">
        <w:rPr>
          <w:lang w:eastAsia="pt-PT"/>
        </w:rPr>
        <w:t xml:space="preserve"> </w:t>
      </w:r>
      <w:r w:rsidR="0035709D" w:rsidRPr="00AD2F44">
        <w:rPr>
          <w:lang w:eastAsia="pt-PT"/>
        </w:rPr>
        <w:t xml:space="preserve">the </w:t>
      </w:r>
      <w:r w:rsidR="000C77DA" w:rsidRPr="00AD2F44">
        <w:rPr>
          <w:i/>
          <w:iCs/>
          <w:lang w:eastAsia="pt-PT"/>
        </w:rPr>
        <w:t>Swales</w:t>
      </w:r>
      <w:r w:rsidR="0035709D" w:rsidRPr="00AD2F44">
        <w:rPr>
          <w:i/>
          <w:iCs/>
          <w:lang w:eastAsia="pt-PT"/>
        </w:rPr>
        <w:t xml:space="preserve"> </w:t>
      </w:r>
      <w:r w:rsidR="0035709D" w:rsidRPr="00AD2F44">
        <w:rPr>
          <w:lang w:eastAsia="pt-PT"/>
        </w:rPr>
        <w:t>framework</w:t>
      </w:r>
      <w:r w:rsidR="000C77DA" w:rsidRPr="00AD2F44">
        <w:rPr>
          <w:lang w:eastAsia="pt-PT"/>
        </w:rPr>
        <w:t>, in a writ of mandamus review</w:t>
      </w:r>
      <w:r w:rsidR="0035709D" w:rsidRPr="00AD2F44">
        <w:rPr>
          <w:lang w:eastAsia="pt-PT"/>
        </w:rPr>
        <w:t>, recognizing district courts’ discretion to manage collective actions.</w:t>
      </w:r>
      <w:r>
        <w:rPr>
          <w:rStyle w:val="FootnoteReference"/>
          <w:lang w:eastAsia="pt-PT"/>
        </w:rPr>
        <w:footnoteReference w:id="76"/>
      </w:r>
      <w:r w:rsidR="00901E68" w:rsidRPr="00AD2F44">
        <w:rPr>
          <w:lang w:eastAsia="pt-PT"/>
        </w:rPr>
        <w:t xml:space="preserve"> </w:t>
      </w:r>
    </w:p>
    <w:p w14:paraId="01EF728E" w14:textId="0E694368" w:rsidR="00016C7E" w:rsidRPr="00AD2F44" w:rsidRDefault="00F42107" w:rsidP="00F23572">
      <w:pPr>
        <w:pStyle w:val="10ATextWithIndent"/>
      </w:pPr>
      <w:r w:rsidRPr="00AD2F44">
        <w:lastRenderedPageBreak/>
        <w:t xml:space="preserve">Another </w:t>
      </w:r>
      <w:r w:rsidR="004E486B" w:rsidRPr="00AD2F44">
        <w:t xml:space="preserve">U.S. </w:t>
      </w:r>
      <w:r w:rsidR="006D48D1" w:rsidRPr="00AD2F44">
        <w:t>C</w:t>
      </w:r>
      <w:r w:rsidRPr="00AD2F44">
        <w:t xml:space="preserve">ourt of </w:t>
      </w:r>
      <w:r w:rsidR="006D48D1" w:rsidRPr="00AD2F44">
        <w:t>A</w:t>
      </w:r>
      <w:r w:rsidRPr="00AD2F44">
        <w:t xml:space="preserve">ppeals departed from the </w:t>
      </w:r>
      <w:r w:rsidRPr="00AD2F44">
        <w:rPr>
          <w:i/>
          <w:iCs/>
        </w:rPr>
        <w:t>Lusardi</w:t>
      </w:r>
      <w:r w:rsidRPr="00AD2F44">
        <w:t xml:space="preserve"> framework when the Sixth Circuit</w:t>
      </w:r>
      <w:r w:rsidR="004E486B" w:rsidRPr="00AD2F44">
        <w:t>,</w:t>
      </w:r>
      <w:r w:rsidRPr="00AD2F44">
        <w:t xml:space="preserve"> in </w:t>
      </w:r>
      <w:r w:rsidRPr="00AD2F44">
        <w:rPr>
          <w:i/>
          <w:iCs/>
        </w:rPr>
        <w:t xml:space="preserve">Clark v. A&amp;L Homecare </w:t>
      </w:r>
      <w:r w:rsidR="004E486B" w:rsidRPr="00AD2F44">
        <w:rPr>
          <w:i/>
          <w:iCs/>
        </w:rPr>
        <w:t xml:space="preserve">&amp; </w:t>
      </w:r>
      <w:r w:rsidRPr="00AD2F44">
        <w:rPr>
          <w:i/>
          <w:iCs/>
        </w:rPr>
        <w:t>Training Center</w:t>
      </w:r>
      <w:r w:rsidRPr="00AD2F44">
        <w:t>,</w:t>
      </w:r>
      <w:r>
        <w:rPr>
          <w:rStyle w:val="FootnoteReference"/>
        </w:rPr>
        <w:footnoteReference w:id="77"/>
      </w:r>
      <w:r w:rsidR="006D48D1" w:rsidRPr="00AD2F44">
        <w:t xml:space="preserve"> </w:t>
      </w:r>
      <w:r w:rsidRPr="00AD2F44">
        <w:t xml:space="preserve">announced its own test for permitting notice to issue to potential collective action members. The </w:t>
      </w:r>
      <w:r w:rsidR="00DD0167" w:rsidRPr="00AD2F44">
        <w:t xml:space="preserve">Sixth Circuit in </w:t>
      </w:r>
      <w:r w:rsidRPr="00AD2F44">
        <w:rPr>
          <w:i/>
          <w:iCs/>
        </w:rPr>
        <w:t>Clark</w:t>
      </w:r>
      <w:r w:rsidR="00DD0167" w:rsidRPr="00AD2F44">
        <w:t xml:space="preserve"> </w:t>
      </w:r>
      <w:r w:rsidRPr="00AD2F44">
        <w:t xml:space="preserve">did not adopt the </w:t>
      </w:r>
      <w:r w:rsidRPr="00AD2F44">
        <w:rPr>
          <w:i/>
          <w:iCs/>
        </w:rPr>
        <w:t xml:space="preserve">Swales </w:t>
      </w:r>
      <w:r w:rsidRPr="00AD2F44">
        <w:t>standard, instead reason</w:t>
      </w:r>
      <w:r w:rsidR="00597E43">
        <w:t>ing</w:t>
      </w:r>
      <w:r w:rsidRPr="00AD2F44">
        <w:t xml:space="preserve"> that the decision to issue notice “is analogous to a court’s decision whether to grant a preliminary injunction</w:t>
      </w:r>
      <w:r w:rsidR="00267140" w:rsidRPr="00AD2F44">
        <w:t>,</w:t>
      </w:r>
      <w:r w:rsidRPr="00AD2F44">
        <w:t xml:space="preserve">” </w:t>
      </w:r>
      <w:r w:rsidR="00267140" w:rsidRPr="00AD2F44">
        <w:t xml:space="preserve">but only the prong of the analysis focused on “demonstrat[ing] to a certain degree of probability that </w:t>
      </w:r>
      <w:r w:rsidR="004E486B" w:rsidRPr="00AD2F44">
        <w:t xml:space="preserve">[the movant] </w:t>
      </w:r>
      <w:r w:rsidR="00267140" w:rsidRPr="00AD2F44">
        <w:t>will prevail” on the merits.</w:t>
      </w:r>
      <w:r>
        <w:rPr>
          <w:rStyle w:val="FootnoteReference"/>
        </w:rPr>
        <w:footnoteReference w:id="78"/>
      </w:r>
      <w:r w:rsidR="00267140" w:rsidRPr="00AD2F44">
        <w:t xml:space="preserve"> </w:t>
      </w:r>
      <w:r w:rsidR="003407BB" w:rsidRPr="00AD2F44">
        <w:t>T</w:t>
      </w:r>
      <w:r w:rsidR="00267140" w:rsidRPr="00AD2F44">
        <w:t xml:space="preserve">he Sixth Circuit held that to issue notice, </w:t>
      </w:r>
      <w:r w:rsidR="006D48D1" w:rsidRPr="00AD2F44">
        <w:t xml:space="preserve">the </w:t>
      </w:r>
      <w:r w:rsidR="00267140" w:rsidRPr="00AD2F44">
        <w:t>plaintiffs “must show a ‘strong likelihood’ that those employees are similarly situated to the plaintiffs themselves.”</w:t>
      </w:r>
      <w:r>
        <w:rPr>
          <w:rStyle w:val="FootnoteReference"/>
        </w:rPr>
        <w:footnoteReference w:id="79"/>
      </w:r>
      <w:r w:rsidR="00267140" w:rsidRPr="00AD2F44">
        <w:t xml:space="preserve"> The “strong likelihood” standard, which the court stated “is familiar to the district courts,” would require more than raising a genuine issue of material fact, but not enough to prove the issue by a preponderance of the evidence.</w:t>
      </w:r>
      <w:r>
        <w:rPr>
          <w:rStyle w:val="FootnoteReference"/>
        </w:rPr>
        <w:footnoteReference w:id="80"/>
      </w:r>
      <w:r w:rsidR="00816714" w:rsidRPr="00AD2F44">
        <w:t xml:space="preserve"> The court remanded the case to the district court to apply the new standard.</w:t>
      </w:r>
      <w:r>
        <w:rPr>
          <w:rStyle w:val="FootnoteReference"/>
        </w:rPr>
        <w:footnoteReference w:id="81"/>
      </w:r>
      <w:r w:rsidR="00816714" w:rsidRPr="00AD2F44">
        <w:t xml:space="preserve"> </w:t>
      </w:r>
    </w:p>
    <w:p w14:paraId="5DC77E87" w14:textId="77777777" w:rsidR="005D0340" w:rsidRPr="00AD2F44" w:rsidRDefault="00F42107">
      <w:pPr>
        <w:pStyle w:val="05Second-LevelHeadABC"/>
      </w:pPr>
      <w:r w:rsidRPr="00AD2F44">
        <w:t>B.</w:t>
      </w:r>
      <w:r w:rsidRPr="00AD2F44">
        <w:tab/>
        <w:t>Stage I: Standard for Determining Whether Conditional Certification Should Be Granted</w:t>
      </w:r>
    </w:p>
    <w:p w14:paraId="494DEA64" w14:textId="77777777" w:rsidR="005D0340" w:rsidRPr="00AD2F44" w:rsidRDefault="00F42107">
      <w:pPr>
        <w:pStyle w:val="10BTextWithoutIndent"/>
      </w:pPr>
      <w:r w:rsidRPr="00AD2F44">
        <w:rPr>
          <w:b/>
          <w:bCs/>
        </w:rPr>
        <w:t>[Caution:</w:t>
      </w:r>
      <w:r w:rsidRPr="00AD2F44">
        <w:t xml:space="preserve"> The Fifth Circuit has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4D25E701" w14:textId="77777777" w:rsidR="005D0340" w:rsidRPr="00AD2F44" w:rsidRDefault="00F42107">
      <w:pPr>
        <w:pStyle w:val="06Third-LevelHead123"/>
      </w:pPr>
      <w:r w:rsidRPr="00AD2F44">
        <w:t>1.</w:t>
      </w:r>
      <w:r w:rsidRPr="00AD2F44">
        <w:tab/>
        <w:t xml:space="preserve">The “Modest Factual Showing” Standard </w:t>
      </w:r>
    </w:p>
    <w:p w14:paraId="421BE1B0" w14:textId="77777777" w:rsidR="005D0340" w:rsidRPr="00AD2F44" w:rsidRDefault="00F42107">
      <w:pPr>
        <w:pStyle w:val="10ATextWithIndent"/>
      </w:pPr>
      <w:r w:rsidRPr="00AD2F44">
        <w:t>At the notice stage, the plaintiff must make a threshold showing that the plaintiff or plaintiffs and members of the proposed collective action are “similarly situated.”</w:t>
      </w:r>
      <w:r>
        <w:rPr>
          <w:vertAlign w:val="superscript"/>
        </w:rPr>
        <w:footnoteReference w:id="82"/>
      </w:r>
      <w:r w:rsidRPr="00AD2F44">
        <w:t xml:space="preserve"> Most courts </w:t>
      </w:r>
      <w:r w:rsidRPr="00AD2F44">
        <w:lastRenderedPageBreak/>
        <w:t>require that the plaintiffs make a “modest factual showing”</w:t>
      </w:r>
      <w:r>
        <w:rPr>
          <w:vertAlign w:val="superscript"/>
        </w:rPr>
        <w:footnoteReference w:id="83"/>
      </w:r>
      <w:r w:rsidRPr="00AD2F44">
        <w:t xml:space="preserve"> that a class of similarly situated persons may exist. Courts generally do not evaluate the merits of the claims</w:t>
      </w:r>
      <w:r>
        <w:rPr>
          <w:vertAlign w:val="superscript"/>
        </w:rPr>
        <w:footnoteReference w:id="84"/>
      </w:r>
      <w:r w:rsidRPr="00AD2F44">
        <w:t xml:space="preserve"> or make credibility </w:t>
      </w:r>
      <w:r w:rsidRPr="00AD2F44">
        <w:lastRenderedPageBreak/>
        <w:t>determinations at the conditional certification stage.</w:t>
      </w:r>
      <w:r>
        <w:rPr>
          <w:vertAlign w:val="superscript"/>
        </w:rPr>
        <w:footnoteReference w:id="85"/>
      </w:r>
      <w:r w:rsidRPr="00AD2F44">
        <w:t xml:space="preserve"> District courts in most circuits hold that plaintiffs can meet this burden by making a modest factual showing that the putative class </w:t>
      </w:r>
      <w:r w:rsidRPr="00AD2F44">
        <w:lastRenderedPageBreak/>
        <w:t>members were together the victims of a single decision, policy, practice, or plan that violated the law.</w:t>
      </w:r>
      <w:r>
        <w:rPr>
          <w:vertAlign w:val="superscript"/>
        </w:rPr>
        <w:footnoteReference w:id="86"/>
      </w:r>
      <w:r w:rsidRPr="00AD2F44">
        <w:t xml:space="preserve"> While allegations regarding a common decision, policy, practice, or plan can provide a </w:t>
      </w:r>
      <w:r w:rsidRPr="00AD2F44">
        <w:lastRenderedPageBreak/>
        <w:t>reasonable basis for granting conditional certification, some courts have held that such allegations are not necessarily required at the notice stage.</w:t>
      </w:r>
      <w:r>
        <w:rPr>
          <w:vertAlign w:val="superscript"/>
        </w:rPr>
        <w:footnoteReference w:id="87"/>
      </w:r>
      <w:r w:rsidRPr="00AD2F44">
        <w:t xml:space="preserve"> At this stage, courts apply a “fairly lenient standard.”</w:t>
      </w:r>
      <w:r>
        <w:rPr>
          <w:vertAlign w:val="superscript"/>
        </w:rPr>
        <w:footnoteReference w:id="88"/>
      </w:r>
      <w:r w:rsidRPr="00AD2F44">
        <w:t xml:space="preserve"> This standard “is considerably ‘less stringent’ than the proof required </w:t>
      </w:r>
      <w:r w:rsidRPr="00AD2F44">
        <w:lastRenderedPageBreak/>
        <w:t>pursuant to Fed. R. Civ. P. 20(a) for joinder or Fed. R. Civ. P. 23 for class certification.”</w:t>
      </w:r>
      <w:r>
        <w:rPr>
          <w:vertAlign w:val="superscript"/>
        </w:rPr>
        <w:footnoteReference w:id="89"/>
      </w:r>
      <w:r w:rsidRPr="00AD2F44">
        <w:t xml:space="preserve"> Although courts often apply a lenient standard at the notice stage, conditional certification is not </w:t>
      </w:r>
      <w:r w:rsidRPr="00AD2F44">
        <w:lastRenderedPageBreak/>
        <w:t>always granted, or the scope of the class for which plaintiffs seek conditional certification may be limited even though some form of notice is granted.</w:t>
      </w:r>
      <w:r>
        <w:rPr>
          <w:vertAlign w:val="superscript"/>
        </w:rPr>
        <w:footnoteReference w:id="90"/>
      </w:r>
      <w:r w:rsidRPr="00AD2F44">
        <w:t xml:space="preserve"> </w:t>
      </w:r>
    </w:p>
    <w:p w14:paraId="42ADEBFD" w14:textId="77777777" w:rsidR="005D0340" w:rsidRPr="00AD2F44" w:rsidRDefault="00F42107">
      <w:pPr>
        <w:pStyle w:val="10ATextWithIndent"/>
        <w:rPr>
          <w:vertAlign w:val="superscript"/>
        </w:rPr>
      </w:pPr>
      <w:r w:rsidRPr="00AD2F44">
        <w:lastRenderedPageBreak/>
        <w:t xml:space="preserve">Because the standard for achieving conditional certifications is less stringent than the standard for class certification under Rule 23 of the Federal Rules of Civil Procedure, many courts have held that the Supreme Court’s 2011 decision in </w:t>
      </w:r>
      <w:r w:rsidRPr="00AD2F44">
        <w:rPr>
          <w:i/>
          <w:iCs/>
        </w:rPr>
        <w:t>Wal-Mart Stores, Inc</w:t>
      </w:r>
      <w:r w:rsidRPr="00AD2F44">
        <w:t>.</w:t>
      </w:r>
      <w:r w:rsidRPr="00AD2F44">
        <w:rPr>
          <w:i/>
          <w:iCs/>
        </w:rPr>
        <w:t xml:space="preserve"> v</w:t>
      </w:r>
      <w:r w:rsidRPr="00AD2F44">
        <w:t>.</w:t>
      </w:r>
      <w:r w:rsidRPr="00AD2F44">
        <w:rPr>
          <w:i/>
          <w:iCs/>
        </w:rPr>
        <w:t xml:space="preserve"> Dukes</w:t>
      </w:r>
      <w:r>
        <w:rPr>
          <w:vertAlign w:val="superscript"/>
        </w:rPr>
        <w:footnoteReference w:id="91"/>
      </w:r>
      <w:r w:rsidRPr="00AD2F44">
        <w:t xml:space="preserve"> does not apply to collective actions at the conditional certification stage.</w:t>
      </w:r>
      <w:r>
        <w:rPr>
          <w:vertAlign w:val="superscript"/>
        </w:rPr>
        <w:footnoteReference w:id="92"/>
      </w:r>
      <w:r w:rsidRPr="00AD2F44">
        <w:t xml:space="preserve"> By contrast, other courts have cited to </w:t>
      </w:r>
      <w:r w:rsidRPr="00AD2F44">
        <w:rPr>
          <w:i/>
          <w:iCs/>
        </w:rPr>
        <w:t>Dukes</w:t>
      </w:r>
      <w:r w:rsidRPr="00AD2F44">
        <w:t xml:space="preserve"> when denying a motion for conditional certification when plaintiffs </w:t>
      </w:r>
      <w:r w:rsidRPr="00AD2F44">
        <w:lastRenderedPageBreak/>
        <w:t>are relying on an unwritten policy that allegedly violates the FLSA.</w:t>
      </w:r>
      <w:r>
        <w:rPr>
          <w:vertAlign w:val="superscript"/>
        </w:rPr>
        <w:footnoteReference w:id="93"/>
      </w:r>
      <w:r w:rsidRPr="00AD2F44">
        <w:t xml:space="preserve"> Courts have explained that one of the reasons this burden is less exacting than under Rule 23 is because the FLSA’s opt-in provision provides an opportunity for potential plaintiffs to join the action but does not bind those who do not, whereas a class certified under Rule 23 does bind absent class members who do not opt out of the certified class.</w:t>
      </w:r>
      <w:r>
        <w:rPr>
          <w:vertAlign w:val="superscript"/>
        </w:rPr>
        <w:footnoteReference w:id="94"/>
      </w:r>
      <w:r w:rsidRPr="00AD2F44">
        <w:t xml:space="preserve"> Courts have also indicated that early notice is necessary to preserve the rights of potential opt-in plaintiffs, whose claims might become time-barred due to the running of the statute of limitations.</w:t>
      </w:r>
      <w:r>
        <w:rPr>
          <w:vertAlign w:val="superscript"/>
        </w:rPr>
        <w:footnoteReference w:id="95"/>
      </w:r>
      <w:r w:rsidRPr="00AD2F44">
        <w:t xml:space="preserve"> Other courts have stated that the cost savings and efficiency of proceeding collectively support early conditional certification.</w:t>
      </w:r>
      <w:r>
        <w:rPr>
          <w:vertAlign w:val="superscript"/>
        </w:rPr>
        <w:footnoteReference w:id="96"/>
      </w:r>
    </w:p>
    <w:p w14:paraId="25431497" w14:textId="77777777" w:rsidR="005D0340" w:rsidRPr="00AD2F44" w:rsidRDefault="00F42107">
      <w:pPr>
        <w:pStyle w:val="10ATextWithIndent"/>
        <w:rPr>
          <w:vertAlign w:val="superscript"/>
        </w:rPr>
      </w:pPr>
      <w:r w:rsidRPr="00AD2F44">
        <w:t>Accordingly, courts employing the two-step approach generally do not review whether the named plaintiffs meet the requirements of Rule 23.</w:t>
      </w:r>
      <w:r>
        <w:rPr>
          <w:vertAlign w:val="superscript"/>
        </w:rPr>
        <w:footnoteReference w:id="97"/>
      </w:r>
      <w:r w:rsidRPr="00AD2F44">
        <w:t xml:space="preserve"> There have been a few cases, however, </w:t>
      </w:r>
      <w:r w:rsidRPr="00AD2F44">
        <w:lastRenderedPageBreak/>
        <w:t>that have imported aspects of the Rule 23 standard to decide the certification question under Section 216(b).</w:t>
      </w:r>
      <w:r>
        <w:rPr>
          <w:vertAlign w:val="superscript"/>
        </w:rPr>
        <w:footnoteReference w:id="98"/>
      </w:r>
    </w:p>
    <w:p w14:paraId="1979A9DE" w14:textId="77777777" w:rsidR="005D0340" w:rsidRPr="00AD2F44" w:rsidRDefault="00F42107">
      <w:pPr>
        <w:pStyle w:val="10ATextWithIndent"/>
      </w:pPr>
      <w:r w:rsidRPr="00AD2F44">
        <w:t>Determinations regarding collective conditional certification are typically made based on detailed allegations in a complaint supported by sworn statements,</w:t>
      </w:r>
      <w:r>
        <w:rPr>
          <w:vertAlign w:val="superscript"/>
        </w:rPr>
        <w:footnoteReference w:id="99"/>
      </w:r>
      <w:r w:rsidRPr="00AD2F44">
        <w:t xml:space="preserve"> but some courts require </w:t>
      </w:r>
      <w:r w:rsidRPr="00AD2F44">
        <w:lastRenderedPageBreak/>
        <w:t>nothing more than sufficient allegations in the complaint.</w:t>
      </w:r>
      <w:r>
        <w:rPr>
          <w:vertAlign w:val="superscript"/>
        </w:rPr>
        <w:footnoteReference w:id="100"/>
      </w:r>
      <w:r w:rsidRPr="00AD2F44">
        <w:t xml:space="preserve"> Some courts will permit affidavits filed in support of a motion for conditional certification that contain hearsay statements;</w:t>
      </w:r>
      <w:r>
        <w:rPr>
          <w:vertAlign w:val="superscript"/>
        </w:rPr>
        <w:footnoteReference w:id="101"/>
      </w:r>
      <w:r w:rsidRPr="00AD2F44">
        <w:t xml:space="preserve"> </w:t>
      </w:r>
      <w:r w:rsidRPr="00AD2F44">
        <w:lastRenderedPageBreak/>
        <w:t>however, some courts will strike any hearsay statement or other statements in supporting affidavits that are not based on personal knowledge.</w:t>
      </w:r>
      <w:r>
        <w:rPr>
          <w:vertAlign w:val="superscript"/>
        </w:rPr>
        <w:footnoteReference w:id="102"/>
      </w:r>
      <w:r w:rsidRPr="00AD2F44">
        <w:t xml:space="preserve"> Courts have indicated that rebuttal evidence submitted by the defendant will not bar Section 216(b) notice if the plaintiffs’ “substantial allegations” successfully engage the employer’s affidavits to the contrary.</w:t>
      </w:r>
      <w:r>
        <w:rPr>
          <w:vertAlign w:val="superscript"/>
        </w:rPr>
        <w:footnoteReference w:id="103"/>
      </w:r>
      <w:r w:rsidRPr="00AD2F44">
        <w:t xml:space="preserve"> The </w:t>
      </w:r>
      <w:r w:rsidRPr="00AD2F44">
        <w:lastRenderedPageBreak/>
        <w:t>inclusion of individual claims for the named plaintiffs does not necessarily render the named plaintiffs not similarly situated to opt-in plaintiffs as long as the named plaintiffs pursue the collective claims as well.</w:t>
      </w:r>
      <w:r>
        <w:rPr>
          <w:vertAlign w:val="superscript"/>
        </w:rPr>
        <w:footnoteReference w:id="104"/>
      </w:r>
      <w:r w:rsidRPr="00AD2F44">
        <w:t xml:space="preserve"> </w:t>
      </w:r>
    </w:p>
    <w:p w14:paraId="6B766849" w14:textId="77777777" w:rsidR="005D0340" w:rsidRPr="00AD2F44" w:rsidRDefault="00F42107">
      <w:pPr>
        <w:pStyle w:val="06Third-LevelHead123"/>
      </w:pPr>
      <w:r w:rsidRPr="00AD2F44">
        <w:t>2.</w:t>
      </w:r>
      <w:r w:rsidRPr="00AD2F44">
        <w:tab/>
        <w:t xml:space="preserve">The “Intermediate” or “Heightened” Standard for Conditional Certification Where Discovery Has Occurred </w:t>
      </w:r>
    </w:p>
    <w:p w14:paraId="388BB307" w14:textId="30948B86" w:rsidR="005D0340" w:rsidRPr="00AD2F44" w:rsidRDefault="00F42107">
      <w:pPr>
        <w:pStyle w:val="10ATextWithIndent"/>
        <w:rPr>
          <w:vertAlign w:val="superscript"/>
        </w:rPr>
      </w:pPr>
      <w:r w:rsidRPr="00AD2F44">
        <w:t>In some cases, the amount of discovery conducted before filing a motion for conditional certification may affect the standard that the court will apply to resolve the motion.</w:t>
      </w:r>
      <w:r>
        <w:rPr>
          <w:vertAlign w:val="superscript"/>
        </w:rPr>
        <w:footnoteReference w:id="105"/>
      </w:r>
      <w:r w:rsidRPr="00AD2F44">
        <w:t xml:space="preserve"> Some courts will employ a heightened level of scrutiny when some discovery has been conducted.</w:t>
      </w:r>
      <w:r>
        <w:rPr>
          <w:vertAlign w:val="superscript"/>
        </w:rPr>
        <w:footnoteReference w:id="106"/>
      </w:r>
      <w:r w:rsidRPr="00AD2F44">
        <w:t xml:space="preserve"> </w:t>
      </w:r>
      <w:r w:rsidRPr="00AD2F44">
        <w:lastRenderedPageBreak/>
        <w:t>Many courts however, have rejected arguments for a more stringent standard when discovery has been conducted before filing the motion for collective action certification, reasoning that discovery is not yet completed, that potential opt-in plaintiffs deserve notice of the suit before a final evaluation of “similarly situated” status is made, or that no decision can be made without considering which employees have chosen to opt in.</w:t>
      </w:r>
      <w:r>
        <w:rPr>
          <w:vertAlign w:val="superscript"/>
        </w:rPr>
        <w:footnoteReference w:id="107"/>
      </w:r>
    </w:p>
    <w:p w14:paraId="625FECC8" w14:textId="746183B7" w:rsidR="005D0340" w:rsidRPr="00AD2F44" w:rsidRDefault="00F42107">
      <w:pPr>
        <w:pStyle w:val="06Third-LevelHead123"/>
      </w:pPr>
      <w:r w:rsidRPr="00AD2F44">
        <w:lastRenderedPageBreak/>
        <w:t>3.</w:t>
      </w:r>
      <w:r w:rsidRPr="00AD2F44">
        <w:tab/>
        <w:t>Scope of Discovery Prior to Conditional Certification</w:t>
      </w:r>
    </w:p>
    <w:p w14:paraId="150B9B50" w14:textId="77777777" w:rsidR="005D0340" w:rsidRPr="00AD2F44" w:rsidRDefault="00F42107">
      <w:pPr>
        <w:pStyle w:val="10ATextWithIndent"/>
        <w:rPr>
          <w:spacing w:val="1"/>
        </w:rPr>
      </w:pPr>
      <w:r w:rsidRPr="00AD2F44">
        <w:t>Given the low evidentiary standard at the notice stage, and given that delay in ruling on conditional certification has statute of limitations consequences for potential opt-ins, a court may decide the conditional certification question before discovery is conducted.</w:t>
      </w:r>
      <w:r>
        <w:rPr>
          <w:vertAlign w:val="superscript"/>
        </w:rPr>
        <w:footnoteReference w:id="108"/>
      </w:r>
      <w:r w:rsidRPr="00AD2F44">
        <w:t xml:space="preserve"> Courts often deny </w:t>
      </w:r>
      <w:r w:rsidRPr="00AD2F44">
        <w:lastRenderedPageBreak/>
        <w:t>defendants’ precertification requests to take discovery related to conditional certification by explicitly denying such requests or simply by granting certification and notice without ruling on such requests.</w:t>
      </w:r>
      <w:r>
        <w:rPr>
          <w:rStyle w:val="FootnoteReference"/>
        </w:rPr>
        <w:footnoteReference w:id="109"/>
      </w:r>
      <w:r w:rsidRPr="00AD2F44">
        <w:t xml:space="preserve"> Some courts have permitted some discovery before ruling on certification and notice, but usually when it is the plaintiff seeking discovery to assist in moving for conditional certification and notice.</w:t>
      </w:r>
    </w:p>
    <w:p w14:paraId="7951F9B1" w14:textId="77777777" w:rsidR="005D0340" w:rsidRPr="00AD2F44" w:rsidRDefault="00F42107">
      <w:pPr>
        <w:pStyle w:val="07Fourth-LevelHeadabc"/>
      </w:pPr>
      <w:r w:rsidRPr="00AD2F44">
        <w:t>a.</w:t>
      </w:r>
      <w:r w:rsidRPr="00AD2F44">
        <w:tab/>
        <w:t>Cases Denying Discovery</w:t>
      </w:r>
    </w:p>
    <w:p w14:paraId="58E4ECE4" w14:textId="77777777" w:rsidR="005D0340" w:rsidRPr="00AD2F44" w:rsidRDefault="00F42107">
      <w:pPr>
        <w:pStyle w:val="08Fifth-LevelHeadi"/>
      </w:pPr>
      <w:r w:rsidRPr="00AD2F44">
        <w:t>(i.)</w:t>
      </w:r>
      <w:r w:rsidRPr="00AD2F44">
        <w:tab/>
        <w:t>Cases Explicitly Denying Discovery</w:t>
      </w:r>
    </w:p>
    <w:p w14:paraId="6160CEC0" w14:textId="77777777" w:rsidR="005D0340" w:rsidRPr="00AD2F44" w:rsidRDefault="00F42107">
      <w:pPr>
        <w:pStyle w:val="10ATextWithIndent"/>
      </w:pPr>
      <w:r w:rsidRPr="00AD2F44">
        <w:t>Courts that deny defendants discovery prior to conditional certification generally do so on the grounds that it is inconsistent with the two-step process for certification of collective actions, as it inevitably leads defendants to argue for applying the second-stage standard, or because it would cause unacceptable delay, given that the statute of limitations would continue to run until a decision is made.</w:t>
      </w:r>
    </w:p>
    <w:p w14:paraId="59E8997A" w14:textId="77777777" w:rsidR="005D0340" w:rsidRPr="00AD2F44" w:rsidRDefault="00F42107">
      <w:pPr>
        <w:pStyle w:val="10ATextWithIndent"/>
      </w:pPr>
      <w:r w:rsidRPr="00AD2F44">
        <w:t xml:space="preserve">For example, in </w:t>
      </w:r>
      <w:r w:rsidRPr="00AD2F44">
        <w:rPr>
          <w:i/>
          <w:iCs/>
        </w:rPr>
        <w:t>Anderson v. Perdue Farms</w:t>
      </w:r>
      <w:r w:rsidRPr="00AD2F44">
        <w:t>,</w:t>
      </w:r>
      <w:r>
        <w:rPr>
          <w:vertAlign w:val="superscript"/>
        </w:rPr>
        <w:footnoteReference w:id="110"/>
      </w:r>
      <w:r w:rsidRPr="00AD2F44">
        <w:t xml:space="preserve"> the court granted the plaintiffs’ motion to quash notices of deposition and stay discovery that the defendant sought to respond to the plaintiffs’ motion for notice. The court noted that if it permitted discovery, or if extensive discovery had been completed at the time the plaintiffs filed their motion, then the court should apply a more rigorous standard for certification.</w:t>
      </w:r>
      <w:r>
        <w:rPr>
          <w:vertAlign w:val="superscript"/>
        </w:rPr>
        <w:footnoteReference w:id="111"/>
      </w:r>
      <w:r w:rsidRPr="00AD2F44">
        <w:t xml:space="preserve"> The court noted that “allowing discovery at this stage would effectively move the process to the second stage of the [ ] two-tiered approach” </w:t>
      </w:r>
      <w:r w:rsidRPr="00AD2F44">
        <w:lastRenderedPageBreak/>
        <w:t>and that to be consistent with the approach suggested it would deny discovery.</w:t>
      </w:r>
      <w:r>
        <w:rPr>
          <w:vertAlign w:val="superscript"/>
        </w:rPr>
        <w:footnoteReference w:id="112"/>
      </w:r>
      <w:r w:rsidRPr="00AD2F44">
        <w:t xml:space="preserve"> The defendant was thus limited to submitting affidavits or other evidence in its possession to oppose notice.</w:t>
      </w:r>
      <w:r>
        <w:rPr>
          <w:vertAlign w:val="superscript"/>
        </w:rPr>
        <w:footnoteReference w:id="113"/>
      </w:r>
      <w:r w:rsidRPr="00AD2F44">
        <w:t xml:space="preserve"> </w:t>
      </w:r>
    </w:p>
    <w:p w14:paraId="4B54D594" w14:textId="77777777" w:rsidR="005D0340" w:rsidRPr="00AD2F44" w:rsidRDefault="00F42107">
      <w:pPr>
        <w:pStyle w:val="10ATextWithIndent"/>
        <w:rPr>
          <w:vertAlign w:val="superscript"/>
        </w:rPr>
      </w:pPr>
      <w:r w:rsidRPr="00AD2F44">
        <w:t>Some courts denying precertification discovery have focused on the lack of prejudice to defendants due to the fact that certification is conditional and can be revisited after full discovery is complete.</w:t>
      </w:r>
      <w:r>
        <w:rPr>
          <w:vertAlign w:val="superscript"/>
        </w:rPr>
        <w:footnoteReference w:id="114"/>
      </w:r>
      <w:r w:rsidRPr="00AD2F44">
        <w:t xml:space="preserve"> Other courts have focused more on the need for early notice due to the running of the statute of limitations.</w:t>
      </w:r>
      <w:r>
        <w:rPr>
          <w:vertAlign w:val="superscript"/>
        </w:rPr>
        <w:footnoteReference w:id="115"/>
      </w:r>
    </w:p>
    <w:p w14:paraId="10927D10" w14:textId="77777777" w:rsidR="005D0340" w:rsidRPr="00AD2F44" w:rsidRDefault="00F42107">
      <w:pPr>
        <w:pStyle w:val="08Fifth-LevelHeadi"/>
      </w:pPr>
      <w:r w:rsidRPr="00AD2F44">
        <w:t>(ii.)</w:t>
      </w:r>
      <w:r w:rsidRPr="00AD2F44">
        <w:tab/>
        <w:t xml:space="preserve">Cases Granting Notice and Noting No Need to Await Discovery </w:t>
      </w:r>
    </w:p>
    <w:p w14:paraId="5ED490AC" w14:textId="77777777" w:rsidR="005D0340" w:rsidRPr="00AD2F44" w:rsidRDefault="00F42107">
      <w:pPr>
        <w:pStyle w:val="10ATextWithIndent"/>
        <w:rPr>
          <w:vertAlign w:val="superscript"/>
        </w:rPr>
      </w:pPr>
      <w:r w:rsidRPr="00AD2F44">
        <w:t>When faced with a request to deny pre-notice discovery, many courts have ruled on the conditional certification motion, instead of explicitly denying such requests, while also noting that discovery has not taken place yet or that it is unnecessary or even inappropriate to permit more discovery prior to ruling on the motion.</w:t>
      </w:r>
      <w:r>
        <w:rPr>
          <w:vertAlign w:val="superscript"/>
        </w:rPr>
        <w:footnoteReference w:id="116"/>
      </w:r>
    </w:p>
    <w:p w14:paraId="1BBF09BA" w14:textId="77777777" w:rsidR="005D0340" w:rsidRPr="00AD2F44" w:rsidRDefault="00F42107">
      <w:pPr>
        <w:pStyle w:val="07Fourth-LevelHeadabc"/>
      </w:pPr>
      <w:r w:rsidRPr="00AD2F44">
        <w:lastRenderedPageBreak/>
        <w:t>b.</w:t>
      </w:r>
      <w:r w:rsidRPr="00AD2F44">
        <w:tab/>
        <w:t>Cases Granting Discovery</w:t>
      </w:r>
    </w:p>
    <w:p w14:paraId="0AE4E5FC" w14:textId="35D761BC" w:rsidR="005D0340" w:rsidRPr="001934B1" w:rsidRDefault="00F42107">
      <w:pPr>
        <w:pStyle w:val="10ATextWithIndent"/>
        <w:rPr>
          <w:vertAlign w:val="superscript"/>
        </w:rPr>
      </w:pPr>
      <w:r w:rsidRPr="00AD2F44">
        <w:t>Most of the cases in which discovery has been granted prior to a ruling on notice are cases in which plaintiffs have sought discovery they believed necessary to presenting their motion for conditional certification. Courts that permit such discovery have generally described pre-notice discovery as “limited.”</w:t>
      </w:r>
      <w:r>
        <w:rPr>
          <w:vertAlign w:val="superscript"/>
        </w:rPr>
        <w:footnoteReference w:id="117"/>
      </w:r>
      <w:r w:rsidRPr="00AD2F44">
        <w:t xml:space="preserve"> Specifically, courts have permitted discovery of such </w:t>
      </w:r>
      <w:r w:rsidRPr="00AD2F44">
        <w:lastRenderedPageBreak/>
        <w:t xml:space="preserve">matters as prior litigation or administrative investigations of defendants’ wage and hour practices, job descriptions, and similar information that would assist plaintiffs in defining the proposed class and demonstrating that named plaintiffs are similarly situated to the proposed </w:t>
      </w:r>
      <w:r w:rsidRPr="00AD2F44">
        <w:lastRenderedPageBreak/>
        <w:t>class.</w:t>
      </w:r>
      <w:r>
        <w:rPr>
          <w:vertAlign w:val="superscript"/>
        </w:rPr>
        <w:footnoteReference w:id="118"/>
      </w:r>
      <w:r w:rsidR="001934B1">
        <w:t xml:space="preserve"> Some district courts in the Fifth Circuit, post-</w:t>
      </w:r>
      <w:r w:rsidR="001934B1">
        <w:rPr>
          <w:i/>
          <w:iCs/>
        </w:rPr>
        <w:t>Swales</w:t>
      </w:r>
      <w:r w:rsidR="001934B1">
        <w:t>, have permitted limited discovery on the issue of whether collective action members are similarly situated.</w:t>
      </w:r>
      <w:r>
        <w:rPr>
          <w:rStyle w:val="FootnoteReference"/>
        </w:rPr>
        <w:footnoteReference w:id="119"/>
      </w:r>
    </w:p>
    <w:p w14:paraId="0A57BDFB" w14:textId="77777777" w:rsidR="005D0340" w:rsidRPr="00AD2F44" w:rsidRDefault="00F42107">
      <w:pPr>
        <w:pStyle w:val="07Fourth-LevelHeadabc"/>
        <w:ind w:left="1440" w:hanging="720"/>
      </w:pPr>
      <w:r w:rsidRPr="00AD2F44">
        <w:lastRenderedPageBreak/>
        <w:t>c.</w:t>
      </w:r>
      <w:r w:rsidRPr="00AD2F44">
        <w:tab/>
        <w:t>Cases Addressing Whether Discovery of Names and Addresses of Potential Opt-In Plaintiffs Is Appropriate in Advance of Conditional Certification</w:t>
      </w:r>
    </w:p>
    <w:p w14:paraId="631FF9F5" w14:textId="77777777" w:rsidR="005D0340" w:rsidRPr="00AD2F44" w:rsidRDefault="00F42107">
      <w:pPr>
        <w:pStyle w:val="10ATextWithIndent"/>
        <w:rPr>
          <w:vertAlign w:val="superscript"/>
        </w:rPr>
      </w:pPr>
      <w:r w:rsidRPr="00AD2F44">
        <w:t>Courts granting motions to compel the production of names and addresses of class members prior to conditional certification have reasoned that the production of this information is appropriate to assist the plaintiffs in supporting their claims of classwide FLSA violations and to identify individuals who may wish to opt in to the action.</w:t>
      </w:r>
      <w:r>
        <w:rPr>
          <w:vertAlign w:val="superscript"/>
        </w:rPr>
        <w:footnoteReference w:id="120"/>
      </w:r>
    </w:p>
    <w:p w14:paraId="5CC5198C" w14:textId="77777777" w:rsidR="005D0340" w:rsidRPr="00AD2F44" w:rsidRDefault="00F42107">
      <w:pPr>
        <w:pStyle w:val="10ATextWithIndent"/>
        <w:rPr>
          <w:vertAlign w:val="superscript"/>
        </w:rPr>
      </w:pPr>
      <w:r w:rsidRPr="00AD2F44">
        <w:lastRenderedPageBreak/>
        <w:t>On the other hand, courts that have denied such pre-notice requests for names and contact information for potential opt-in plaintiffs have done so reasoning that such requests are premature prior to a determination of whether notice should be approved to the putative class.</w:t>
      </w:r>
      <w:r>
        <w:rPr>
          <w:vertAlign w:val="superscript"/>
        </w:rPr>
        <w:footnoteReference w:id="121"/>
      </w:r>
      <w:r w:rsidRPr="00AD2F44">
        <w:t xml:space="preserve"> </w:t>
      </w:r>
      <w:r w:rsidRPr="00AD2F44">
        <w:lastRenderedPageBreak/>
        <w:t>Some courts have allowed discovery of the names and contact information of putative class members, but limited discovery to those who worked in the same location as the named plaintiffs, and denied discovery as to other putative class members.</w:t>
      </w:r>
      <w:r>
        <w:rPr>
          <w:vertAlign w:val="superscript"/>
        </w:rPr>
        <w:footnoteReference w:id="122"/>
      </w:r>
      <w:r w:rsidRPr="00AD2F44">
        <w:t xml:space="preserve"> A court also has denied discovery of names and addresses of putative class members where the lead plaintiff has accepted a Rule 68 offer of judgment, which mooted the lead plaintiff’s claim.</w:t>
      </w:r>
      <w:r>
        <w:rPr>
          <w:vertAlign w:val="superscript"/>
        </w:rPr>
        <w:footnoteReference w:id="123"/>
      </w:r>
    </w:p>
    <w:p w14:paraId="1071FF22" w14:textId="77777777" w:rsidR="005D0340" w:rsidRPr="00AD2F44" w:rsidRDefault="00F42107">
      <w:pPr>
        <w:pStyle w:val="06Third-LevelHead123"/>
      </w:pPr>
      <w:r w:rsidRPr="00AD2F44">
        <w:t>4.</w:t>
      </w:r>
      <w:r w:rsidRPr="00AD2F44">
        <w:tab/>
        <w:t>Issues Courts Have Considered in Determining Whether to Grant Conditional Certification</w:t>
      </w:r>
    </w:p>
    <w:p w14:paraId="005564B7" w14:textId="77777777" w:rsidR="005D0340" w:rsidRPr="00AD2F44" w:rsidRDefault="00F42107">
      <w:pPr>
        <w:pStyle w:val="10ATextWithIndent"/>
      </w:pPr>
      <w:r w:rsidRPr="00AD2F44">
        <w:t>Under Section 216(b), courts will grant conditional certification if the plaintiffs establish that they are similarly situated to the potential opt-in plaintiffs. In making this determination, courts review such factors as geographical scope, variance in job duties, individualized allegations or defenses, interest in joining the action, similar practices or policies, whether dispositive issues should be resolved first, the time period of employment, and whether multiple employers are involved. However, the relevance of such factors to the conditional certification of a particular class is determined on a case-by-case basis.</w:t>
      </w:r>
    </w:p>
    <w:p w14:paraId="67057E25" w14:textId="77777777" w:rsidR="005D0340" w:rsidRPr="00AD2F44" w:rsidRDefault="00F42107">
      <w:pPr>
        <w:pStyle w:val="07Fourth-LevelHeadabc"/>
      </w:pPr>
      <w:r w:rsidRPr="00AD2F44">
        <w:lastRenderedPageBreak/>
        <w:t>a.</w:t>
      </w:r>
      <w:r w:rsidRPr="00AD2F44">
        <w:tab/>
        <w:t>Geographical Scope</w:t>
      </w:r>
    </w:p>
    <w:p w14:paraId="58C53E16" w14:textId="77777777" w:rsidR="005D0340" w:rsidRPr="00AD2F44" w:rsidRDefault="00F42107">
      <w:pPr>
        <w:pStyle w:val="10ATextWithIndent"/>
      </w:pPr>
      <w:r w:rsidRPr="00AD2F44">
        <w:t>Courts have readily certified classes covering broad geographic areas when the plaintiffs have presented sufficient evidence of similar alleged violations of the FLSA.</w:t>
      </w:r>
      <w:r>
        <w:rPr>
          <w:vertAlign w:val="superscript"/>
        </w:rPr>
        <w:footnoteReference w:id="124"/>
      </w:r>
      <w:r w:rsidRPr="00AD2F44">
        <w:t xml:space="preserve"> For example, in </w:t>
      </w:r>
      <w:r w:rsidRPr="00AD2F44">
        <w:rPr>
          <w:i/>
          <w:iCs/>
        </w:rPr>
        <w:lastRenderedPageBreak/>
        <w:t>Harrison v. Enterprise Rent-A-Car Co</w:t>
      </w:r>
      <w:r w:rsidRPr="00AD2F44">
        <w:t>.,</w:t>
      </w:r>
      <w:r>
        <w:rPr>
          <w:vertAlign w:val="superscript"/>
        </w:rPr>
        <w:footnoteReference w:id="125"/>
      </w:r>
      <w:r w:rsidRPr="00AD2F44">
        <w:t xml:space="preserve"> the court authorized nationwide notice to all “management assistants” based on declarations from eight named plaintiffs and 58 opt-in plaintiffs employed in 13 states as management assistants that they performed similar job duties and were classified as exempt under the FLSA and not paid overtime compensation. Similarly, in </w:t>
      </w:r>
      <w:r w:rsidRPr="00AD2F44">
        <w:rPr>
          <w:i/>
          <w:iCs/>
        </w:rPr>
        <w:t>Loy v. Rehab Synergies, LLC</w:t>
      </w:r>
      <w:r w:rsidRPr="00AD2F44">
        <w:t>,</w:t>
      </w:r>
      <w:r>
        <w:rPr>
          <w:vertAlign w:val="superscript"/>
        </w:rPr>
        <w:footnoteReference w:id="126"/>
      </w:r>
      <w:r w:rsidRPr="00AD2F44">
        <w:t xml:space="preserve"> the district court granted conditional certification companywide based on evidence from two of the defendant’s 44 locations showing a uniform policy requiring off-the-clock work companywide.</w:t>
      </w:r>
    </w:p>
    <w:p w14:paraId="21EBC8C1" w14:textId="77777777" w:rsidR="005D0340" w:rsidRPr="00AD2F44" w:rsidRDefault="00F42107">
      <w:pPr>
        <w:pStyle w:val="10ATextWithIndent"/>
      </w:pPr>
      <w:r w:rsidRPr="00AD2F44">
        <w:t>However, courts have limited the geographic scope of the notice in cases where the plaintiffs have failed to allege or provide sufficient supporting affidavits or other evidence of similar violations outside of the geographic location in which the plaintiffs were employed.</w:t>
      </w:r>
      <w:r>
        <w:rPr>
          <w:vertAlign w:val="superscript"/>
        </w:rPr>
        <w:footnoteReference w:id="127"/>
      </w:r>
      <w:r w:rsidRPr="00AD2F44">
        <w:t xml:space="preserve"> </w:t>
      </w:r>
      <w:r w:rsidRPr="00AD2F44">
        <w:lastRenderedPageBreak/>
        <w:t xml:space="preserve">For example, in </w:t>
      </w:r>
      <w:r w:rsidRPr="00AD2F44">
        <w:rPr>
          <w:i/>
          <w:iCs/>
        </w:rPr>
        <w:t>Gonzales v. Hair Club for Men, Ltd., Inc</w:t>
      </w:r>
      <w:r w:rsidRPr="00AD2F44">
        <w:t>.,</w:t>
      </w:r>
      <w:r>
        <w:rPr>
          <w:vertAlign w:val="superscript"/>
        </w:rPr>
        <w:footnoteReference w:id="128"/>
      </w:r>
      <w:r w:rsidRPr="00AD2F44">
        <w:t xml:space="preserve"> the court denied a motion for “companywide” certification where the named plaintiff and two potential opt-in plaintiffs failed to claim any knowledge of violations outside of the one office where all three were employed and the employer had filed an affidavit indicating that hair stylists at each location were required to complete time records and were not allowed to work more than 40 hours per week without prior management approval.</w:t>
      </w:r>
      <w:r>
        <w:rPr>
          <w:vertAlign w:val="superscript"/>
        </w:rPr>
        <w:footnoteReference w:id="129"/>
      </w:r>
      <w:r w:rsidRPr="00AD2F44">
        <w:t xml:space="preserve"> </w:t>
      </w:r>
    </w:p>
    <w:p w14:paraId="6D816A21" w14:textId="77777777" w:rsidR="005D0340" w:rsidRPr="00AD2F44" w:rsidRDefault="00F42107">
      <w:pPr>
        <w:pStyle w:val="07Fourth-LevelHeadabc"/>
      </w:pPr>
      <w:r w:rsidRPr="00AD2F44">
        <w:t>b.</w:t>
      </w:r>
      <w:r w:rsidRPr="00AD2F44">
        <w:tab/>
        <w:t>Variance in Job Duties</w:t>
      </w:r>
    </w:p>
    <w:p w14:paraId="18D161E9" w14:textId="77777777" w:rsidR="005D0340" w:rsidRPr="00AD2F44" w:rsidRDefault="00F42107">
      <w:pPr>
        <w:pStyle w:val="10ATextWithIndent"/>
        <w:rPr>
          <w:vertAlign w:val="superscript"/>
        </w:rPr>
      </w:pPr>
      <w:r w:rsidRPr="00AD2F44">
        <w:t>Courts generally require that the plaintiffs and potential opt-in plaintiffs have similar job duties or evidence that they are affected by the defendant’s conduct in a similar manner.</w:t>
      </w:r>
      <w:r>
        <w:rPr>
          <w:vertAlign w:val="superscript"/>
        </w:rPr>
        <w:footnoteReference w:id="130"/>
      </w:r>
      <w:r w:rsidRPr="00AD2F44">
        <w:t xml:space="preserve"> In </w:t>
      </w:r>
      <w:r w:rsidRPr="00AD2F44">
        <w:rPr>
          <w:i/>
          <w:iCs/>
        </w:rPr>
        <w:lastRenderedPageBreak/>
        <w:t>Reed v. Mobile County School System</w:t>
      </w:r>
      <w:r w:rsidRPr="00AD2F44">
        <w:t>,</w:t>
      </w:r>
      <w:r>
        <w:rPr>
          <w:vertAlign w:val="superscript"/>
        </w:rPr>
        <w:footnoteReference w:id="131"/>
      </w:r>
      <w:r w:rsidRPr="00AD2F44">
        <w:t xml:space="preserve"> the court explained that “different jobs generally carry different responsibilities and often require different hours of employment, undermining the similarity between the employees.”</w:t>
      </w:r>
      <w:r>
        <w:rPr>
          <w:vertAlign w:val="superscript"/>
        </w:rPr>
        <w:footnoteReference w:id="132"/>
      </w:r>
      <w:r w:rsidRPr="00AD2F44">
        <w:t xml:space="preserve"> However, there is no requirement that the job duties be </w:t>
      </w:r>
      <w:r w:rsidRPr="00AD2F44">
        <w:lastRenderedPageBreak/>
        <w:t>identical.</w:t>
      </w:r>
      <w:r>
        <w:rPr>
          <w:vertAlign w:val="superscript"/>
        </w:rPr>
        <w:footnoteReference w:id="133"/>
      </w:r>
      <w:r w:rsidRPr="00AD2F44">
        <w:t xml:space="preserve"> For example, in </w:t>
      </w:r>
      <w:r w:rsidRPr="00AD2F44">
        <w:rPr>
          <w:i/>
          <w:iCs/>
        </w:rPr>
        <w:t>Harrison v. Enterprise Rent-A-Car Co</w:t>
      </w:r>
      <w:r w:rsidRPr="00AD2F44">
        <w:t>.,</w:t>
      </w:r>
      <w:r>
        <w:rPr>
          <w:vertAlign w:val="superscript"/>
        </w:rPr>
        <w:footnoteReference w:id="134"/>
      </w:r>
      <w:r w:rsidRPr="00AD2F44">
        <w:t xml:space="preserve"> the court rejected the employer’s assertion that the duties performed by the company’s management assistants were </w:t>
      </w:r>
      <w:r w:rsidRPr="00AD2F44">
        <w:lastRenderedPageBreak/>
        <w:t>“too wide and too varied” for them to be considered “similarly situated.”</w:t>
      </w:r>
      <w:r>
        <w:rPr>
          <w:vertAlign w:val="superscript"/>
        </w:rPr>
        <w:footnoteReference w:id="135"/>
      </w:r>
      <w:r w:rsidRPr="00AD2F44">
        <w:t xml:space="preserve"> The court indicated that, although a more rigorous analysis might result in decertification after discovery, allegations of similar job duties were sufficient at the notice stage.</w:t>
      </w:r>
      <w:r>
        <w:rPr>
          <w:vertAlign w:val="superscript"/>
        </w:rPr>
        <w:footnoteReference w:id="136"/>
      </w:r>
    </w:p>
    <w:p w14:paraId="33A5ED1B" w14:textId="77777777" w:rsidR="005D0340" w:rsidRPr="00AD2F44" w:rsidRDefault="00F42107">
      <w:pPr>
        <w:pStyle w:val="10ATextWithIndent"/>
        <w:rPr>
          <w:vertAlign w:val="superscript"/>
        </w:rPr>
      </w:pPr>
      <w:r w:rsidRPr="00AD2F44">
        <w:t>Courts have conditionally certified classes containing employees who performed varying job duties in cases where the plaintiff is able to demonstrate the similarly situated requirement by establishing that employees holding multiple job titles were treated in a uniform manner.</w:t>
      </w:r>
      <w:r>
        <w:rPr>
          <w:vertAlign w:val="superscript"/>
        </w:rPr>
        <w:footnoteReference w:id="137"/>
      </w:r>
      <w:r w:rsidRPr="00AD2F44">
        <w:t xml:space="preserve"> For </w:t>
      </w:r>
      <w:r w:rsidRPr="00AD2F44">
        <w:lastRenderedPageBreak/>
        <w:t xml:space="preserve">example, in </w:t>
      </w:r>
      <w:r w:rsidRPr="00AD2F44">
        <w:rPr>
          <w:i/>
          <w:iCs/>
        </w:rPr>
        <w:t>Harper v. Lovett’s Buffet, Inc</w:t>
      </w:r>
      <w:r w:rsidRPr="00AD2F44">
        <w:t>.,</w:t>
      </w:r>
      <w:r>
        <w:rPr>
          <w:vertAlign w:val="superscript"/>
        </w:rPr>
        <w:footnoteReference w:id="138"/>
      </w:r>
      <w:r w:rsidRPr="00AD2F44">
        <w:t xml:space="preserve"> the court found that all “hourly wage employees” in the defendant’s restaurant were similarly situated based on evidence that the hourly employees </w:t>
      </w:r>
      <w:r w:rsidRPr="00AD2F44">
        <w:lastRenderedPageBreak/>
        <w:t>were subjected to “management’s practice of clocking them out while they were, presumably, still working.”</w:t>
      </w:r>
      <w:r>
        <w:rPr>
          <w:vertAlign w:val="superscript"/>
        </w:rPr>
        <w:footnoteReference w:id="139"/>
      </w:r>
    </w:p>
    <w:p w14:paraId="7F85E6E4" w14:textId="77777777" w:rsidR="005D0340" w:rsidRPr="00AD2F44" w:rsidRDefault="00F42107">
      <w:pPr>
        <w:pStyle w:val="10ATextWithIndent"/>
        <w:rPr>
          <w:vertAlign w:val="superscript"/>
        </w:rPr>
      </w:pPr>
      <w:r w:rsidRPr="00AD2F44">
        <w:t>Courts have refused to extend certification to job classifications not held by the named plaintiffs where the plaintiffs’ evidence failed to establish that the policy at issue affected individuals in the excluded job classification in a similar manner.</w:t>
      </w:r>
      <w:r>
        <w:rPr>
          <w:vertAlign w:val="superscript"/>
        </w:rPr>
        <w:footnoteReference w:id="140"/>
      </w:r>
      <w:r w:rsidRPr="00AD2F44">
        <w:t xml:space="preserve"> For example, in </w:t>
      </w:r>
      <w:r w:rsidRPr="00AD2F44">
        <w:rPr>
          <w:i/>
          <w:iCs/>
        </w:rPr>
        <w:t xml:space="preserve">Sherrill v. </w:t>
      </w:r>
      <w:r w:rsidRPr="00AD2F44">
        <w:rPr>
          <w:i/>
          <w:iCs/>
        </w:rPr>
        <w:lastRenderedPageBreak/>
        <w:t>Sutherland Global Services</w:t>
      </w:r>
      <w:r w:rsidRPr="00AD2F44">
        <w:t>,</w:t>
      </w:r>
      <w:r>
        <w:rPr>
          <w:vertAlign w:val="superscript"/>
        </w:rPr>
        <w:footnoteReference w:id="141"/>
      </w:r>
      <w:r w:rsidRPr="00AD2F44">
        <w:t xml:space="preserve"> a district court refused to extend conditional certification to “all hourly employees” based on the plaintiffs’ showing that the same timekeeping system was used for all hourly employees.</w:t>
      </w:r>
      <w:r>
        <w:rPr>
          <w:vertAlign w:val="superscript"/>
        </w:rPr>
        <w:footnoteReference w:id="142"/>
      </w:r>
      <w:r w:rsidRPr="00AD2F44">
        <w:t xml:space="preserve"> The plaintiffs had provided evidence that employees who performed telemarketing services allegedly were subject to a one-hour meal deduction even if the employees worked through lunch, were being denied compensation for preliminary and postliminary job duties, and were not being paid overtime compensation for commissions, but failed to establish that other hourly employees were subjected to these same policies. Courts have also refused to grant conditional certification where the plaintiffs’ job duties varied meaningfully from other employees within the same job position or the plaintiffs did not introduce evidence that others within the same job position were performing similar duties.</w:t>
      </w:r>
      <w:r>
        <w:rPr>
          <w:vertAlign w:val="superscript"/>
        </w:rPr>
        <w:footnoteReference w:id="143"/>
      </w:r>
    </w:p>
    <w:p w14:paraId="4EF7C0F9" w14:textId="77777777" w:rsidR="005D0340" w:rsidRPr="00AD2F44" w:rsidRDefault="00F42107">
      <w:pPr>
        <w:pStyle w:val="07Fourth-LevelHeadabc"/>
      </w:pPr>
      <w:r w:rsidRPr="00AD2F44">
        <w:lastRenderedPageBreak/>
        <w:t>c.</w:t>
      </w:r>
      <w:r w:rsidRPr="00AD2F44">
        <w:tab/>
        <w:t>Individualized Allegations or Defenses</w:t>
      </w:r>
    </w:p>
    <w:p w14:paraId="11B2EBF3" w14:textId="77777777" w:rsidR="005D0340" w:rsidRPr="00AD2F44" w:rsidRDefault="00F42107">
      <w:pPr>
        <w:pStyle w:val="10ATextWithIndent"/>
        <w:rPr>
          <w:vertAlign w:val="superscript"/>
        </w:rPr>
      </w:pPr>
      <w:r w:rsidRPr="00AD2F44">
        <w:t>Employers commonly argue that the employees’ claims or the employer’s defenses are too individualized for conditional certification.</w:t>
      </w:r>
      <w:r>
        <w:rPr>
          <w:vertAlign w:val="superscript"/>
        </w:rPr>
        <w:footnoteReference w:id="144"/>
      </w:r>
      <w:r w:rsidRPr="00AD2F44">
        <w:t xml:space="preserve"> Courts generally do not deny conditional certification at the notice stage based on such arguments and instead hold that these issues are better raised in a motion to decertify a class after discovery has been conducted.</w:t>
      </w:r>
      <w:r>
        <w:rPr>
          <w:vertAlign w:val="superscript"/>
        </w:rPr>
        <w:footnoteReference w:id="145"/>
      </w:r>
      <w:r w:rsidRPr="00AD2F44">
        <w:t xml:space="preserve"> However, at </w:t>
      </w:r>
      <w:r w:rsidRPr="00AD2F44">
        <w:lastRenderedPageBreak/>
        <w:t>the notice stage, courts have considered the following factors in denying conditional certification: differences in the way the plaintiffs and opt-in plaintiffs are classified for overtime purposes, the size of stores where the plaintiffs worked versus the opt-in plaintiffs, specific job duties performed by the plaintiffs versus the opt-in plaintiffs, and state laws applicable to plaintiffs versus the opt-in plaintiffs.</w:t>
      </w:r>
      <w:r>
        <w:rPr>
          <w:vertAlign w:val="superscript"/>
        </w:rPr>
        <w:footnoteReference w:id="146"/>
      </w:r>
    </w:p>
    <w:p w14:paraId="18127470" w14:textId="77777777" w:rsidR="005D0340" w:rsidRPr="00AD2F44" w:rsidRDefault="00F42107">
      <w:pPr>
        <w:pStyle w:val="07Fourth-LevelHeadabc"/>
      </w:pPr>
      <w:r w:rsidRPr="00AD2F44">
        <w:lastRenderedPageBreak/>
        <w:t>d.</w:t>
      </w:r>
      <w:r w:rsidRPr="00AD2F44">
        <w:tab/>
        <w:t>Interest in Joining the Action</w:t>
      </w:r>
    </w:p>
    <w:p w14:paraId="1709B825" w14:textId="77777777" w:rsidR="005D0340" w:rsidRPr="00AD2F44" w:rsidRDefault="00F42107">
      <w:pPr>
        <w:pStyle w:val="10ATextWithIndent"/>
        <w:rPr>
          <w:vertAlign w:val="superscript"/>
        </w:rPr>
      </w:pPr>
      <w:r w:rsidRPr="00AD2F44">
        <w:t>Some courts have required the plaintiffs to present sufficient evidence that opt-in plaintiffs desire to join the collective action.</w:t>
      </w:r>
      <w:r>
        <w:rPr>
          <w:vertAlign w:val="superscript"/>
        </w:rPr>
        <w:footnoteReference w:id="147"/>
      </w:r>
      <w:r w:rsidRPr="00AD2F44">
        <w:t xml:space="preserve"> Other courts have rejected the requirement that </w:t>
      </w:r>
      <w:r w:rsidRPr="00AD2F44">
        <w:lastRenderedPageBreak/>
        <w:t>plaintiffs demonstrate interest by potential opt-in plaintiffs in order to obtain court-facilitated notice.</w:t>
      </w:r>
      <w:r>
        <w:rPr>
          <w:vertAlign w:val="superscript"/>
        </w:rPr>
        <w:footnoteReference w:id="148"/>
      </w:r>
      <w:r w:rsidRPr="00AD2F44">
        <w:t xml:space="preserve"> Evidence of other employees who desire to opt in may be based on affidavits, consents to join the lawsuit, or expert evidence on the existence of other similarly situated employees.</w:t>
      </w:r>
      <w:r>
        <w:rPr>
          <w:vertAlign w:val="superscript"/>
        </w:rPr>
        <w:footnoteReference w:id="149"/>
      </w:r>
    </w:p>
    <w:p w14:paraId="6AEA138B" w14:textId="77777777" w:rsidR="005D0340" w:rsidRPr="00AD2F44" w:rsidRDefault="00F42107">
      <w:pPr>
        <w:pStyle w:val="10ATextWithIndent"/>
      </w:pPr>
      <w:r w:rsidRPr="00AD2F44">
        <w:lastRenderedPageBreak/>
        <w:t>Some courts have conducted a detailed analysis of whether interest by other potential opt-in plaintiffs had been established.</w:t>
      </w:r>
      <w:r>
        <w:rPr>
          <w:rStyle w:val="FootnoteReference"/>
        </w:rPr>
        <w:footnoteReference w:id="150"/>
      </w:r>
      <w:r w:rsidRPr="00AD2F44">
        <w:t xml:space="preserve"> For example, in </w:t>
      </w:r>
      <w:r w:rsidRPr="00AD2F44">
        <w:rPr>
          <w:i/>
          <w:iCs/>
        </w:rPr>
        <w:t>Rodgers v. CVS Pharmacy, Inc</w:t>
      </w:r>
      <w:r w:rsidRPr="00AD2F44">
        <w:t>.,</w:t>
      </w:r>
      <w:r>
        <w:rPr>
          <w:vertAlign w:val="superscript"/>
        </w:rPr>
        <w:footnoteReference w:id="151"/>
      </w:r>
      <w:r w:rsidRPr="00AD2F44">
        <w:t xml:space="preserve"> the court held that the named plaintiff had failed to meet the requirement of showing that other potential plaintiffs were interested in joining the case despite the plaintiff’s proof that (1) other employees had changes made to their timesheets with a manager override function in the employer’s computerized time recordkeeping system; (2) two opt-in plaintiffs from different locations filed affidavits asserting that they and other employees in their stores were the victims of similar time shaving by managers; (3) the DOL had received employee complaints unrelated to time shaving against the company; and (4) newspaper articles addressing the concept of retail stores shaving time contained a reference to one anonymous complaint against the employer unrelated to time </w:t>
      </w:r>
      <w:r w:rsidRPr="00AD2F44">
        <w:lastRenderedPageBreak/>
        <w:t>shaving. In contrast, the employer submitted 31 affidavits from employees who worked with the named plaintiff and the two opt-in plaintiffs asserting that they had never been the victim of improper timekeeping practices. The court noted that in a year-long period since the filing of the action, the plaintiff had identified only two opt-in plaintiffs out of a putative collective that contained more than 250,000 employees.</w:t>
      </w:r>
    </w:p>
    <w:p w14:paraId="30FCACDD" w14:textId="77777777" w:rsidR="005D0340" w:rsidRPr="00AD2F44" w:rsidRDefault="00F42107">
      <w:pPr>
        <w:pStyle w:val="10ATextWithIndent"/>
      </w:pPr>
      <w:r w:rsidRPr="00AD2F44">
        <w:t>Other courts have required minimal evidence to support a finding that other employees desire to join the case.</w:t>
      </w:r>
      <w:r>
        <w:rPr>
          <w:vertAlign w:val="superscript"/>
        </w:rPr>
        <w:footnoteReference w:id="152"/>
      </w:r>
      <w:r w:rsidRPr="00AD2F44">
        <w:t xml:space="preserve"> For example, in </w:t>
      </w:r>
      <w:r w:rsidRPr="00AD2F44">
        <w:rPr>
          <w:i/>
          <w:iCs/>
        </w:rPr>
        <w:t>Guerra v. Big Johnson Concrete Pumping, Inc</w:t>
      </w:r>
      <w:r w:rsidRPr="00AD2F44">
        <w:t>.,</w:t>
      </w:r>
      <w:r>
        <w:rPr>
          <w:vertAlign w:val="superscript"/>
        </w:rPr>
        <w:footnoteReference w:id="153"/>
      </w:r>
      <w:r w:rsidRPr="00AD2F44">
        <w:t xml:space="preserve"> the court indicated that the filing of at least one affidavit from an opt-in plaintiff was sufficient to “raise the plaintiff’s contention [that other plaintiffs desire to opt in to the case] beyond one of mere speculation.”</w:t>
      </w:r>
      <w:r>
        <w:rPr>
          <w:vertAlign w:val="superscript"/>
        </w:rPr>
        <w:footnoteReference w:id="154"/>
      </w:r>
    </w:p>
    <w:p w14:paraId="68806D61" w14:textId="77777777" w:rsidR="005D0340" w:rsidRPr="00AD2F44" w:rsidRDefault="00F42107">
      <w:pPr>
        <w:pStyle w:val="07Fourth-LevelHeadabc"/>
      </w:pPr>
      <w:r w:rsidRPr="00AD2F44">
        <w:t>e.</w:t>
      </w:r>
      <w:r w:rsidRPr="00AD2F44">
        <w:tab/>
        <w:t>Similar Practices or Policies</w:t>
      </w:r>
    </w:p>
    <w:p w14:paraId="21F10CF0" w14:textId="77777777" w:rsidR="005D0340" w:rsidRPr="00AD2F44" w:rsidRDefault="00F42107">
      <w:pPr>
        <w:pStyle w:val="10ATextWithIndent"/>
      </w:pPr>
      <w:r w:rsidRPr="00AD2F44">
        <w:t>Courts are likely to grant conditional certification in cases where the plaintiff establishes a single or common policy, practice, or pattern of FLSA violations.</w:t>
      </w:r>
      <w:r>
        <w:rPr>
          <w:vertAlign w:val="superscript"/>
        </w:rPr>
        <w:footnoteReference w:id="155"/>
      </w:r>
      <w:r w:rsidRPr="00AD2F44">
        <w:t xml:space="preserve"> For example, in </w:t>
      </w:r>
      <w:r w:rsidRPr="00AD2F44">
        <w:rPr>
          <w:i/>
          <w:iCs/>
        </w:rPr>
        <w:t xml:space="preserve">Carmody </w:t>
      </w:r>
      <w:r w:rsidRPr="00AD2F44">
        <w:rPr>
          <w:i/>
          <w:iCs/>
        </w:rPr>
        <w:lastRenderedPageBreak/>
        <w:t>v. Florida Center for Recovery, Inc</w:t>
      </w:r>
      <w:r w:rsidRPr="00AD2F44">
        <w:t>.,</w:t>
      </w:r>
      <w:r>
        <w:rPr>
          <w:vertAlign w:val="superscript"/>
        </w:rPr>
        <w:footnoteReference w:id="156"/>
      </w:r>
      <w:r w:rsidRPr="00AD2F44">
        <w:t xml:space="preserve"> the court conditionally certified a class in part based on the allegation that the employer failed to pay nonexempt employees for overtime and pursued a policy of deducting 30 minutes from lunch irrespective of whether the employee actually took a </w:t>
      </w:r>
      <w:r w:rsidRPr="00AD2F44">
        <w:lastRenderedPageBreak/>
        <w:t xml:space="preserve">lunch break. Similarly, in </w:t>
      </w:r>
      <w:r w:rsidRPr="00AD2F44">
        <w:rPr>
          <w:i/>
          <w:iCs/>
        </w:rPr>
        <w:t>Guerra v. Big Johnson Concrete Pumping, Inc</w:t>
      </w:r>
      <w:r w:rsidRPr="00AD2F44">
        <w:t>.,</w:t>
      </w:r>
      <w:r>
        <w:rPr>
          <w:vertAlign w:val="superscript"/>
        </w:rPr>
        <w:footnoteReference w:id="157"/>
      </w:r>
      <w:r w:rsidRPr="00AD2F44">
        <w:t xml:space="preserve"> the court conditionally certified a collective action based on the plaintiff’s allegation that the company had a practice of reducing an employee’s regular rate to minimum wage during the employee’s last week of employment, which resulted in the improper payment of overtime compensation for hours worked over 40. Along the same lines, in </w:t>
      </w:r>
      <w:r w:rsidRPr="00AD2F44">
        <w:rPr>
          <w:i/>
          <w:iCs/>
        </w:rPr>
        <w:t>Goode v. Nuance Communications, Inc.</w:t>
      </w:r>
      <w:r w:rsidRPr="00AD2F44">
        <w:t>,</w:t>
      </w:r>
      <w:r>
        <w:rPr>
          <w:vertAlign w:val="superscript"/>
        </w:rPr>
        <w:footnoteReference w:id="158"/>
      </w:r>
      <w:r w:rsidRPr="00AD2F44">
        <w:t xml:space="preserve"> the court granted conditional certification based on the claim (as evidenced by affidavits) that the employer had a practice of ignoring its written policy that employees should be paid for their rest breaks.</w:t>
      </w:r>
    </w:p>
    <w:p w14:paraId="378A1FD7" w14:textId="77777777" w:rsidR="005D0340" w:rsidRPr="00AD2F44" w:rsidRDefault="00F42107">
      <w:pPr>
        <w:pStyle w:val="10ATextWithIndent"/>
      </w:pPr>
      <w:r w:rsidRPr="00AD2F44">
        <w:t>Failure to establish that the company had a single or common decision, policy, practice, or plan that resulted in the putative collective not being paid minimum wages or overtime compensation usually will result in denial of conditional certification.</w:t>
      </w:r>
      <w:r>
        <w:rPr>
          <w:vertAlign w:val="superscript"/>
        </w:rPr>
        <w:footnoteReference w:id="159"/>
      </w:r>
      <w:r w:rsidRPr="00AD2F44">
        <w:t xml:space="preserve"> For example, in </w:t>
      </w:r>
      <w:r w:rsidRPr="00AD2F44">
        <w:rPr>
          <w:i/>
          <w:iCs/>
        </w:rPr>
        <w:t xml:space="preserve">Saxton </w:t>
      </w:r>
      <w:r w:rsidRPr="00AD2F44">
        <w:rPr>
          <w:i/>
          <w:iCs/>
        </w:rPr>
        <w:lastRenderedPageBreak/>
        <w:t>v. Title Max of Alabama, Inc</w:t>
      </w:r>
      <w:r w:rsidRPr="00AD2F44">
        <w:t>.,</w:t>
      </w:r>
      <w:r>
        <w:rPr>
          <w:vertAlign w:val="superscript"/>
        </w:rPr>
        <w:footnoteReference w:id="160"/>
      </w:r>
      <w:r w:rsidRPr="00AD2F44">
        <w:t xml:space="preserve"> 39 plaintiffs filed a putative collective action against their employer alleging that as assistant managers they were not properly paid overtime compensation. The court denied conditional certification as to a collective of assistant managers and found that the plaintiffs did “not offer </w:t>
      </w:r>
      <w:r w:rsidRPr="00AD2F44">
        <w:rPr>
          <w:i/>
          <w:iCs/>
        </w:rPr>
        <w:t>any</w:t>
      </w:r>
      <w:r w:rsidRPr="00AD2F44">
        <w:t xml:space="preserve"> detailed sworn statements or point to any ‘single decision, policy, or plan’ that allegedly resulted in the proposed opt-in class not receiving overtime wages in contravention of FLSA.”</w:t>
      </w:r>
      <w:r>
        <w:rPr>
          <w:vertAlign w:val="superscript"/>
        </w:rPr>
        <w:footnoteReference w:id="161"/>
      </w:r>
      <w:r w:rsidRPr="00AD2F44">
        <w:t xml:space="preserve"> The court noted that the company had presented 158 affidavits that tended to show compliance with the company’s stated rule that assistant managers do not work over 40 hours a week unless paid overtime.</w:t>
      </w:r>
    </w:p>
    <w:p w14:paraId="48F44DFA" w14:textId="77777777" w:rsidR="005D0340" w:rsidRPr="00AD2F44" w:rsidRDefault="00F42107">
      <w:pPr>
        <w:pStyle w:val="06Third-LevelHead123"/>
      </w:pPr>
      <w:r w:rsidRPr="00AD2F44">
        <w:t>5.</w:t>
      </w:r>
      <w:r w:rsidRPr="00AD2F44">
        <w:tab/>
        <w:t>Conditional Certification in Specific Types of Cases</w:t>
      </w:r>
    </w:p>
    <w:p w14:paraId="5F60459D" w14:textId="77777777" w:rsidR="005D0340" w:rsidRPr="00AD2F44" w:rsidRDefault="00F42107">
      <w:pPr>
        <w:pStyle w:val="10ATextWithIndent"/>
      </w:pPr>
      <w:r w:rsidRPr="00AD2F44">
        <w:t>The factors courts consider at the conditional certification stage vary based on the type of case at issue. Therefore, this section analyzes judicial treatment of the conditional certification inquiry by the kind of case involved.</w:t>
      </w:r>
    </w:p>
    <w:p w14:paraId="0B5B710E" w14:textId="77777777" w:rsidR="005D0340" w:rsidRPr="00AD2F44" w:rsidRDefault="00F42107">
      <w:pPr>
        <w:pStyle w:val="07Fourth-LevelHeadabc"/>
      </w:pPr>
      <w:r w:rsidRPr="00AD2F44">
        <w:t>a.</w:t>
      </w:r>
      <w:r w:rsidRPr="00AD2F44">
        <w:tab/>
        <w:t>Misclassification Cases</w:t>
      </w:r>
    </w:p>
    <w:p w14:paraId="4E0CD178" w14:textId="77777777" w:rsidR="005D0340" w:rsidRPr="00AD2F44" w:rsidRDefault="00F42107">
      <w:pPr>
        <w:pStyle w:val="08Fifth-LevelHeadi"/>
      </w:pPr>
      <w:r w:rsidRPr="00AD2F44">
        <w:t>(i.)</w:t>
      </w:r>
      <w:r w:rsidRPr="00AD2F44">
        <w:tab/>
        <w:t>Exemption Cases</w:t>
      </w:r>
    </w:p>
    <w:p w14:paraId="5CCCC8F3" w14:textId="77777777" w:rsidR="005D0340" w:rsidRPr="00AD2F44" w:rsidRDefault="00F42107">
      <w:pPr>
        <w:pStyle w:val="10ATextWithIndent"/>
      </w:pPr>
      <w:r w:rsidRPr="00AD2F44">
        <w:t>Courts differ on whether an across-the-board decision of how to treat employees who perform similar duties is sufficient to conditionally certify a collective action. Some courts have held that because exempt/nonexempt classification decisions are frequently made on a position and companywide basis, plaintiffs in misclassification cases are often able to demonstrate that they were subject to a common policy or plan and therefore meet the relatively low threshold for first-stage certification.</w:t>
      </w:r>
      <w:r>
        <w:rPr>
          <w:vertAlign w:val="superscript"/>
        </w:rPr>
        <w:footnoteReference w:id="162"/>
      </w:r>
      <w:r w:rsidRPr="00AD2F44">
        <w:t xml:space="preserve"> As one court reasoned when granting conditional certification:</w:t>
      </w:r>
    </w:p>
    <w:p w14:paraId="374602BF" w14:textId="77777777" w:rsidR="005D0340" w:rsidRPr="00AD2F44" w:rsidRDefault="00F42107">
      <w:pPr>
        <w:pStyle w:val="09BBlockQuoteWithoutIndent"/>
        <w:rPr>
          <w:vertAlign w:val="superscript"/>
        </w:rPr>
      </w:pPr>
      <w:r w:rsidRPr="00AD2F44">
        <w:lastRenderedPageBreak/>
        <w:t>First and foremost, Plaintiffs have argued, and Defendants do not dispute, that Defendants had a custom, policy, or practice of classifying all sales representatives as exempt without performing any individualized analysis of their job duties. Thus, Defendants have found sufficient similarity in the job duties of their sales representatives that they treat them as one homogenous group for purposes of the FLSA. It is somewhat disingenuous, then, for Defendants to argue that they should be permitted to treat all sales representatives as one group for purposes of classifying them as exempt, but that this Court can only determine the validity of that classification by looking to the specific job duties of each individual sales representative.</w:t>
      </w:r>
      <w:r>
        <w:rPr>
          <w:vertAlign w:val="superscript"/>
        </w:rPr>
        <w:footnoteReference w:id="163"/>
      </w:r>
    </w:p>
    <w:p w14:paraId="13E42584" w14:textId="77777777" w:rsidR="005D0340" w:rsidRPr="00AD2F44" w:rsidRDefault="00F42107">
      <w:pPr>
        <w:pStyle w:val="10ATextWithIndent"/>
        <w:rPr>
          <w:vertAlign w:val="superscript"/>
        </w:rPr>
      </w:pPr>
      <w:r w:rsidRPr="00AD2F44">
        <w:lastRenderedPageBreak/>
        <w:t xml:space="preserve">In upholding the trial court’s refusal to decertify an FLSA collective action, the Eleventh Circuit in </w:t>
      </w:r>
      <w:r w:rsidRPr="00AD2F44">
        <w:rPr>
          <w:i/>
          <w:iCs/>
        </w:rPr>
        <w:t>Morgan v. Family Dollar Stores, Inc</w:t>
      </w:r>
      <w:r w:rsidRPr="00AD2F44">
        <w:t>.</w:t>
      </w:r>
      <w:r>
        <w:rPr>
          <w:vertAlign w:val="superscript"/>
        </w:rPr>
        <w:footnoteReference w:id="164"/>
      </w:r>
      <w:r w:rsidRPr="00AD2F44">
        <w:t xml:space="preserve"> found persuasive “that Family Dollar applied the executive exemption across the board to every store manager—no matter the size, region, or sales volume of the store.”</w:t>
      </w:r>
      <w:r>
        <w:rPr>
          <w:vertAlign w:val="superscript"/>
        </w:rPr>
        <w:footnoteReference w:id="165"/>
      </w:r>
      <w:r w:rsidRPr="00AD2F44">
        <w:t xml:space="preserve"> “Plaintiffs’ evidence established that Family Dollar uniformly exempted all store managers from overtime pay requirements, and its exemption decision did not turn on any individualized factors. Not one. There is nothing unfair about litigating a single corporate decision in a single collective action.”</w:t>
      </w:r>
      <w:r>
        <w:rPr>
          <w:vertAlign w:val="superscript"/>
        </w:rPr>
        <w:footnoteReference w:id="166"/>
      </w:r>
    </w:p>
    <w:p w14:paraId="32800169" w14:textId="77777777" w:rsidR="005D0340" w:rsidRPr="00AD2F44" w:rsidRDefault="00F42107">
      <w:pPr>
        <w:pStyle w:val="10ATextWithIndent"/>
        <w:rPr>
          <w:vertAlign w:val="superscript"/>
        </w:rPr>
      </w:pPr>
      <w:r w:rsidRPr="00AD2F44">
        <w:t>Other courts have found the decision to classify all employees in a single job position as exempt not to be sufficient by itself to warrant conditional certification.</w:t>
      </w:r>
      <w:r>
        <w:rPr>
          <w:vertAlign w:val="superscript"/>
        </w:rPr>
        <w:footnoteReference w:id="167"/>
      </w:r>
      <w:r w:rsidRPr="00AD2F44">
        <w:t xml:space="preserve"> In at least some of </w:t>
      </w:r>
      <w:r w:rsidRPr="00AD2F44">
        <w:lastRenderedPageBreak/>
        <w:t xml:space="preserve">these cases, the courts have expressly held that a position or companywide classification policy is not sufficient to support a conditional determination that the collective action members are similarly situated. For example, in </w:t>
      </w:r>
      <w:r w:rsidRPr="00AD2F44">
        <w:rPr>
          <w:i/>
          <w:iCs/>
        </w:rPr>
        <w:t>Trinh v. JP Morgan Chase &amp; Co</w:t>
      </w:r>
      <w:r w:rsidRPr="00AD2F44">
        <w:t>.,</w:t>
      </w:r>
      <w:r>
        <w:rPr>
          <w:vertAlign w:val="superscript"/>
        </w:rPr>
        <w:footnoteReference w:id="168"/>
      </w:r>
      <w:r w:rsidRPr="00AD2F44">
        <w:t xml:space="preserve"> the court held: “Although assuming—for now—that Plaintiffs have alleged that ‘misclassifying loan officers as exempt’ was an improper institution-wide practice, they have not detailed the extent to which all JP Morgan loan officers, nationwide, are similar.”</w:t>
      </w:r>
      <w:r>
        <w:rPr>
          <w:vertAlign w:val="superscript"/>
        </w:rPr>
        <w:footnoteReference w:id="169"/>
      </w:r>
      <w:r w:rsidRPr="00AD2F44">
        <w:t xml:space="preserve"> Instead, the court required that the plaintiffs present additional evidence that they “and the broad class they wish to represent” were similarly situated “with respect to job requirements and pay provisions.”</w:t>
      </w:r>
      <w:r>
        <w:rPr>
          <w:vertAlign w:val="superscript"/>
        </w:rPr>
        <w:footnoteReference w:id="170"/>
      </w:r>
    </w:p>
    <w:p w14:paraId="73C2E56B" w14:textId="77777777" w:rsidR="005D0340" w:rsidRPr="00AD2F44" w:rsidRDefault="00F42107">
      <w:pPr>
        <w:pStyle w:val="08Fifth-LevelHeadi"/>
      </w:pPr>
      <w:r w:rsidRPr="00AD2F44">
        <w:lastRenderedPageBreak/>
        <w:t>(ii.)</w:t>
      </w:r>
      <w:r w:rsidRPr="00AD2F44">
        <w:tab/>
        <w:t>Independent Contractor Cases</w:t>
      </w:r>
    </w:p>
    <w:p w14:paraId="16E836A1" w14:textId="77777777" w:rsidR="005D0340" w:rsidRPr="00AD2F44" w:rsidRDefault="00F42107">
      <w:pPr>
        <w:pStyle w:val="10ATextWithIndent"/>
        <w:rPr>
          <w:vertAlign w:val="superscript"/>
        </w:rPr>
      </w:pPr>
      <w:r w:rsidRPr="00AD2F44">
        <w:t>Courts frequently grant conditional certification in independent contractor misclassification cases, reasoning that the uniform nature of classifying a group of workers with similar duties as independent contractors warrants certification and issues concerning the economic realities test for independent contractor status should be reviewed in the second stage.</w:t>
      </w:r>
      <w:r>
        <w:rPr>
          <w:vertAlign w:val="superscript"/>
        </w:rPr>
        <w:footnoteReference w:id="171"/>
      </w:r>
      <w:r w:rsidRPr="00AD2F44">
        <w:t xml:space="preserve"> However, some courts deny conditional certification of such cases because of the </w:t>
      </w:r>
      <w:r w:rsidRPr="00AD2F44">
        <w:lastRenderedPageBreak/>
        <w:t>individualized inquiry necessary to evaluate the independent contractor factors under the economic realities test.</w:t>
      </w:r>
      <w:r>
        <w:rPr>
          <w:vertAlign w:val="superscript"/>
        </w:rPr>
        <w:footnoteReference w:id="172"/>
      </w:r>
    </w:p>
    <w:p w14:paraId="65848299" w14:textId="77777777" w:rsidR="005D0340" w:rsidRPr="00AD2F44" w:rsidRDefault="00F42107">
      <w:pPr>
        <w:pStyle w:val="07Fourth-LevelHeadabc"/>
      </w:pPr>
      <w:r w:rsidRPr="00AD2F44">
        <w:t>b.</w:t>
      </w:r>
      <w:r w:rsidRPr="00AD2F44">
        <w:tab/>
        <w:t>Off-the-Clock Cases</w:t>
      </w:r>
    </w:p>
    <w:p w14:paraId="279305B2" w14:textId="77777777" w:rsidR="005D0340" w:rsidRPr="00AD2F44" w:rsidRDefault="00F42107">
      <w:pPr>
        <w:pStyle w:val="10ATextWithIndent"/>
        <w:rPr>
          <w:vertAlign w:val="superscript"/>
        </w:rPr>
      </w:pPr>
      <w:r w:rsidRPr="00AD2F44">
        <w:t>The decision whether to conditionally certify off-the-clock cases typically depends on the amount of evidence presented. While there are disparities in the amount of evidence required for plaintiffs to meet the lenient standard for conditional certification, courts permit certification where plaintiffs articulate a company policy and provide some amount of evidence of the existence of other employees impacted by the policy.</w:t>
      </w:r>
      <w:r>
        <w:rPr>
          <w:vertAlign w:val="superscript"/>
        </w:rPr>
        <w:footnoteReference w:id="173"/>
      </w:r>
      <w:r w:rsidRPr="00AD2F44">
        <w:t xml:space="preserve"> However, where a plaintiff fails to </w:t>
      </w:r>
      <w:r w:rsidRPr="00AD2F44">
        <w:lastRenderedPageBreak/>
        <w:t>present sufficient evidence of an improper policy or practice, courts have denied conditional certification in off-the-clock cases.</w:t>
      </w:r>
      <w:r>
        <w:rPr>
          <w:vertAlign w:val="superscript"/>
        </w:rPr>
        <w:footnoteReference w:id="174"/>
      </w:r>
    </w:p>
    <w:p w14:paraId="4E4E3689" w14:textId="77777777" w:rsidR="005D0340" w:rsidRPr="00AD2F44" w:rsidRDefault="00F42107">
      <w:pPr>
        <w:pStyle w:val="10ATextWithIndent"/>
        <w:rPr>
          <w:vertAlign w:val="superscript"/>
        </w:rPr>
      </w:pPr>
      <w:r w:rsidRPr="00AD2F44">
        <w:lastRenderedPageBreak/>
        <w:t xml:space="preserve">Courts may permit conditional certification even when they express concerns that the case will not survive the decertification stage. In </w:t>
      </w:r>
      <w:r w:rsidRPr="00AD2F44">
        <w:rPr>
          <w:i/>
          <w:iCs/>
        </w:rPr>
        <w:t>Chase v. AIMCO</w:t>
      </w:r>
      <w:r w:rsidRPr="00AD2F44">
        <w:t>,</w:t>
      </w:r>
      <w:r>
        <w:rPr>
          <w:vertAlign w:val="superscript"/>
        </w:rPr>
        <w:footnoteReference w:id="175"/>
      </w:r>
      <w:r w:rsidRPr="00AD2F44">
        <w:t xml:space="preserve"> the court openly questioned whether the individual issues potentially associated with the claims would preclude second-stage certification, but nevertheless issued notice, noting: “Even if a collective action is not ultimately certified, the process of allowing individual AIMCO workers to lodge their claims in a forum where they can be recognized, evaluated, and possibly settled, is consistent with the policy choice Congress made when it created the FLSA right of action.”</w:t>
      </w:r>
      <w:r>
        <w:rPr>
          <w:vertAlign w:val="superscript"/>
        </w:rPr>
        <w:footnoteReference w:id="176"/>
      </w:r>
    </w:p>
    <w:p w14:paraId="298EFA71" w14:textId="77777777" w:rsidR="005D0340" w:rsidRPr="00AD2F44" w:rsidRDefault="00F42107">
      <w:pPr>
        <w:pStyle w:val="10ATextWithIndent"/>
        <w:rPr>
          <w:vertAlign w:val="superscript"/>
        </w:rPr>
      </w:pPr>
      <w:r w:rsidRPr="00AD2F44">
        <w:t>Some courts rely on the existence of a formal written policy requiring the company to pay for all hours worked to deny requests for conditional certification.</w:t>
      </w:r>
      <w:r>
        <w:rPr>
          <w:vertAlign w:val="superscript"/>
        </w:rPr>
        <w:footnoteReference w:id="177"/>
      </w:r>
      <w:r w:rsidRPr="00AD2F44">
        <w:t xml:space="preserve"> The existence of such a </w:t>
      </w:r>
      <w:r w:rsidRPr="00AD2F44">
        <w:lastRenderedPageBreak/>
        <w:t>policy, however, is typically considered alongside other factors weighing against conditional certification and may not be determinative by itself.</w:t>
      </w:r>
      <w:r>
        <w:rPr>
          <w:vertAlign w:val="superscript"/>
        </w:rPr>
        <w:footnoteReference w:id="178"/>
      </w:r>
    </w:p>
    <w:p w14:paraId="6D2A7E44" w14:textId="77777777" w:rsidR="005D0340" w:rsidRPr="00AD2F44" w:rsidRDefault="00F42107">
      <w:pPr>
        <w:pStyle w:val="10ATextWithIndent"/>
        <w:rPr>
          <w:vertAlign w:val="superscript"/>
        </w:rPr>
      </w:pPr>
      <w:r w:rsidRPr="00AD2F44">
        <w:t xml:space="preserve">The outcome on conditional certification motions has also varied where employees have alleged that employers’ policies or practices have denied them compensation for all of their hours worked. For instance, in </w:t>
      </w:r>
      <w:r w:rsidRPr="00AD2F44">
        <w:rPr>
          <w:i/>
          <w:iCs/>
        </w:rPr>
        <w:t>Yap v. Mooncake Foods, Inc</w:t>
      </w:r>
      <w:r w:rsidRPr="00AD2F44">
        <w:t>.,</w:t>
      </w:r>
      <w:r>
        <w:rPr>
          <w:vertAlign w:val="superscript"/>
        </w:rPr>
        <w:footnoteReference w:id="179"/>
      </w:r>
      <w:r w:rsidRPr="00AD2F44">
        <w:t xml:space="preserve"> the plaintiffs sought to conditionally certify a collective involving restaurant workers working at four restaurants operated by ostensibly separate employers. The plaintiffs alleged multiple claims including failure to pay overtime, failure to pay minimum wage, denial of meal breaks, failure to inform employees of the tip credit rules, and failure to reimburse for expenses associated with purchasing and maintaining delivery trucks. Members of the proposed collective included drivers and chefs. In granting conditional certification of a collective that included drivers and chefs working at all four locations, the court held that the plaintiffs had alleged sufficient facts to treat all the defendant restaurants as a single integrated enterprise. The court also held that the plaintiffs could represent employees who worked at restaurants where the plaintiffs had never worked. The crucial inquiry, the court pointed out, was whether they were similarly situated. And the key to that inquiry was whether the members of the putative collective were subject to the same allegedly unlawful practice or policy.</w:t>
      </w:r>
      <w:r>
        <w:rPr>
          <w:vertAlign w:val="superscript"/>
        </w:rPr>
        <w:footnoteReference w:id="180"/>
      </w:r>
      <w:r w:rsidRPr="00AD2F44">
        <w:t xml:space="preserve"> Thus, allegations and evidence of a policy or procedure designed to deny employees pay for their hours worked, even when implemented through various means, may suffice.</w:t>
      </w:r>
      <w:r>
        <w:rPr>
          <w:vertAlign w:val="superscript"/>
        </w:rPr>
        <w:footnoteReference w:id="181"/>
      </w:r>
    </w:p>
    <w:p w14:paraId="123ADFE8" w14:textId="77777777" w:rsidR="005D0340" w:rsidRPr="00AD2F44" w:rsidRDefault="00F42107">
      <w:pPr>
        <w:pStyle w:val="10ATextWithIndent"/>
        <w:rPr>
          <w:vertAlign w:val="superscript"/>
        </w:rPr>
      </w:pPr>
      <w:r w:rsidRPr="00AD2F44">
        <w:lastRenderedPageBreak/>
        <w:t xml:space="preserve">However, in </w:t>
      </w:r>
      <w:r w:rsidRPr="00AD2F44">
        <w:rPr>
          <w:i/>
          <w:iCs/>
        </w:rPr>
        <w:t>West v. Border Foods, Inc</w:t>
      </w:r>
      <w:r w:rsidRPr="00AD2F44">
        <w:t>.,</w:t>
      </w:r>
      <w:r>
        <w:rPr>
          <w:vertAlign w:val="superscript"/>
        </w:rPr>
        <w:footnoteReference w:id="182"/>
      </w:r>
      <w:r w:rsidRPr="00AD2F44">
        <w:t xml:space="preserve"> the court denied certification where the plaintiffs worked at different locations for different managers allegedly using different means to deprive them of overtime compensation, and the nature of the violation differed among the plaintiffs.</w:t>
      </w:r>
      <w:r>
        <w:rPr>
          <w:vertAlign w:val="superscript"/>
        </w:rPr>
        <w:footnoteReference w:id="183"/>
      </w:r>
    </w:p>
    <w:p w14:paraId="77AC7BA7" w14:textId="77777777" w:rsidR="005D0340" w:rsidRPr="00AD2F44" w:rsidRDefault="00F42107">
      <w:pPr>
        <w:pStyle w:val="10ATextWithIndent"/>
      </w:pPr>
      <w:r w:rsidRPr="00AD2F44">
        <w:t>Courts’ consideration of several particular types of off-the-clock cases merits additional discussion.</w:t>
      </w:r>
    </w:p>
    <w:p w14:paraId="2F10B499" w14:textId="77777777" w:rsidR="005D0340" w:rsidRPr="00AD2F44" w:rsidRDefault="00F42107">
      <w:pPr>
        <w:pStyle w:val="08Fifth-LevelHeadi"/>
      </w:pPr>
      <w:r w:rsidRPr="00AD2F44">
        <w:t>(i.)</w:t>
      </w:r>
      <w:r w:rsidRPr="00AD2F44">
        <w:tab/>
        <w:t>Pre-Shift and Post-Shift Cases</w:t>
      </w:r>
    </w:p>
    <w:p w14:paraId="2EED2009" w14:textId="77777777" w:rsidR="005D0340" w:rsidRPr="00AD2F44" w:rsidRDefault="00F42107">
      <w:pPr>
        <w:pStyle w:val="10ATextWithIndent"/>
        <w:rPr>
          <w:vertAlign w:val="superscript"/>
        </w:rPr>
      </w:pPr>
      <w:r w:rsidRPr="00AD2F44">
        <w:t xml:space="preserve">Cases alleging that an employer has a policy or practice of requiring employees to arrive at work early to prepare for work before the start of their regularly scheduled workday or perform unpaid work after their shift has ended have often been granted conditional </w:t>
      </w:r>
      <w:r w:rsidRPr="00AD2F44">
        <w:lastRenderedPageBreak/>
        <w:t>certification.</w:t>
      </w:r>
      <w:r>
        <w:rPr>
          <w:vertAlign w:val="superscript"/>
        </w:rPr>
        <w:footnoteReference w:id="184"/>
      </w:r>
      <w:r w:rsidRPr="00AD2F44">
        <w:t xml:space="preserve"> While defendants may choose to not challenge conditional certification per se,</w:t>
      </w:r>
      <w:r>
        <w:rPr>
          <w:vertAlign w:val="superscript"/>
        </w:rPr>
        <w:footnoteReference w:id="185"/>
      </w:r>
      <w:r w:rsidRPr="00AD2F44">
        <w:t xml:space="preserve"> but challenge the scope of certification, some courts have limited the scope of certification to </w:t>
      </w:r>
      <w:r w:rsidRPr="00AD2F44">
        <w:lastRenderedPageBreak/>
        <w:t>those facilities with declarations or other factual evidence suggesting a common policy or practice.</w:t>
      </w:r>
      <w:r>
        <w:rPr>
          <w:vertAlign w:val="superscript"/>
        </w:rPr>
        <w:footnoteReference w:id="186"/>
      </w:r>
    </w:p>
    <w:p w14:paraId="59F2B390" w14:textId="77777777" w:rsidR="005D0340" w:rsidRPr="00AD2F44" w:rsidRDefault="00F42107">
      <w:pPr>
        <w:pStyle w:val="10ATextWithIndent"/>
        <w:rPr>
          <w:vertAlign w:val="superscript"/>
        </w:rPr>
      </w:pPr>
      <w:r w:rsidRPr="00AD2F44">
        <w:t>Courts have granted certification to workers who allege that they were required to arrive at work early to load tools or receive instructions, then travel to the first job site, and after their paid time ended, travel back from the last job site to a shop location to secure equipment.</w:t>
      </w:r>
      <w:r>
        <w:rPr>
          <w:vertAlign w:val="superscript"/>
        </w:rPr>
        <w:footnoteReference w:id="187"/>
      </w:r>
      <w:r w:rsidRPr="00AD2F44">
        <w:t xml:space="preserve"> For </w:t>
      </w:r>
      <w:r w:rsidRPr="00AD2F44">
        <w:lastRenderedPageBreak/>
        <w:t xml:space="preserve">example, in </w:t>
      </w:r>
      <w:r w:rsidRPr="00AD2F44">
        <w:rPr>
          <w:i/>
          <w:iCs/>
        </w:rPr>
        <w:t>Wren v. RGIS Inventory Specialists</w:t>
      </w:r>
      <w:r w:rsidRPr="00AD2F44">
        <w:t>,</w:t>
      </w:r>
      <w:r>
        <w:rPr>
          <w:vertAlign w:val="superscript"/>
        </w:rPr>
        <w:footnoteReference w:id="188"/>
      </w:r>
      <w:r w:rsidRPr="00AD2F44">
        <w:t xml:space="preserve"> the court granted nationwide certification to hourly auditors spanning multiple job positions at hundreds of offices on claims for time spent waiting for employer-provided transportation to job sites, travel to the job site, waiting at the job site, and donning employer-required equipment at the job site. The court certified the action based in part on the employees’ declarations providing similar descriptions of their experience, the employer’s centralized payroll system, company documents establishing mandatory and uniform timekeeping, and compensation policies that required auditors to be ready to work at the inventory start time.</w:t>
      </w:r>
      <w:r>
        <w:rPr>
          <w:vertAlign w:val="superscript"/>
        </w:rPr>
        <w:footnoteReference w:id="189"/>
      </w:r>
      <w:r w:rsidRPr="00AD2F44">
        <w:t xml:space="preserve"> The court rejected the defendant’s argument that because compensable time varied by district and supervisor, the employees were not similarly situated at conditional certification, finding instead that variations in the amount of uncompensated time related to damages.</w:t>
      </w:r>
      <w:r>
        <w:rPr>
          <w:vertAlign w:val="superscript"/>
        </w:rPr>
        <w:footnoteReference w:id="190"/>
      </w:r>
      <w:r w:rsidRPr="00AD2F44">
        <w:t xml:space="preserve"> Other courts have similarly held that a common policy or practice of requiring workers to perform pre-shift duties so that they may begin performing their regular duties immediately upon the start of their shift supports conditional certification of claims for unpaid pre-shift duties.</w:t>
      </w:r>
      <w:r>
        <w:rPr>
          <w:vertAlign w:val="superscript"/>
        </w:rPr>
        <w:footnoteReference w:id="191"/>
      </w:r>
    </w:p>
    <w:p w14:paraId="4EDF814A" w14:textId="77777777" w:rsidR="005D0340" w:rsidRPr="00AD2F44" w:rsidRDefault="00F42107">
      <w:pPr>
        <w:pStyle w:val="10ATextWithIndent"/>
        <w:rPr>
          <w:vertAlign w:val="superscript"/>
        </w:rPr>
      </w:pPr>
      <w:r w:rsidRPr="00AD2F44">
        <w:t>Notwithstanding the lenient burden plaintiffs have at the conditional certification stage, courts have denied certification on claims arising from tasks performed pre- and post-shift where the allegations are not adequately supported with evidence or where plaintiffs failed to offer specific evidence to support the existence of a common policy or practice to bind their experience to potential collective action members.</w:t>
      </w:r>
      <w:r>
        <w:rPr>
          <w:vertAlign w:val="superscript"/>
        </w:rPr>
        <w:footnoteReference w:id="192"/>
      </w:r>
      <w:r w:rsidRPr="00AD2F44">
        <w:t xml:space="preserve"> For example, in </w:t>
      </w:r>
      <w:r w:rsidRPr="00AD2F44">
        <w:rPr>
          <w:i/>
          <w:iCs/>
        </w:rPr>
        <w:t xml:space="preserve">Salinas v. O’Reilly </w:t>
      </w:r>
      <w:r w:rsidRPr="00AD2F44">
        <w:rPr>
          <w:i/>
          <w:iCs/>
        </w:rPr>
        <w:lastRenderedPageBreak/>
        <w:t>Automotive, Inc</w:t>
      </w:r>
      <w:r w:rsidRPr="00AD2F44">
        <w:t>.,</w:t>
      </w:r>
      <w:r>
        <w:rPr>
          <w:vertAlign w:val="superscript"/>
        </w:rPr>
        <w:footnoteReference w:id="193"/>
      </w:r>
      <w:r w:rsidRPr="00AD2F44">
        <w:t xml:space="preserve"> the court denied conditional certification to a single named plaintiff who sought to certify a collective action for unpaid post-shift work running register reports and conducting store closing duties.</w:t>
      </w:r>
      <w:r>
        <w:rPr>
          <w:vertAlign w:val="superscript"/>
        </w:rPr>
        <w:footnoteReference w:id="194"/>
      </w:r>
      <w:r w:rsidRPr="00AD2F44">
        <w:t xml:space="preserve"> The court observed that the plaintiff’s affidavit asserted a violation at only one of six stores at which she had worked, and affidavits by opt-in plaintiffs and potential members of the collective action suggested that store managers engaged in different compensation practices.</w:t>
      </w:r>
      <w:r>
        <w:rPr>
          <w:vertAlign w:val="superscript"/>
        </w:rPr>
        <w:footnoteReference w:id="195"/>
      </w:r>
      <w:r w:rsidRPr="00AD2F44">
        <w:t xml:space="preserve"> The court concluded that simply because many of the claims presented by the named plaintiff and the other workers “happen to involve a failure to pay overtime for duties performed after closing hours,” this “is alone insufficient” to show that the named plaintiff and potential class members were “bound together as victims” of a companywide policy or practice.</w:t>
      </w:r>
      <w:r>
        <w:rPr>
          <w:vertAlign w:val="superscript"/>
        </w:rPr>
        <w:footnoteReference w:id="196"/>
      </w:r>
    </w:p>
    <w:p w14:paraId="6F6FD5E3" w14:textId="77777777" w:rsidR="005D0340" w:rsidRPr="00AD2F44" w:rsidRDefault="00F42107">
      <w:pPr>
        <w:pStyle w:val="10ATextWithIndent"/>
      </w:pPr>
      <w:r w:rsidRPr="00AD2F44">
        <w:t xml:space="preserve">Courts have certified claims by call center employees who have supported their allegations that their employer had a common practice of failing to compensate them for unpaid time spent logging on and off computers, uploading software, and performing other unpaid work such as calling back customers or completing paperwork prior to the scheduled shift or during </w:t>
      </w:r>
      <w:r w:rsidRPr="00AD2F44">
        <w:lastRenderedPageBreak/>
        <w:t>unpaid lunch breaks.</w:t>
      </w:r>
      <w:r>
        <w:rPr>
          <w:vertAlign w:val="superscript"/>
        </w:rPr>
        <w:footnoteReference w:id="197"/>
      </w:r>
      <w:r w:rsidRPr="00AD2F44">
        <w:t xml:space="preserve"> For example, in </w:t>
      </w:r>
      <w:r w:rsidRPr="00AD2F44">
        <w:rPr>
          <w:i/>
          <w:iCs/>
        </w:rPr>
        <w:t>Burch v. Qwest Communications International</w:t>
      </w:r>
      <w:r w:rsidRPr="00AD2F44">
        <w:t>,</w:t>
      </w:r>
      <w:r>
        <w:rPr>
          <w:vertAlign w:val="superscript"/>
        </w:rPr>
        <w:footnoteReference w:id="198"/>
      </w:r>
      <w:r w:rsidRPr="00AD2F44">
        <w:t xml:space="preserve"> the court granted certification and authorized nationwide notice to 8,000 call center employees, </w:t>
      </w:r>
      <w:r w:rsidRPr="00AD2F44">
        <w:lastRenderedPageBreak/>
        <w:t>where the plaintiffs alleged that the defendant relied on a uniform system of time monitoring, based on time logged into the phone system, and plaintiffs submitted declarations from employees in five states making similar allegations, despite substantial variation in the off-the-clock time claimed.</w:t>
      </w:r>
    </w:p>
    <w:p w14:paraId="306D55C9" w14:textId="77777777" w:rsidR="005D0340" w:rsidRPr="00AD2F44" w:rsidRDefault="00F42107">
      <w:pPr>
        <w:pStyle w:val="10ATextWithIndent"/>
        <w:rPr>
          <w:vertAlign w:val="superscript"/>
        </w:rPr>
      </w:pPr>
      <w:r w:rsidRPr="00AD2F44">
        <w:t xml:space="preserve">Courts have denied conditional certification where the defendant refuted the plaintiffs’ allegations concerning the pay practice at issue and the plaintiffs did not provide adequate factual support for the common policy alleged. For example, in </w:t>
      </w:r>
      <w:r w:rsidRPr="00AD2F44">
        <w:rPr>
          <w:i/>
          <w:iCs/>
        </w:rPr>
        <w:t>Adair v. Wisconsin Bell, Inc</w:t>
      </w:r>
      <w:r w:rsidRPr="00AD2F44">
        <w:t>.,</w:t>
      </w:r>
      <w:r>
        <w:rPr>
          <w:vertAlign w:val="superscript"/>
        </w:rPr>
        <w:footnoteReference w:id="199"/>
      </w:r>
      <w:r w:rsidRPr="00AD2F44">
        <w:t xml:space="preserve"> the court denied conditional certification to call center employees across four facilities where the plaintiffs failed to provide factual support for their allegation that the employer had a common policy requiring call center workers to work beyond their scheduled shift time, and the defendant demonstrated that it did not compensate plaintiffs according to the time logged into the phone system as plaintiffs had originally alleged.</w:t>
      </w:r>
      <w:r>
        <w:rPr>
          <w:vertAlign w:val="superscript"/>
        </w:rPr>
        <w:footnoteReference w:id="200"/>
      </w:r>
    </w:p>
    <w:p w14:paraId="6D80BE48" w14:textId="77777777" w:rsidR="005D0340" w:rsidRPr="00AD2F44" w:rsidRDefault="00F42107">
      <w:pPr>
        <w:pStyle w:val="10ATextWithIndent"/>
        <w:rPr>
          <w:vertAlign w:val="superscript"/>
        </w:rPr>
      </w:pPr>
      <w:r w:rsidRPr="00AD2F44">
        <w:t>There has been considerable litigation over “donning and doffing” claims, where employees in occupations such as food processing, law enforcement, and manufacturing industries have sought compensation for the time they spend before and after their shifts, putting on, taking off, and cleaning the protective gear or uniforms required for their jobs and walking to and from their place on the production line.</w:t>
      </w:r>
      <w:r>
        <w:rPr>
          <w:vertAlign w:val="superscript"/>
        </w:rPr>
        <w:footnoteReference w:id="201"/>
      </w:r>
      <w:r w:rsidRPr="00AD2F44">
        <w:t xml:space="preserve"> Courts have routinely conditionally certified claims by plaintiffs alleging a common practice of failing to compensate workers for required donning and doffing activities where workers have the same basic job duties and pay structure and allege they are victims of a common policy of failing to pay workers for time spent donning </w:t>
      </w:r>
      <w:r w:rsidRPr="00AD2F44">
        <w:lastRenderedPageBreak/>
        <w:t>and doffing.</w:t>
      </w:r>
      <w:r>
        <w:rPr>
          <w:vertAlign w:val="superscript"/>
        </w:rPr>
        <w:footnoteReference w:id="202"/>
      </w:r>
      <w:r w:rsidRPr="00AD2F44">
        <w:t xml:space="preserve"> For example, in </w:t>
      </w:r>
      <w:r w:rsidRPr="00AD2F44">
        <w:rPr>
          <w:i/>
          <w:iCs/>
        </w:rPr>
        <w:t>Frank v. Gold’n Plump Poultry, Inc</w:t>
      </w:r>
      <w:r w:rsidRPr="00AD2F44">
        <w:t>.,</w:t>
      </w:r>
      <w:r>
        <w:rPr>
          <w:vertAlign w:val="superscript"/>
        </w:rPr>
        <w:footnoteReference w:id="203"/>
      </w:r>
      <w:r w:rsidRPr="00AD2F44">
        <w:t xml:space="preserve"> the district court certified a collective action of production and sanitation workers at three poultry processing facilities, holding that the employer’s failure to “affirmatively require its supervisors to implement a practice of paying for donning, doffing and sanitizing time is itself evidence of a single decision sufficient to warrant conditional certification.”</w:t>
      </w:r>
      <w:r>
        <w:rPr>
          <w:vertAlign w:val="superscript"/>
        </w:rPr>
        <w:footnoteReference w:id="204"/>
      </w:r>
      <w:r w:rsidRPr="00AD2F44">
        <w:t xml:space="preserve"> Courts have rejected arguments that a collective action may not be certified due to differences in protective gear worn, the amounts of </w:t>
      </w:r>
      <w:r w:rsidRPr="00AD2F44">
        <w:lastRenderedPageBreak/>
        <w:t>time it takes to don and doff the protective gear, methods of timekeeping and compensation, and whether a collective bargaining agreement exists at the plant.</w:t>
      </w:r>
      <w:r>
        <w:rPr>
          <w:vertAlign w:val="superscript"/>
        </w:rPr>
        <w:footnoteReference w:id="205"/>
      </w:r>
    </w:p>
    <w:p w14:paraId="7F10CE2F" w14:textId="77777777" w:rsidR="005D0340" w:rsidRPr="00AD2F44" w:rsidRDefault="00F42107">
      <w:pPr>
        <w:pStyle w:val="10ATextWithIndent"/>
        <w:rPr>
          <w:vertAlign w:val="superscript"/>
        </w:rPr>
      </w:pPr>
      <w:r w:rsidRPr="00AD2F44">
        <w:t>Courts have also held that where workers challenge a common policy or practice of uncompensated time, differences in the specific job duties of employees are immaterial and do not require a case-by-case inquiry.</w:t>
      </w:r>
      <w:r>
        <w:rPr>
          <w:vertAlign w:val="superscript"/>
        </w:rPr>
        <w:footnoteReference w:id="206"/>
      </w:r>
      <w:r w:rsidRPr="00AD2F44">
        <w:t xml:space="preserve"> Courts have granted companywide or multi-facility conditional certification based on evidence of a common practice across facilities, even where specific evidence has not been provided from each facility.</w:t>
      </w:r>
      <w:r>
        <w:rPr>
          <w:vertAlign w:val="superscript"/>
        </w:rPr>
        <w:footnoteReference w:id="207"/>
      </w:r>
      <w:r w:rsidRPr="00AD2F44">
        <w:t xml:space="preserve"> Other courts have been reluctant to order notice over a broad geographic scope absent evidence that employees across the company were treated similarly, and instead have granted limited certification to particular regions or plants.</w:t>
      </w:r>
      <w:r>
        <w:rPr>
          <w:vertAlign w:val="superscript"/>
        </w:rPr>
        <w:footnoteReference w:id="208"/>
      </w:r>
    </w:p>
    <w:p w14:paraId="42C2CEFF" w14:textId="77777777" w:rsidR="005D0340" w:rsidRPr="00AD2F44" w:rsidRDefault="00F42107">
      <w:pPr>
        <w:pStyle w:val="08Fifth-LevelHeadi"/>
      </w:pPr>
      <w:r w:rsidRPr="00AD2F44">
        <w:lastRenderedPageBreak/>
        <w:t>(ii.)</w:t>
      </w:r>
      <w:r w:rsidRPr="00AD2F44">
        <w:tab/>
        <w:t>Uncompensated Work During Meal Break Time</w:t>
      </w:r>
    </w:p>
    <w:p w14:paraId="468BD218" w14:textId="77777777" w:rsidR="005D0340" w:rsidRPr="00AD2F44" w:rsidRDefault="00F42107">
      <w:pPr>
        <w:pStyle w:val="10ATextWithIndent"/>
        <w:rPr>
          <w:vertAlign w:val="superscript"/>
        </w:rPr>
      </w:pPr>
      <w:r w:rsidRPr="00AD2F44">
        <w:t>Courts have conditionally certified collective actions for work performed during unpaid meal breaks where employees have provided a modest factual showing to support their claims that workers were similarly affected by this policy or practice.</w:t>
      </w:r>
      <w:r>
        <w:rPr>
          <w:vertAlign w:val="superscript"/>
        </w:rPr>
        <w:footnoteReference w:id="209"/>
      </w:r>
      <w:r w:rsidRPr="00AD2F44">
        <w:t xml:space="preserve"> For example, in </w:t>
      </w:r>
      <w:r w:rsidRPr="00AD2F44">
        <w:rPr>
          <w:i/>
          <w:iCs/>
        </w:rPr>
        <w:t xml:space="preserve">Jones-Turner </w:t>
      </w:r>
      <w:r w:rsidRPr="00AD2F44">
        <w:rPr>
          <w:i/>
          <w:iCs/>
        </w:rPr>
        <w:lastRenderedPageBreak/>
        <w:t>v. Yellow Enterprise Systems, LLC</w:t>
      </w:r>
      <w:r w:rsidRPr="00AD2F44">
        <w:t>,</w:t>
      </w:r>
      <w:r>
        <w:rPr>
          <w:vertAlign w:val="superscript"/>
        </w:rPr>
        <w:footnoteReference w:id="210"/>
      </w:r>
      <w:r w:rsidRPr="00AD2F44">
        <w:t xml:space="preserve"> the court certified a collective action of ambulance drivers and EMTs where the plaintiffs alleged that despite the employer’s policy of documenting time worked during the unpaid lunch break, these documents were ignored or destroyed, and the plaintiffs supported their allegations through affidavits, employee testimony, and consent forms.</w:t>
      </w:r>
      <w:r>
        <w:rPr>
          <w:vertAlign w:val="superscript"/>
        </w:rPr>
        <w:footnoteReference w:id="211"/>
      </w:r>
      <w:r w:rsidRPr="00AD2F44">
        <w:t xml:space="preserve"> In </w:t>
      </w:r>
      <w:r w:rsidRPr="00AD2F44">
        <w:rPr>
          <w:i/>
          <w:iCs/>
        </w:rPr>
        <w:t>Barrus v. Dick’s Sporting Goods, Inc</w:t>
      </w:r>
      <w:r w:rsidRPr="00AD2F44">
        <w:t>.,</w:t>
      </w:r>
      <w:r>
        <w:rPr>
          <w:vertAlign w:val="superscript"/>
        </w:rPr>
        <w:footnoteReference w:id="212"/>
      </w:r>
      <w:r w:rsidRPr="00AD2F44">
        <w:t xml:space="preserve"> the court granted nationwide certification to claims by retail employees where the plaintiffs’ evidence included affidavits by former managers with personal knowledge of the employer’s uniform timekeeping system, automatic meal break deduction policy, and lack of training for employees in correcting improperly deducted time.</w:t>
      </w:r>
      <w:r>
        <w:rPr>
          <w:vertAlign w:val="superscript"/>
        </w:rPr>
        <w:footnoteReference w:id="213"/>
      </w:r>
      <w:r w:rsidRPr="00AD2F44">
        <w:t xml:space="preserve"> Courts have also granted conditional certification where plaintiffs did not sufficiently support their allegations with their own evidence, but the employer conceded to having a uniform policy of not compensating workers for time worked during breaks.</w:t>
      </w:r>
      <w:r>
        <w:rPr>
          <w:vertAlign w:val="superscript"/>
        </w:rPr>
        <w:footnoteReference w:id="214"/>
      </w:r>
    </w:p>
    <w:p w14:paraId="7D07CB2A" w14:textId="77777777" w:rsidR="005D0340" w:rsidRPr="00AD2F44" w:rsidRDefault="00F42107">
      <w:pPr>
        <w:pStyle w:val="10ATextWithIndent"/>
        <w:rPr>
          <w:vertAlign w:val="superscript"/>
        </w:rPr>
      </w:pPr>
      <w:r w:rsidRPr="00AD2F44">
        <w:t>Courts have also certified actions for unpaid break time where workers perform different job duties but the manner of the overtime violation is the same—an automatic deduction of meal breaks—and employees allege they were subjected to a similar policy of having to work during unpaid meal periods for similar reasons, such as a heavy workload and understaffing.</w:t>
      </w:r>
      <w:r>
        <w:rPr>
          <w:vertAlign w:val="superscript"/>
        </w:rPr>
        <w:footnoteReference w:id="215"/>
      </w:r>
      <w:r w:rsidRPr="00AD2F44">
        <w:t xml:space="preserve"> Courts </w:t>
      </w:r>
      <w:r w:rsidRPr="00AD2F44">
        <w:lastRenderedPageBreak/>
        <w:t>have declined to consider defendants’ arguments regarding differences in job duties, finding such an inquiry appropriate at the second stage of the certification analysis.</w:t>
      </w:r>
      <w:r>
        <w:rPr>
          <w:vertAlign w:val="superscript"/>
        </w:rPr>
        <w:footnoteReference w:id="216"/>
      </w:r>
      <w:r w:rsidRPr="00AD2F44">
        <w:t xml:space="preserve"> Other courts have limited the scope of certification to the particular job position for which declarations have been provided.</w:t>
      </w:r>
      <w:r>
        <w:rPr>
          <w:vertAlign w:val="superscript"/>
        </w:rPr>
        <w:footnoteReference w:id="217"/>
      </w:r>
    </w:p>
    <w:p w14:paraId="2F0A1267" w14:textId="77777777" w:rsidR="005D0340" w:rsidRPr="00AD2F44" w:rsidRDefault="00F42107">
      <w:pPr>
        <w:pStyle w:val="10ATextWithIndent"/>
      </w:pPr>
      <w:r w:rsidRPr="00AD2F44">
        <w:t>With respect to meal periods, there may be judicial efficiencies served by a collective action covering multiple plants in one action.</w:t>
      </w:r>
      <w:r>
        <w:rPr>
          <w:vertAlign w:val="superscript"/>
        </w:rPr>
        <w:footnoteReference w:id="218"/>
      </w:r>
      <w:r w:rsidRPr="00AD2F44">
        <w:t xml:space="preserve"> However, other courts have limited the geographic scope of meal break claims where plaintiffs provided insufficient evidence of a nationwide policy.</w:t>
      </w:r>
      <w:r>
        <w:rPr>
          <w:vertAlign w:val="superscript"/>
        </w:rPr>
        <w:footnoteReference w:id="219"/>
      </w:r>
      <w:r w:rsidRPr="00AD2F44">
        <w:t xml:space="preserve"> At least one court has denied conditional certification in a meal break case, </w:t>
      </w:r>
      <w:r w:rsidRPr="00AD2F44">
        <w:lastRenderedPageBreak/>
        <w:t>despite finding that the plaintiffs had described a potentially unlawful policy of treating breaks of 20 minutes or fewer as bona fide breaks, where the named plaintiffs were not subject to the allegedly unlawful policy.</w:t>
      </w:r>
      <w:r>
        <w:rPr>
          <w:vertAlign w:val="superscript"/>
        </w:rPr>
        <w:footnoteReference w:id="220"/>
      </w:r>
      <w:r w:rsidRPr="00AD2F44">
        <w:t xml:space="preserve"> The court concluded that the plaintiffs could not have been harmed by the policy, and so could not be similarly situated to putative class members who were.</w:t>
      </w:r>
      <w:r>
        <w:rPr>
          <w:vertAlign w:val="superscript"/>
        </w:rPr>
        <w:footnoteReference w:id="221"/>
      </w:r>
      <w:r w:rsidRPr="00AD2F44">
        <w:t xml:space="preserve"> </w:t>
      </w:r>
    </w:p>
    <w:p w14:paraId="3070D4E8" w14:textId="77777777" w:rsidR="005D0340" w:rsidRPr="00AD2F44" w:rsidRDefault="00F42107">
      <w:pPr>
        <w:pStyle w:val="10ATextWithIndent"/>
      </w:pPr>
      <w:r w:rsidRPr="00AD2F44">
        <w:t xml:space="preserve">Courts have denied certification where plaintiffs have not provided evidence to rebut an employer’s policy requiring payment for time worked during meal breaks. For example, in </w:t>
      </w:r>
      <w:r w:rsidRPr="00AD2F44">
        <w:rPr>
          <w:i/>
          <w:iCs/>
        </w:rPr>
        <w:t>Dudley v. Texas Waste Systems, Inc</w:t>
      </w:r>
      <w:r w:rsidRPr="00AD2F44">
        <w:t>.,</w:t>
      </w:r>
      <w:r>
        <w:rPr>
          <w:vertAlign w:val="superscript"/>
        </w:rPr>
        <w:footnoteReference w:id="222"/>
      </w:r>
      <w:r w:rsidRPr="00AD2F44">
        <w:t xml:space="preserve"> the court denied conditional certification where the employer had a policy requiring employees to take lunch breaks and report time spent working during lunch breaks. The court found that the plaintiff truck drivers’ unsupported assertions in the complaint and affidavits that the time was unpaid were insufficient to grant certification. The court further concluded that it would be required to hear individual testimony on whether drivers regularly or only occasionally took lunch breaks, which weighed against certification. Courts have also denied collective action certification on meal break claims in circumstances where plaintiffs showed only the common practice of automatic meal-time deductions, but failed to provide evidence that employees worked through meals.</w:t>
      </w:r>
      <w:r>
        <w:rPr>
          <w:vertAlign w:val="superscript"/>
        </w:rPr>
        <w:footnoteReference w:id="223"/>
      </w:r>
      <w:r w:rsidRPr="00AD2F44">
        <w:t xml:space="preserve"> Likewise, the court in </w:t>
      </w:r>
      <w:r w:rsidRPr="00AD2F44">
        <w:rPr>
          <w:i/>
          <w:iCs/>
        </w:rPr>
        <w:t xml:space="preserve">Valcho v. </w:t>
      </w:r>
      <w:r w:rsidRPr="00AD2F44">
        <w:rPr>
          <w:i/>
          <w:iCs/>
        </w:rPr>
        <w:lastRenderedPageBreak/>
        <w:t>Dallas County Hospital District </w:t>
      </w:r>
      <w:r>
        <w:rPr>
          <w:vertAlign w:val="superscript"/>
        </w:rPr>
        <w:footnoteReference w:id="224"/>
      </w:r>
      <w:r w:rsidRPr="00AD2F44">
        <w:t xml:space="preserve"> denied certification for a group of nurses where the plaintiff failed to produce evidence that any other nurse was owed overtime for working through breaks, and the defendant contradicted the nurse’s central allegation by documenting that nurses who were uncompensated during the proposed class period had been paid back wages and signed releases asserting that no further wages were owed.</w:t>
      </w:r>
    </w:p>
    <w:p w14:paraId="73A499CD" w14:textId="77777777" w:rsidR="005D0340" w:rsidRPr="00AD2F44" w:rsidRDefault="00F42107">
      <w:pPr>
        <w:pStyle w:val="08Fifth-LevelHeadi"/>
      </w:pPr>
      <w:r w:rsidRPr="00AD2F44">
        <w:t>(iii.)</w:t>
      </w:r>
      <w:r w:rsidRPr="00AD2F44">
        <w:tab/>
        <w:t>Rounding Cases</w:t>
      </w:r>
    </w:p>
    <w:p w14:paraId="0CAD3F4B" w14:textId="77777777" w:rsidR="005D0340" w:rsidRPr="00AD2F44" w:rsidRDefault="00F42107">
      <w:pPr>
        <w:pStyle w:val="10ATextWithIndent"/>
      </w:pPr>
      <w:r w:rsidRPr="00AD2F44">
        <w:t>The Department of Labor’s (DOL’s) enforcement policy allows employers to round time-clock punches to increments of as much as a quarter hour, up or down, so long as the system “is used in such a manner that it will not result, over a period of time, in the failure to compensate the employees properly for all the time they have actually worked.”</w:t>
      </w:r>
      <w:r>
        <w:rPr>
          <w:vertAlign w:val="superscript"/>
        </w:rPr>
        <w:footnoteReference w:id="225"/>
      </w:r>
      <w:r w:rsidRPr="00AD2F44">
        <w:t xml:space="preserve"> In time-rounding cases where employees allege employers have consistently undercounted their time worked, testimony from company representatives with knowledge of the employer’s timekeeping practices may support conditional certification of improper rounding claims.</w:t>
      </w:r>
      <w:r>
        <w:rPr>
          <w:vertAlign w:val="superscript"/>
        </w:rPr>
        <w:footnoteReference w:id="226"/>
      </w:r>
      <w:r w:rsidRPr="00AD2F44">
        <w:t xml:space="preserve"> For example, in </w:t>
      </w:r>
      <w:r w:rsidRPr="00AD2F44">
        <w:rPr>
          <w:i/>
          <w:iCs/>
        </w:rPr>
        <w:t>Rincon v. BP Security &amp; Investigations, Inc</w:t>
      </w:r>
      <w:r w:rsidRPr="00AD2F44">
        <w:t>.,</w:t>
      </w:r>
      <w:r>
        <w:rPr>
          <w:vertAlign w:val="superscript"/>
        </w:rPr>
        <w:footnoteReference w:id="227"/>
      </w:r>
      <w:r w:rsidRPr="00AD2F44">
        <w:t xml:space="preserve"> the court certified a collective based on the testimony of a former payroll manager. The former payroll manager stated that time cards were routinely revised downward to conform to the work schedules of the security guards and that the company had a policy of rounding fractional hours to the nearest quarter hour, but instead automatically rounded time down to the detriment of the security guard plaintiffs.</w:t>
      </w:r>
    </w:p>
    <w:p w14:paraId="6D61D06C" w14:textId="77777777" w:rsidR="005D0340" w:rsidRPr="00AD2F44" w:rsidRDefault="00F42107">
      <w:pPr>
        <w:pStyle w:val="10ATextWithIndent"/>
        <w:rPr>
          <w:vertAlign w:val="superscript"/>
        </w:rPr>
      </w:pPr>
      <w:r w:rsidRPr="00AD2F44">
        <w:t xml:space="preserve">Likewise, in </w:t>
      </w:r>
      <w:r w:rsidRPr="00AD2F44">
        <w:rPr>
          <w:i/>
          <w:iCs/>
        </w:rPr>
        <w:t>Longcrier v. HL-A Co., Inc</w:t>
      </w:r>
      <w:r w:rsidRPr="00AD2F44">
        <w:t>.,</w:t>
      </w:r>
      <w:r>
        <w:rPr>
          <w:vertAlign w:val="superscript"/>
        </w:rPr>
        <w:footnoteReference w:id="228"/>
      </w:r>
      <w:r w:rsidRPr="00AD2F44">
        <w:t xml:space="preserve"> the district court granted conditional certification of a collective asserting, among other claims, improper rounding practices where the </w:t>
      </w:r>
      <w:r w:rsidRPr="00AD2F44">
        <w:lastRenderedPageBreak/>
        <w:t>plaintiffs submitted 30 declarations in support of their allegations and one declaration from a company employee confirming the existence and operation of the defendant’s rounding policy. The court found that the plaintiffs’ claims for “the off-the-clock work, lunch break truncation, and rounding policies affect all hourly employees, transcending a particular line, particular job duties, or a particular shift.”</w:t>
      </w:r>
      <w:r>
        <w:rPr>
          <w:vertAlign w:val="superscript"/>
        </w:rPr>
        <w:footnoteReference w:id="229"/>
      </w:r>
    </w:p>
    <w:p w14:paraId="5C85B791" w14:textId="77777777" w:rsidR="005D0340" w:rsidRPr="00AD2F44" w:rsidRDefault="00F42107">
      <w:pPr>
        <w:pStyle w:val="10ATextWithIndent"/>
        <w:rPr>
          <w:vertAlign w:val="superscript"/>
        </w:rPr>
      </w:pPr>
      <w:r w:rsidRPr="00AD2F44">
        <w:lastRenderedPageBreak/>
        <w:t xml:space="preserve">Courts have denied conditional certification of rounding cases, however, in the absence of well-pled pleadings and declarations that not only allege the existence of a policy or practice capable of undercounting employees’ time worked, but also clearly articulate that employees actually suffered a loss of overtime wages as a result. For example, in </w:t>
      </w:r>
      <w:r w:rsidRPr="00AD2F44">
        <w:rPr>
          <w:i/>
          <w:iCs/>
        </w:rPr>
        <w:t>McElmurry v. U.S. Bank National Association</w:t>
      </w:r>
      <w:r w:rsidRPr="00AD2F44">
        <w:t>,</w:t>
      </w:r>
      <w:r>
        <w:rPr>
          <w:vertAlign w:val="superscript"/>
        </w:rPr>
        <w:footnoteReference w:id="230"/>
      </w:r>
      <w:r w:rsidRPr="00AD2F44">
        <w:t xml:space="preserve"> the court denied conditional certification, reasoning that the mere existence of a conversion chart that consistently rounded down compensable time of the employees to the nearest one-tenth of an hour did not “demonstrate that any employee consistently used the chart, regularly rounded down, and as a result suffered a loss of overtime wages.”</w:t>
      </w:r>
      <w:r>
        <w:rPr>
          <w:vertAlign w:val="superscript"/>
        </w:rPr>
        <w:footnoteReference w:id="231"/>
      </w:r>
      <w:r w:rsidRPr="00AD2F44">
        <w:t xml:space="preserve"> The plaintiffs merely asserted that the conversion chart was attached to some timesheets without providing any evidence, such as affidavits, that the employees actually used the charts to round their time down.</w:t>
      </w:r>
      <w:r>
        <w:rPr>
          <w:vertAlign w:val="superscript"/>
        </w:rPr>
        <w:footnoteReference w:id="232"/>
      </w:r>
    </w:p>
    <w:p w14:paraId="10E02B17" w14:textId="77777777" w:rsidR="005D0340" w:rsidRPr="00AD2F44" w:rsidRDefault="00F42107">
      <w:pPr>
        <w:pStyle w:val="08Fifth-LevelHeadi"/>
      </w:pPr>
      <w:r w:rsidRPr="00AD2F44">
        <w:t>(iv.)</w:t>
      </w:r>
      <w:r w:rsidRPr="00AD2F44">
        <w:tab/>
        <w:t>Time Shaving Cases</w:t>
      </w:r>
    </w:p>
    <w:p w14:paraId="02E1DD09" w14:textId="77777777" w:rsidR="005D0340" w:rsidRPr="00AD2F44" w:rsidRDefault="00F42107">
      <w:pPr>
        <w:pStyle w:val="10ATextWithIndent"/>
        <w:rPr>
          <w:vertAlign w:val="superscript"/>
        </w:rPr>
      </w:pPr>
      <w:r w:rsidRPr="00AD2F44">
        <w:t>Another situation where courts may grant conditional certification even though there may not be a specific, unifying company policy is in the context of time shaving practices.</w:t>
      </w:r>
      <w:r>
        <w:rPr>
          <w:vertAlign w:val="superscript"/>
        </w:rPr>
        <w:footnoteReference w:id="233"/>
      </w:r>
      <w:r w:rsidRPr="00AD2F44">
        <w:t xml:space="preserve"> Courts have found that “it is enough if [the plaintiffs’] ‘claims [are] unified by common theories of defendants’ statutory violations, even if the proofs of those theories are inevitably individualized and distinct.’”</w:t>
      </w:r>
      <w:r>
        <w:rPr>
          <w:vertAlign w:val="superscript"/>
        </w:rPr>
        <w:footnoteReference w:id="234"/>
      </w:r>
      <w:r w:rsidRPr="00AD2F44">
        <w:t xml:space="preserve"> Even when a company policy exists, courts have granted conditional certification where time shaving may occur as a result of employers encouraging off-the-clock work or discouraging documentation of overtime.</w:t>
      </w:r>
      <w:r>
        <w:rPr>
          <w:vertAlign w:val="superscript"/>
        </w:rPr>
        <w:footnoteReference w:id="235"/>
      </w:r>
      <w:r w:rsidRPr="00AD2F44">
        <w:t xml:space="preserve"> However, courts have denied conditional </w:t>
      </w:r>
      <w:r w:rsidRPr="00AD2F44">
        <w:lastRenderedPageBreak/>
        <w:t>certification on the ground that these cases may require individualized assessments</w:t>
      </w:r>
      <w:r>
        <w:rPr>
          <w:vertAlign w:val="superscript"/>
        </w:rPr>
        <w:footnoteReference w:id="236"/>
      </w:r>
      <w:r w:rsidRPr="00AD2F44">
        <w:t xml:space="preserve"> or have limited the scope of the proposed class.</w:t>
      </w:r>
      <w:r>
        <w:rPr>
          <w:vertAlign w:val="superscript"/>
        </w:rPr>
        <w:footnoteReference w:id="237"/>
      </w:r>
    </w:p>
    <w:p w14:paraId="2DE96748" w14:textId="77777777" w:rsidR="005D0340" w:rsidRPr="00AD2F44" w:rsidRDefault="00F42107">
      <w:pPr>
        <w:pStyle w:val="08Fifth-LevelHeadi"/>
      </w:pPr>
      <w:r w:rsidRPr="00AD2F44">
        <w:t>(v.)</w:t>
      </w:r>
      <w:r w:rsidRPr="00AD2F44">
        <w:tab/>
        <w:t>Travel Time Cases</w:t>
      </w:r>
    </w:p>
    <w:p w14:paraId="6E2BF3CC" w14:textId="77777777" w:rsidR="005D0340" w:rsidRPr="00AD2F44" w:rsidRDefault="00F42107">
      <w:pPr>
        <w:pStyle w:val="10ATextWithIndent"/>
        <w:rPr>
          <w:vertAlign w:val="superscript"/>
        </w:rPr>
      </w:pPr>
      <w:r w:rsidRPr="00AD2F44">
        <w:t>Courts have granted conditional certification in cases where plaintiffs have asserted that the employer did not properly compensate them for travel time.</w:t>
      </w:r>
      <w:r>
        <w:rPr>
          <w:vertAlign w:val="superscript"/>
        </w:rPr>
        <w:footnoteReference w:id="238"/>
      </w:r>
    </w:p>
    <w:p w14:paraId="2734C442" w14:textId="77777777" w:rsidR="005D0340" w:rsidRPr="00AD2F44" w:rsidRDefault="00F42107">
      <w:pPr>
        <w:pStyle w:val="08Fifth-LevelHeadi"/>
      </w:pPr>
      <w:r w:rsidRPr="00AD2F44">
        <w:t>(vi.)</w:t>
      </w:r>
      <w:r w:rsidRPr="00AD2F44">
        <w:tab/>
        <w:t>Tip Credit Cases</w:t>
      </w:r>
    </w:p>
    <w:p w14:paraId="2E59E83A" w14:textId="77777777" w:rsidR="005D0340" w:rsidRPr="00AD2F44" w:rsidRDefault="00F42107">
      <w:pPr>
        <w:pStyle w:val="10ATextWithIndent"/>
        <w:rPr>
          <w:vertAlign w:val="superscript"/>
        </w:rPr>
      </w:pPr>
      <w:r w:rsidRPr="00AD2F44">
        <w:lastRenderedPageBreak/>
        <w:t>Courts</w:t>
      </w:r>
      <w:r w:rsidRPr="00AD2F44">
        <w:rPr>
          <w:i/>
          <w:iCs/>
        </w:rPr>
        <w:t xml:space="preserve"> </w:t>
      </w:r>
      <w:r w:rsidRPr="00AD2F44">
        <w:t>have granted conditional certification in cases challenging tip credit practices,</w:t>
      </w:r>
      <w:r>
        <w:rPr>
          <w:rStyle w:val="FootnoteReference"/>
        </w:rPr>
        <w:footnoteReference w:id="239"/>
      </w:r>
      <w:r w:rsidRPr="00AD2F44">
        <w:t xml:space="preserve"> but not always.</w:t>
      </w:r>
      <w:r>
        <w:rPr>
          <w:vertAlign w:val="superscript"/>
        </w:rPr>
        <w:footnoteReference w:id="240"/>
      </w:r>
    </w:p>
    <w:p w14:paraId="4A2EC127" w14:textId="77777777" w:rsidR="005D0340" w:rsidRPr="00AD2F44" w:rsidRDefault="00F42107">
      <w:pPr>
        <w:pStyle w:val="08Fifth-LevelHeadi"/>
      </w:pPr>
      <w:r w:rsidRPr="00AD2F44">
        <w:t>(vii.)</w:t>
      </w:r>
      <w:r w:rsidRPr="00AD2F44">
        <w:tab/>
        <w:t>Regular Rate Cases</w:t>
      </w:r>
    </w:p>
    <w:p w14:paraId="7EB4C4F7" w14:textId="7E9ECE34" w:rsidR="005D0340" w:rsidRPr="00AD2F44" w:rsidRDefault="00F42107">
      <w:pPr>
        <w:pStyle w:val="10ATextWithIndent"/>
      </w:pPr>
      <w:r w:rsidRPr="00AD2F44">
        <w:lastRenderedPageBreak/>
        <w:t>Courts</w:t>
      </w:r>
      <w:r w:rsidRPr="00AD2F44">
        <w:rPr>
          <w:i/>
          <w:iCs/>
        </w:rPr>
        <w:t xml:space="preserve"> </w:t>
      </w:r>
      <w:r w:rsidRPr="00AD2F44">
        <w:t>have granted conditional certification where plaintiffs have alleged that employers have improperly calculated the regular rate</w:t>
      </w:r>
      <w:r w:rsidR="00915A9E" w:rsidRPr="00AD2F44">
        <w:t>,</w:t>
      </w:r>
      <w:r>
        <w:rPr>
          <w:vertAlign w:val="superscript"/>
        </w:rPr>
        <w:footnoteReference w:id="241"/>
      </w:r>
      <w:r w:rsidRPr="00AD2F44">
        <w:rPr>
          <w:i/>
          <w:iCs/>
        </w:rPr>
        <w:t xml:space="preserve"> </w:t>
      </w:r>
      <w:r w:rsidR="00915A9E" w:rsidRPr="00AD2F44">
        <w:t xml:space="preserve">unless </w:t>
      </w:r>
      <w:r w:rsidR="007F4948" w:rsidRPr="00AD2F44">
        <w:t xml:space="preserve">the </w:t>
      </w:r>
      <w:r w:rsidR="00915A9E" w:rsidRPr="00AD2F44">
        <w:t>plaintiffs fail to demonstrate the existence of a common policy alleg</w:t>
      </w:r>
      <w:r w:rsidR="00743ACA" w:rsidRPr="00AD2F44">
        <w:t>edly</w:t>
      </w:r>
      <w:r w:rsidR="00915A9E" w:rsidRPr="00AD2F44">
        <w:t xml:space="preserve"> violating the FLSA.</w:t>
      </w:r>
      <w:r>
        <w:rPr>
          <w:rStyle w:val="FootnoteReference"/>
        </w:rPr>
        <w:footnoteReference w:id="242"/>
      </w:r>
    </w:p>
    <w:p w14:paraId="77F522BA" w14:textId="77777777" w:rsidR="005D0340" w:rsidRPr="00AD2F44" w:rsidRDefault="00F42107">
      <w:pPr>
        <w:pStyle w:val="06Third-LevelHead123"/>
      </w:pPr>
      <w:r w:rsidRPr="00AD2F44">
        <w:t>6.</w:t>
      </w:r>
      <w:r w:rsidRPr="00AD2F44">
        <w:tab/>
        <w:t>Other Issues That May Be Considered at or Before Stage I</w:t>
      </w:r>
    </w:p>
    <w:p w14:paraId="12422219" w14:textId="77777777" w:rsidR="005D0340" w:rsidRPr="00AD2F44" w:rsidRDefault="00F42107">
      <w:pPr>
        <w:pStyle w:val="07Fourth-LevelHeadabc"/>
      </w:pPr>
      <w:r w:rsidRPr="00AD2F44">
        <w:t>a.</w:t>
      </w:r>
      <w:r w:rsidRPr="00AD2F44">
        <w:tab/>
        <w:t>Addressing “Dispositive Issues” Prior to Conditional Certification</w:t>
      </w:r>
    </w:p>
    <w:p w14:paraId="0E22DB8C" w14:textId="77777777" w:rsidR="005D0340" w:rsidRPr="00AD2F44" w:rsidRDefault="00F42107">
      <w:pPr>
        <w:pStyle w:val="10ATextWithIndent"/>
      </w:pPr>
      <w:r w:rsidRPr="00AD2F44">
        <w:t>While employers sometimes ask a court to delay its consideration of a conditional certification motion while the court addresses a “dispositive” issue, such as a motion for summary judgment or a motion to compel arbitration, many courts (in misclassification and other collective action cases) have refused to resolve motions going to the merits or motions to compel arbitration prior to ruling on the conditional certification and notice motion, limiting the inquiry to the similarly situated analysis.</w:t>
      </w:r>
      <w:r>
        <w:rPr>
          <w:vertAlign w:val="superscript"/>
        </w:rPr>
        <w:footnoteReference w:id="243"/>
      </w:r>
      <w:r w:rsidRPr="00AD2F44">
        <w:t xml:space="preserve"> </w:t>
      </w:r>
    </w:p>
    <w:p w14:paraId="6A4D41C1" w14:textId="77777777" w:rsidR="005D0340" w:rsidRPr="00AD2F44" w:rsidRDefault="00F42107">
      <w:pPr>
        <w:pStyle w:val="10ATextWithIndent"/>
      </w:pPr>
      <w:r w:rsidRPr="00AD2F44">
        <w:lastRenderedPageBreak/>
        <w:t>Nevertheless, other courts have also considered and ruled on motions that address merits issues prior to deciding conditional certification motions.</w:t>
      </w:r>
      <w:r>
        <w:rPr>
          <w:vertAlign w:val="superscript"/>
        </w:rPr>
        <w:footnoteReference w:id="244"/>
      </w:r>
    </w:p>
    <w:p w14:paraId="30E07649" w14:textId="77777777" w:rsidR="005D0340" w:rsidRPr="00AD2F44" w:rsidRDefault="005D0340">
      <w:pPr>
        <w:pStyle w:val="4thlevelheadai"/>
        <w:rPr>
          <w:rFonts w:cs="Times New Roman"/>
        </w:rPr>
      </w:pPr>
    </w:p>
    <w:p w14:paraId="2E269AF3" w14:textId="77777777" w:rsidR="005D0340" w:rsidRPr="00AD2F44" w:rsidRDefault="00F42107">
      <w:pPr>
        <w:pStyle w:val="07Fourth-LevelHeadabc"/>
      </w:pPr>
      <w:r w:rsidRPr="00AD2F44">
        <w:t>b.</w:t>
      </w:r>
      <w:r w:rsidRPr="00AD2F44">
        <w:tab/>
        <w:t>Lack of Personal Jurisdiction</w:t>
      </w:r>
    </w:p>
    <w:p w14:paraId="1A131A3F" w14:textId="77777777" w:rsidR="005D0340" w:rsidRPr="00AD2F44" w:rsidRDefault="00F42107">
      <w:pPr>
        <w:pStyle w:val="08Fifth-LevelHeadi"/>
      </w:pPr>
      <w:r w:rsidRPr="00AD2F44">
        <w:t>(i.)</w:t>
      </w:r>
      <w:r w:rsidRPr="00AD2F44">
        <w:tab/>
        <w:t>Jurisdiction Over Defendant</w:t>
      </w:r>
    </w:p>
    <w:p w14:paraId="69E29EAD" w14:textId="493204AA" w:rsidR="005D0340" w:rsidRPr="00AD2F44" w:rsidRDefault="00F42107">
      <w:pPr>
        <w:pStyle w:val="10ATextWithIndent"/>
      </w:pPr>
      <w:r w:rsidRPr="00AD2F44">
        <w:t xml:space="preserve">Whether a court has personal jurisdiction over a defendant is a factor that has been considered when deciding conditional certification. For example, an Arizona district court, in </w:t>
      </w:r>
      <w:r w:rsidRPr="00AD2F44">
        <w:rPr>
          <w:i/>
          <w:iCs/>
        </w:rPr>
        <w:t>Kesley v. Entertainment U.S.A. Inc</w:t>
      </w:r>
      <w:r w:rsidRPr="00AD2F44">
        <w:t>.,</w:t>
      </w:r>
      <w:r>
        <w:rPr>
          <w:vertAlign w:val="superscript"/>
        </w:rPr>
        <w:footnoteReference w:id="245"/>
      </w:r>
      <w:r w:rsidRPr="00AD2F44">
        <w:t xml:space="preserve"> considered whether to grant conditional certification as to two entities located in Ohio and North Carolina. The court refused to do so because while they may have been considered part of a “single enterprise” within the meaning of the FLSA, the entities did not have substantial or continuous and systematic contacts with Arizona; thus, the court lacked general jurisdiction over the entities. The court also held that it did not have specific jurisdiction over the entities notwithstanding allegations that all of the defendant entities shared employees, had a common management, pooled their resources, operated from the same headquarters, had common ownership, and operated under the same name.</w:t>
      </w:r>
      <w:r>
        <w:rPr>
          <w:vertAlign w:val="superscript"/>
        </w:rPr>
        <w:footnoteReference w:id="246"/>
      </w:r>
      <w:r w:rsidR="00554B06" w:rsidRPr="00AD2F44">
        <w:t xml:space="preserve"> In </w:t>
      </w:r>
      <w:r w:rsidR="00554B06" w:rsidRPr="00AD2F44">
        <w:rPr>
          <w:i/>
          <w:iCs/>
        </w:rPr>
        <w:t xml:space="preserve">Olin-Marquez v. Arrow Senior Living </w:t>
      </w:r>
      <w:r w:rsidR="00F22518" w:rsidRPr="00AD2F44">
        <w:rPr>
          <w:i/>
          <w:iCs/>
        </w:rPr>
        <w:t>Management</w:t>
      </w:r>
      <w:r w:rsidR="00554B06" w:rsidRPr="00AD2F44">
        <w:rPr>
          <w:i/>
          <w:iCs/>
        </w:rPr>
        <w:t>, LLC</w:t>
      </w:r>
      <w:r w:rsidR="00F22518" w:rsidRPr="00AD2F44">
        <w:t>,</w:t>
      </w:r>
      <w:r>
        <w:rPr>
          <w:rStyle w:val="FootnoteReference"/>
        </w:rPr>
        <w:footnoteReference w:id="247"/>
      </w:r>
      <w:r w:rsidR="00554B06" w:rsidRPr="00AD2F44">
        <w:t xml:space="preserve"> an Ohio district court found that a Missouri-based </w:t>
      </w:r>
      <w:r w:rsidR="00554B06" w:rsidRPr="00AD2F44">
        <w:lastRenderedPageBreak/>
        <w:t>company was subject to specific personal jurisdiction in Ohio as to the plaintiff’s FLSA claims.</w:t>
      </w:r>
      <w:r w:rsidR="00F22518" w:rsidRPr="00AD2F44">
        <w:t xml:space="preserve"> </w:t>
      </w:r>
      <w:r w:rsidR="00554B06" w:rsidRPr="00AD2F44">
        <w:t>The court found that the defendant either on its own or as a joint employer managed multiple businesses in Ohio</w:t>
      </w:r>
      <w:r w:rsidR="006249AB" w:rsidRPr="00AD2F44">
        <w:t>, hired the plaintiff and</w:t>
      </w:r>
      <w:r w:rsidR="00554B06" w:rsidRPr="00AD2F44">
        <w:t xml:space="preserve"> set and determined </w:t>
      </w:r>
      <w:r w:rsidR="006249AB" w:rsidRPr="00AD2F44">
        <w:t xml:space="preserve">her </w:t>
      </w:r>
      <w:r w:rsidR="00554B06" w:rsidRPr="00AD2F44">
        <w:t>pay, connecting its purposeful availment and extensive contacts with the state with the plaintiff’s claim of improper overtime pay.</w:t>
      </w:r>
      <w:r>
        <w:rPr>
          <w:rStyle w:val="FootnoteReference"/>
        </w:rPr>
        <w:footnoteReference w:id="248"/>
      </w:r>
      <w:r w:rsidR="00554B06" w:rsidRPr="00AD2F44">
        <w:t xml:space="preserve"> </w:t>
      </w:r>
    </w:p>
    <w:p w14:paraId="35EE511A" w14:textId="792BDA8C" w:rsidR="005D0340" w:rsidRPr="00AD2F44" w:rsidRDefault="00F42107">
      <w:pPr>
        <w:pStyle w:val="08Fifth-LevelHeadi"/>
      </w:pPr>
      <w:r w:rsidRPr="00AD2F44">
        <w:t>(ii.)</w:t>
      </w:r>
      <w:r w:rsidRPr="00AD2F44">
        <w:tab/>
        <w:t>Jurisdiction Over Defendant as to Claims of Opt</w:t>
      </w:r>
      <w:r w:rsidR="00692FB2" w:rsidRPr="00AD2F44">
        <w:t>-</w:t>
      </w:r>
      <w:r w:rsidRPr="00AD2F44">
        <w:t>Ins</w:t>
      </w:r>
    </w:p>
    <w:p w14:paraId="12AA2EC3" w14:textId="226C3455" w:rsidR="005D0340" w:rsidRPr="00AD2F44" w:rsidRDefault="00F42107">
      <w:pPr>
        <w:pStyle w:val="10ATextWithIndent"/>
        <w:rPr>
          <w:vertAlign w:val="superscript"/>
        </w:rPr>
      </w:pPr>
      <w:r w:rsidRPr="00AD2F44">
        <w:t xml:space="preserve">In </w:t>
      </w:r>
      <w:r w:rsidRPr="00AD2F44">
        <w:rPr>
          <w:i/>
          <w:iCs/>
        </w:rPr>
        <w:t>Bristol-Myers Squibb v. Superior Court</w:t>
      </w:r>
      <w:r w:rsidRPr="00AD2F44">
        <w:t>,</w:t>
      </w:r>
      <w:r w:rsidRPr="00AD2F44">
        <w:rPr>
          <w:vertAlign w:val="superscript"/>
        </w:rPr>
        <w:t xml:space="preserve"> </w:t>
      </w:r>
      <w:r>
        <w:rPr>
          <w:vertAlign w:val="superscript"/>
        </w:rPr>
        <w:footnoteReference w:id="249"/>
      </w:r>
      <w:r w:rsidRPr="00AD2F44">
        <w:t xml:space="preserve"> the Supreme Court, applying constitutional due process principles, held that a state court may exercise personal jurisdiction as to a defendant only over the claims of those plaintiffs in a mass tort action who were injured in, or otherwise connected to, the forum state. The defendant in </w:t>
      </w:r>
      <w:r w:rsidRPr="00AD2F44">
        <w:rPr>
          <w:i/>
          <w:iCs/>
        </w:rPr>
        <w:t>Bristol-Myers Squibb</w:t>
      </w:r>
      <w:r w:rsidRPr="00AD2F44">
        <w:t xml:space="preserve"> was not headquartered or incorporated in the forum state (California), although it sold the drug that was the focus of the lawsuit in California.</w:t>
      </w:r>
      <w:r>
        <w:rPr>
          <w:vertAlign w:val="superscript"/>
        </w:rPr>
        <w:footnoteReference w:id="250"/>
      </w:r>
      <w:r w:rsidRPr="00AD2F44">
        <w:t xml:space="preserve"> The Supreme Court held that just because some plaintiffs had purchased, ingested, and/or were allegedly harmed by the drug in California, these facts did not warrant asserting personal jurisdiction over the claims of nonresident plaintiffs who had not.</w:t>
      </w:r>
      <w:r>
        <w:rPr>
          <w:vertAlign w:val="superscript"/>
        </w:rPr>
        <w:footnoteReference w:id="251"/>
      </w:r>
    </w:p>
    <w:p w14:paraId="27FCC062" w14:textId="3D303E25" w:rsidR="00740B42" w:rsidRPr="00AD2F44" w:rsidRDefault="00F42107">
      <w:pPr>
        <w:pStyle w:val="10ATextWithIndent"/>
      </w:pPr>
      <w:r w:rsidRPr="00AD2F44">
        <w:t xml:space="preserve">In the aftermath of </w:t>
      </w:r>
      <w:r w:rsidRPr="00AD2F44">
        <w:rPr>
          <w:i/>
          <w:iCs/>
        </w:rPr>
        <w:t>Bristol-Myers Squibb</w:t>
      </w:r>
      <w:r w:rsidRPr="00AD2F44">
        <w:t>,</w:t>
      </w:r>
      <w:r w:rsidRPr="00AD2F44">
        <w:rPr>
          <w:i/>
          <w:iCs/>
        </w:rPr>
        <w:t xml:space="preserve"> </w:t>
      </w:r>
      <w:r w:rsidRPr="00AD2F44">
        <w:t>some courts have held that the due process principles articulated by the Supreme Court in that case</w:t>
      </w:r>
      <w:r w:rsidRPr="00AD2F44">
        <w:rPr>
          <w:i/>
          <w:iCs/>
        </w:rPr>
        <w:t xml:space="preserve"> </w:t>
      </w:r>
      <w:r w:rsidRPr="00AD2F44">
        <w:t xml:space="preserve">apply to collective actions, reasoning that </w:t>
      </w:r>
      <w:r w:rsidRPr="00AD2F44">
        <w:rPr>
          <w:i/>
          <w:iCs/>
        </w:rPr>
        <w:t>Bristol-Myers Squibb</w:t>
      </w:r>
      <w:r w:rsidRPr="00AD2F44">
        <w:t xml:space="preserve"> was not limited to mass tort claims or state court lawsuits.</w:t>
      </w:r>
      <w:r w:rsidR="00620E33" w:rsidRPr="00AD2F44">
        <w:t xml:space="preserve"> </w:t>
      </w:r>
      <w:r w:rsidRPr="00AD2F44">
        <w:t xml:space="preserve">Two </w:t>
      </w:r>
      <w:r w:rsidR="0078383D" w:rsidRPr="00AD2F44">
        <w:t xml:space="preserve">circuit </w:t>
      </w:r>
      <w:r w:rsidRPr="00AD2F44">
        <w:t xml:space="preserve">courts have come down on this side. In </w:t>
      </w:r>
      <w:r w:rsidRPr="00AD2F44">
        <w:rPr>
          <w:i/>
          <w:iCs/>
        </w:rPr>
        <w:t>Canaday v. Anthem Companies, Inc.</w:t>
      </w:r>
      <w:r w:rsidRPr="00AD2F44">
        <w:t>,</w:t>
      </w:r>
      <w:r>
        <w:rPr>
          <w:rStyle w:val="FootnoteReference"/>
        </w:rPr>
        <w:footnoteReference w:id="252"/>
      </w:r>
      <w:r w:rsidRPr="00AD2F44">
        <w:t xml:space="preserve"> the Sixth Circuit affirmed dismissal of out-of-state opt-in plaintiffs in a proposed nationwide collective action filed in Tennessee because the employer was headquartered in Indiana. The Sixth Circuit reasoned that </w:t>
      </w:r>
      <w:r w:rsidRPr="00AD2F44">
        <w:rPr>
          <w:i/>
          <w:iCs/>
        </w:rPr>
        <w:t>Bristol-Myers</w:t>
      </w:r>
      <w:r w:rsidR="0078383D" w:rsidRPr="00AD2F44">
        <w:rPr>
          <w:i/>
          <w:iCs/>
        </w:rPr>
        <w:t xml:space="preserve"> </w:t>
      </w:r>
      <w:r w:rsidRPr="00AD2F44">
        <w:rPr>
          <w:i/>
          <w:iCs/>
        </w:rPr>
        <w:t>Squibb</w:t>
      </w:r>
      <w:r w:rsidRPr="00AD2F44">
        <w:t xml:space="preserve"> applied “with equal force to FLSA collective actions under federal law” because collective actions are more like the mass action at issue in </w:t>
      </w:r>
      <w:r w:rsidRPr="00AD2F44">
        <w:rPr>
          <w:i/>
          <w:iCs/>
        </w:rPr>
        <w:t>Bristol-Myers</w:t>
      </w:r>
      <w:r w:rsidR="0078383D" w:rsidRPr="00AD2F44">
        <w:rPr>
          <w:i/>
          <w:iCs/>
        </w:rPr>
        <w:t xml:space="preserve"> </w:t>
      </w:r>
      <w:r w:rsidRPr="00AD2F44">
        <w:rPr>
          <w:i/>
          <w:iCs/>
        </w:rPr>
        <w:t>Squibb</w:t>
      </w:r>
      <w:r w:rsidRPr="00AD2F44">
        <w:t xml:space="preserve"> than a Rule 23 class action.</w:t>
      </w:r>
      <w:r>
        <w:rPr>
          <w:rStyle w:val="FootnoteReference"/>
        </w:rPr>
        <w:footnoteReference w:id="253"/>
      </w:r>
      <w:r w:rsidRPr="00AD2F44">
        <w:t xml:space="preserve"> The Sixth Circuit found that the out-of-state plaintiffs did not bring claims that arose out of the employer’s contacts with Tennessee because the employer did not (1) employ them, (2) pay them, or (3) “shortchange” them on overtime compensation in Tennessee.</w:t>
      </w:r>
      <w:r>
        <w:rPr>
          <w:rStyle w:val="FootnoteReference"/>
        </w:rPr>
        <w:footnoteReference w:id="254"/>
      </w:r>
      <w:r w:rsidRPr="00AD2F44">
        <w:t xml:space="preserve"> The court rejected seven counterarguments by the plaintiff, reasoning as follows: </w:t>
      </w:r>
    </w:p>
    <w:p w14:paraId="46D8A60E" w14:textId="15096ABD" w:rsidR="00740B42" w:rsidRPr="00AD2F44" w:rsidRDefault="00F42107" w:rsidP="00740B42">
      <w:pPr>
        <w:pStyle w:val="12AFirst-LevelList123forcompletesentences"/>
      </w:pPr>
      <w:r w:rsidRPr="00AD2F44">
        <w:t>1.</w:t>
      </w:r>
      <w:r w:rsidRPr="00AD2F44">
        <w:tab/>
        <w:t>F</w:t>
      </w:r>
      <w:r w:rsidR="00DD7064" w:rsidRPr="00AD2F44">
        <w:t>iling a federal claim in federal court did not overcome the absence of a national service of process provision in the FLSA (noting the presence of such national service of process provisions in other statutes) or</w:t>
      </w:r>
      <w:r w:rsidR="00620E33" w:rsidRPr="00AD2F44">
        <w:t xml:space="preserve"> </w:t>
      </w:r>
      <w:r w:rsidRPr="00AD2F44">
        <w:t xml:space="preserve">the </w:t>
      </w:r>
      <w:r w:rsidR="00DD7064" w:rsidRPr="00AD2F44">
        <w:t xml:space="preserve">limitation of personal jurisdiction </w:t>
      </w:r>
      <w:r w:rsidRPr="00AD2F44">
        <w:t xml:space="preserve">under Rule 4(k) of the Federal Rules of Civil Procedure </w:t>
      </w:r>
      <w:r w:rsidR="00DD7064" w:rsidRPr="00AD2F44">
        <w:t>to the state’s jurisdiction over a defendant</w:t>
      </w:r>
      <w:r w:rsidRPr="00AD2F44">
        <w:t>.</w:t>
      </w:r>
      <w:r>
        <w:rPr>
          <w:rStyle w:val="FootnoteReference"/>
          <w:sz w:val="24"/>
        </w:rPr>
        <w:footnoteReference w:id="255"/>
      </w:r>
      <w:r w:rsidR="00DD7064" w:rsidRPr="00AD2F44">
        <w:rPr>
          <w:vertAlign w:val="superscript"/>
        </w:rPr>
        <w:t xml:space="preserve"> </w:t>
      </w:r>
    </w:p>
    <w:p w14:paraId="134CA01E" w14:textId="46199CA5" w:rsidR="00740B42" w:rsidRPr="00AD2F44" w:rsidRDefault="00F42107" w:rsidP="00740B42">
      <w:pPr>
        <w:pStyle w:val="12AFirst-LevelList123forcompletesentences"/>
      </w:pPr>
      <w:r w:rsidRPr="00AD2F44">
        <w:lastRenderedPageBreak/>
        <w:t>2.</w:t>
      </w:r>
      <w:r w:rsidRPr="00AD2F44">
        <w:tab/>
        <w:t xml:space="preserve">The fact </w:t>
      </w:r>
      <w:r w:rsidR="00DD7064" w:rsidRPr="00AD2F44">
        <w:t>that the opt-in plaintiffs did not have to serve separate process does not eliminate Rule 4(k)’s limit on personal jurisdiction on those plaintiffs’ claims as to the defendant</w:t>
      </w:r>
      <w:r w:rsidRPr="00AD2F44">
        <w:t>.</w:t>
      </w:r>
      <w:r>
        <w:rPr>
          <w:rStyle w:val="FootnoteReference"/>
          <w:sz w:val="24"/>
        </w:rPr>
        <w:footnoteReference w:id="256"/>
      </w:r>
      <w:r w:rsidR="00DD7064" w:rsidRPr="00AD2F44">
        <w:t xml:space="preserve"> </w:t>
      </w:r>
    </w:p>
    <w:p w14:paraId="1A68A661" w14:textId="7359435F" w:rsidR="00740B42" w:rsidRPr="00AD2F44" w:rsidRDefault="00F42107" w:rsidP="00740B42">
      <w:pPr>
        <w:pStyle w:val="12AFirst-LevelList123forcompletesentences"/>
      </w:pPr>
      <w:r w:rsidRPr="00AD2F44">
        <w:t>3.</w:t>
      </w:r>
      <w:r w:rsidRPr="00AD2F44">
        <w:tab/>
        <w:t>I</w:t>
      </w:r>
      <w:r w:rsidR="00DD7064" w:rsidRPr="00AD2F44">
        <w:t xml:space="preserve">t is improper to analyze personal jurisdiction at the level of the suit instead of </w:t>
      </w:r>
      <w:r w:rsidRPr="00AD2F44">
        <w:t xml:space="preserve">at </w:t>
      </w:r>
      <w:r w:rsidR="00DD7064" w:rsidRPr="00AD2F44">
        <w:t>the level of each claim</w:t>
      </w:r>
      <w:r w:rsidRPr="00AD2F44">
        <w:t>.</w:t>
      </w:r>
      <w:r>
        <w:rPr>
          <w:rStyle w:val="FootnoteReference"/>
          <w:sz w:val="24"/>
        </w:rPr>
        <w:footnoteReference w:id="257"/>
      </w:r>
      <w:r w:rsidR="00DD7064" w:rsidRPr="00AD2F44">
        <w:t xml:space="preserve"> </w:t>
      </w:r>
    </w:p>
    <w:p w14:paraId="58039C45" w14:textId="5E17A4B5" w:rsidR="00740B42" w:rsidRPr="00AD2F44" w:rsidRDefault="00F42107" w:rsidP="00740B42">
      <w:pPr>
        <w:pStyle w:val="12AFirst-LevelList123forcompletesentences"/>
      </w:pPr>
      <w:r w:rsidRPr="00AD2F44">
        <w:t>4.</w:t>
      </w:r>
      <w:r w:rsidRPr="00AD2F44">
        <w:tab/>
        <w:t>I</w:t>
      </w:r>
      <w:r w:rsidR="00DD7064" w:rsidRPr="00AD2F44">
        <w:t xml:space="preserve">nefficiencies to </w:t>
      </w:r>
      <w:r w:rsidRPr="00AD2F44">
        <w:t xml:space="preserve">the </w:t>
      </w:r>
      <w:r w:rsidR="00DD7064" w:rsidRPr="00AD2F44">
        <w:t xml:space="preserve">plaintiffs’ claims caused by limiting personal jurisdiction are because personal jurisdiction limits are designed to protect defendants, not </w:t>
      </w:r>
      <w:r w:rsidRPr="00AD2F44">
        <w:t xml:space="preserve">to </w:t>
      </w:r>
      <w:r w:rsidR="00DD7064" w:rsidRPr="00AD2F44">
        <w:t>facilitate plaintiffs’ claims, and plaintiffs can sue in jurisdictions with general jurisdiction</w:t>
      </w:r>
      <w:r w:rsidRPr="00AD2F44">
        <w:t>.</w:t>
      </w:r>
      <w:r>
        <w:rPr>
          <w:rStyle w:val="FootnoteReference"/>
          <w:sz w:val="24"/>
        </w:rPr>
        <w:footnoteReference w:id="258"/>
      </w:r>
      <w:r w:rsidR="00DD7064" w:rsidRPr="00AD2F44">
        <w:t xml:space="preserve"> </w:t>
      </w:r>
    </w:p>
    <w:p w14:paraId="11244F43" w14:textId="514A57E6" w:rsidR="00740B42" w:rsidRPr="00AD2F44" w:rsidRDefault="00F42107" w:rsidP="00740B42">
      <w:pPr>
        <w:pStyle w:val="12AFirst-LevelList123forcompletesentences"/>
      </w:pPr>
      <w:r w:rsidRPr="00AD2F44">
        <w:t>5.</w:t>
      </w:r>
      <w:r w:rsidRPr="00AD2F44">
        <w:tab/>
        <w:t>U</w:t>
      </w:r>
      <w:r w:rsidR="00DD7064" w:rsidRPr="00AD2F44">
        <w:t xml:space="preserve">se of </w:t>
      </w:r>
      <w:r w:rsidRPr="00AD2F44">
        <w:t>pendent</w:t>
      </w:r>
      <w:r w:rsidR="00DD7064" w:rsidRPr="00AD2F44">
        <w:t xml:space="preserve"> personal jurisdiction is inapplicable</w:t>
      </w:r>
      <w:r w:rsidRPr="00AD2F44">
        <w:t>.</w:t>
      </w:r>
      <w:r>
        <w:rPr>
          <w:rStyle w:val="FootnoteReference"/>
          <w:sz w:val="24"/>
        </w:rPr>
        <w:footnoteReference w:id="259"/>
      </w:r>
      <w:r w:rsidR="00DD7064" w:rsidRPr="00AD2F44">
        <w:t xml:space="preserve"> </w:t>
      </w:r>
    </w:p>
    <w:p w14:paraId="069F9B9F" w14:textId="149C5EEC" w:rsidR="00740B42" w:rsidRPr="00AD2F44" w:rsidRDefault="00F42107" w:rsidP="00740B42">
      <w:pPr>
        <w:pStyle w:val="12AFirst-LevelList123forcompletesentences"/>
      </w:pPr>
      <w:r w:rsidRPr="00AD2F44">
        <w:t>6.</w:t>
      </w:r>
      <w:r w:rsidRPr="00AD2F44">
        <w:tab/>
        <w:t>T</w:t>
      </w:r>
      <w:r w:rsidR="00DD7064" w:rsidRPr="00AD2F44">
        <w:t>he personal jurisdiction rules of Rule 23 class actions do not apply to collective actions, despite some similarities between class and collective actions, because the two types of actions are “fundamentally different,” growing largely out of the fact that class actions are representative</w:t>
      </w:r>
      <w:r w:rsidRPr="00AD2F44">
        <w:t>,</w:t>
      </w:r>
      <w:r w:rsidR="00DD7064" w:rsidRPr="00AD2F44">
        <w:t xml:space="preserve"> where</w:t>
      </w:r>
      <w:r w:rsidRPr="00AD2F44">
        <w:t>as</w:t>
      </w:r>
      <w:r w:rsidR="00DD7064" w:rsidRPr="00AD2F44">
        <w:t xml:space="preserve"> collective actions are not</w:t>
      </w:r>
      <w:r w:rsidRPr="00AD2F44">
        <w:t>.</w:t>
      </w:r>
      <w:r>
        <w:rPr>
          <w:rStyle w:val="FootnoteReference"/>
          <w:sz w:val="24"/>
        </w:rPr>
        <w:footnoteReference w:id="260"/>
      </w:r>
      <w:r w:rsidR="00DD7064" w:rsidRPr="00AD2F44">
        <w:t xml:space="preserve"> </w:t>
      </w:r>
    </w:p>
    <w:p w14:paraId="25D099ED" w14:textId="1EAE6AF0" w:rsidR="005D0340" w:rsidRPr="00AD2F44" w:rsidRDefault="00F42107" w:rsidP="00740B42">
      <w:pPr>
        <w:pStyle w:val="12AFirst-LevelList123forcompletesentences"/>
      </w:pPr>
      <w:r w:rsidRPr="00AD2F44">
        <w:t>7.</w:t>
      </w:r>
      <w:r w:rsidRPr="00AD2F44">
        <w:tab/>
        <w:t>T</w:t>
      </w:r>
      <w:r w:rsidR="00DD7064" w:rsidRPr="00AD2F44">
        <w:t xml:space="preserve">his decision does not necessarily apply to multidistrict litigation, which implicates a different statute, </w:t>
      </w:r>
      <w:r w:rsidRPr="00AD2F44">
        <w:t xml:space="preserve">and </w:t>
      </w:r>
      <w:r w:rsidR="00DD7064" w:rsidRPr="00AD2F44">
        <w:t>so obstacles to such litigation are not a given.</w:t>
      </w:r>
      <w:r>
        <w:rPr>
          <w:rStyle w:val="FootnoteReference"/>
          <w:sz w:val="24"/>
        </w:rPr>
        <w:footnoteReference w:id="261"/>
      </w:r>
      <w:r w:rsidR="00620E33" w:rsidRPr="00AD2F44">
        <w:t xml:space="preserve"> </w:t>
      </w:r>
    </w:p>
    <w:p w14:paraId="7F1A77B7" w14:textId="2F56561D" w:rsidR="005D0340" w:rsidRPr="00AD2F44" w:rsidRDefault="00F42107" w:rsidP="009B3F04">
      <w:pPr>
        <w:pStyle w:val="10ATextWithIndent"/>
      </w:pPr>
      <w:r w:rsidRPr="00AD2F44">
        <w:t xml:space="preserve">The day after </w:t>
      </w:r>
      <w:r w:rsidRPr="00AD2F44">
        <w:rPr>
          <w:i/>
          <w:iCs/>
        </w:rPr>
        <w:t>Canaday</w:t>
      </w:r>
      <w:r w:rsidRPr="00AD2F44">
        <w:t xml:space="preserve"> was issued, the Eighth Circuit in </w:t>
      </w:r>
      <w:r w:rsidRPr="00AD2F44">
        <w:rPr>
          <w:i/>
          <w:iCs/>
        </w:rPr>
        <w:t>Vallone v. CJS Solutions Group, LLC</w:t>
      </w:r>
      <w:r>
        <w:rPr>
          <w:rStyle w:val="FootnoteReference"/>
        </w:rPr>
        <w:footnoteReference w:id="262"/>
      </w:r>
      <w:r w:rsidRPr="00AD2F44">
        <w:t xml:space="preserve"> affirmed a district court’s limitation of conditional certification to claims of plaintiffs who traveled to Minnesota, because the employer was headquartered in Florida and the out-of-state plaintiffs’ claims lacked a connection to Minnesota.</w:t>
      </w:r>
      <w:r>
        <w:rPr>
          <w:rStyle w:val="FootnoteReference"/>
        </w:rPr>
        <w:footnoteReference w:id="263"/>
      </w:r>
      <w:r w:rsidRPr="00AD2F44">
        <w:t xml:space="preserve"> The court, like the court in </w:t>
      </w:r>
      <w:r w:rsidRPr="00AD2F44">
        <w:rPr>
          <w:i/>
          <w:iCs/>
        </w:rPr>
        <w:t>Canaday</w:t>
      </w:r>
      <w:r w:rsidRPr="00AD2F44">
        <w:t xml:space="preserve">, relied on the absence of a nationwide service of process provision in the FLSA and Rule 4(k)’s limits on personal jurisdiction to the state’s jurisdictional limits, concluding that </w:t>
      </w:r>
      <w:r w:rsidRPr="00AD2F44">
        <w:rPr>
          <w:i/>
          <w:iCs/>
        </w:rPr>
        <w:t>Bristol-Myers</w:t>
      </w:r>
      <w:r w:rsidR="009B3F04" w:rsidRPr="00AD2F44">
        <w:rPr>
          <w:i/>
          <w:iCs/>
        </w:rPr>
        <w:t xml:space="preserve"> </w:t>
      </w:r>
      <w:r w:rsidRPr="00AD2F44">
        <w:rPr>
          <w:i/>
          <w:iCs/>
        </w:rPr>
        <w:t>Squibb</w:t>
      </w:r>
      <w:r w:rsidRPr="00AD2F44">
        <w:t xml:space="preserve"> required there to be a “connection between the forum and the specific claims at issue.”</w:t>
      </w:r>
      <w:r>
        <w:rPr>
          <w:rStyle w:val="FootnoteReference"/>
        </w:rPr>
        <w:footnoteReference w:id="264"/>
      </w:r>
      <w:r w:rsidRPr="00AD2F44">
        <w:t xml:space="preserve"> The court rejected the idea that it could exercise personal jurisdiction over all claims against the employer given its jurisdiction over some claims because personal jurisdiction must be determined as to each claim</w:t>
      </w:r>
      <w:r w:rsidR="00D71234" w:rsidRPr="00AD2F44">
        <w:t>,</w:t>
      </w:r>
      <w:r w:rsidRPr="00AD2F44">
        <w:t xml:space="preserve"> and “[e]ach failure to pay wages [] is a separate violation that gives rise to a distinct claim.”</w:t>
      </w:r>
      <w:r>
        <w:rPr>
          <w:rStyle w:val="FootnoteReference"/>
        </w:rPr>
        <w:footnoteReference w:id="265"/>
      </w:r>
      <w:r w:rsidRPr="00AD2F44">
        <w:t xml:space="preserve"> A number of district courts outside the Sixth and Eighth Circuits have applied </w:t>
      </w:r>
      <w:r w:rsidRPr="00AD2F44">
        <w:rPr>
          <w:i/>
          <w:iCs/>
        </w:rPr>
        <w:t>Bristol-Myers</w:t>
      </w:r>
      <w:r w:rsidR="009B3F04" w:rsidRPr="00AD2F44">
        <w:rPr>
          <w:i/>
          <w:iCs/>
        </w:rPr>
        <w:t xml:space="preserve"> </w:t>
      </w:r>
      <w:r w:rsidRPr="00AD2F44">
        <w:rPr>
          <w:i/>
          <w:iCs/>
        </w:rPr>
        <w:t>Squibb</w:t>
      </w:r>
      <w:r w:rsidRPr="00AD2F44">
        <w:t xml:space="preserve"> to find </w:t>
      </w:r>
      <w:r w:rsidR="00D71234" w:rsidRPr="00AD2F44">
        <w:t xml:space="preserve">that </w:t>
      </w:r>
      <w:r w:rsidRPr="00AD2F44">
        <w:t>personal jurisdiction only exists as to in-state plaintiffs’ claims.</w:t>
      </w:r>
      <w:r>
        <w:rPr>
          <w:rStyle w:val="FootnoteReference"/>
        </w:rPr>
        <w:footnoteReference w:id="266"/>
      </w:r>
    </w:p>
    <w:p w14:paraId="356F9879" w14:textId="7A76975A" w:rsidR="005D0340" w:rsidRPr="00AD2F44" w:rsidRDefault="00F42107">
      <w:pPr>
        <w:pStyle w:val="10ATextWithIndent"/>
      </w:pPr>
      <w:r w:rsidRPr="00AD2F44">
        <w:lastRenderedPageBreak/>
        <w:t xml:space="preserve">The First Circuit in </w:t>
      </w:r>
      <w:r w:rsidRPr="00AD2F44">
        <w:rPr>
          <w:i/>
          <w:iCs/>
        </w:rPr>
        <w:t>Waters v. Day &amp; Zimmerman NPS, Inc.</w:t>
      </w:r>
      <w:r>
        <w:rPr>
          <w:rStyle w:val="FootnoteReference"/>
        </w:rPr>
        <w:footnoteReference w:id="267"/>
      </w:r>
      <w:r w:rsidRPr="00AD2F44">
        <w:t xml:space="preserve"> disagreed with the Sixth and Eighth Circuits and affirmed the district court’s denial of a motion to dismiss out-of-state opt-in plaintiffs from a putative collective action. The court held that </w:t>
      </w:r>
      <w:r w:rsidRPr="00AD2F44">
        <w:rPr>
          <w:i/>
          <w:iCs/>
        </w:rPr>
        <w:t>Bristol-Myers</w:t>
      </w:r>
      <w:r w:rsidR="009B3F04" w:rsidRPr="00AD2F44">
        <w:rPr>
          <w:i/>
          <w:iCs/>
        </w:rPr>
        <w:t xml:space="preserve"> </w:t>
      </w:r>
      <w:r w:rsidRPr="00AD2F44">
        <w:rPr>
          <w:i/>
          <w:iCs/>
        </w:rPr>
        <w:t>Squibb</w:t>
      </w:r>
      <w:r w:rsidRPr="00AD2F44">
        <w:t xml:space="preserve"> rested on Fourteenth Amendment concerns, which were not present in a federal case based on federal claims, and rejected the view that Rule 4(k) operates as a limit on personal jurisdiction, reasoning that </w:t>
      </w:r>
      <w:r w:rsidR="00142BB8" w:rsidRPr="00AD2F44">
        <w:t xml:space="preserve">the </w:t>
      </w:r>
      <w:r w:rsidR="004939F4" w:rsidRPr="00AD2F44">
        <w:t>r</w:t>
      </w:r>
      <w:r w:rsidR="00142BB8" w:rsidRPr="00AD2F44">
        <w:t>ule</w:t>
      </w:r>
      <w:r w:rsidRPr="00AD2F44">
        <w:t xml:space="preserve"> is concerned only with whether initial process is properly served by the named plaintiff under the state’s long-arm statute.</w:t>
      </w:r>
      <w:r>
        <w:rPr>
          <w:rStyle w:val="FootnoteReference"/>
        </w:rPr>
        <w:footnoteReference w:id="268"/>
      </w:r>
      <w:r w:rsidRPr="00AD2F44">
        <w:t xml:space="preserve"> The court reasoned that Rule 4(k) is limited to the summons and does not “constrain[] a federal court’s power to act once a summons has been properly served, and personal jurisdiction has been established.”</w:t>
      </w:r>
      <w:r>
        <w:rPr>
          <w:rStyle w:val="FootnoteReference"/>
        </w:rPr>
        <w:footnoteReference w:id="269"/>
      </w:r>
      <w:r w:rsidRPr="00AD2F44">
        <w:t xml:space="preserve"> The court also reasoned that Rule 20, rather than Rule 4, addressed adding plaintiffs</w:t>
      </w:r>
      <w:r w:rsidR="00B26C46" w:rsidRPr="00AD2F44">
        <w:t>;</w:t>
      </w:r>
      <w:r w:rsidRPr="00AD2F44">
        <w:t xml:space="preserve"> </w:t>
      </w:r>
      <w:r w:rsidR="00B26C46" w:rsidRPr="00AD2F44">
        <w:t xml:space="preserve">that it </w:t>
      </w:r>
      <w:r w:rsidRPr="00AD2F44">
        <w:t>had been displaced by the FLSA’s collective action mechanism</w:t>
      </w:r>
      <w:r w:rsidR="00B26C46" w:rsidRPr="00AD2F44">
        <w:t>;</w:t>
      </w:r>
      <w:r w:rsidRPr="00AD2F44">
        <w:t xml:space="preserve"> and that the FLSA “and its legislative history” reflected Congress’ intent to allow for “all affected employees working for a single employer to bring suit in a single, collective action.”</w:t>
      </w:r>
      <w:r>
        <w:rPr>
          <w:rStyle w:val="FootnoteReference"/>
        </w:rPr>
        <w:footnoteReference w:id="270"/>
      </w:r>
      <w:r w:rsidRPr="00AD2F44">
        <w:t xml:space="preserve"> The First Circuit also concluded that only the named plaintiff needs to satisfy service of process requirements in a collective action.</w:t>
      </w:r>
      <w:r>
        <w:rPr>
          <w:rStyle w:val="FootnoteReference"/>
        </w:rPr>
        <w:footnoteReference w:id="271"/>
      </w:r>
    </w:p>
    <w:p w14:paraId="4E067079" w14:textId="4F4422AD" w:rsidR="005D0340" w:rsidRPr="00AD2F44" w:rsidRDefault="00F42107" w:rsidP="0078383D">
      <w:pPr>
        <w:pStyle w:val="10ATextWithIndent"/>
      </w:pPr>
      <w:r w:rsidRPr="00AD2F44">
        <w:lastRenderedPageBreak/>
        <w:t xml:space="preserve">A number of district courts have also concluded that </w:t>
      </w:r>
      <w:r w:rsidRPr="00AD2F44">
        <w:rPr>
          <w:i/>
          <w:iCs/>
        </w:rPr>
        <w:t>Bristol-Myers Squibb</w:t>
      </w:r>
      <w:r w:rsidRPr="00AD2F44">
        <w:t xml:space="preserve"> does not extend to limit</w:t>
      </w:r>
      <w:r w:rsidR="00B26C46" w:rsidRPr="00AD2F44">
        <w:t>ing</w:t>
      </w:r>
      <w:r w:rsidRPr="00AD2F44">
        <w:t xml:space="preserve"> personal jurisdiction for foreign defendants in FLSA collective actions.</w:t>
      </w:r>
      <w:r>
        <w:rPr>
          <w:rStyle w:val="FootnoteReference"/>
        </w:rPr>
        <w:footnoteReference w:id="272"/>
      </w:r>
    </w:p>
    <w:p w14:paraId="6815A0DB" w14:textId="77777777" w:rsidR="005D0340" w:rsidRPr="00AD2F44" w:rsidRDefault="00F42107">
      <w:pPr>
        <w:pStyle w:val="07Fourth-LevelHeadabc"/>
      </w:pPr>
      <w:r w:rsidRPr="00AD2F44">
        <w:t>c.</w:t>
      </w:r>
      <w:r w:rsidRPr="00AD2F44">
        <w:tab/>
        <w:t>The Time Period of Employment</w:t>
      </w:r>
    </w:p>
    <w:p w14:paraId="20C8D5AA" w14:textId="77777777" w:rsidR="005D0340" w:rsidRPr="00AD2F44" w:rsidRDefault="00F42107">
      <w:pPr>
        <w:pStyle w:val="10ATextWithIndent"/>
      </w:pPr>
      <w:r w:rsidRPr="00AD2F44">
        <w:t>Some courts have analyzed whether the plaintiff was employed during the same time frame as the putative collective members in determining the similarly situated issue.</w:t>
      </w:r>
      <w:r>
        <w:rPr>
          <w:vertAlign w:val="superscript"/>
        </w:rPr>
        <w:footnoteReference w:id="273"/>
      </w:r>
      <w:r w:rsidRPr="00AD2F44">
        <w:t xml:space="preserve"> For example, in </w:t>
      </w:r>
      <w:r w:rsidRPr="00AD2F44">
        <w:rPr>
          <w:i/>
          <w:iCs/>
        </w:rPr>
        <w:t>Trezvant v. Fidelity Employer Services Corp</w:t>
      </w:r>
      <w:r w:rsidRPr="00AD2F44">
        <w:t>.,</w:t>
      </w:r>
      <w:r>
        <w:rPr>
          <w:vertAlign w:val="superscript"/>
        </w:rPr>
        <w:footnoteReference w:id="274"/>
      </w:r>
      <w:r w:rsidRPr="00AD2F44">
        <w:t xml:space="preserve"> the company argued that none of the plaintiffs worked for the company in 2004 when the company’s divisions were restructured. The court found that the company failed to illustrate how the company’s restructuring affected the duties of the employees at issue to preclude a finding that employees in the positions at issue </w:t>
      </w:r>
      <w:r w:rsidRPr="00AD2F44">
        <w:lastRenderedPageBreak/>
        <w:t>were similarly situated after the restructuring.</w:t>
      </w:r>
      <w:r>
        <w:rPr>
          <w:vertAlign w:val="superscript"/>
        </w:rPr>
        <w:footnoteReference w:id="275"/>
      </w:r>
      <w:r w:rsidRPr="00AD2F44">
        <w:t xml:space="preserve"> In </w:t>
      </w:r>
      <w:r w:rsidRPr="00AD2F44">
        <w:rPr>
          <w:i/>
          <w:iCs/>
        </w:rPr>
        <w:t>Balarezo v. NTH Connect Telecom, Inc</w:t>
      </w:r>
      <w:r w:rsidRPr="00AD2F44">
        <w:t>.,</w:t>
      </w:r>
      <w:r>
        <w:rPr>
          <w:vertAlign w:val="superscript"/>
        </w:rPr>
        <w:footnoteReference w:id="276"/>
      </w:r>
      <w:r w:rsidRPr="00AD2F44">
        <w:t xml:space="preserve"> the employer argued that the collective action should not include individuals who were paid as independent contractors in one period and individuals who were paid as employees in a later period. The court rejected this argument and found that during both time periods the putative collective members were paid on a piece-rate basis with no overtime compensation and could therefore be included in the same collective action.</w:t>
      </w:r>
      <w:r>
        <w:rPr>
          <w:vertAlign w:val="superscript"/>
        </w:rPr>
        <w:footnoteReference w:id="277"/>
      </w:r>
      <w:r w:rsidRPr="00AD2F44">
        <w:t xml:space="preserve"> That some plaintiffs would also need to demonstrate that they were not independent contractors was found to be immaterial during the notice stage.</w:t>
      </w:r>
      <w:r>
        <w:rPr>
          <w:vertAlign w:val="superscript"/>
        </w:rPr>
        <w:footnoteReference w:id="278"/>
      </w:r>
      <w:r w:rsidRPr="00AD2F44">
        <w:t xml:space="preserve"> Other courts have analyzed whether the policy that allegedly violated the FLSA continued during the period after the plaintiff was employed.</w:t>
      </w:r>
      <w:r>
        <w:rPr>
          <w:vertAlign w:val="superscript"/>
        </w:rPr>
        <w:footnoteReference w:id="279"/>
      </w:r>
    </w:p>
    <w:p w14:paraId="53B9A802" w14:textId="77777777" w:rsidR="005D0340" w:rsidRPr="00AD2F44" w:rsidRDefault="00F42107">
      <w:pPr>
        <w:pStyle w:val="07Fourth-LevelHeadabc"/>
      </w:pPr>
      <w:r w:rsidRPr="00AD2F44">
        <w:t>d.</w:t>
      </w:r>
      <w:r w:rsidRPr="00AD2F44">
        <w:tab/>
        <w:t>Certification in Cases Involving Multiple Employers</w:t>
      </w:r>
    </w:p>
    <w:p w14:paraId="146F38FC" w14:textId="77777777" w:rsidR="005D0340" w:rsidRPr="00AD2F44" w:rsidRDefault="00F42107">
      <w:pPr>
        <w:pStyle w:val="10ATextWithIndent"/>
      </w:pPr>
      <w:r w:rsidRPr="00AD2F44">
        <w:t>Some courts have analyzed whether it is appropriate to conditionally certify a collective action against multiple putative employers. Most courts have conditionally certified cases against multiple putative employers if all other criteria are met such that conditional certification is warranted against any of the employers and have reserved ruling on joint employer status until after discovery has occurred.</w:t>
      </w:r>
      <w:r>
        <w:rPr>
          <w:vertAlign w:val="superscript"/>
        </w:rPr>
        <w:footnoteReference w:id="280"/>
      </w:r>
      <w:r w:rsidRPr="00AD2F44">
        <w:t xml:space="preserve"> Other courts have denied conditional certification in part because </w:t>
      </w:r>
      <w:r w:rsidRPr="00AD2F44">
        <w:lastRenderedPageBreak/>
        <w:t>the plaintiffs and potential opt-in plaintiffs worked for multiple companies in different locations.</w:t>
      </w:r>
      <w:r>
        <w:rPr>
          <w:vertAlign w:val="superscript"/>
        </w:rPr>
        <w:footnoteReference w:id="281"/>
      </w:r>
      <w:r w:rsidRPr="00AD2F44">
        <w:t xml:space="preserve"> At least one court has permitted notice to a successor company where the plaintiffs adequately alleged the federal common law standard for successor liability.</w:t>
      </w:r>
      <w:r>
        <w:rPr>
          <w:vertAlign w:val="superscript"/>
        </w:rPr>
        <w:footnoteReference w:id="282"/>
      </w:r>
      <w:r w:rsidRPr="00AD2F44">
        <w:t xml:space="preserve"> </w:t>
      </w:r>
    </w:p>
    <w:p w14:paraId="09E9D060" w14:textId="77777777" w:rsidR="005D0340" w:rsidRPr="00AD2F44" w:rsidRDefault="00F42107">
      <w:pPr>
        <w:pStyle w:val="07Fourth-LevelHeadabc"/>
      </w:pPr>
      <w:r w:rsidRPr="00AD2F44">
        <w:t>e.</w:t>
      </w:r>
      <w:r w:rsidRPr="00AD2F44">
        <w:tab/>
        <w:t>Prior Publicity About the Lawsuit</w:t>
      </w:r>
    </w:p>
    <w:p w14:paraId="69EBA885" w14:textId="77777777" w:rsidR="005D0340" w:rsidRPr="00AD2F44" w:rsidRDefault="00F42107">
      <w:pPr>
        <w:pStyle w:val="10ATextWithIndent"/>
      </w:pPr>
      <w:r w:rsidRPr="00AD2F44">
        <w:t>Some courts have analyzed whether prior publication of the lawsuit in newspapers or on websites and informal attempts to communicate with potential opt-in plaintiffs by the named plaintiffs or their counsel eliminate the need for collective action notice.</w:t>
      </w:r>
      <w:r>
        <w:rPr>
          <w:vertAlign w:val="superscript"/>
        </w:rPr>
        <w:footnoteReference w:id="283"/>
      </w:r>
      <w:r w:rsidRPr="00AD2F44">
        <w:t xml:space="preserve"> For example, in </w:t>
      </w:r>
      <w:r w:rsidRPr="00AD2F44">
        <w:rPr>
          <w:i/>
          <w:iCs/>
        </w:rPr>
        <w:t>Bernard v. Household International</w:t>
      </w:r>
      <w:r w:rsidRPr="00AD2F44">
        <w:t>,</w:t>
      </w:r>
      <w:r>
        <w:rPr>
          <w:vertAlign w:val="superscript"/>
        </w:rPr>
        <w:footnoteReference w:id="284"/>
      </w:r>
      <w:r w:rsidRPr="00AD2F44">
        <w:t xml:space="preserve"> the district court refused to approve court-facilitated </w:t>
      </w:r>
      <w:r w:rsidRPr="00AD2F44">
        <w:lastRenderedPageBreak/>
        <w:t>notice because the defendants had already provided the plaintiffs with the names and addresses of the putative collective, plaintiffs’ counsel had advertised in newspapers to reach putative collective members, and five months had elapsed since the list of putative collective members was produced.</w:t>
      </w:r>
      <w:r>
        <w:rPr>
          <w:vertAlign w:val="superscript"/>
        </w:rPr>
        <w:footnoteReference w:id="285"/>
      </w:r>
      <w:r w:rsidRPr="00AD2F44">
        <w:t xml:space="preserve"> By contrast, in </w:t>
      </w:r>
      <w:r w:rsidRPr="00AD2F44">
        <w:rPr>
          <w:i/>
          <w:iCs/>
        </w:rPr>
        <w:t>Simpkins v. Pulte Home Corp</w:t>
      </w:r>
      <w:r w:rsidRPr="00AD2F44">
        <w:t>.,</w:t>
      </w:r>
      <w:r>
        <w:rPr>
          <w:vertAlign w:val="superscript"/>
        </w:rPr>
        <w:footnoteReference w:id="286"/>
      </w:r>
      <w:r w:rsidRPr="00AD2F44">
        <w:t xml:space="preserve"> the defendant argued that conditional certification was unnecessary because plaintiff’s counsel had already conducted an advertising campaign and directly contacted employees. The court disagreed, reasoning in part that mass advertising is not a replacement for a court-authorized notice that fully informs employees of their rights, and that the conduct of the plaintiff’s attorneys should not be determinative of whether potential collective members receive notice.</w:t>
      </w:r>
      <w:r>
        <w:rPr>
          <w:vertAlign w:val="superscript"/>
        </w:rPr>
        <w:footnoteReference w:id="287"/>
      </w:r>
    </w:p>
    <w:p w14:paraId="10ACF89F" w14:textId="77777777" w:rsidR="005D0340" w:rsidRPr="00AD2F44" w:rsidRDefault="00F42107">
      <w:pPr>
        <w:pStyle w:val="06Third-LevelHead123"/>
      </w:pPr>
      <w:r w:rsidRPr="00AD2F44">
        <w:rPr>
          <w:smallCaps/>
        </w:rPr>
        <w:t>7.</w:t>
      </w:r>
      <w:r w:rsidRPr="00AD2F44">
        <w:rPr>
          <w:smallCaps/>
        </w:rPr>
        <w:tab/>
      </w:r>
      <w:r w:rsidRPr="00AD2F44">
        <w:t>Communication About the Collective Action</w:t>
      </w:r>
    </w:p>
    <w:p w14:paraId="56CA9A5E" w14:textId="77777777" w:rsidR="005D0340" w:rsidRPr="00AD2F44" w:rsidRDefault="00F42107">
      <w:pPr>
        <w:pStyle w:val="07Fourth-LevelHeadabc"/>
      </w:pPr>
      <w:r w:rsidRPr="00AD2F44">
        <w:t>a.</w:t>
      </w:r>
      <w:r w:rsidRPr="00AD2F44">
        <w:tab/>
        <w:t>Contact by the Parties</w:t>
      </w:r>
    </w:p>
    <w:p w14:paraId="3590E13D" w14:textId="77777777" w:rsidR="005D0340" w:rsidRPr="00AD2F44" w:rsidRDefault="00F42107">
      <w:pPr>
        <w:pStyle w:val="08Fifth-LevelHeadi"/>
      </w:pPr>
      <w:r w:rsidRPr="00AD2F44">
        <w:t>(i.)</w:t>
      </w:r>
      <w:r w:rsidRPr="00AD2F44">
        <w:tab/>
        <w:t>Contact by Plaintiffs and Their Counsel</w:t>
      </w:r>
    </w:p>
    <w:p w14:paraId="121DB9E1" w14:textId="77777777" w:rsidR="005D0340" w:rsidRPr="00AD2F44" w:rsidRDefault="00F42107">
      <w:pPr>
        <w:pStyle w:val="10ATextWithIndent"/>
        <w:rPr>
          <w:vertAlign w:val="superscript"/>
        </w:rPr>
      </w:pPr>
      <w:r w:rsidRPr="00AD2F44">
        <w:t xml:space="preserve">In </w:t>
      </w:r>
      <w:r w:rsidRPr="00AD2F44">
        <w:rPr>
          <w:i/>
          <w:iCs/>
        </w:rPr>
        <w:t>Hoffmann-La Roche v. Sperling</w:t>
      </w:r>
      <w:r w:rsidRPr="00AD2F44">
        <w:t>,</w:t>
      </w:r>
      <w:r>
        <w:rPr>
          <w:vertAlign w:val="superscript"/>
        </w:rPr>
        <w:footnoteReference w:id="288"/>
      </w:r>
      <w:r w:rsidRPr="00AD2F44">
        <w:t xml:space="preserve"> the Supreme Court did not reach the question of whether it was inappropriate for plaintiffs’ counsel to initiate communications with putative collective action members without the court’s approval.</w:t>
      </w:r>
      <w:r>
        <w:rPr>
          <w:vertAlign w:val="superscript"/>
        </w:rPr>
        <w:footnoteReference w:id="289"/>
      </w:r>
      <w:r w:rsidRPr="00AD2F44">
        <w:t xml:space="preserve"> In that case, prior to the district court’s approval of notice and conditional certification, plaintiffs’ counsel had unilaterally sent letters to some 600 putative collective action member employees and, as a result, received and filed with the court over 400 opt-in consent forms.</w:t>
      </w:r>
      <w:r>
        <w:rPr>
          <w:vertAlign w:val="superscript"/>
        </w:rPr>
        <w:footnoteReference w:id="290"/>
      </w:r>
    </w:p>
    <w:p w14:paraId="1970A29D" w14:textId="77777777" w:rsidR="005D0340" w:rsidRPr="00AD2F44" w:rsidRDefault="00F42107">
      <w:pPr>
        <w:pStyle w:val="10ATextWithIndent"/>
        <w:rPr>
          <w:vertAlign w:val="superscript"/>
        </w:rPr>
      </w:pPr>
      <w:r w:rsidRPr="00AD2F44">
        <w:t>The defendants moved for the district court to sanction plaintiffs’ counsel for sending the letter and “to invalidate the consents already filed on the ground that the solicitation had been misleading” and requested that a “corrective notice” be sent to those who filed the consents.</w:t>
      </w:r>
      <w:r>
        <w:rPr>
          <w:vertAlign w:val="superscript"/>
        </w:rPr>
        <w:footnoteReference w:id="291"/>
      </w:r>
      <w:r w:rsidRPr="00AD2F44">
        <w:t xml:space="preserve"> The district court refused to sanction plaintiffs’ counsel or invalidate the opt-in consent forms already filed by the plaintiffs and additionally ordered that a notice-and-consent form approved by the court be sent to all employees who had not opted into the action.</w:t>
      </w:r>
      <w:r>
        <w:rPr>
          <w:vertAlign w:val="superscript"/>
        </w:rPr>
        <w:footnoteReference w:id="292"/>
      </w:r>
    </w:p>
    <w:p w14:paraId="111B2B84" w14:textId="77777777" w:rsidR="005D0340" w:rsidRPr="00AD2F44" w:rsidRDefault="00F42107">
      <w:pPr>
        <w:pStyle w:val="10ATextWithIndent"/>
        <w:rPr>
          <w:vertAlign w:val="superscript"/>
        </w:rPr>
      </w:pPr>
      <w:r w:rsidRPr="00AD2F44">
        <w:lastRenderedPageBreak/>
        <w:t>On appeal, the Supreme Court affirmed the district court’s actions with respect to the plaintiffs’ letter and refused to sanction plaintiffs’ counsel. It found that under the collective action procedures in 29 U.S.C. §216(b), the district court had discretion to “prescrib[e] the terms and conditions of communication from the named plaintiffs to the potential members of the class on whose behalf the collective action has been brought.”</w:t>
      </w:r>
      <w:r>
        <w:rPr>
          <w:vertAlign w:val="superscript"/>
        </w:rPr>
        <w:footnoteReference w:id="293"/>
      </w:r>
    </w:p>
    <w:p w14:paraId="5A612F8F" w14:textId="77777777" w:rsidR="005D0340" w:rsidRPr="00AD2F44" w:rsidRDefault="00F42107">
      <w:pPr>
        <w:pStyle w:val="10ATextWithIndent"/>
        <w:rPr>
          <w:vertAlign w:val="superscript"/>
        </w:rPr>
      </w:pPr>
      <w:r w:rsidRPr="00AD2F44">
        <w:t xml:space="preserve">Because the Supreme Court in </w:t>
      </w:r>
      <w:r w:rsidRPr="00AD2F44">
        <w:rPr>
          <w:i/>
          <w:iCs/>
        </w:rPr>
        <w:t>Hoffmann-La Roche</w:t>
      </w:r>
      <w:r w:rsidRPr="00AD2F44">
        <w:t xml:space="preserve"> did not resolve whether the plaintiffs’ counsel’s contact with putative collective action members was appropriate, lower courts have looked to other Supreme Court decisions regarding communications with potential clients outside of the collective action context. Two such decisions, </w:t>
      </w:r>
      <w:r w:rsidRPr="00AD2F44">
        <w:rPr>
          <w:i/>
          <w:iCs/>
        </w:rPr>
        <w:t>Shapero v. Kentucky Bar Association</w:t>
      </w:r>
      <w:r>
        <w:rPr>
          <w:vertAlign w:val="superscript"/>
        </w:rPr>
        <w:footnoteReference w:id="294"/>
      </w:r>
      <w:r w:rsidRPr="00AD2F44">
        <w:rPr>
          <w:i/>
          <w:iCs/>
        </w:rPr>
        <w:t xml:space="preserve"> </w:t>
      </w:r>
      <w:r w:rsidRPr="00AD2F44">
        <w:t xml:space="preserve">and </w:t>
      </w:r>
      <w:r w:rsidRPr="00AD2F44">
        <w:rPr>
          <w:i/>
          <w:iCs/>
        </w:rPr>
        <w:t>Gulf Oil Co. v. Bernard</w:t>
      </w:r>
      <w:r w:rsidRPr="00AD2F44">
        <w:t>,</w:t>
      </w:r>
      <w:r>
        <w:rPr>
          <w:vertAlign w:val="superscript"/>
        </w:rPr>
        <w:footnoteReference w:id="295"/>
      </w:r>
      <w:r w:rsidRPr="00AD2F44">
        <w:t xml:space="preserve"> have provided some guidance for lower courts. In </w:t>
      </w:r>
      <w:r w:rsidRPr="00AD2F44">
        <w:rPr>
          <w:i/>
          <w:iCs/>
        </w:rPr>
        <w:t>Shapero</w:t>
      </w:r>
      <w:r w:rsidRPr="00AD2F44">
        <w:t>, the Court held that the First Amendment prohibited a complete ban on written solicitations to potential clients where the communications were truthful and nondeceptive.</w:t>
      </w:r>
      <w:r>
        <w:rPr>
          <w:vertAlign w:val="superscript"/>
        </w:rPr>
        <w:footnoteReference w:id="296"/>
      </w:r>
      <w:r w:rsidRPr="00AD2F44">
        <w:t xml:space="preserve"> In </w:t>
      </w:r>
      <w:r w:rsidRPr="00AD2F44">
        <w:rPr>
          <w:i/>
          <w:iCs/>
        </w:rPr>
        <w:t>Gulf Oil</w:t>
      </w:r>
      <w:r w:rsidRPr="00AD2F44">
        <w:t>, the Court held that while Rule 23 of the Federal Rules of Civil Procedure grants courts broad authority to control the conduct of counsel and parties, it allows courts to restrict counsel’s written contact with putative class members only where it is necessary to prevent abuse, such as misleading statements about the litigation.</w:t>
      </w:r>
      <w:r>
        <w:rPr>
          <w:vertAlign w:val="superscript"/>
        </w:rPr>
        <w:footnoteReference w:id="297"/>
      </w:r>
    </w:p>
    <w:p w14:paraId="5D6A5B29" w14:textId="77777777" w:rsidR="005D0340" w:rsidRPr="00AD2F44" w:rsidRDefault="00F42107">
      <w:pPr>
        <w:pStyle w:val="10ATextWithIndent"/>
        <w:rPr>
          <w:vertAlign w:val="superscript"/>
        </w:rPr>
      </w:pPr>
      <w:r w:rsidRPr="00AD2F44">
        <w:t xml:space="preserve">The majority of lower courts have used </w:t>
      </w:r>
      <w:r w:rsidRPr="00AD2F44">
        <w:rPr>
          <w:i/>
          <w:iCs/>
        </w:rPr>
        <w:t>Shapero</w:t>
      </w:r>
      <w:r w:rsidRPr="00AD2F44">
        <w:t xml:space="preserve"> and </w:t>
      </w:r>
      <w:r w:rsidRPr="00AD2F44">
        <w:rPr>
          <w:i/>
          <w:iCs/>
        </w:rPr>
        <w:t>Gulf Oil</w:t>
      </w:r>
      <w:r w:rsidRPr="00AD2F44">
        <w:t xml:space="preserve"> as a starting point for analyzing what restrictions apply to the communications by plaintiffs’ counsel with putative FLSA collective action members. In light of these Supreme Court decisions, courts generally have refused to restrict communications by plaintiffs’ counsel that are not misleading.</w:t>
      </w:r>
      <w:r>
        <w:rPr>
          <w:vertAlign w:val="superscript"/>
        </w:rPr>
        <w:footnoteReference w:id="298"/>
      </w:r>
      <w:r w:rsidRPr="00AD2F44">
        <w:t xml:space="preserve"> For </w:t>
      </w:r>
      <w:r w:rsidRPr="00AD2F44">
        <w:lastRenderedPageBreak/>
        <w:t>example, one court observed that Section 216(b) of the FLSA “does not require parties to obtain judicial approval before seeking to locate other ‘similarly situated’ persons” and that “it is not the court’s role to prohibit plaintiffs from attempting to gather these consents.”</w:t>
      </w:r>
      <w:r>
        <w:rPr>
          <w:vertAlign w:val="superscript"/>
        </w:rPr>
        <w:footnoteReference w:id="299"/>
      </w:r>
      <w:r w:rsidRPr="00AD2F44">
        <w:t xml:space="preserve"> Another court has explained that a plaintiffs’ counsel’s efforts “to provide notice to potential opt-ins through advertisement letters or other means” may not affect whether the court should approve a court-authorized notice.</w:t>
      </w:r>
      <w:r>
        <w:rPr>
          <w:vertAlign w:val="superscript"/>
        </w:rPr>
        <w:footnoteReference w:id="300"/>
      </w:r>
      <w:r w:rsidRPr="00AD2F44">
        <w:t xml:space="preserve"> Thus, some courts facilitate communications by plaintiffs’ counsel with putative collective action members prior to the certification of a collective action by allowing them to obtain the putative members’ contact information from defendants in discovery, because </w:t>
      </w:r>
      <w:r w:rsidRPr="00AD2F44">
        <w:lastRenderedPageBreak/>
        <w:t>such information may be needed to define the proposed class properly or to send advertisement letters to putative collective action members.</w:t>
      </w:r>
      <w:r>
        <w:rPr>
          <w:vertAlign w:val="superscript"/>
        </w:rPr>
        <w:footnoteReference w:id="301"/>
      </w:r>
      <w:r w:rsidRPr="00AD2F44">
        <w:t xml:space="preserve"> However, some courts have not allowed the collection of such contact information in precertification discovery</w:t>
      </w:r>
      <w:r>
        <w:rPr>
          <w:vertAlign w:val="superscript"/>
        </w:rPr>
        <w:footnoteReference w:id="302"/>
      </w:r>
      <w:r w:rsidRPr="00AD2F44">
        <w:t xml:space="preserve"> and have prohibited plaintiffs’ counsel from soliciting putative collective action members prior to a ruling on a motion for notice and conditional certification, concluding that such an effort would circumvent the court-supervised notice process mandated by the FLSA.</w:t>
      </w:r>
      <w:r>
        <w:rPr>
          <w:vertAlign w:val="superscript"/>
        </w:rPr>
        <w:footnoteReference w:id="303"/>
      </w:r>
    </w:p>
    <w:p w14:paraId="54382868" w14:textId="77777777" w:rsidR="005D0340" w:rsidRPr="00AD2F44" w:rsidRDefault="00F42107">
      <w:pPr>
        <w:pStyle w:val="10ATextWithIndent"/>
        <w:rPr>
          <w:vertAlign w:val="superscript"/>
        </w:rPr>
      </w:pPr>
      <w:r w:rsidRPr="00AD2F44">
        <w:t>Despite the broad latitude for communicating with putative collective action members, when there is evidence of false or misleading communications or other misconduct, courts have issued protective orders prohibiting further contact, allowing a “curative” or “corrective” notice, and/or imposing other sanctions.</w:t>
      </w:r>
      <w:r>
        <w:rPr>
          <w:vertAlign w:val="superscript"/>
        </w:rPr>
        <w:footnoteReference w:id="304"/>
      </w:r>
      <w:r w:rsidRPr="00AD2F44">
        <w:t xml:space="preserve"> Examples of where courts have found such false, misleading, </w:t>
      </w:r>
      <w:r w:rsidRPr="00AD2F44">
        <w:lastRenderedPageBreak/>
        <w:t>or inappropriate communications include, among other things, where plaintiffs’ counsel (1) suggested to employees that they had to join the lawsuit to be able to recover lost wages;</w:t>
      </w:r>
      <w:r>
        <w:rPr>
          <w:vertAlign w:val="superscript"/>
        </w:rPr>
        <w:footnoteReference w:id="305"/>
      </w:r>
      <w:r w:rsidRPr="00AD2F44">
        <w:t xml:space="preserve"> (2) planned to send a letter without court approval that suggested all recipients would be eligible to participate in the putative collective action;</w:t>
      </w:r>
      <w:r>
        <w:rPr>
          <w:vertAlign w:val="superscript"/>
        </w:rPr>
        <w:footnoteReference w:id="306"/>
      </w:r>
      <w:r w:rsidRPr="00AD2F44">
        <w:t xml:space="preserve"> and (3) sent a letter to putative collective action members that falsely suggested that the defendant had voluntarily provided their contact information, falsely implied that the defendant had conceded some merit in the case, and over-</w:t>
      </w:r>
      <w:r w:rsidRPr="00AD2F44">
        <w:lastRenderedPageBreak/>
        <w:t>targeted the scope of the class, potentially leading employees who would not be within the scope of the class to erroneously believe they had a legal problem.</w:t>
      </w:r>
      <w:r>
        <w:rPr>
          <w:vertAlign w:val="superscript"/>
        </w:rPr>
        <w:footnoteReference w:id="307"/>
      </w:r>
    </w:p>
    <w:p w14:paraId="097308EF" w14:textId="77777777" w:rsidR="005D0340" w:rsidRPr="00AD2F44" w:rsidRDefault="00F42107">
      <w:pPr>
        <w:pStyle w:val="10ATextWithIndent"/>
        <w:rPr>
          <w:vertAlign w:val="superscript"/>
        </w:rPr>
      </w:pPr>
      <w:r w:rsidRPr="00AD2F44">
        <w:t>To correct misleading communications, one district court required plaintiffs’ counsel to alter their website to change, among other things, the statement that each “[p]laintiff was required to work more than 40 hours per week and did not receive overtime as required by law” to statements that “</w:t>
      </w:r>
      <w:r w:rsidRPr="00AD2F44">
        <w:rPr>
          <w:i/>
          <w:iCs/>
        </w:rPr>
        <w:t>the lawsuit alleges</w:t>
      </w:r>
      <w:r w:rsidRPr="00AD2F44">
        <w:t xml:space="preserve"> that each [p]laintiff … did not receive overtime as required by law” and the defendant “</w:t>
      </w:r>
      <w:r w:rsidRPr="00AD2F44">
        <w:rPr>
          <w:i/>
          <w:iCs/>
        </w:rPr>
        <w:t>denies this allegation</w:t>
      </w:r>
      <w:r w:rsidRPr="00AD2F44">
        <w:t>.”</w:t>
      </w:r>
      <w:r>
        <w:rPr>
          <w:vertAlign w:val="superscript"/>
        </w:rPr>
        <w:footnoteReference w:id="308"/>
      </w:r>
      <w:r w:rsidRPr="00AD2F44">
        <w:t xml:space="preserve"> Some courts have concluded that any sanctions must be narrowly tailored to the alleged misconduct in light of the Supreme Court’s guidance in </w:t>
      </w:r>
      <w:r w:rsidRPr="00AD2F44">
        <w:rPr>
          <w:i/>
          <w:iCs/>
        </w:rPr>
        <w:t>Gulf Oil</w:t>
      </w:r>
      <w:r w:rsidRPr="00AD2F44">
        <w:t>,</w:t>
      </w:r>
      <w:r>
        <w:rPr>
          <w:vertAlign w:val="superscript"/>
        </w:rPr>
        <w:footnoteReference w:id="309"/>
      </w:r>
      <w:r w:rsidRPr="00AD2F44">
        <w:t xml:space="preserve"> whereas others have been willing to enjoin all unsupervised contact with putative collective action members after the first incident of a misleading communication, relying on </w:t>
      </w:r>
      <w:r w:rsidRPr="00AD2F44">
        <w:rPr>
          <w:i/>
          <w:iCs/>
        </w:rPr>
        <w:t>Gulf Oil</w:t>
      </w:r>
      <w:r w:rsidRPr="00AD2F44">
        <w:t>’s expression of the district court’s duty and authority to control class actions.</w:t>
      </w:r>
      <w:r>
        <w:rPr>
          <w:vertAlign w:val="superscript"/>
        </w:rPr>
        <w:footnoteReference w:id="310"/>
      </w:r>
      <w:r w:rsidRPr="00AD2F44">
        <w:t xml:space="preserve"> At least one court has imposed severe sanctions for plaintiffs’ counsel’s precertification communications with putative collective action members, barring counsel from collecting fees or costs from those improperly solicited.</w:t>
      </w:r>
      <w:r>
        <w:rPr>
          <w:vertAlign w:val="superscript"/>
        </w:rPr>
        <w:footnoteReference w:id="311"/>
      </w:r>
    </w:p>
    <w:p w14:paraId="1D2A6290" w14:textId="77777777" w:rsidR="005D0340" w:rsidRPr="00AD2F44" w:rsidRDefault="00F42107">
      <w:pPr>
        <w:pStyle w:val="10ATextWithIndent"/>
        <w:rPr>
          <w:vertAlign w:val="superscript"/>
        </w:rPr>
      </w:pPr>
      <w:r w:rsidRPr="00AD2F44">
        <w:lastRenderedPageBreak/>
        <w:t>Pre-notice communications by plaintiffs’ counsel with potential opt-in plaintiffs may not be protected by the attorney-client privilege, particularly where the communication is merely a questionnaire or advertisement about the lawsuit, because the attorney-client relationship may not yet exist at that stage.</w:t>
      </w:r>
      <w:r>
        <w:rPr>
          <w:vertAlign w:val="superscript"/>
        </w:rPr>
        <w:footnoteReference w:id="312"/>
      </w:r>
      <w:r w:rsidRPr="00AD2F44">
        <w:t xml:space="preserve"> Moreover, depending on the applicable state rules of professional conduct, pre-notice ex parte communications by plaintiffs’ counsel with certain managerial and supervisory employees may be impermissible.</w:t>
      </w:r>
      <w:r>
        <w:rPr>
          <w:vertAlign w:val="superscript"/>
        </w:rPr>
        <w:footnoteReference w:id="313"/>
      </w:r>
    </w:p>
    <w:p w14:paraId="7E13E874" w14:textId="77777777" w:rsidR="005D0340" w:rsidRPr="00AD2F44" w:rsidRDefault="00F42107">
      <w:pPr>
        <w:pStyle w:val="10ATextWithIndent"/>
        <w:rPr>
          <w:vertAlign w:val="superscript"/>
        </w:rPr>
      </w:pPr>
      <w:r w:rsidRPr="00AD2F44">
        <w:t>An issue that has occasionally arisen is plaintiffs’ counsel’s contact with putative class members during the pendency of notice. One court has found that a plaintiffs’ counsel’s website was an improper communication with the putative class where the order granting notice limited notice to first class and electronic mail.</w:t>
      </w:r>
      <w:r>
        <w:rPr>
          <w:vertAlign w:val="superscript"/>
        </w:rPr>
        <w:footnoteReference w:id="314"/>
      </w:r>
      <w:r w:rsidRPr="00AD2F44">
        <w:t xml:space="preserve"> Other courts have imposed requirements for plaintiffs’ counsel to notify defendants’ counsel and possibly the court where plaintiffs’ counsel have </w:t>
      </w:r>
      <w:r w:rsidRPr="00AD2F44">
        <w:lastRenderedPageBreak/>
        <w:t>sought to issue “reminder letters” or other communications about the case during the pendency of the notice, although those courts have stopped short of sanctioning plaintiffs’ counsel.</w:t>
      </w:r>
      <w:r>
        <w:rPr>
          <w:vertAlign w:val="superscript"/>
        </w:rPr>
        <w:footnoteReference w:id="315"/>
      </w:r>
    </w:p>
    <w:p w14:paraId="5CC9A88B" w14:textId="77777777" w:rsidR="005D0340" w:rsidRPr="00AD2F44" w:rsidRDefault="00F42107">
      <w:pPr>
        <w:pStyle w:val="10ATextWithIndent"/>
        <w:rPr>
          <w:vertAlign w:val="superscript"/>
        </w:rPr>
      </w:pPr>
      <w:r w:rsidRPr="00AD2F44">
        <w:t>Courts may impose other conditions on contact by counsel during the notice period.</w:t>
      </w:r>
      <w:r>
        <w:rPr>
          <w:vertAlign w:val="superscript"/>
        </w:rPr>
        <w:footnoteReference w:id="316"/>
      </w:r>
    </w:p>
    <w:p w14:paraId="3F53C6D2" w14:textId="77777777" w:rsidR="005D0340" w:rsidRPr="00AD2F44" w:rsidRDefault="00F42107">
      <w:pPr>
        <w:pStyle w:val="08Fifth-LevelHeadi"/>
      </w:pPr>
      <w:r w:rsidRPr="00AD2F44">
        <w:t>(ii.)</w:t>
      </w:r>
      <w:r w:rsidRPr="00AD2F44">
        <w:tab/>
        <w:t>Contact by Defendants and Their Counsel</w:t>
      </w:r>
    </w:p>
    <w:p w14:paraId="0BFF3677" w14:textId="77777777" w:rsidR="005D0340" w:rsidRPr="00AD2F44" w:rsidRDefault="00F42107">
      <w:pPr>
        <w:pStyle w:val="10ATextWithIndent"/>
        <w:rPr>
          <w:vertAlign w:val="superscript"/>
        </w:rPr>
      </w:pPr>
      <w:r w:rsidRPr="00AD2F44">
        <w:lastRenderedPageBreak/>
        <w:t>Defendants and their counsel typically may not communicate about the litigation directly with employees who have affirmatively opted into the litigation and thus become party plaintiffs.</w:t>
      </w:r>
      <w:r>
        <w:rPr>
          <w:vertAlign w:val="superscript"/>
        </w:rPr>
        <w:footnoteReference w:id="317"/>
      </w:r>
      <w:r w:rsidRPr="00AD2F44">
        <w:t xml:space="preserve"> Whether such communication is prohibited is governed by each state’s rules of professional conduct. On the other hand, as to putative collective action members who have not yet elected to opt in and have not formed an attorney-client relationship,</w:t>
      </w:r>
      <w:r>
        <w:rPr>
          <w:vertAlign w:val="superscript"/>
        </w:rPr>
        <w:footnoteReference w:id="318"/>
      </w:r>
      <w:r w:rsidRPr="00AD2F44">
        <w:t xml:space="preserve"> most courts follow the approach of </w:t>
      </w:r>
      <w:r w:rsidRPr="00AD2F44">
        <w:rPr>
          <w:i/>
          <w:iCs/>
        </w:rPr>
        <w:t>Gulf Oil</w:t>
      </w:r>
      <w:r>
        <w:rPr>
          <w:vertAlign w:val="superscript"/>
        </w:rPr>
        <w:footnoteReference w:id="319"/>
      </w:r>
      <w:r w:rsidRPr="00AD2F44">
        <w:t xml:space="preserve"> and permit communications</w:t>
      </w:r>
      <w:r>
        <w:rPr>
          <w:vertAlign w:val="superscript"/>
        </w:rPr>
        <w:footnoteReference w:id="320"/>
      </w:r>
      <w:r w:rsidRPr="00AD2F44">
        <w:t xml:space="preserve"> with potential plaintiffs unless those </w:t>
      </w:r>
      <w:r w:rsidRPr="00AD2F44">
        <w:lastRenderedPageBreak/>
        <w:t>communications are shown to be misleading or coercive.</w:t>
      </w:r>
      <w:r>
        <w:rPr>
          <w:vertAlign w:val="superscript"/>
        </w:rPr>
        <w:footnoteReference w:id="321"/>
      </w:r>
      <w:r w:rsidRPr="00AD2F44">
        <w:t xml:space="preserve"> Once conditional certification has been granted and notice to putative collective action members has been authorized, courts take a more restrictive view of permissible communications by defense counsel.</w:t>
      </w:r>
      <w:r>
        <w:rPr>
          <w:vertAlign w:val="superscript"/>
        </w:rPr>
        <w:footnoteReference w:id="322"/>
      </w:r>
    </w:p>
    <w:p w14:paraId="58D93458" w14:textId="77777777" w:rsidR="005D0340" w:rsidRPr="00AD2F44" w:rsidRDefault="00F42107">
      <w:pPr>
        <w:pStyle w:val="10ATextWithIndent"/>
        <w:rPr>
          <w:vertAlign w:val="superscript"/>
        </w:rPr>
      </w:pPr>
      <w:r w:rsidRPr="00AD2F44">
        <w:lastRenderedPageBreak/>
        <w:t>Prior to conditional certification, defendants generally may interview and gather declarations from putative collective action members, provided there are no material misrepresentations made to such individuals and the defendants are not specifically attempting to discourage participation in the lawsuit.</w:t>
      </w:r>
      <w:r>
        <w:rPr>
          <w:vertAlign w:val="superscript"/>
        </w:rPr>
        <w:footnoteReference w:id="323"/>
      </w:r>
      <w:r w:rsidRPr="00AD2F44">
        <w:t xml:space="preserve"> Similarly, before a case is conditionally certified, </w:t>
      </w:r>
      <w:r w:rsidRPr="00AD2F44">
        <w:lastRenderedPageBreak/>
        <w:t>defendants can make nonmisleading or noncoercive communications to putative collective action members about the nature of the litigation.</w:t>
      </w:r>
      <w:r>
        <w:rPr>
          <w:vertAlign w:val="superscript"/>
        </w:rPr>
        <w:footnoteReference w:id="324"/>
      </w:r>
      <w:r w:rsidRPr="00AD2F44">
        <w:t xml:space="preserve"> For example, in </w:t>
      </w:r>
      <w:r w:rsidRPr="00AD2F44">
        <w:rPr>
          <w:i/>
          <w:iCs/>
        </w:rPr>
        <w:t>Gerlach v. Wells Fargo &amp; Co</w:t>
      </w:r>
      <w:r w:rsidRPr="00AD2F44">
        <w:t>.,</w:t>
      </w:r>
      <w:r>
        <w:rPr>
          <w:vertAlign w:val="superscript"/>
        </w:rPr>
        <w:footnoteReference w:id="325"/>
      </w:r>
      <w:r w:rsidRPr="00AD2F44">
        <w:t xml:space="preserve"> the defendants sent some of their employees (including a number of putative collective action members) a document retention notice and attached a “Q &amp; A document” that listed questions and answers about the pending litigation.</w:t>
      </w:r>
      <w:r>
        <w:rPr>
          <w:vertAlign w:val="superscript"/>
        </w:rPr>
        <w:footnoteReference w:id="326"/>
      </w:r>
      <w:r w:rsidRPr="00AD2F44">
        <w:t xml:space="preserve"> The court rejected the plaintiffs’ request for the issuance of a corrective notice and an order prohibiting defendants from any further contacts with potential collective action members. The court reasoned that a “Q&amp;A document,” which the employer had sent out as an attachment to a document instructing its employees to retain documents relating to their work after the case was filed, was not sufficiently misleading or coercive, as it accurately informed the recipients that it was their decision whether to speak to an attorney about the lawsuit and they would not suffer any retaliation if they spoke to plaintiffs’ counsel or joined the lawsuit, and also because the court would send its own notice to all potential collective action members.</w:t>
      </w:r>
      <w:r>
        <w:rPr>
          <w:vertAlign w:val="superscript"/>
        </w:rPr>
        <w:footnoteReference w:id="327"/>
      </w:r>
      <w:r w:rsidRPr="00AD2F44">
        <w:t xml:space="preserve"> However, a number of other courts have found that the nature of the employer-employee relationship is sufficiently inherently coercive that in certain circumstances a stricter limit on the amount of communication between defendants and putative collective action members may be warranted even where the court does not make a finding that a </w:t>
      </w:r>
      <w:r w:rsidRPr="00AD2F44">
        <w:lastRenderedPageBreak/>
        <w:t>particular abuse occurred.</w:t>
      </w:r>
      <w:r>
        <w:rPr>
          <w:vertAlign w:val="superscript"/>
        </w:rPr>
        <w:footnoteReference w:id="328"/>
      </w:r>
      <w:r w:rsidRPr="00AD2F44">
        <w:t xml:space="preserve"> By way of illustration, courts will scrutinize efforts by defendants to implement arbitration programs before a case is conditionally certified.</w:t>
      </w:r>
      <w:r>
        <w:rPr>
          <w:vertAlign w:val="superscript"/>
        </w:rPr>
        <w:footnoteReference w:id="329"/>
      </w:r>
    </w:p>
    <w:p w14:paraId="1FB9E7E4" w14:textId="77777777" w:rsidR="005D0340" w:rsidRPr="00AD2F44" w:rsidRDefault="00F42107">
      <w:pPr>
        <w:pStyle w:val="10ATextWithIndent"/>
        <w:rPr>
          <w:vertAlign w:val="superscript"/>
        </w:rPr>
      </w:pPr>
      <w:r w:rsidRPr="00AD2F44">
        <w:lastRenderedPageBreak/>
        <w:t>Defendants have been sanctioned when they engage in misleading or coercive communications with putative collective action members. For instance, one court concluded that it was improper for a defendant to send a letter to its employees encouraging them not to join the lawsuit.</w:t>
      </w:r>
      <w:r>
        <w:rPr>
          <w:vertAlign w:val="superscript"/>
        </w:rPr>
        <w:footnoteReference w:id="330"/>
      </w:r>
      <w:r w:rsidRPr="00AD2F44">
        <w:t xml:space="preserve"> In another example of potentially sanctionable conduct, a court observed that a defendant could not send letters to putative collective action members that contained “potentially intimidating language about the nature and extent of discovery.”</w:t>
      </w:r>
      <w:r>
        <w:rPr>
          <w:vertAlign w:val="superscript"/>
        </w:rPr>
        <w:footnoteReference w:id="331"/>
      </w:r>
    </w:p>
    <w:p w14:paraId="3A01DA17" w14:textId="77777777" w:rsidR="005D0340" w:rsidRPr="00AD2F44" w:rsidRDefault="00F42107">
      <w:pPr>
        <w:pStyle w:val="10ATextWithIndent"/>
        <w:rPr>
          <w:vertAlign w:val="superscript"/>
        </w:rPr>
      </w:pPr>
      <w:r w:rsidRPr="00AD2F44">
        <w:t xml:space="preserve">Sanctions also have been imposed where defendants’ counsel contacted putative collective action members, mischaracterized the litigation, and attempted to obtain their </w:t>
      </w:r>
      <w:r w:rsidRPr="00AD2F44">
        <w:lastRenderedPageBreak/>
        <w:t>declarations without disclosing that doing so might be adverse to their interests,</w:t>
      </w:r>
      <w:r>
        <w:rPr>
          <w:vertAlign w:val="superscript"/>
        </w:rPr>
        <w:footnoteReference w:id="332"/>
      </w:r>
      <w:r w:rsidRPr="00AD2F44">
        <w:t xml:space="preserve"> and where defendants sought to obtain ex parte releases from putative collective action members.</w:t>
      </w:r>
      <w:r>
        <w:rPr>
          <w:vertAlign w:val="superscript"/>
        </w:rPr>
        <w:footnoteReference w:id="333"/>
      </w:r>
      <w:r w:rsidRPr="00AD2F44">
        <w:t xml:space="preserve"> Just as with improper communications by plaintiff’s counsel, one sanction or remedy for coercive or misleading communications by defense counsel may be a corrective notice.</w:t>
      </w:r>
      <w:r>
        <w:rPr>
          <w:vertAlign w:val="superscript"/>
        </w:rPr>
        <w:footnoteReference w:id="334"/>
      </w:r>
      <w:r w:rsidRPr="00AD2F44">
        <w:t xml:space="preserve"> At least one court </w:t>
      </w:r>
      <w:r w:rsidRPr="00AD2F44">
        <w:lastRenderedPageBreak/>
        <w:t xml:space="preserve">has directed defendants to send corrective notices not only to the specific individuals who received the challenged communication but to </w:t>
      </w:r>
      <w:r w:rsidRPr="00AD2F44">
        <w:rPr>
          <w:i/>
          <w:iCs/>
        </w:rPr>
        <w:t>all</w:t>
      </w:r>
      <w:r w:rsidRPr="00AD2F44">
        <w:t xml:space="preserve"> putative collective action members.</w:t>
      </w:r>
      <w:r>
        <w:rPr>
          <w:vertAlign w:val="superscript"/>
        </w:rPr>
        <w:footnoteReference w:id="335"/>
      </w:r>
    </w:p>
    <w:p w14:paraId="74186A09" w14:textId="77777777" w:rsidR="005D0340" w:rsidRPr="00AD2F44" w:rsidRDefault="00F42107">
      <w:pPr>
        <w:pStyle w:val="07Fourth-LevelHeadabc"/>
      </w:pPr>
      <w:r w:rsidRPr="00AD2F44">
        <w:lastRenderedPageBreak/>
        <w:t>b.</w:t>
      </w:r>
      <w:r w:rsidRPr="00AD2F44">
        <w:tab/>
        <w:t>Court-Facilitated Notice</w:t>
      </w:r>
    </w:p>
    <w:p w14:paraId="67A8D89F" w14:textId="77777777" w:rsidR="005D0340" w:rsidRPr="00AD2F44" w:rsidRDefault="00F42107">
      <w:pPr>
        <w:pStyle w:val="10ATextWithIndent"/>
        <w:rPr>
          <w:vertAlign w:val="superscript"/>
        </w:rPr>
      </w:pPr>
      <w:r w:rsidRPr="00AD2F44">
        <w:t>A court’s involvement in the notice process may serve several important goals, including countering the potential for misuse of the collective device, avoiding a multiplicity of duplicative suits, possibly obviating the need to cancel consents obtained in an improper manner, and establishing reasonable deadlines to expedite the case’s disposition.</w:t>
      </w:r>
      <w:r>
        <w:rPr>
          <w:vertAlign w:val="superscript"/>
        </w:rPr>
        <w:footnoteReference w:id="336"/>
      </w:r>
      <w:r w:rsidRPr="00AD2F44">
        <w:t xml:space="preserve"> In </w:t>
      </w:r>
      <w:r w:rsidRPr="00AD2F44">
        <w:rPr>
          <w:i/>
          <w:iCs/>
        </w:rPr>
        <w:t>Hoffmann-</w:t>
      </w:r>
      <w:r w:rsidRPr="00AD2F44">
        <w:rPr>
          <w:i/>
          <w:iCs/>
        </w:rPr>
        <w:br/>
        <w:t>La Roche v. Sperling</w:t>
      </w:r>
      <w:r w:rsidRPr="00AD2F44">
        <w:t>,</w:t>
      </w:r>
      <w:r>
        <w:rPr>
          <w:vertAlign w:val="superscript"/>
        </w:rPr>
        <w:footnoteReference w:id="337"/>
      </w:r>
      <w:r w:rsidRPr="00AD2F44">
        <w:t xml:space="preserve"> the Supreme Court declined to address what form the notice should take or its contents, but instead delegated those tasks to the district court’s broad discretion.</w:t>
      </w:r>
      <w:r>
        <w:rPr>
          <w:vertAlign w:val="superscript"/>
        </w:rPr>
        <w:footnoteReference w:id="338"/>
      </w:r>
    </w:p>
    <w:p w14:paraId="538B479E" w14:textId="77777777" w:rsidR="005D0340" w:rsidRPr="00AD2F44" w:rsidRDefault="00F42107">
      <w:pPr>
        <w:pStyle w:val="10ATextWithIndent"/>
        <w:rPr>
          <w:vertAlign w:val="superscript"/>
        </w:rPr>
      </w:pPr>
      <w:r w:rsidRPr="00AD2F44">
        <w:t>Plaintiffs often submit a proposed notice with their motion for notice. Nevertheless, before exercising their discretion, courts may order the parties to meet and confer and attempt to agree on the proposed language for the notice.</w:t>
      </w:r>
      <w:r>
        <w:rPr>
          <w:vertAlign w:val="superscript"/>
        </w:rPr>
        <w:footnoteReference w:id="339"/>
      </w:r>
      <w:r w:rsidRPr="00AD2F44">
        <w:t xml:space="preserve"> Although courts generally approve proposed </w:t>
      </w:r>
      <w:r w:rsidRPr="00AD2F44">
        <w:lastRenderedPageBreak/>
        <w:t>notices that are submitted jointly by the parties or at least not contested by a party,</w:t>
      </w:r>
      <w:r>
        <w:rPr>
          <w:vertAlign w:val="superscript"/>
        </w:rPr>
        <w:footnoteReference w:id="340"/>
      </w:r>
      <w:r w:rsidRPr="00AD2F44">
        <w:t xml:space="preserve"> courts have nevertheless exercised their discretion to modify stipulated notices to ensure the appearance of judicial neutrality.</w:t>
      </w:r>
      <w:r>
        <w:rPr>
          <w:vertAlign w:val="superscript"/>
        </w:rPr>
        <w:footnoteReference w:id="341"/>
      </w:r>
    </w:p>
    <w:p w14:paraId="21475BE8" w14:textId="77777777" w:rsidR="005D0340" w:rsidRPr="00AD2F44" w:rsidRDefault="00F42107">
      <w:pPr>
        <w:pStyle w:val="08Fifth-LevelHeadi"/>
      </w:pPr>
      <w:r w:rsidRPr="00AD2F44">
        <w:t>(i.)</w:t>
      </w:r>
      <w:r w:rsidRPr="00AD2F44">
        <w:tab/>
        <w:t>Notice Content</w:t>
      </w:r>
    </w:p>
    <w:p w14:paraId="499D8F26" w14:textId="77777777" w:rsidR="005D0340" w:rsidRPr="00AD2F44" w:rsidRDefault="00F42107">
      <w:pPr>
        <w:pStyle w:val="10ATextWithIndent"/>
        <w:rPr>
          <w:vertAlign w:val="superscript"/>
        </w:rPr>
      </w:pPr>
      <w:r w:rsidRPr="00AD2F44">
        <w:t>In general, notices contain a description of some or all of the following: (1) the purpose of the notice; (2) the nature of the lawsuit filed</w:t>
      </w:r>
      <w:r>
        <w:rPr>
          <w:vertAlign w:val="superscript"/>
        </w:rPr>
        <w:footnoteReference w:id="342"/>
      </w:r>
      <w:r w:rsidRPr="00AD2F44">
        <w:rPr>
          <w:vertAlign w:val="superscript"/>
        </w:rPr>
        <w:t xml:space="preserve"> </w:t>
      </w:r>
      <w:r w:rsidRPr="00AD2F44">
        <w:t>and the relief being sought; (3) the proposed collective composition;</w:t>
      </w:r>
      <w:r>
        <w:rPr>
          <w:vertAlign w:val="superscript"/>
        </w:rPr>
        <w:footnoteReference w:id="343"/>
      </w:r>
      <w:r w:rsidRPr="00AD2F44">
        <w:t xml:space="preserve"> (4) the legal effect of joining the lawsuit; (5) the fact that the court has </w:t>
      </w:r>
      <w:r w:rsidRPr="00AD2F44">
        <w:lastRenderedPageBreak/>
        <w:t>not taken any position regarding the merits of the lawsuit;</w:t>
      </w:r>
      <w:r>
        <w:rPr>
          <w:rStyle w:val="FootnoteReference"/>
        </w:rPr>
        <w:footnoteReference w:id="344"/>
      </w:r>
      <w:r w:rsidRPr="00AD2F44">
        <w:t xml:space="preserve"> (6) how to join the lawsuit; (7) the purely voluntary nature of the decision</w:t>
      </w:r>
      <w:r>
        <w:rPr>
          <w:vertAlign w:val="superscript"/>
        </w:rPr>
        <w:footnoteReference w:id="345"/>
      </w:r>
      <w:r w:rsidRPr="00AD2F44">
        <w:t xml:space="preserve"> and the legal effect of not joining the lawsuit; (8) the prohibition against retaliation;</w:t>
      </w:r>
      <w:r>
        <w:rPr>
          <w:vertAlign w:val="superscript"/>
        </w:rPr>
        <w:footnoteReference w:id="346"/>
      </w:r>
      <w:r w:rsidRPr="00AD2F44">
        <w:t xml:space="preserve"> and (9) the relevant contact information for any inquiries. A </w:t>
      </w:r>
      <w:r w:rsidRPr="00AD2F44">
        <w:lastRenderedPageBreak/>
        <w:t>blank consent form is then attached to the notice. Sample notices can be found in cases where a copy of the court-approved notice is appended to the actual opinion.</w:t>
      </w:r>
      <w:r>
        <w:rPr>
          <w:vertAlign w:val="superscript"/>
        </w:rPr>
        <w:footnoteReference w:id="347"/>
      </w:r>
    </w:p>
    <w:p w14:paraId="3C8983AA" w14:textId="77777777" w:rsidR="005D0340" w:rsidRPr="00AD2F44" w:rsidRDefault="00F42107">
      <w:pPr>
        <w:pStyle w:val="10ATextWithIndent"/>
        <w:rPr>
          <w:vertAlign w:val="superscript"/>
        </w:rPr>
      </w:pPr>
      <w:r w:rsidRPr="00AD2F44">
        <w:lastRenderedPageBreak/>
        <w:t>Courts require that the notice be drafted in neutral, clear, and objective language.</w:t>
      </w:r>
      <w:r>
        <w:rPr>
          <w:vertAlign w:val="superscript"/>
        </w:rPr>
        <w:footnoteReference w:id="348"/>
      </w:r>
      <w:r w:rsidRPr="00AD2F44">
        <w:t xml:space="preserve"> Where the putative class is composed of non-English speaking employees, courts may require that the notice be distributed in other languages.</w:t>
      </w:r>
      <w:r>
        <w:rPr>
          <w:vertAlign w:val="superscript"/>
        </w:rPr>
        <w:footnoteReference w:id="349"/>
      </w:r>
    </w:p>
    <w:p w14:paraId="028CE8F4" w14:textId="77777777" w:rsidR="005D0340" w:rsidRPr="00AD2F44" w:rsidRDefault="00F42107">
      <w:pPr>
        <w:pStyle w:val="10ATextWithIndent"/>
      </w:pPr>
      <w:r w:rsidRPr="00AD2F44">
        <w:lastRenderedPageBreak/>
        <w:t>Notices generally contain a section describing the effect of joining the lawsuit, explaining that by submitting the attached consent form employees agree (1) to be bound by the court’s judgment;</w:t>
      </w:r>
      <w:r>
        <w:rPr>
          <w:vertAlign w:val="superscript"/>
        </w:rPr>
        <w:footnoteReference w:id="350"/>
      </w:r>
      <w:r w:rsidRPr="00AD2F44">
        <w:t xml:space="preserve"> (2) to designate the named plaintiff(s) as their agent(s) to make decisions on their behalf regarding the lawsuit, including the manner and method of conducting the suit; and (3) </w:t>
      </w:r>
      <w:r w:rsidRPr="00AD2F44">
        <w:lastRenderedPageBreak/>
        <w:t>that the decisions made by the named plaintiff(s) are binding.</w:t>
      </w:r>
      <w:r>
        <w:rPr>
          <w:vertAlign w:val="superscript"/>
        </w:rPr>
        <w:footnoteReference w:id="351"/>
      </w:r>
      <w:r w:rsidRPr="00AD2F44">
        <w:t xml:space="preserve"> Some courts have rejected defendants’ requests to require opt-in plaintiffs to sign consent forms under penalty of perjury.</w:t>
      </w:r>
      <w:r>
        <w:rPr>
          <w:vertAlign w:val="superscript"/>
        </w:rPr>
        <w:footnoteReference w:id="352"/>
      </w:r>
      <w:r w:rsidRPr="00AD2F44">
        <w:t xml:space="preserve"> Below is a description of the issues that frequently arise in formulating the notice.</w:t>
      </w:r>
    </w:p>
    <w:p w14:paraId="72D18419" w14:textId="77777777" w:rsidR="005D0340" w:rsidRPr="00AD2F44" w:rsidRDefault="00F42107">
      <w:pPr>
        <w:pStyle w:val="10ATextWithIndent"/>
        <w:rPr>
          <w:vertAlign w:val="superscript"/>
        </w:rPr>
      </w:pPr>
      <w:r w:rsidRPr="00AD2F44">
        <w:t>One frequently litigated issue is whether the defendant is entitled to include a statement of its position in the notice. Although resolution of this issue will vary with the discretion of the district court, many courts have found it appropriate to include a general statement of denial in the notice.</w:t>
      </w:r>
      <w:r>
        <w:rPr>
          <w:vertAlign w:val="superscript"/>
        </w:rPr>
        <w:footnoteReference w:id="353"/>
      </w:r>
    </w:p>
    <w:p w14:paraId="6AC59A68" w14:textId="77777777" w:rsidR="005D0340" w:rsidRPr="00AD2F44" w:rsidRDefault="00F42107">
      <w:pPr>
        <w:pStyle w:val="10ATextWithIndent"/>
        <w:rPr>
          <w:vertAlign w:val="superscript"/>
        </w:rPr>
      </w:pPr>
      <w:r w:rsidRPr="00AD2F44">
        <w:lastRenderedPageBreak/>
        <w:t>Another frequently litigated issue is whether the notice should describe any obligations of the opt-in plaintiffs related to participating in the lawsuit. Several courts have held that the notice should advise the putative plaintiffs that they may be required to provide information, respond to written discovery, appear for a deposition, and testify in court.</w:t>
      </w:r>
      <w:r>
        <w:rPr>
          <w:vertAlign w:val="superscript"/>
        </w:rPr>
        <w:footnoteReference w:id="354"/>
      </w:r>
      <w:r w:rsidRPr="00AD2F44">
        <w:t xml:space="preserve"> Other courts have concluded </w:t>
      </w:r>
      <w:r w:rsidRPr="00AD2F44">
        <w:lastRenderedPageBreak/>
        <w:t>that such language is dissuasive and should be excluded.</w:t>
      </w:r>
      <w:r>
        <w:rPr>
          <w:vertAlign w:val="superscript"/>
        </w:rPr>
        <w:footnoteReference w:id="355"/>
      </w:r>
      <w:r w:rsidRPr="00AD2F44">
        <w:t xml:space="preserve"> Statements that the plaintiffs will be required to travel to the forum state for depositions and/or trial at their own expense are usually stricken.</w:t>
      </w:r>
      <w:r>
        <w:rPr>
          <w:vertAlign w:val="superscript"/>
        </w:rPr>
        <w:footnoteReference w:id="356"/>
      </w:r>
    </w:p>
    <w:p w14:paraId="39C18B22" w14:textId="77777777" w:rsidR="005D0340" w:rsidRPr="00AD2F44" w:rsidRDefault="00F42107">
      <w:pPr>
        <w:pStyle w:val="10ATextWithIndent"/>
        <w:rPr>
          <w:vertAlign w:val="superscript"/>
        </w:rPr>
      </w:pPr>
      <w:r w:rsidRPr="00AD2F44">
        <w:t xml:space="preserve">Another contested issue is whether the opt-in plaintiffs can be represented by their own counsel or must file a separate action. Some courts have found that opt-in plaintiffs must be represented by counsel representing the collective and can maintain their own counsel only if </w:t>
      </w:r>
      <w:r w:rsidRPr="00AD2F44">
        <w:lastRenderedPageBreak/>
        <w:t>they file a separate action.</w:t>
      </w:r>
      <w:r>
        <w:rPr>
          <w:vertAlign w:val="superscript"/>
        </w:rPr>
        <w:footnoteReference w:id="357"/>
      </w:r>
      <w:r w:rsidRPr="00AD2F44">
        <w:t xml:space="preserve"> Other courts allow for multiple counsel in the same action.</w:t>
      </w:r>
      <w:r>
        <w:rPr>
          <w:vertAlign w:val="superscript"/>
        </w:rPr>
        <w:footnoteReference w:id="358"/>
      </w:r>
      <w:r w:rsidRPr="00AD2F44">
        <w:t xml:space="preserve"> Several courts have found that potential plaintiffs should be notified of their right to choose their own counsel,</w:t>
      </w:r>
      <w:r>
        <w:rPr>
          <w:vertAlign w:val="superscript"/>
        </w:rPr>
        <w:footnoteReference w:id="359"/>
      </w:r>
      <w:r w:rsidRPr="00AD2F44">
        <w:t xml:space="preserve"> but others have not.</w:t>
      </w:r>
      <w:r>
        <w:rPr>
          <w:vertAlign w:val="superscript"/>
        </w:rPr>
        <w:footnoteReference w:id="360"/>
      </w:r>
    </w:p>
    <w:p w14:paraId="51035ADC" w14:textId="04198E5E" w:rsidR="005D0340" w:rsidRPr="00AD2F44" w:rsidRDefault="00F42107">
      <w:pPr>
        <w:pStyle w:val="10ATextWithIndent"/>
        <w:rPr>
          <w:vertAlign w:val="superscript"/>
        </w:rPr>
      </w:pPr>
      <w:r w:rsidRPr="00AD2F44">
        <w:lastRenderedPageBreak/>
        <w:t>Parties also often contest whether the notice should include a statement explaining whether putative plaintiffs may be liable for the defendant’s costs if the plaintiffs do not prevail. Many courts have refused to include language regarding costs on the grounds that, among other things, it could serve as a disincentive to participate in the lawsuit.</w:t>
      </w:r>
      <w:r>
        <w:rPr>
          <w:vertAlign w:val="superscript"/>
        </w:rPr>
        <w:footnoteReference w:id="361"/>
      </w:r>
      <w:r w:rsidRPr="00AD2F44">
        <w:t xml:space="preserve"> On the other hand, several </w:t>
      </w:r>
      <w:r w:rsidRPr="00AD2F44">
        <w:lastRenderedPageBreak/>
        <w:t>courts have included such language as necessary to give the potential plaintiffs a full account of the risk of litigation.</w:t>
      </w:r>
      <w:r>
        <w:rPr>
          <w:vertAlign w:val="superscript"/>
        </w:rPr>
        <w:footnoteReference w:id="362"/>
      </w:r>
      <w:r w:rsidR="002514A0">
        <w:t xml:space="preserve"> One district court declined to include such information in the notice</w:t>
      </w:r>
      <w:r w:rsidR="00EF0C22">
        <w:t>,</w:t>
      </w:r>
      <w:r w:rsidR="002514A0">
        <w:t xml:space="preserve"> but </w:t>
      </w:r>
      <w:r w:rsidR="002514A0">
        <w:lastRenderedPageBreak/>
        <w:t xml:space="preserve">directed plaintiffs’ counsel to advise </w:t>
      </w:r>
      <w:r w:rsidR="00EF0C22">
        <w:t>opt-ins</w:t>
      </w:r>
      <w:r w:rsidR="002514A0">
        <w:t xml:space="preserve"> of their case obligations, including the potential for paying costs, before filing a consent form.</w:t>
      </w:r>
      <w:r>
        <w:rPr>
          <w:rStyle w:val="FootnoteReference"/>
        </w:rPr>
        <w:footnoteReference w:id="363"/>
      </w:r>
    </w:p>
    <w:p w14:paraId="08C19D04" w14:textId="77777777" w:rsidR="005D0340" w:rsidRPr="00AD2F44" w:rsidRDefault="00F42107">
      <w:pPr>
        <w:pStyle w:val="10ATextWithIndent"/>
        <w:rPr>
          <w:vertAlign w:val="superscript"/>
        </w:rPr>
      </w:pPr>
      <w:r w:rsidRPr="00AD2F44">
        <w:t xml:space="preserve">A related issue that has arisen in some cases is whether the notice needs to provide information to putative plaintiffs regarding the compensation arrangement entered into by the named plaintiff with plaintiff’s counsel. Reasoning that the fee structure may impact an employee’s recovery, several district courts have required information on plaintiff’s counsel’s </w:t>
      </w:r>
      <w:r w:rsidRPr="00AD2F44">
        <w:lastRenderedPageBreak/>
        <w:t>fee arrangement to be included.</w:t>
      </w:r>
      <w:r>
        <w:rPr>
          <w:vertAlign w:val="superscript"/>
        </w:rPr>
        <w:footnoteReference w:id="364"/>
      </w:r>
      <w:r w:rsidRPr="00AD2F44">
        <w:t xml:space="preserve"> Parties have also disputed the nature of the content of the fee information to be included.</w:t>
      </w:r>
      <w:r>
        <w:rPr>
          <w:vertAlign w:val="superscript"/>
        </w:rPr>
        <w:footnoteReference w:id="365"/>
      </w:r>
    </w:p>
    <w:p w14:paraId="06B155EF" w14:textId="77777777" w:rsidR="005D0340" w:rsidRPr="00AD2F44" w:rsidRDefault="00F42107">
      <w:pPr>
        <w:pStyle w:val="10ATextWithIndent"/>
      </w:pPr>
      <w:r w:rsidRPr="00AD2F44">
        <w:t>The Supreme Court has cautioned that, in exercising discretion over the notice process, “courts must be scrupulous to respect judicial neutrality … [and] take care to avoid even the appearance of judicial endorsement of the merits of the action.”</w:t>
      </w:r>
      <w:r>
        <w:rPr>
          <w:vertAlign w:val="superscript"/>
        </w:rPr>
        <w:footnoteReference w:id="366"/>
      </w:r>
      <w:r w:rsidRPr="00AD2F44">
        <w:t xml:space="preserve"> Where that line must be drawn is another often-litigated question.</w:t>
      </w:r>
    </w:p>
    <w:p w14:paraId="5C3A5D22" w14:textId="77777777" w:rsidR="005D0340" w:rsidRPr="00AD2F44" w:rsidRDefault="00F42107">
      <w:pPr>
        <w:pStyle w:val="10ATextWithIndent"/>
        <w:rPr>
          <w:vertAlign w:val="superscript"/>
        </w:rPr>
      </w:pPr>
      <w:r w:rsidRPr="00AD2F44">
        <w:t>Many courts have ordered that the notice include a prominent and sometimes bolded statement that the court does not express any views about the merits or defenses in the action.</w:t>
      </w:r>
      <w:r>
        <w:rPr>
          <w:vertAlign w:val="superscript"/>
        </w:rPr>
        <w:footnoteReference w:id="367"/>
      </w:r>
      <w:r w:rsidRPr="00AD2F44">
        <w:t xml:space="preserve"> Courts have also considered whether to take other steps to protect the appearance of judicial neutrality by, among other things, striking the caption or deleting any heading or letterhead that </w:t>
      </w:r>
      <w:r w:rsidRPr="00AD2F44">
        <w:lastRenderedPageBreak/>
        <w:t>includes only the court’s name.</w:t>
      </w:r>
      <w:r>
        <w:rPr>
          <w:vertAlign w:val="superscript"/>
        </w:rPr>
        <w:footnoteReference w:id="368"/>
      </w:r>
      <w:r w:rsidRPr="00AD2F44">
        <w:t xml:space="preserve"> Courts have also required (1) correcting notices that only include a single sentence regarding the court’s neutrality at the very end of the notice;</w:t>
      </w:r>
      <w:r>
        <w:rPr>
          <w:vertAlign w:val="superscript"/>
        </w:rPr>
        <w:footnoteReference w:id="369"/>
      </w:r>
      <w:r w:rsidRPr="00AD2F44">
        <w:t xml:space="preserve"> (2) </w:t>
      </w:r>
      <w:r w:rsidRPr="00AD2F44">
        <w:lastRenderedPageBreak/>
        <w:t>removing the judge’s name or signature;</w:t>
      </w:r>
      <w:r>
        <w:rPr>
          <w:vertAlign w:val="superscript"/>
        </w:rPr>
        <w:footnoteReference w:id="370"/>
      </w:r>
      <w:r w:rsidRPr="00AD2F44">
        <w:t xml:space="preserve"> (3) including a statement directing the potential plaintiffs not to contact the court;</w:t>
      </w:r>
      <w:r>
        <w:rPr>
          <w:vertAlign w:val="superscript"/>
        </w:rPr>
        <w:footnoteReference w:id="371"/>
      </w:r>
      <w:r w:rsidRPr="00AD2F44">
        <w:t xml:space="preserve"> or (4) including judicial disclaimers.</w:t>
      </w:r>
      <w:r>
        <w:rPr>
          <w:vertAlign w:val="superscript"/>
        </w:rPr>
        <w:footnoteReference w:id="372"/>
      </w:r>
    </w:p>
    <w:p w14:paraId="4613BABE" w14:textId="77777777" w:rsidR="005D0340" w:rsidRPr="00AD2F44" w:rsidRDefault="00F42107">
      <w:pPr>
        <w:pStyle w:val="10ATextWithIndent"/>
        <w:rPr>
          <w:vertAlign w:val="superscript"/>
        </w:rPr>
      </w:pPr>
      <w:r w:rsidRPr="00AD2F44">
        <w:t>A key feature of the notice is a section describing the right of the potential class members to join the lawsuit. This section establishes the opt-in protocol for signing and returning the appended consent form and an explanation of the consequences for failing to do so in a timely manner.</w:t>
      </w:r>
      <w:r>
        <w:rPr>
          <w:vertAlign w:val="superscript"/>
        </w:rPr>
        <w:footnoteReference w:id="373"/>
      </w:r>
      <w:r w:rsidRPr="00AD2F44">
        <w:t xml:space="preserve"> Some courts have addressed issues concerning the precise format of the consent </w:t>
      </w:r>
      <w:r w:rsidRPr="00AD2F44">
        <w:lastRenderedPageBreak/>
        <w:t>form.</w:t>
      </w:r>
      <w:r>
        <w:rPr>
          <w:vertAlign w:val="superscript"/>
        </w:rPr>
        <w:footnoteReference w:id="374"/>
      </w:r>
      <w:r w:rsidRPr="00AD2F44">
        <w:t xml:space="preserve"> Individuals manifest their consent to join the lawsuit by signing the consent form appended to the notice and returning it by the specified deadline.</w:t>
      </w:r>
      <w:r>
        <w:rPr>
          <w:vertAlign w:val="superscript"/>
        </w:rPr>
        <w:footnoteReference w:id="375"/>
      </w:r>
    </w:p>
    <w:p w14:paraId="7DEFD93F" w14:textId="77777777" w:rsidR="005D0340" w:rsidRPr="00AD2F44" w:rsidRDefault="00F42107">
      <w:pPr>
        <w:pStyle w:val="10ATextWithIndent"/>
        <w:rPr>
          <w:vertAlign w:val="superscript"/>
        </w:rPr>
      </w:pPr>
      <w:r w:rsidRPr="00AD2F44">
        <w:t>Questions arise as to who should collect the signed consent forms—the court, a third-party administrator, or plaintiffs’ counsel.</w:t>
      </w:r>
      <w:r>
        <w:rPr>
          <w:vertAlign w:val="superscript"/>
        </w:rPr>
        <w:footnoteReference w:id="376"/>
      </w:r>
      <w:r w:rsidRPr="00AD2F44">
        <w:t xml:space="preserve"> Generally the consent forms must be filed with the </w:t>
      </w:r>
      <w:r w:rsidRPr="00AD2F44">
        <w:lastRenderedPageBreak/>
        <w:t>court regardless of who initially collects the consent forms.</w:t>
      </w:r>
      <w:r>
        <w:rPr>
          <w:vertAlign w:val="superscript"/>
        </w:rPr>
        <w:footnoteReference w:id="377"/>
      </w:r>
      <w:r w:rsidRPr="00AD2F44">
        <w:t xml:space="preserve"> Finally, to avoid confusion,</w:t>
      </w:r>
      <w:r>
        <w:rPr>
          <w:vertAlign w:val="superscript"/>
        </w:rPr>
        <w:footnoteReference w:id="378"/>
      </w:r>
      <w:r w:rsidRPr="00AD2F44">
        <w:t xml:space="preserve"> parties typically specify how timely receipt will be determined—by postmark</w:t>
      </w:r>
      <w:r>
        <w:rPr>
          <w:vertAlign w:val="superscript"/>
        </w:rPr>
        <w:footnoteReference w:id="379"/>
      </w:r>
      <w:r w:rsidRPr="00AD2F44">
        <w:t xml:space="preserve"> or actual receipt.</w:t>
      </w:r>
      <w:r>
        <w:rPr>
          <w:vertAlign w:val="superscript"/>
        </w:rPr>
        <w:footnoteReference w:id="380"/>
      </w:r>
    </w:p>
    <w:p w14:paraId="756E3800" w14:textId="77777777" w:rsidR="005D0340" w:rsidRPr="00AD2F44" w:rsidRDefault="00F42107">
      <w:pPr>
        <w:pStyle w:val="10ATextWithIndent"/>
        <w:rPr>
          <w:vertAlign w:val="superscript"/>
        </w:rPr>
      </w:pPr>
      <w:r w:rsidRPr="00AD2F44">
        <w:t>Notices usually include the contact information for the person to whom any inquiries should be directed in the event putative collective action members have questions about the action. Given the court’s neutrality in the process, questions are customarily directed to counsel for the collective.</w:t>
      </w:r>
      <w:r>
        <w:rPr>
          <w:vertAlign w:val="superscript"/>
        </w:rPr>
        <w:footnoteReference w:id="381"/>
      </w:r>
      <w:r w:rsidRPr="00AD2F44">
        <w:t xml:space="preserve"> Courts have routinely found that inclusion of such information does not </w:t>
      </w:r>
      <w:r w:rsidRPr="00AD2F44">
        <w:lastRenderedPageBreak/>
        <w:t>amount to unethical solicitation of clients.</w:t>
      </w:r>
      <w:r>
        <w:rPr>
          <w:vertAlign w:val="superscript"/>
        </w:rPr>
        <w:footnoteReference w:id="382"/>
      </w:r>
      <w:r w:rsidRPr="00AD2F44">
        <w:t xml:space="preserve"> However, some courts have limited the amount of contact information, including information from plaintiffs’ counsel’s website, to be included in the notice.</w:t>
      </w:r>
      <w:r>
        <w:rPr>
          <w:vertAlign w:val="superscript"/>
        </w:rPr>
        <w:footnoteReference w:id="383"/>
      </w:r>
      <w:r w:rsidRPr="00AD2F44">
        <w:t xml:space="preserve"> And at least one court has determined that such contact information should not be placed immediately after a sentence notifying potential plaintiffs of their right to consult with counsel because it could be viewed as misleading.</w:t>
      </w:r>
      <w:r>
        <w:rPr>
          <w:vertAlign w:val="superscript"/>
        </w:rPr>
        <w:footnoteReference w:id="384"/>
      </w:r>
    </w:p>
    <w:p w14:paraId="20674A6B" w14:textId="77777777" w:rsidR="005D0340" w:rsidRPr="00AD2F44" w:rsidRDefault="00F42107">
      <w:pPr>
        <w:pStyle w:val="10ATextWithIndent"/>
        <w:rPr>
          <w:vertAlign w:val="superscript"/>
        </w:rPr>
      </w:pPr>
      <w:r w:rsidRPr="00AD2F44">
        <w:t xml:space="preserve">Parties have also disputed whether the notice should contain the contact information for defense counsel. Some courts have rejected the inclusion of defense counsel’s contact </w:t>
      </w:r>
      <w:r w:rsidRPr="00AD2F44">
        <w:lastRenderedPageBreak/>
        <w:t>information on the grounds that, among other things, it is unnecessary or potentially confusing.</w:t>
      </w:r>
      <w:r>
        <w:rPr>
          <w:vertAlign w:val="superscript"/>
        </w:rPr>
        <w:footnoteReference w:id="385"/>
      </w:r>
      <w:r w:rsidRPr="00AD2F44">
        <w:t xml:space="preserve"> But other courts have included such information for appearances of neutrality.</w:t>
      </w:r>
      <w:r>
        <w:rPr>
          <w:vertAlign w:val="superscript"/>
        </w:rPr>
        <w:footnoteReference w:id="386"/>
      </w:r>
    </w:p>
    <w:p w14:paraId="359EAC6F" w14:textId="77777777" w:rsidR="005D0340" w:rsidRPr="00AD2F44" w:rsidRDefault="00F42107">
      <w:pPr>
        <w:pStyle w:val="10ATextWithIndent"/>
        <w:rPr>
          <w:vertAlign w:val="superscript"/>
        </w:rPr>
      </w:pPr>
      <w:r w:rsidRPr="00AD2F44">
        <w:lastRenderedPageBreak/>
        <w:t>Where cases involve supplemental state law claims, courts have differed on whether the notice should include a reference to such claims. Some courts direct that such claims be included in the notice because it gives more complete information to putative collective action members about the lawsuit or reduces the confusion that could result from receiving two separate notices.</w:t>
      </w:r>
      <w:r>
        <w:rPr>
          <w:vertAlign w:val="superscript"/>
        </w:rPr>
        <w:footnoteReference w:id="387"/>
      </w:r>
      <w:r w:rsidRPr="00AD2F44">
        <w:t xml:space="preserve"> Other courts have refused to include mention of such claims because they are subject to the notice provisions of Rule 23 of the Federal Rules of Civil Procedure or a state analog and </w:t>
      </w:r>
      <w:r w:rsidRPr="00AD2F44">
        <w:lastRenderedPageBreak/>
        <w:t>including both opt-in and opt-out requirements in the same notice could cause confusion among the putative collective members.</w:t>
      </w:r>
      <w:r>
        <w:rPr>
          <w:vertAlign w:val="superscript"/>
        </w:rPr>
        <w:footnoteReference w:id="388"/>
      </w:r>
    </w:p>
    <w:p w14:paraId="2349F5B1" w14:textId="77777777" w:rsidR="005D0340" w:rsidRPr="00AD2F44" w:rsidRDefault="00F42107">
      <w:pPr>
        <w:pStyle w:val="10ATextWithIndent"/>
        <w:rPr>
          <w:vertAlign w:val="superscript"/>
        </w:rPr>
      </w:pPr>
      <w:r w:rsidRPr="00AD2F44">
        <w:t>Statements that an employer may not retaliate against an employee for joining a collective action are frequently requested and approved.</w:t>
      </w:r>
      <w:r>
        <w:rPr>
          <w:vertAlign w:val="superscript"/>
        </w:rPr>
        <w:footnoteReference w:id="389"/>
      </w:r>
      <w:r w:rsidRPr="00AD2F44">
        <w:t xml:space="preserve"> For example, in </w:t>
      </w:r>
      <w:r w:rsidRPr="00AD2F44">
        <w:rPr>
          <w:i/>
          <w:iCs/>
        </w:rPr>
        <w:t>Palma v. MetroPCS Wireless, Inc.</w:t>
      </w:r>
      <w:r w:rsidRPr="00AD2F44">
        <w:t>,</w:t>
      </w:r>
      <w:r>
        <w:rPr>
          <w:vertAlign w:val="superscript"/>
        </w:rPr>
        <w:footnoteReference w:id="390"/>
      </w:r>
      <w:r w:rsidRPr="00AD2F44">
        <w:t xml:space="preserve"> the court held that anti-retaliation language was properly included in the notice, though it struck as ­improperly solicitous language informing employees they could contact the plaintiffs’ lawyer if they felt they had been retaliated against for participating in the lawsuit. As with other aspects of the notice, the court’s primary concern is that the language is objective</w:t>
      </w:r>
      <w:r>
        <w:rPr>
          <w:vertAlign w:val="superscript"/>
        </w:rPr>
        <w:footnoteReference w:id="391"/>
      </w:r>
      <w:r w:rsidRPr="00AD2F44">
        <w:t xml:space="preserve"> and accurate.</w:t>
      </w:r>
      <w:r>
        <w:rPr>
          <w:vertAlign w:val="superscript"/>
        </w:rPr>
        <w:footnoteReference w:id="392"/>
      </w:r>
    </w:p>
    <w:p w14:paraId="67635932" w14:textId="77777777" w:rsidR="005D0340" w:rsidRPr="00AD2F44" w:rsidRDefault="00F42107">
      <w:pPr>
        <w:pStyle w:val="08Fifth-LevelHeadi"/>
      </w:pPr>
      <w:r w:rsidRPr="00AD2F44">
        <w:t>(ii.)</w:t>
      </w:r>
      <w:r w:rsidRPr="00AD2F44">
        <w:tab/>
        <w:t>Scope of Providing Notice</w:t>
      </w:r>
    </w:p>
    <w:p w14:paraId="6961C175" w14:textId="77777777" w:rsidR="005D0340" w:rsidRPr="00AD2F44" w:rsidRDefault="00F42107">
      <w:pPr>
        <w:pStyle w:val="10ATextWithIndent"/>
        <w:rPr>
          <w:vertAlign w:val="superscript"/>
        </w:rPr>
      </w:pPr>
      <w:r w:rsidRPr="00AD2F44">
        <w:t>An FLSA action must be brought within two years after the alleged violation occurs unless the plaintiffs can demonstrate that the employer’s conduct was willful, in which case the limitations period is three years.</w:t>
      </w:r>
      <w:r>
        <w:rPr>
          <w:vertAlign w:val="superscript"/>
        </w:rPr>
        <w:footnoteReference w:id="393"/>
      </w:r>
      <w:r w:rsidRPr="00AD2F44">
        <w:t xml:space="preserve"> Where the plaintiffs bring a collective action and the allegations of willfulness in the complaint are sufficient,</w:t>
      </w:r>
      <w:r>
        <w:rPr>
          <w:vertAlign w:val="superscript"/>
        </w:rPr>
        <w:footnoteReference w:id="394"/>
      </w:r>
      <w:r w:rsidRPr="00AD2F44">
        <w:t xml:space="preserve"> courts generally authorize notice to persons employed within a three-year period based on those allegations alone.</w:t>
      </w:r>
      <w:r>
        <w:rPr>
          <w:vertAlign w:val="superscript"/>
        </w:rPr>
        <w:footnoteReference w:id="395"/>
      </w:r>
    </w:p>
    <w:p w14:paraId="66478DBA" w14:textId="77777777" w:rsidR="005D0340" w:rsidRPr="00AD2F44" w:rsidRDefault="00F42107">
      <w:pPr>
        <w:pStyle w:val="10ATextWithIndent"/>
        <w:rPr>
          <w:vertAlign w:val="superscript"/>
        </w:rPr>
      </w:pPr>
      <w:r w:rsidRPr="00AD2F44">
        <w:lastRenderedPageBreak/>
        <w:t>The FLSA expressly provides that in a collective action an individual claimant’s action commences at the time the written consent is filed with the court.</w:t>
      </w:r>
      <w:r>
        <w:rPr>
          <w:vertAlign w:val="superscript"/>
        </w:rPr>
        <w:footnoteReference w:id="396"/>
      </w:r>
      <w:r w:rsidRPr="00AD2F44">
        <w:t xml:space="preserve"> Some courts have measured the relevant time period from three years preceding the date the court ordered notice to be given,</w:t>
      </w:r>
      <w:r>
        <w:rPr>
          <w:vertAlign w:val="superscript"/>
        </w:rPr>
        <w:footnoteReference w:id="397"/>
      </w:r>
      <w:r w:rsidRPr="00AD2F44">
        <w:t xml:space="preserve"> while other courts have measured the period from three years preceding the filing of the </w:t>
      </w:r>
      <w:r w:rsidRPr="00AD2F44">
        <w:lastRenderedPageBreak/>
        <w:t>complaint.</w:t>
      </w:r>
      <w:r>
        <w:rPr>
          <w:vertAlign w:val="superscript"/>
        </w:rPr>
        <w:footnoteReference w:id="398"/>
      </w:r>
      <w:r w:rsidRPr="00AD2F44">
        <w:t xml:space="preserve"> In cases alleging both FLSA claims and state-law wage claims where the state law has a longer statute of limitations period than three years, some courts have used the state law </w:t>
      </w:r>
      <w:r w:rsidRPr="00AD2F44">
        <w:lastRenderedPageBreak/>
        <w:t>limitations period for FLSA Section 216(b) notice,</w:t>
      </w:r>
      <w:r>
        <w:rPr>
          <w:vertAlign w:val="superscript"/>
        </w:rPr>
        <w:footnoteReference w:id="399"/>
      </w:r>
      <w:r w:rsidRPr="00AD2F44">
        <w:t xml:space="preserve"> while others have insisted on the shorter limitations period of the FLSA.</w:t>
      </w:r>
      <w:r>
        <w:rPr>
          <w:vertAlign w:val="superscript"/>
        </w:rPr>
        <w:footnoteReference w:id="400"/>
      </w:r>
    </w:p>
    <w:p w14:paraId="62150BCF" w14:textId="77777777" w:rsidR="005D0340" w:rsidRPr="00AD2F44" w:rsidRDefault="00F42107">
      <w:pPr>
        <w:pStyle w:val="10ATextWithIndent"/>
        <w:rPr>
          <w:vertAlign w:val="superscript"/>
        </w:rPr>
      </w:pPr>
      <w:r w:rsidRPr="00AD2F44">
        <w:t>Courts may extend the limitations period for filing consents to join under the doctrine of equitable tolling.</w:t>
      </w:r>
      <w:r>
        <w:rPr>
          <w:vertAlign w:val="superscript"/>
        </w:rPr>
        <w:footnoteReference w:id="401"/>
      </w:r>
      <w:r w:rsidRPr="00AD2F44">
        <w:t xml:space="preserve"> Equitable tolling may be applied when the employer fails to post required notices about employees’ rights.</w:t>
      </w:r>
      <w:r>
        <w:rPr>
          <w:vertAlign w:val="superscript"/>
        </w:rPr>
        <w:footnoteReference w:id="402"/>
      </w:r>
      <w:r w:rsidRPr="00AD2F44">
        <w:t xml:space="preserve"> However, where employees have actual knowledge of their </w:t>
      </w:r>
      <w:r w:rsidRPr="00AD2F44">
        <w:lastRenderedPageBreak/>
        <w:t>rights under the FLSA, the employer’s failure to post the required notice may not warrant equitable tolling.</w:t>
      </w:r>
      <w:r>
        <w:rPr>
          <w:vertAlign w:val="superscript"/>
        </w:rPr>
        <w:footnoteReference w:id="403"/>
      </w:r>
    </w:p>
    <w:p w14:paraId="5C72EBF9" w14:textId="77777777" w:rsidR="005D0340" w:rsidRPr="00AD2F44" w:rsidRDefault="00F42107">
      <w:pPr>
        <w:pStyle w:val="10ATextWithIndent"/>
      </w:pPr>
      <w:r w:rsidRPr="00AD2F44">
        <w:t>Where plaintiffs have attempted to assert their rights by, for example, filing a defective pleading within the limitations period, equitable tolling has been applied.</w:t>
      </w:r>
      <w:r>
        <w:rPr>
          <w:vertAlign w:val="superscript"/>
        </w:rPr>
        <w:footnoteReference w:id="404"/>
      </w:r>
      <w:r w:rsidRPr="00AD2F44">
        <w:t xml:space="preserve"> Similarly, some courts have considered whether to apply equitable tolling for the time between a motion to conditionally certify a class and the time the court rules on the motion.</w:t>
      </w:r>
      <w:r>
        <w:rPr>
          <w:vertAlign w:val="superscript"/>
        </w:rPr>
        <w:footnoteReference w:id="405"/>
      </w:r>
      <w:r w:rsidRPr="00AD2F44">
        <w:t xml:space="preserve"> Likewise, equitable </w:t>
      </w:r>
      <w:r w:rsidRPr="00AD2F44">
        <w:lastRenderedPageBreak/>
        <w:t>tolling may be appropriate where the plaintiffs have tried and failed to obtain information about class members in order to provide notice of the pendency of the action.</w:t>
      </w:r>
      <w:r>
        <w:rPr>
          <w:vertAlign w:val="superscript"/>
        </w:rPr>
        <w:footnoteReference w:id="406"/>
      </w:r>
      <w:r w:rsidRPr="00AD2F44">
        <w:t xml:space="preserve"> For example, in </w:t>
      </w:r>
      <w:r w:rsidRPr="00AD2F44">
        <w:rPr>
          <w:i/>
          <w:iCs/>
        </w:rPr>
        <w:t>Adams v. Inter-Con Security Systems</w:t>
      </w:r>
      <w:r w:rsidRPr="00AD2F44">
        <w:t>,</w:t>
      </w:r>
      <w:r>
        <w:rPr>
          <w:vertAlign w:val="superscript"/>
        </w:rPr>
        <w:footnoteReference w:id="407"/>
      </w:r>
      <w:r w:rsidRPr="00AD2F44">
        <w:t xml:space="preserve"> the defendant refused to supply potential plaintiffs’ contact information until the class had been conditionally certified.</w:t>
      </w:r>
      <w:r>
        <w:rPr>
          <w:vertAlign w:val="superscript"/>
        </w:rPr>
        <w:footnoteReference w:id="408"/>
      </w:r>
      <w:r w:rsidRPr="00AD2F44">
        <w:t xml:space="preserve"> The court allowed tolling, noting that “[f]aultless potential plaintiffs should not be deprived of their legal rights on the basis of a defendant’s delay, calculated or otherwise.”</w:t>
      </w:r>
      <w:r>
        <w:rPr>
          <w:vertAlign w:val="superscript"/>
        </w:rPr>
        <w:footnoteReference w:id="409"/>
      </w:r>
      <w:r w:rsidRPr="00AD2F44">
        <w:t xml:space="preserve"> However, some courts hold that a delay in </w:t>
      </w:r>
      <w:r w:rsidRPr="00AD2F44">
        <w:lastRenderedPageBreak/>
        <w:t>providing notice to potential collective action members is insufficient to trigger equitable tolling.</w:t>
      </w:r>
      <w:r>
        <w:rPr>
          <w:vertAlign w:val="superscript"/>
        </w:rPr>
        <w:footnoteReference w:id="410"/>
      </w:r>
    </w:p>
    <w:p w14:paraId="3FD39F40" w14:textId="553875EE" w:rsidR="005D0340" w:rsidRPr="00AD2F44" w:rsidRDefault="00F42107">
      <w:pPr>
        <w:pStyle w:val="10ATextWithIndent"/>
        <w:rPr>
          <w:vertAlign w:val="superscript"/>
        </w:rPr>
      </w:pPr>
      <w:r w:rsidRPr="00AD2F44">
        <w:t>Some courts have found that the COVID-19 pandemic may constitute extraordinary circumstances that may trigger equitable tolling.</w:t>
      </w:r>
      <w:r>
        <w:rPr>
          <w:rStyle w:val="FootnoteReference"/>
        </w:rPr>
        <w:footnoteReference w:id="411"/>
      </w:r>
      <w:r w:rsidRPr="00AD2F44">
        <w:t xml:space="preserve"> </w:t>
      </w:r>
    </w:p>
    <w:p w14:paraId="34913464" w14:textId="77777777" w:rsidR="005D0340" w:rsidRPr="00AD2F44" w:rsidRDefault="00F42107">
      <w:pPr>
        <w:pStyle w:val="10ATextWithIndent"/>
        <w:rPr>
          <w:vertAlign w:val="superscript"/>
        </w:rPr>
      </w:pPr>
      <w:r w:rsidRPr="00AD2F44">
        <w:t>Evidence of concealment or trickery by the defendant that prevented employees from filing consents within the statute of limitations will generally result in equitable tolling.</w:t>
      </w:r>
      <w:r>
        <w:rPr>
          <w:vertAlign w:val="superscript"/>
        </w:rPr>
        <w:footnoteReference w:id="412"/>
      </w:r>
      <w:r w:rsidRPr="00AD2F44">
        <w:t xml:space="preserve"> </w:t>
      </w:r>
      <w:r w:rsidRPr="00AD2F44">
        <w:lastRenderedPageBreak/>
        <w:t>However, classifying a group of employees as exempt under the FLSA,</w:t>
      </w:r>
      <w:r>
        <w:rPr>
          <w:vertAlign w:val="superscript"/>
        </w:rPr>
        <w:footnoteReference w:id="413"/>
      </w:r>
      <w:r w:rsidRPr="00AD2F44">
        <w:t xml:space="preserve"> or informing employees they would not be paid for overtime, has generally not been held to constitute misconduct justifying equitable tolling.</w:t>
      </w:r>
      <w:r>
        <w:rPr>
          <w:vertAlign w:val="superscript"/>
        </w:rPr>
        <w:footnoteReference w:id="414"/>
      </w:r>
    </w:p>
    <w:p w14:paraId="4193A783" w14:textId="77777777" w:rsidR="005D0340" w:rsidRPr="00AD2F44" w:rsidRDefault="00F42107">
      <w:pPr>
        <w:pStyle w:val="10ATextWithIndent"/>
        <w:rPr>
          <w:vertAlign w:val="superscript"/>
        </w:rPr>
      </w:pPr>
      <w:r w:rsidRPr="00AD2F44">
        <w:t>Finally, under certain circumstances, courts have allowed plaintiffs’ claims to toll when parties have agreed to engage in a period of settlement negotiations</w:t>
      </w:r>
      <w:r>
        <w:rPr>
          <w:vertAlign w:val="superscript"/>
        </w:rPr>
        <w:footnoteReference w:id="415"/>
      </w:r>
      <w:r w:rsidRPr="00AD2F44">
        <w:t xml:space="preserve"> or during a period when </w:t>
      </w:r>
      <w:r w:rsidRPr="00AD2F44">
        <w:lastRenderedPageBreak/>
        <w:t>the case is being transferred to another court.</w:t>
      </w:r>
      <w:r>
        <w:rPr>
          <w:vertAlign w:val="superscript"/>
        </w:rPr>
        <w:footnoteReference w:id="416"/>
      </w:r>
      <w:r w:rsidRPr="00AD2F44">
        <w:t xml:space="preserve"> One federal district court has equitably tolled the statute of limitations in light of procedural obstacles during the settlement process.</w:t>
      </w:r>
      <w:r>
        <w:rPr>
          <w:vertAlign w:val="superscript"/>
        </w:rPr>
        <w:footnoteReference w:id="417"/>
      </w:r>
      <w:r w:rsidRPr="00AD2F44">
        <w:t xml:space="preserve"> However, courts have denied equitable tolling for a variety of reasons, such as because the opt-in plaintiffs had not been barred from filing consents,</w:t>
      </w:r>
      <w:r>
        <w:rPr>
          <w:vertAlign w:val="superscript"/>
        </w:rPr>
        <w:footnoteReference w:id="418"/>
      </w:r>
      <w:r w:rsidRPr="00AD2F44">
        <w:t xml:space="preserve"> because equitable tolling was sought merely in response to a defendant’s refusal to provide contact information,</w:t>
      </w:r>
      <w:r>
        <w:rPr>
          <w:vertAlign w:val="superscript"/>
        </w:rPr>
        <w:footnoteReference w:id="419"/>
      </w:r>
      <w:r w:rsidRPr="00AD2F44">
        <w:t xml:space="preserve"> or because the plaintiffs failed to allege sufficient need for such a remedy.</w:t>
      </w:r>
      <w:r>
        <w:rPr>
          <w:vertAlign w:val="superscript"/>
        </w:rPr>
        <w:footnoteReference w:id="420"/>
      </w:r>
      <w:r w:rsidRPr="00AD2F44">
        <w:t xml:space="preserve"> At least one appellate court and one district </w:t>
      </w:r>
      <w:r w:rsidRPr="00AD2F44">
        <w:lastRenderedPageBreak/>
        <w:t>court have refused to permit equitable tolling on behalf of putative opt-in collective members on the grounds that doing so would constitute an unconstitutional advisory opinion, because those individuals had not joined the lawsuit.</w:t>
      </w:r>
      <w:r>
        <w:rPr>
          <w:vertAlign w:val="superscript"/>
        </w:rPr>
        <w:footnoteReference w:id="421"/>
      </w:r>
    </w:p>
    <w:p w14:paraId="588E157E" w14:textId="77777777" w:rsidR="005D0340" w:rsidRPr="00AD2F44" w:rsidRDefault="00F42107">
      <w:pPr>
        <w:pStyle w:val="10ATextWithIndent"/>
        <w:rPr>
          <w:vertAlign w:val="superscript"/>
        </w:rPr>
      </w:pPr>
      <w:r w:rsidRPr="00AD2F44">
        <w:t xml:space="preserve">In </w:t>
      </w:r>
      <w:r w:rsidRPr="00AD2F44">
        <w:rPr>
          <w:i/>
          <w:iCs/>
        </w:rPr>
        <w:t>Hoffmann-La Roche v. Sperling</w:t>
      </w:r>
      <w:r w:rsidRPr="00AD2F44">
        <w:t>,</w:t>
      </w:r>
      <w:r>
        <w:rPr>
          <w:vertAlign w:val="superscript"/>
        </w:rPr>
        <w:footnoteReference w:id="422"/>
      </w:r>
      <w:r w:rsidRPr="00AD2F44">
        <w:t xml:space="preserve"> the Supreme Court recommended that trial courts establish deadlines for submitting signed consents “to expedite disposition of the action.”</w:t>
      </w:r>
      <w:r>
        <w:rPr>
          <w:vertAlign w:val="superscript"/>
        </w:rPr>
        <w:footnoteReference w:id="423"/>
      </w:r>
      <w:r w:rsidRPr="00AD2F44">
        <w:t xml:space="preserve"> As such, most courts establish a deadline for submitting consents.</w:t>
      </w:r>
      <w:r>
        <w:rPr>
          <w:vertAlign w:val="superscript"/>
        </w:rPr>
        <w:footnoteReference w:id="424"/>
      </w:r>
      <w:r w:rsidRPr="00AD2F44">
        <w:t xml:space="preserve"> In situations where there might </w:t>
      </w:r>
      <w:r w:rsidRPr="00AD2F44">
        <w:lastRenderedPageBreak/>
        <w:t>be difficulties in locating potential opt-in plaintiffs, the court may order longer periods of time.</w:t>
      </w:r>
      <w:r>
        <w:rPr>
          <w:vertAlign w:val="superscript"/>
        </w:rPr>
        <w:footnoteReference w:id="425"/>
      </w:r>
      <w:r w:rsidRPr="00AD2F44">
        <w:t xml:space="preserve"> In certain instances, despite setting a deadline, courts have exercised discretion to allow opt-in </w:t>
      </w:r>
      <w:r w:rsidRPr="00AD2F44">
        <w:lastRenderedPageBreak/>
        <w:t>plaintiffs to file their consent forms late.</w:t>
      </w:r>
      <w:r>
        <w:rPr>
          <w:vertAlign w:val="superscript"/>
        </w:rPr>
        <w:footnoteReference w:id="426"/>
      </w:r>
      <w:r w:rsidRPr="00AD2F44">
        <w:t xml:space="preserve"> District courts have broad discretion in establishing and modifying cut-off dates for the filing of consents to ensure an action will proceed </w:t>
      </w:r>
      <w:r w:rsidRPr="00AD2F44">
        <w:lastRenderedPageBreak/>
        <w:t>efficiently.</w:t>
      </w:r>
      <w:r>
        <w:rPr>
          <w:vertAlign w:val="superscript"/>
        </w:rPr>
        <w:footnoteReference w:id="427"/>
      </w:r>
      <w:r w:rsidRPr="00AD2F44">
        <w:t xml:space="preserve"> For instance, in </w:t>
      </w:r>
      <w:r w:rsidRPr="00AD2F44">
        <w:rPr>
          <w:i/>
          <w:iCs/>
        </w:rPr>
        <w:t>In re</w:t>
      </w:r>
      <w:r w:rsidRPr="00AD2F44">
        <w:t xml:space="preserve"> </w:t>
      </w:r>
      <w:r w:rsidRPr="00AD2F44">
        <w:rPr>
          <w:i/>
          <w:iCs/>
        </w:rPr>
        <w:t>Food Lion</w:t>
      </w:r>
      <w:r w:rsidRPr="00AD2F44">
        <w:t>,</w:t>
      </w:r>
      <w:r>
        <w:rPr>
          <w:vertAlign w:val="superscript"/>
        </w:rPr>
        <w:footnoteReference w:id="428"/>
      </w:r>
      <w:r w:rsidRPr="00AD2F44">
        <w:t xml:space="preserve"> the Fourth Circuit affirmed the district court’s order providing that late opt-in forms would not be accepted absent a showing of “exceptional circumstances,” and persons sending tardy forms would not be permitted to join the collective. If a putative opt-in plaintiff is barred from joining a collective action, that plaintiff is not precluded from filing a separate collective action.</w:t>
      </w:r>
      <w:r>
        <w:rPr>
          <w:vertAlign w:val="superscript"/>
        </w:rPr>
        <w:footnoteReference w:id="429"/>
      </w:r>
    </w:p>
    <w:p w14:paraId="5DDB78DC" w14:textId="77777777" w:rsidR="005D0340" w:rsidRPr="00AD2F44" w:rsidRDefault="00F42107">
      <w:pPr>
        <w:pStyle w:val="08Fifth-LevelHeadi"/>
      </w:pPr>
      <w:r w:rsidRPr="00AD2F44">
        <w:t>(iii.)</w:t>
      </w:r>
      <w:r w:rsidRPr="00AD2F44">
        <w:tab/>
        <w:t>Method of Providing Notice and Data Provided by the Defendant</w:t>
      </w:r>
    </w:p>
    <w:p w14:paraId="47B873F3" w14:textId="77777777" w:rsidR="005D0340" w:rsidRPr="00AD2F44" w:rsidRDefault="00F42107">
      <w:pPr>
        <w:pStyle w:val="10ATextWithIndent"/>
        <w:rPr>
          <w:spacing w:val="2"/>
          <w:vertAlign w:val="superscript"/>
        </w:rPr>
      </w:pPr>
      <w:r w:rsidRPr="00AD2F44">
        <w:t>Courts vary widely in the terms and conditions they impose on communicating notice to the putative collective. Typically, counsel for the putative collective is responsible for distributing the notice.</w:t>
      </w:r>
      <w:r>
        <w:rPr>
          <w:vertAlign w:val="superscript"/>
        </w:rPr>
        <w:footnoteReference w:id="430"/>
      </w:r>
      <w:r w:rsidRPr="00AD2F44">
        <w:t xml:space="preserve"> On occasion, though, a third-party administrator may be responsible for </w:t>
      </w:r>
      <w:r w:rsidRPr="00AD2F44">
        <w:lastRenderedPageBreak/>
        <w:t>distributing the notice, usually in circumstances of misconduct or where there are confidentiality or integrity concerns.</w:t>
      </w:r>
      <w:r>
        <w:rPr>
          <w:vertAlign w:val="superscript"/>
        </w:rPr>
        <w:footnoteReference w:id="431"/>
      </w:r>
      <w:r w:rsidRPr="00AD2F44">
        <w:t xml:space="preserve"> A district court may order the defendant to issue a notice as well.</w:t>
      </w:r>
      <w:r>
        <w:rPr>
          <w:vertAlign w:val="superscript"/>
        </w:rPr>
        <w:footnoteReference w:id="432"/>
      </w:r>
      <w:r w:rsidRPr="00AD2F44">
        <w:t xml:space="preserve"> Traditionally, plaintiffs bear the cost of notice distribution.</w:t>
      </w:r>
      <w:r>
        <w:rPr>
          <w:vertAlign w:val="superscript"/>
        </w:rPr>
        <w:footnoteReference w:id="433"/>
      </w:r>
      <w:r w:rsidRPr="00AD2F44">
        <w:t xml:space="preserve"> This includes dissemination via first class mail.</w:t>
      </w:r>
      <w:r>
        <w:rPr>
          <w:vertAlign w:val="superscript"/>
        </w:rPr>
        <w:footnoteReference w:id="434"/>
      </w:r>
      <w:r w:rsidRPr="00AD2F44">
        <w:t xml:space="preserve"> Courts have also considered the use of other methods of distribution, </w:t>
      </w:r>
      <w:r w:rsidRPr="00AD2F44">
        <w:lastRenderedPageBreak/>
        <w:t>particularly where the putative collective members are difficult to determine or contact or there is a risk of nonreceipt. These methods include email;</w:t>
      </w:r>
      <w:r>
        <w:rPr>
          <w:vertAlign w:val="superscript"/>
        </w:rPr>
        <w:footnoteReference w:id="435"/>
      </w:r>
      <w:r w:rsidRPr="00AD2F44">
        <w:t xml:space="preserve"> texting;</w:t>
      </w:r>
      <w:r>
        <w:rPr>
          <w:vertAlign w:val="superscript"/>
        </w:rPr>
        <w:footnoteReference w:id="436"/>
      </w:r>
      <w:r w:rsidRPr="00AD2F44">
        <w:t xml:space="preserve"> posting at the employer’s </w:t>
      </w:r>
      <w:r w:rsidRPr="00AD2F44">
        <w:lastRenderedPageBreak/>
        <w:t>worksite(s) or on its bulletin board;</w:t>
      </w:r>
      <w:r>
        <w:rPr>
          <w:vertAlign w:val="superscript"/>
        </w:rPr>
        <w:footnoteReference w:id="437"/>
      </w:r>
      <w:r w:rsidRPr="00AD2F44">
        <w:t xml:space="preserve"> posting on the plaintiffs’ counsel’s website or a newly created website;</w:t>
      </w:r>
      <w:r>
        <w:rPr>
          <w:vertAlign w:val="superscript"/>
        </w:rPr>
        <w:footnoteReference w:id="438"/>
      </w:r>
      <w:r w:rsidRPr="00AD2F44">
        <w:t xml:space="preserve"> through the employer’s payroll </w:t>
      </w:r>
      <w:r w:rsidRPr="00AD2F44">
        <w:rPr>
          <w:spacing w:val="2"/>
        </w:rPr>
        <w:t xml:space="preserve">department or attached to the employees’ </w:t>
      </w:r>
      <w:r w:rsidRPr="00AD2F44">
        <w:rPr>
          <w:spacing w:val="2"/>
        </w:rPr>
        <w:lastRenderedPageBreak/>
        <w:t>paychecks;</w:t>
      </w:r>
      <w:r>
        <w:rPr>
          <w:spacing w:val="2"/>
          <w:vertAlign w:val="superscript"/>
        </w:rPr>
        <w:footnoteReference w:id="439"/>
      </w:r>
      <w:r w:rsidRPr="00AD2F44">
        <w:rPr>
          <w:spacing w:val="2"/>
        </w:rPr>
        <w:t xml:space="preserve"> employer newsletter;</w:t>
      </w:r>
      <w:r>
        <w:rPr>
          <w:spacing w:val="2"/>
          <w:vertAlign w:val="superscript"/>
        </w:rPr>
        <w:footnoteReference w:id="440"/>
      </w:r>
      <w:r w:rsidRPr="00AD2F44">
        <w:rPr>
          <w:spacing w:val="2"/>
        </w:rPr>
        <w:t xml:space="preserve"> publication in a local newspaper;</w:t>
      </w:r>
      <w:r>
        <w:rPr>
          <w:spacing w:val="2"/>
          <w:vertAlign w:val="superscript"/>
        </w:rPr>
        <w:footnoteReference w:id="441"/>
      </w:r>
      <w:r w:rsidRPr="00AD2F44">
        <w:rPr>
          <w:spacing w:val="2"/>
        </w:rPr>
        <w:t xml:space="preserve"> radio advertisements;</w:t>
      </w:r>
      <w:r>
        <w:rPr>
          <w:spacing w:val="2"/>
          <w:vertAlign w:val="superscript"/>
        </w:rPr>
        <w:footnoteReference w:id="442"/>
      </w:r>
      <w:r w:rsidRPr="00AD2F44">
        <w:rPr>
          <w:spacing w:val="2"/>
        </w:rPr>
        <w:t xml:space="preserve"> telephone;</w:t>
      </w:r>
      <w:r>
        <w:rPr>
          <w:spacing w:val="2"/>
          <w:vertAlign w:val="superscript"/>
        </w:rPr>
        <w:footnoteReference w:id="443"/>
      </w:r>
      <w:r w:rsidRPr="00AD2F44">
        <w:rPr>
          <w:spacing w:val="2"/>
        </w:rPr>
        <w:t xml:space="preserve"> social media;</w:t>
      </w:r>
      <w:r>
        <w:rPr>
          <w:rStyle w:val="FootnoteReference"/>
          <w:spacing w:val="2"/>
        </w:rPr>
        <w:footnoteReference w:id="444"/>
      </w:r>
      <w:r w:rsidRPr="00AD2F44">
        <w:rPr>
          <w:spacing w:val="2"/>
        </w:rPr>
        <w:t xml:space="preserve"> and at a foreign consulate.</w:t>
      </w:r>
      <w:r>
        <w:rPr>
          <w:spacing w:val="2"/>
          <w:vertAlign w:val="superscript"/>
        </w:rPr>
        <w:footnoteReference w:id="445"/>
      </w:r>
    </w:p>
    <w:p w14:paraId="1899CF1D" w14:textId="63170741" w:rsidR="005D0340" w:rsidRPr="00AD2F44" w:rsidRDefault="00F42107">
      <w:pPr>
        <w:pStyle w:val="10ATextWithIndent"/>
        <w:rPr>
          <w:vertAlign w:val="superscript"/>
        </w:rPr>
      </w:pPr>
      <w:r w:rsidRPr="00AD2F44">
        <w:lastRenderedPageBreak/>
        <w:t>Some courts have been reluctant to order distribution of the notice by email.</w:t>
      </w:r>
      <w:r>
        <w:rPr>
          <w:vertAlign w:val="superscript"/>
        </w:rPr>
        <w:footnoteReference w:id="446"/>
      </w:r>
      <w:r w:rsidRPr="00AD2F44">
        <w:t xml:space="preserve"> However, many other courts acknowledge that distribution by email offers the advantages of minimal cost and near instantaneous distribution and thus permit this method,</w:t>
      </w:r>
      <w:r>
        <w:rPr>
          <w:vertAlign w:val="superscript"/>
        </w:rPr>
        <w:footnoteReference w:id="447"/>
      </w:r>
      <w:r w:rsidRPr="00AD2F44">
        <w:t xml:space="preserve"> particularly in situations </w:t>
      </w:r>
      <w:r w:rsidRPr="00AD2F44">
        <w:lastRenderedPageBreak/>
        <w:t>where the nature of the case involves email or the Internet or the defendant itself is involved in the Internet or software industry, because the composition of the putative collective is such that the risks associated with email notice are outweighed by its benefits.</w:t>
      </w:r>
      <w:r>
        <w:rPr>
          <w:vertAlign w:val="superscript"/>
        </w:rPr>
        <w:footnoteReference w:id="448"/>
      </w:r>
      <w:r w:rsidRPr="00AD2F44">
        <w:t xml:space="preserve"> Similarly, some courts have permitted notice to be issued by text message,</w:t>
      </w:r>
      <w:r>
        <w:rPr>
          <w:vertAlign w:val="superscript"/>
        </w:rPr>
        <w:footnoteReference w:id="449"/>
      </w:r>
      <w:r w:rsidRPr="00AD2F44">
        <w:t xml:space="preserve"> but other courts have rejected such </w:t>
      </w:r>
      <w:r w:rsidRPr="00AD2F44">
        <w:lastRenderedPageBreak/>
        <w:t>requests.</w:t>
      </w:r>
      <w:r>
        <w:rPr>
          <w:vertAlign w:val="superscript"/>
        </w:rPr>
        <w:footnoteReference w:id="450"/>
      </w:r>
      <w:r w:rsidR="007C54D5" w:rsidRPr="00AD2F44">
        <w:t xml:space="preserve"> Additionally, some courts have denied dissemination of notice through </w:t>
      </w:r>
      <w:r w:rsidR="00581F26" w:rsidRPr="00AD2F44">
        <w:t>quick response (</w:t>
      </w:r>
      <w:r w:rsidR="007C54D5" w:rsidRPr="00AD2F44">
        <w:t>QR</w:t>
      </w:r>
      <w:r w:rsidR="00245EB4" w:rsidRPr="00AD2F44">
        <w:t>)</w:t>
      </w:r>
      <w:r w:rsidR="007C54D5" w:rsidRPr="00AD2F44">
        <w:t xml:space="preserve"> codes</w:t>
      </w:r>
      <w:r w:rsidR="00F22518" w:rsidRPr="00AD2F44">
        <w:t>,</w:t>
      </w:r>
      <w:r>
        <w:rPr>
          <w:rStyle w:val="FootnoteReference"/>
        </w:rPr>
        <w:footnoteReference w:id="451"/>
      </w:r>
      <w:r w:rsidR="00CE0098" w:rsidRPr="00AD2F44">
        <w:t xml:space="preserve"> but at least one court has allowed a QR code on the notice form</w:t>
      </w:r>
      <w:r w:rsidR="00843E95" w:rsidRPr="00AD2F44">
        <w:t>.</w:t>
      </w:r>
      <w:r>
        <w:rPr>
          <w:rStyle w:val="FootnoteReference"/>
        </w:rPr>
        <w:footnoteReference w:id="452"/>
      </w:r>
    </w:p>
    <w:p w14:paraId="5FAB3FFC" w14:textId="77777777" w:rsidR="005D0340" w:rsidRPr="00AD2F44" w:rsidRDefault="00F42107">
      <w:pPr>
        <w:pStyle w:val="10ATextWithIndent"/>
        <w:rPr>
          <w:vertAlign w:val="superscript"/>
        </w:rPr>
      </w:pPr>
      <w:r w:rsidRPr="00AD2F44">
        <w:t xml:space="preserve">One issue that frequently arises is what information needs to be disclosed to putative collective counsel in order for them to distribute the notice. Such information typically includes names, job titles, dates of employment, and last known addresses of any putative collective </w:t>
      </w:r>
      <w:r w:rsidRPr="00AD2F44">
        <w:lastRenderedPageBreak/>
        <w:t>members.</w:t>
      </w:r>
      <w:r>
        <w:rPr>
          <w:vertAlign w:val="superscript"/>
        </w:rPr>
        <w:footnoteReference w:id="453"/>
      </w:r>
      <w:r w:rsidRPr="00AD2F44">
        <w:t xml:space="preserve"> Courts have ordered the disclosure of such information even in the face of confidentiality objections.</w:t>
      </w:r>
      <w:r>
        <w:rPr>
          <w:vertAlign w:val="superscript"/>
        </w:rPr>
        <w:footnoteReference w:id="454"/>
      </w:r>
      <w:r w:rsidRPr="00AD2F44">
        <w:t xml:space="preserve"> Some courts have also ordered the production of additional </w:t>
      </w:r>
      <w:r w:rsidRPr="00AD2F44">
        <w:lastRenderedPageBreak/>
        <w:t>information, including email addresses,</w:t>
      </w:r>
      <w:r>
        <w:rPr>
          <w:vertAlign w:val="superscript"/>
        </w:rPr>
        <w:footnoteReference w:id="455"/>
      </w:r>
      <w:r w:rsidRPr="00AD2F44">
        <w:t xml:space="preserve"> telephone numbers, and dates of birth.</w:t>
      </w:r>
      <w:r>
        <w:rPr>
          <w:vertAlign w:val="superscript"/>
        </w:rPr>
        <w:footnoteReference w:id="456"/>
      </w:r>
      <w:r w:rsidRPr="00AD2F44">
        <w:t xml:space="preserve"> With respect to requests for Social Security numbers, most courts to address this issue have not ordered </w:t>
      </w:r>
      <w:r w:rsidRPr="00AD2F44">
        <w:lastRenderedPageBreak/>
        <w:t>disclosure either in whole or in part.</w:t>
      </w:r>
      <w:r>
        <w:rPr>
          <w:vertAlign w:val="superscript"/>
        </w:rPr>
        <w:footnoteReference w:id="457"/>
      </w:r>
      <w:r w:rsidRPr="00AD2F44">
        <w:t xml:space="preserve"> Only on rare occasions has a court ordered the disclosure of Social Security numbers, usually where the disclosure is uncontested.</w:t>
      </w:r>
      <w:r>
        <w:rPr>
          <w:vertAlign w:val="superscript"/>
        </w:rPr>
        <w:footnoteReference w:id="458"/>
      </w:r>
      <w:r w:rsidRPr="00AD2F44">
        <w:t xml:space="preserve"> Courts have been </w:t>
      </w:r>
      <w:r w:rsidRPr="00AD2F44">
        <w:lastRenderedPageBreak/>
        <w:t>more willing to provide plaintiff’s counsel with this additional information when notices have been returned as undeliverable.</w:t>
      </w:r>
      <w:r>
        <w:rPr>
          <w:vertAlign w:val="superscript"/>
        </w:rPr>
        <w:footnoteReference w:id="459"/>
      </w:r>
      <w:r w:rsidRPr="00AD2F44">
        <w:t xml:space="preserve"> Courts are split on whether to send reminder notices after initial notice is issued, some reasoning that it is unnecessary or threatens to undermine the </w:t>
      </w:r>
      <w:r w:rsidRPr="00AD2F44">
        <w:lastRenderedPageBreak/>
        <w:t>appearance of court neutrality,</w:t>
      </w:r>
      <w:r>
        <w:rPr>
          <w:vertAlign w:val="superscript"/>
        </w:rPr>
        <w:footnoteReference w:id="460"/>
      </w:r>
      <w:r w:rsidRPr="00AD2F44">
        <w:t xml:space="preserve"> and others allowing it as a reasonable method of making the notice process effective.</w:t>
      </w:r>
      <w:r>
        <w:rPr>
          <w:vertAlign w:val="superscript"/>
        </w:rPr>
        <w:footnoteReference w:id="461"/>
      </w:r>
      <w:r w:rsidRPr="00AD2F44">
        <w:t xml:space="preserve"> </w:t>
      </w:r>
    </w:p>
    <w:p w14:paraId="47C28615" w14:textId="77777777" w:rsidR="005D0340" w:rsidRPr="00AD2F44" w:rsidRDefault="00F42107">
      <w:pPr>
        <w:pStyle w:val="05Second-LevelHeadABC"/>
      </w:pPr>
      <w:r w:rsidRPr="00AD2F44">
        <w:t>C.</w:t>
      </w:r>
      <w:r w:rsidRPr="00AD2F44">
        <w:tab/>
        <w:t>Stage II: The Standard for Deciding Motions to Decertify Collective Actions</w:t>
      </w:r>
    </w:p>
    <w:p w14:paraId="0C9E9DD0" w14:textId="77777777" w:rsidR="005D0340" w:rsidRPr="00AD2F44" w:rsidRDefault="00F42107">
      <w:pPr>
        <w:pStyle w:val="06Third-LevelHead123"/>
      </w:pPr>
      <w:r w:rsidRPr="00AD2F44">
        <w:t>1.</w:t>
      </w:r>
      <w:r w:rsidRPr="00AD2F44">
        <w:tab/>
        <w:t>Introduction</w:t>
      </w:r>
    </w:p>
    <w:p w14:paraId="3C18E14C" w14:textId="77777777" w:rsidR="005D0340" w:rsidRPr="00AD2F44" w:rsidRDefault="00F42107">
      <w:pPr>
        <w:pStyle w:val="10ATextWithIndent"/>
      </w:pPr>
      <w:r w:rsidRPr="00AD2F44">
        <w:t xml:space="preserve">The two-step process courts have adopted to determine whether employees are similarly situated under Section 216(b) requires courts to consider whether potential class members are “similarly situated” at two different stages in the litigation, applying different levels of </w:t>
      </w:r>
      <w:r w:rsidRPr="00AD2F44">
        <w:lastRenderedPageBreak/>
        <w:t>scrutiny.</w:t>
      </w:r>
      <w:r>
        <w:rPr>
          <w:vertAlign w:val="superscript"/>
        </w:rPr>
        <w:footnoteReference w:id="462"/>
      </w:r>
      <w:r w:rsidRPr="00AD2F44">
        <w:t xml:space="preserve"> At the first stage, discussed in Section III.B [The Two-Stage Process Used to Determine if a Collective Action May Proceed to Trial; Stage I: Standard for Determining Whether Conditional Certification Should Be Granted] of this chapter, the court decides whether to approve notice of the lawsuit to potential class members. The court generally has minimal evidence before it at this stage and reviews such motions using a “fairly lenient” standard.</w:t>
      </w:r>
    </w:p>
    <w:p w14:paraId="2187E4F2" w14:textId="77777777" w:rsidR="005D0340" w:rsidRPr="00AD2F44" w:rsidRDefault="00F42107">
      <w:pPr>
        <w:pStyle w:val="10ATextWithIndent"/>
        <w:rPr>
          <w:vertAlign w:val="superscript"/>
        </w:rPr>
      </w:pPr>
      <w:r w:rsidRPr="00AD2F44">
        <w:t>The second-stage evaluation is usually precipitated by a defendant’s motion for decertification at the close of discovery.</w:t>
      </w:r>
      <w:r>
        <w:rPr>
          <w:vertAlign w:val="superscript"/>
        </w:rPr>
        <w:footnoteReference w:id="463"/>
      </w:r>
      <w:r w:rsidRPr="00AD2F44">
        <w:t xml:space="preserve"> Some courts have also reconsidered motions for decertification upon the close of trial.</w:t>
      </w:r>
      <w:r>
        <w:rPr>
          <w:vertAlign w:val="superscript"/>
        </w:rPr>
        <w:footnoteReference w:id="464"/>
      </w:r>
      <w:r w:rsidRPr="00AD2F44">
        <w:t xml:space="preserve"> During the second-stage analysis, the court has more information on which to base its decision than before discovery was conducted, and it therefore applies a more stringent standard than at the first stage.</w:t>
      </w:r>
      <w:r>
        <w:rPr>
          <w:vertAlign w:val="superscript"/>
        </w:rPr>
        <w:footnoteReference w:id="465"/>
      </w:r>
      <w:r w:rsidRPr="00AD2F44">
        <w:t xml:space="preserve"> Although plaintiffs continue to bear </w:t>
      </w:r>
      <w:r w:rsidRPr="00AD2F44">
        <w:lastRenderedPageBreak/>
        <w:t>the burden of establishing that they are similarly situated in the second stage, they do not have to prove that they are “identically situated.”</w:t>
      </w:r>
      <w:r>
        <w:rPr>
          <w:vertAlign w:val="superscript"/>
        </w:rPr>
        <w:footnoteReference w:id="466"/>
      </w:r>
      <w:r w:rsidRPr="00AD2F44">
        <w:t xml:space="preserve"> As with decisions at the first stage, certification decisions at the second stage are within a district court’s discretion.</w:t>
      </w:r>
      <w:r>
        <w:rPr>
          <w:vertAlign w:val="superscript"/>
        </w:rPr>
        <w:footnoteReference w:id="467"/>
      </w:r>
      <w:r w:rsidRPr="00AD2F44">
        <w:t xml:space="preserve"> The Third Circuit has </w:t>
      </w:r>
      <w:r w:rsidRPr="00AD2F44">
        <w:lastRenderedPageBreak/>
        <w:t>described the second stage as the “final certification” stage, and has held that plaintiffs “must demonstrate by a preponderance of the evidence that members of a proposed collective action are similarly situated in order to obtain final certification and proceed with the case as a collective action.”</w:t>
      </w:r>
      <w:r>
        <w:rPr>
          <w:vertAlign w:val="superscript"/>
        </w:rPr>
        <w:footnoteReference w:id="468"/>
      </w:r>
    </w:p>
    <w:p w14:paraId="7566E490" w14:textId="77777777" w:rsidR="005D0340" w:rsidRPr="00AD2F44" w:rsidRDefault="00F42107">
      <w:pPr>
        <w:pStyle w:val="10ATextWithIndent"/>
        <w:rPr>
          <w:vertAlign w:val="superscript"/>
        </w:rPr>
      </w:pPr>
      <w:r w:rsidRPr="00AD2F44">
        <w:t>In conducting the second-stage analysis, some courts consider three factors: (1) the disparity or similarity of the factual and employment settings of the individual plaintiffs, (2) the various defenses available to the defendant and whether those may be asserted collectively or individually as to each plaintiff, and (3) fairness and procedural considerations.</w:t>
      </w:r>
      <w:r>
        <w:rPr>
          <w:vertAlign w:val="superscript"/>
        </w:rPr>
        <w:footnoteReference w:id="469"/>
      </w:r>
      <w:r w:rsidRPr="00AD2F44">
        <w:t xml:space="preserve"> The factors </w:t>
      </w:r>
      <w:r w:rsidRPr="00AD2F44">
        <w:lastRenderedPageBreak/>
        <w:t>“are not mutually exclusive, and there is considerable overlap among them.”</w:t>
      </w:r>
      <w:r>
        <w:rPr>
          <w:vertAlign w:val="superscript"/>
        </w:rPr>
        <w:footnoteReference w:id="470"/>
      </w:r>
      <w:r w:rsidRPr="00AD2F44">
        <w:t xml:space="preserve"> Generally, however, “the more dissimilar plaintiffs are and the more individuated [the employer’s] defenses are, the greater doubts there are about the fairness of a ruling on the merits—for either side—that is reached on the basis of purportedly representative evidence.”</w:t>
      </w:r>
      <w:r>
        <w:rPr>
          <w:vertAlign w:val="superscript"/>
        </w:rPr>
        <w:footnoteReference w:id="471"/>
      </w:r>
      <w:r w:rsidRPr="00AD2F44">
        <w:t xml:space="preserve"> On the other hand, if the court finds that the plaintiffs’ “claims may be supported by generalized proof,” it is likely to deny a decertification motion.</w:t>
      </w:r>
      <w:r>
        <w:rPr>
          <w:vertAlign w:val="superscript"/>
        </w:rPr>
        <w:footnoteReference w:id="472"/>
      </w:r>
    </w:p>
    <w:p w14:paraId="075B618D" w14:textId="77777777" w:rsidR="005D0340" w:rsidRPr="00AD2F44" w:rsidRDefault="00F42107">
      <w:pPr>
        <w:pStyle w:val="10ATextWithIndent"/>
        <w:rPr>
          <w:vertAlign w:val="superscript"/>
        </w:rPr>
      </w:pPr>
      <w:r w:rsidRPr="00AD2F44">
        <w:lastRenderedPageBreak/>
        <w:t>In addition to these factors, courts may favor decertification where the size of the class is small</w:t>
      </w:r>
      <w:r>
        <w:rPr>
          <w:vertAlign w:val="superscript"/>
        </w:rPr>
        <w:footnoteReference w:id="473"/>
      </w:r>
      <w:r w:rsidRPr="00AD2F44">
        <w:t xml:space="preserve"> or when there is a low opt-in rate.</w:t>
      </w:r>
      <w:r>
        <w:rPr>
          <w:vertAlign w:val="superscript"/>
        </w:rPr>
        <w:footnoteReference w:id="474"/>
      </w:r>
      <w:r w:rsidRPr="00AD2F44">
        <w:t xml:space="preserve"> However, other courts have held that an opt-in rate is irrelevant to whether the opt-in plaintiffs are similarly situated.</w:t>
      </w:r>
      <w:r>
        <w:rPr>
          <w:vertAlign w:val="superscript"/>
        </w:rPr>
        <w:footnoteReference w:id="475"/>
      </w:r>
    </w:p>
    <w:p w14:paraId="57BA0DCD" w14:textId="77777777" w:rsidR="005D0340" w:rsidRPr="00AD2F44" w:rsidRDefault="00F42107">
      <w:pPr>
        <w:pStyle w:val="10ATextWithIndent"/>
      </w:pPr>
      <w:r w:rsidRPr="00AD2F44">
        <w:t>The Ninth Circuit takes a somewhat different approach when considering decertification motions. According to the Ninth Circuit, “[p]arty plaintiffs are similarly situated, and may proceed in a collective, to the extent they share a similar issue of law or fact material to the disposition of their FLSA claims.”</w:t>
      </w:r>
      <w:r>
        <w:rPr>
          <w:vertAlign w:val="superscript"/>
        </w:rPr>
        <w:footnoteReference w:id="476"/>
      </w:r>
      <w:r w:rsidRPr="00AD2F44">
        <w:t xml:space="preserve"> Significantly, as long as the proposed collective’s “factual or legal similarities are material to the resolution of their case, dissimilarities in other respects should not defeat collective treatment.”</w:t>
      </w:r>
      <w:r>
        <w:rPr>
          <w:vertAlign w:val="superscript"/>
        </w:rPr>
        <w:footnoteReference w:id="477"/>
      </w:r>
    </w:p>
    <w:p w14:paraId="17B0586D" w14:textId="77777777" w:rsidR="005D0340" w:rsidRPr="00AD2F44" w:rsidRDefault="00F42107">
      <w:pPr>
        <w:pStyle w:val="10ATextWithIndent"/>
      </w:pPr>
      <w:r w:rsidRPr="00AD2F44">
        <w:rPr>
          <w:color w:val="000000"/>
        </w:rPr>
        <w:t>The Second Circuit rejects the use of the three-factor analysis.</w:t>
      </w:r>
      <w:r>
        <w:rPr>
          <w:rStyle w:val="FootnoteReference"/>
          <w:color w:val="000000"/>
        </w:rPr>
        <w:footnoteReference w:id="478"/>
      </w:r>
      <w:r w:rsidRPr="00AD2F44">
        <w:rPr>
          <w:color w:val="000000"/>
        </w:rPr>
        <w:t xml:space="preserve"> Instead, it instructs district courts to consider whether plaintiffs and opt-in plaintiffs “</w:t>
      </w:r>
      <w:r w:rsidRPr="00AD2F44">
        <w:rPr>
          <w:color w:val="000000"/>
          <w:shd w:val="clear" w:color="auto" w:fill="FFFFFF"/>
        </w:rPr>
        <w:t>share one or more similar questions of law or fact material to the disposition of their FLSA claims.</w:t>
      </w:r>
      <w:r w:rsidRPr="00AD2F44">
        <w:rPr>
          <w:color w:val="000000"/>
        </w:rPr>
        <w:t>”</w:t>
      </w:r>
      <w:r>
        <w:rPr>
          <w:rStyle w:val="FootnoteReference"/>
          <w:color w:val="000000"/>
        </w:rPr>
        <w:footnoteReference w:id="479"/>
      </w:r>
    </w:p>
    <w:p w14:paraId="633D171A" w14:textId="2470B983" w:rsidR="005D0340" w:rsidRPr="00AD2F44" w:rsidRDefault="00F42107">
      <w:pPr>
        <w:pStyle w:val="10ATextWithIndent"/>
        <w:rPr>
          <w:vertAlign w:val="superscript"/>
        </w:rPr>
      </w:pPr>
      <w:r w:rsidRPr="00AD2F44">
        <w:t>If a court determines that collective treatment is appropriate and denies a motion for decertification, the case will proceed to trial as a collective action.</w:t>
      </w:r>
      <w:r>
        <w:rPr>
          <w:vertAlign w:val="superscript"/>
        </w:rPr>
        <w:footnoteReference w:id="480"/>
      </w:r>
      <w:r w:rsidRPr="00AD2F44">
        <w:t xml:space="preserve"> If, on the other hand, the </w:t>
      </w:r>
      <w:r w:rsidRPr="00AD2F44">
        <w:lastRenderedPageBreak/>
        <w:t>court determines that collective treatment is not warranted, the case is decertified, the opt-in plaintiffs’ claims are dismissed without prejudice, and the named plaintiffs proceed to trial on their individual claims.</w:t>
      </w:r>
      <w:r>
        <w:rPr>
          <w:vertAlign w:val="superscript"/>
        </w:rPr>
        <w:footnoteReference w:id="481"/>
      </w:r>
      <w:r w:rsidRPr="00AD2F44">
        <w:t xml:space="preserve"> Alternatively, courts may partially decertify a conditionally certified collective action and permit only those who are similarly situated to proceed to trial based on representative testimony.</w:t>
      </w:r>
      <w:r>
        <w:rPr>
          <w:vertAlign w:val="superscript"/>
        </w:rPr>
        <w:footnoteReference w:id="482"/>
      </w:r>
      <w:r w:rsidRPr="00AD2F44">
        <w:t xml:space="preserve"> </w:t>
      </w:r>
    </w:p>
    <w:p w14:paraId="39AC218E" w14:textId="77777777" w:rsidR="005D0340" w:rsidRPr="00AD2F44" w:rsidRDefault="00F42107">
      <w:pPr>
        <w:pStyle w:val="10ATextWithIndent"/>
        <w:rPr>
          <w:vertAlign w:val="superscript"/>
        </w:rPr>
      </w:pPr>
      <w:r w:rsidRPr="00AD2F44">
        <w:lastRenderedPageBreak/>
        <w:t>In the event that a court decertifies a conditionally certified collective action, opt-in plaintiffs may refile their cases as individual or multi-plaintiff actions. Cases re-filed as multi-plaintiff actions must meet the requirements for joinder under Rules 20 and 21 of the Federal Rules of Civil Procedure.</w:t>
      </w:r>
      <w:r>
        <w:rPr>
          <w:vertAlign w:val="superscript"/>
        </w:rPr>
        <w:footnoteReference w:id="483"/>
      </w:r>
      <w:r w:rsidRPr="00AD2F44">
        <w:t xml:space="preserve"> After decertification and subsequent refiling, there remains the possibility that the cases will be reconsolidated by the Judicial Panel on Multidistrict Litigation (JPML).</w:t>
      </w:r>
      <w:r>
        <w:rPr>
          <w:vertAlign w:val="superscript"/>
        </w:rPr>
        <w:footnoteReference w:id="484"/>
      </w:r>
    </w:p>
    <w:p w14:paraId="1B9007A6" w14:textId="77777777" w:rsidR="005D0340" w:rsidRPr="00AD2F44" w:rsidRDefault="00F42107">
      <w:pPr>
        <w:pStyle w:val="06Third-LevelHead123"/>
      </w:pPr>
      <w:r w:rsidRPr="00AD2F44">
        <w:t>2.</w:t>
      </w:r>
      <w:r w:rsidRPr="00AD2F44">
        <w:tab/>
        <w:t>Disparate Factual and Employment Settings of the Plaintiffs</w:t>
      </w:r>
    </w:p>
    <w:p w14:paraId="7F823495" w14:textId="77777777" w:rsidR="005D0340" w:rsidRPr="00AD2F44" w:rsidRDefault="00F42107">
      <w:pPr>
        <w:pStyle w:val="10ATextWithIndent"/>
        <w:rPr>
          <w:vertAlign w:val="superscript"/>
        </w:rPr>
      </w:pPr>
      <w:r w:rsidRPr="00AD2F44">
        <w:t>The first factor under the second-stage analysis considers whether the plaintiffs’ factual claims and employment backgrounds are sufficiently similar to warrant collective treatment. Plaintiffs must establish meaningful identifiable facts or a legal nexus that binds their claims together so that collective treatment is warranted.</w:t>
      </w:r>
      <w:r>
        <w:rPr>
          <w:vertAlign w:val="superscript"/>
        </w:rPr>
        <w:footnoteReference w:id="485"/>
      </w:r>
      <w:r w:rsidRPr="00AD2F44">
        <w:t xml:space="preserve"> It is not sufficient for collective treatment that the plaintiffs worked for the same employer</w:t>
      </w:r>
      <w:r>
        <w:rPr>
          <w:vertAlign w:val="superscript"/>
        </w:rPr>
        <w:footnoteReference w:id="486"/>
      </w:r>
      <w:r w:rsidRPr="00AD2F44">
        <w:t xml:space="preserve"> or that, “without more … </w:t>
      </w:r>
      <w:r w:rsidRPr="00AD2F44">
        <w:rPr>
          <w:i/>
          <w:iCs/>
        </w:rPr>
        <w:t>some</w:t>
      </w:r>
      <w:r w:rsidRPr="00AD2F44">
        <w:t xml:space="preserve"> FLSA violations have occurred.”</w:t>
      </w:r>
      <w:r>
        <w:rPr>
          <w:vertAlign w:val="superscript"/>
        </w:rPr>
        <w:footnoteReference w:id="487"/>
      </w:r>
      <w:r w:rsidRPr="00AD2F44">
        <w:t xml:space="preserve"> Decertification would be appropriate where plaintiffs are subject to varying work conditions in different work locations or under different supervisors.</w:t>
      </w:r>
      <w:r>
        <w:rPr>
          <w:vertAlign w:val="superscript"/>
        </w:rPr>
        <w:footnoteReference w:id="488"/>
      </w:r>
    </w:p>
    <w:p w14:paraId="41282AB2" w14:textId="77777777" w:rsidR="005D0340" w:rsidRPr="00AD2F44" w:rsidRDefault="00F42107">
      <w:pPr>
        <w:pStyle w:val="10ATextWithIndent"/>
        <w:rPr>
          <w:vertAlign w:val="superscript"/>
        </w:rPr>
      </w:pPr>
      <w:r w:rsidRPr="00AD2F44">
        <w:lastRenderedPageBreak/>
        <w:t>When evaluating the plaintiffs’ claims, courts apply a multi-factored approach that considers, to the extent relevant, the plaintiffs’ job duties, geographic locations, employer supervision, and compensation.</w:t>
      </w:r>
      <w:r>
        <w:rPr>
          <w:vertAlign w:val="superscript"/>
        </w:rPr>
        <w:footnoteReference w:id="489"/>
      </w:r>
      <w:r w:rsidRPr="00AD2F44">
        <w:t xml:space="preserve"> These factors are considered in tandem, and one similarity or divergence is generally not sufficient to justify either continued collective treatment or decertification. For example, while courts consider the geographic scope of the class, the mere fact that plaintiffs worked at different facilities does not warrant decertification if their job duties and other aspects of employment were sufficiently similar to warrant collective </w:t>
      </w:r>
      <w:sdt>
        <w:sdtPr>
          <w:tag w:val="goog_rdk_6"/>
          <w:id w:val="-960879785"/>
        </w:sdtPr>
        <w:sdtEndPr/>
        <w:sdtContent/>
      </w:sdt>
      <w:r w:rsidRPr="00AD2F44">
        <w:t>treatment.</w:t>
      </w:r>
      <w:r>
        <w:rPr>
          <w:vertAlign w:val="superscript"/>
        </w:rPr>
        <w:footnoteReference w:id="490"/>
      </w:r>
      <w:r w:rsidRPr="00AD2F44">
        <w:t xml:space="preserve"> On </w:t>
      </w:r>
      <w:r w:rsidRPr="00AD2F44">
        <w:lastRenderedPageBreak/>
        <w:t>the other hand, similar compensation structures and job titles alone are generally not sufficient to justify collective treatment.</w:t>
      </w:r>
      <w:r>
        <w:rPr>
          <w:vertAlign w:val="superscript"/>
        </w:rPr>
        <w:footnoteReference w:id="491"/>
      </w:r>
      <w:r w:rsidRPr="00AD2F44">
        <w:t xml:space="preserve"> Differences among class members that do not undermine the court’s ability to resolve issues on a collective basis are insufficient to justify decertification.</w:t>
      </w:r>
      <w:r>
        <w:rPr>
          <w:vertAlign w:val="superscript"/>
        </w:rPr>
        <w:footnoteReference w:id="492"/>
      </w:r>
    </w:p>
    <w:p w14:paraId="3CFABE2A" w14:textId="77777777" w:rsidR="005D0340" w:rsidRPr="00AD2F44" w:rsidRDefault="00F42107">
      <w:pPr>
        <w:pStyle w:val="10ATextWithIndent"/>
        <w:rPr>
          <w:vertAlign w:val="superscript"/>
        </w:rPr>
      </w:pPr>
      <w:r w:rsidRPr="00AD2F44">
        <w:lastRenderedPageBreak/>
        <w:t>Related to the factual and employment settings of class members, many courts consider whether plaintiffs have established a common employer policy, practice, or plan alleged to be in violation of the FLSA.</w:t>
      </w:r>
      <w:r>
        <w:rPr>
          <w:vertAlign w:val="superscript"/>
        </w:rPr>
        <w:footnoteReference w:id="493"/>
      </w:r>
      <w:r w:rsidRPr="00AD2F44">
        <w:t xml:space="preserve"> The existence of a common policy, practice, or plan may “assuage </w:t>
      </w:r>
      <w:r w:rsidRPr="00AD2F44">
        <w:lastRenderedPageBreak/>
        <w:t>concerns about plaintiffs’ otherwise varied circumstances.”</w:t>
      </w:r>
      <w:r>
        <w:rPr>
          <w:vertAlign w:val="superscript"/>
        </w:rPr>
        <w:footnoteReference w:id="494"/>
      </w:r>
      <w:r w:rsidRPr="00AD2F44">
        <w:t xml:space="preserve"> Some district courts have held that the absence of a policy requiring compensation for specific acts can constitute a uniform policy justifying collective treatment.</w:t>
      </w:r>
      <w:r>
        <w:rPr>
          <w:vertAlign w:val="superscript"/>
        </w:rPr>
        <w:footnoteReference w:id="495"/>
      </w:r>
      <w:r w:rsidRPr="00AD2F44">
        <w:t xml:space="preserve"> However, some courts have held that a common policy is not a rigid requirement for collective treatment.</w:t>
      </w:r>
      <w:r>
        <w:rPr>
          <w:vertAlign w:val="superscript"/>
        </w:rPr>
        <w:footnoteReference w:id="496"/>
      </w:r>
      <w:r w:rsidRPr="00AD2F44">
        <w:t xml:space="preserve"> Other courts have weighed against collective treatment events that undermine the existence of a common policy, such as changes in a policy</w:t>
      </w:r>
      <w:r>
        <w:rPr>
          <w:vertAlign w:val="superscript"/>
        </w:rPr>
        <w:footnoteReference w:id="497"/>
      </w:r>
      <w:r w:rsidRPr="00AD2F44">
        <w:t xml:space="preserve"> or differing individual interpretations of a policy.</w:t>
      </w:r>
      <w:r>
        <w:rPr>
          <w:vertAlign w:val="superscript"/>
        </w:rPr>
        <w:footnoteReference w:id="498"/>
      </w:r>
      <w:r w:rsidRPr="00AD2F44">
        <w:t xml:space="preserve"> But some courts hold to the contrary.</w:t>
      </w:r>
      <w:r>
        <w:rPr>
          <w:vertAlign w:val="superscript"/>
        </w:rPr>
        <w:footnoteReference w:id="499"/>
      </w:r>
    </w:p>
    <w:p w14:paraId="7A5E2061" w14:textId="77777777" w:rsidR="005D0340" w:rsidRPr="00AD2F44" w:rsidRDefault="00F42107">
      <w:pPr>
        <w:pStyle w:val="06Third-LevelHead123"/>
      </w:pPr>
      <w:r w:rsidRPr="00AD2F44">
        <w:lastRenderedPageBreak/>
        <w:t>3.</w:t>
      </w:r>
      <w:r w:rsidRPr="00AD2F44">
        <w:tab/>
        <w:t>Individualized Defenses</w:t>
      </w:r>
    </w:p>
    <w:p w14:paraId="080D2240" w14:textId="77777777" w:rsidR="005D0340" w:rsidRPr="00AD2F44" w:rsidRDefault="00F42107">
      <w:pPr>
        <w:pStyle w:val="10ATextWithIndent"/>
        <w:rPr>
          <w:vertAlign w:val="superscript"/>
        </w:rPr>
      </w:pPr>
      <w:r w:rsidRPr="00AD2F44">
        <w:t>The second factor in the second-stage analysis examines whether the defendant alleges generalized defenses applicable to the entire class or whether the defenses vary with respect to each individual opt-in plaintiff. Whether or not a defense is general or individualized may turn in part on the varying factual and employment settings of the plaintiffs, and courts often consider these factors in tandem.</w:t>
      </w:r>
      <w:r>
        <w:rPr>
          <w:vertAlign w:val="superscript"/>
        </w:rPr>
        <w:footnoteReference w:id="500"/>
      </w:r>
      <w:r w:rsidRPr="00AD2F44">
        <w:t xml:space="preserve"> Some courts have held that individualized defenses can sometimes provide their own basis for decertification, particularly where they “prevent an efficient proceeding with a representative class.”</w:t>
      </w:r>
      <w:r>
        <w:rPr>
          <w:vertAlign w:val="superscript"/>
        </w:rPr>
        <w:footnoteReference w:id="501"/>
      </w:r>
      <w:r w:rsidRPr="00AD2F44">
        <w:t xml:space="preserve"> Nevertheless, other courts have held that the existence of individualized defenses is not sufficient to warrant decertification if there are sufficient common issues or job traits that permit collective litigation of the claims.</w:t>
      </w:r>
      <w:r>
        <w:rPr>
          <w:vertAlign w:val="superscript"/>
        </w:rPr>
        <w:footnoteReference w:id="502"/>
      </w:r>
    </w:p>
    <w:p w14:paraId="7AE7B236" w14:textId="77777777" w:rsidR="005D0340" w:rsidRPr="00AD2F44" w:rsidRDefault="00F42107">
      <w:pPr>
        <w:pStyle w:val="10ATextWithIndent"/>
        <w:rPr>
          <w:vertAlign w:val="superscript"/>
        </w:rPr>
      </w:pPr>
      <w:r w:rsidRPr="00AD2F44">
        <w:lastRenderedPageBreak/>
        <w:t>Generalized defenses that can be litigated against an entire collective with ease do not warrant decertification. For example, a number of courts have held that statute of limitations defenses do not warrant decertification.</w:t>
      </w:r>
      <w:r>
        <w:rPr>
          <w:vertAlign w:val="superscript"/>
        </w:rPr>
        <w:footnoteReference w:id="503"/>
      </w:r>
      <w:r w:rsidRPr="00AD2F44">
        <w:t xml:space="preserve"> A number of courts also have found that damages </w:t>
      </w:r>
      <w:r w:rsidRPr="00AD2F44">
        <w:lastRenderedPageBreak/>
        <w:t>calculations do not warrant decertification</w:t>
      </w:r>
      <w:r>
        <w:rPr>
          <w:vertAlign w:val="superscript"/>
        </w:rPr>
        <w:footnoteReference w:id="504"/>
      </w:r>
      <w:r w:rsidRPr="00AD2F44">
        <w:t xml:space="preserve"> and/or can be resolved through bifurcating the liability and damages phases of trial.</w:t>
      </w:r>
      <w:r>
        <w:rPr>
          <w:vertAlign w:val="superscript"/>
        </w:rPr>
        <w:footnoteReference w:id="505"/>
      </w:r>
      <w:r w:rsidRPr="00AD2F44">
        <w:t xml:space="preserve"> At least one court has disagreed.</w:t>
      </w:r>
      <w:r>
        <w:rPr>
          <w:vertAlign w:val="superscript"/>
        </w:rPr>
        <w:footnoteReference w:id="506"/>
      </w:r>
      <w:r w:rsidRPr="00AD2F44">
        <w:t xml:space="preserve"> Arguments pertaining </w:t>
      </w:r>
      <w:r w:rsidRPr="00AD2F44">
        <w:lastRenderedPageBreak/>
        <w:t>to whether an employer acted in good faith and other company-level practices are not sufficiently individualized to warrant decertification.</w:t>
      </w:r>
      <w:r>
        <w:rPr>
          <w:vertAlign w:val="superscript"/>
        </w:rPr>
        <w:footnoteReference w:id="507"/>
      </w:r>
      <w:r w:rsidRPr="00AD2F44">
        <w:t xml:space="preserve"> A set-off defense may not require decertification where it applies equally across all plaintiffs or can be managed when computing damages.</w:t>
      </w:r>
      <w:r>
        <w:rPr>
          <w:vertAlign w:val="superscript"/>
        </w:rPr>
        <w:footnoteReference w:id="508"/>
      </w:r>
      <w:r w:rsidRPr="00AD2F44">
        <w:t xml:space="preserve"> Decertification is not proper where claims can be proved through common proof and representative evidence.</w:t>
      </w:r>
      <w:r>
        <w:rPr>
          <w:vertAlign w:val="superscript"/>
        </w:rPr>
        <w:footnoteReference w:id="509"/>
      </w:r>
    </w:p>
    <w:p w14:paraId="25ACADF7" w14:textId="77777777" w:rsidR="005D0340" w:rsidRPr="00AD2F44" w:rsidRDefault="00F42107">
      <w:pPr>
        <w:pStyle w:val="10ATextWithIndent"/>
        <w:rPr>
          <w:vertAlign w:val="superscript"/>
        </w:rPr>
      </w:pPr>
      <w:r w:rsidRPr="00AD2F44">
        <w:t>On the other hand, many courts have granted decertification where defenses require the court to conduct detailed individualized inquiries into the claims of each plaintiff.</w:t>
      </w:r>
      <w:r>
        <w:rPr>
          <w:vertAlign w:val="superscript"/>
        </w:rPr>
        <w:footnoteReference w:id="510"/>
      </w:r>
      <w:r w:rsidRPr="00AD2F44">
        <w:t xml:space="preserve"> For </w:t>
      </w:r>
      <w:r w:rsidRPr="00AD2F44">
        <w:lastRenderedPageBreak/>
        <w:t>example, when some members of the opt-in class are subject to an exemption defense and others are not, the disparate defenses may weigh in favor of decertification,</w:t>
      </w:r>
      <w:r>
        <w:rPr>
          <w:vertAlign w:val="superscript"/>
        </w:rPr>
        <w:footnoteReference w:id="511"/>
      </w:r>
      <w:r w:rsidRPr="00AD2F44">
        <w:t xml:space="preserve"> but that is not always the case.</w:t>
      </w:r>
      <w:r>
        <w:rPr>
          <w:vertAlign w:val="superscript"/>
        </w:rPr>
        <w:footnoteReference w:id="512"/>
      </w:r>
      <w:r w:rsidRPr="00AD2F44">
        <w:t xml:space="preserve"> Similarly, some courts have found equitable estoppel and de minimis defenses to be “individualized defenses” that render collective treatment inappropriate, while others disagree.</w:t>
      </w:r>
      <w:r>
        <w:rPr>
          <w:vertAlign w:val="superscript"/>
        </w:rPr>
        <w:footnoteReference w:id="513"/>
      </w:r>
      <w:r w:rsidRPr="00AD2F44">
        <w:t xml:space="preserve"> Finally, some courts have found that, where the evidence shows some members would not have worked unpaid overtime even when adding alleged off-the-clock time, or where liability </w:t>
      </w:r>
      <w:r w:rsidRPr="00AD2F44">
        <w:lastRenderedPageBreak/>
        <w:t>otherwise cannot be established on a classwide basis, individualized determinations of liability preclude collective treatment.</w:t>
      </w:r>
      <w:r>
        <w:rPr>
          <w:vertAlign w:val="superscript"/>
        </w:rPr>
        <w:footnoteReference w:id="514"/>
      </w:r>
    </w:p>
    <w:p w14:paraId="6C9AA961" w14:textId="77777777" w:rsidR="005D0340" w:rsidRPr="00AD2F44" w:rsidRDefault="00F42107">
      <w:pPr>
        <w:pStyle w:val="10ATextWithIndent"/>
        <w:rPr>
          <w:vertAlign w:val="superscript"/>
        </w:rPr>
      </w:pPr>
      <w:r w:rsidRPr="00AD2F44">
        <w:t xml:space="preserve">Individualized determinations regarding damages may render a collective action infeasible. In </w:t>
      </w:r>
      <w:r w:rsidRPr="00AD2F44">
        <w:rPr>
          <w:i/>
          <w:iCs/>
        </w:rPr>
        <w:t>Espenscheid v. DirectSAT USA, LLC</w:t>
      </w:r>
      <w:r w:rsidRPr="00AD2F44">
        <w:t>,</w:t>
      </w:r>
      <w:r>
        <w:rPr>
          <w:vertAlign w:val="superscript"/>
        </w:rPr>
        <w:footnoteReference w:id="515"/>
      </w:r>
      <w:r w:rsidRPr="00AD2F44">
        <w:rPr>
          <w:i/>
          <w:iCs/>
        </w:rPr>
        <w:t xml:space="preserve"> </w:t>
      </w:r>
      <w:r w:rsidRPr="00AD2F44">
        <w:t>a collective of 2,341 technicians who installed and repaired satellite equipment at customer homes sought unpaid overtime under the FLSA, among other claims.</w:t>
      </w:r>
      <w:r>
        <w:rPr>
          <w:vertAlign w:val="superscript"/>
        </w:rPr>
        <w:footnoteReference w:id="516"/>
      </w:r>
      <w:r w:rsidRPr="00AD2F44">
        <w:t xml:space="preserve"> The plaintiffs were paid by the job, rather than hourly.</w:t>
      </w:r>
      <w:r>
        <w:rPr>
          <w:vertAlign w:val="superscript"/>
        </w:rPr>
        <w:footnoteReference w:id="517"/>
      </w:r>
      <w:r w:rsidRPr="00AD2F44">
        <w:t xml:space="preserve"> As the Seventh Circuit pointed out, “since workers differ in their effort and efficiency … some, maybe many, of the technicians may not work more than 40 hours a week and may even work fewer hours; others may work more than 40 hours a week.”</w:t>
      </w:r>
      <w:r>
        <w:rPr>
          <w:vertAlign w:val="superscript"/>
        </w:rPr>
        <w:footnoteReference w:id="518"/>
      </w:r>
      <w:r w:rsidRPr="00AD2F44">
        <w:t xml:space="preserve"> That the plaintiffs were paid by the job compounded the court’s difficulties because the calculation of the plaintiffs’ regular rates to be used in determining unpaid overtime would vary depending on how long it took each plaintiff to perform each job.</w:t>
      </w:r>
      <w:r>
        <w:rPr>
          <w:vertAlign w:val="superscript"/>
        </w:rPr>
        <w:footnoteReference w:id="519"/>
      </w:r>
      <w:r w:rsidRPr="00AD2F44">
        <w:t xml:space="preserve"> Additionally, some of the plaintiffs reported their time spent on certain tasks, while others did not.</w:t>
      </w:r>
      <w:r>
        <w:rPr>
          <w:vertAlign w:val="superscript"/>
        </w:rPr>
        <w:footnoteReference w:id="520"/>
      </w:r>
    </w:p>
    <w:p w14:paraId="0460E77A" w14:textId="6AC6ECCF" w:rsidR="005D0340" w:rsidRPr="00AD2F44" w:rsidRDefault="00F42107">
      <w:pPr>
        <w:pStyle w:val="10ATextWithIndent"/>
        <w:rPr>
          <w:vertAlign w:val="superscript"/>
        </w:rPr>
      </w:pPr>
      <w:r w:rsidRPr="00AD2F44">
        <w:t>In light of the variance in the plaintiffs’ experiences, the Seventh Circuit rejected the plaintiffs’ proposal to use representative testimony from 42 of the 2,341 plaintiffs in order to establish their alleged damages. As the court explained, “[t]o extrapolate from the experience of the 42 to that of the 2,341 would require that all 2,341 have done roughly the same amount of work, including the same amount of overtime work, and had been paid the same wage. … No one thinks there was such uniformity.”</w:t>
      </w:r>
      <w:r>
        <w:rPr>
          <w:vertAlign w:val="superscript"/>
        </w:rPr>
        <w:footnoteReference w:id="521"/>
      </w:r>
      <w:r w:rsidRPr="00AD2F44">
        <w:t xml:space="preserve"> Rather, in order to determine the amount of damages claimed, it would be necessary to hold 2,341 separate evidentiary hearings, which threatened to “swamp” the district court.</w:t>
      </w:r>
      <w:r>
        <w:rPr>
          <w:vertAlign w:val="superscript"/>
        </w:rPr>
        <w:footnoteReference w:id="522"/>
      </w:r>
      <w:r w:rsidRPr="00AD2F44">
        <w:t xml:space="preserve"> As such, the individualized analyses required to determine damages rendered the plaintiffs’ collective action infeasible, and the court affirmed the district </w:t>
      </w:r>
      <w:r w:rsidRPr="00AD2F44">
        <w:lastRenderedPageBreak/>
        <w:t>court’s decision to decertify.</w:t>
      </w:r>
      <w:r>
        <w:rPr>
          <w:vertAlign w:val="superscript"/>
        </w:rPr>
        <w:footnoteReference w:id="523"/>
      </w:r>
      <w:r w:rsidRPr="00AD2F44">
        <w:t xml:space="preserve"> In </w:t>
      </w:r>
      <w:r w:rsidRPr="00AD2F44">
        <w:rPr>
          <w:i/>
          <w:iCs/>
        </w:rPr>
        <w:t>Indergit v</w:t>
      </w:r>
      <w:r w:rsidRPr="00AD2F44">
        <w:t>.</w:t>
      </w:r>
      <w:r w:rsidRPr="00AD2F44">
        <w:rPr>
          <w:i/>
          <w:iCs/>
        </w:rPr>
        <w:t xml:space="preserve"> Rite Aid Corp</w:t>
      </w:r>
      <w:r w:rsidRPr="00AD2F44">
        <w:t>.,</w:t>
      </w:r>
      <w:r>
        <w:rPr>
          <w:vertAlign w:val="superscript"/>
        </w:rPr>
        <w:footnoteReference w:id="524"/>
      </w:r>
      <w:r w:rsidRPr="00AD2F44">
        <w:rPr>
          <w:i/>
          <w:iCs/>
        </w:rPr>
        <w:t xml:space="preserve"> </w:t>
      </w:r>
      <w:r w:rsidRPr="00AD2F44">
        <w:t xml:space="preserve">a New York district court expressly rejected </w:t>
      </w:r>
      <w:r w:rsidRPr="00AD2F44">
        <w:rPr>
          <w:i/>
          <w:iCs/>
        </w:rPr>
        <w:t>Espenscheid</w:t>
      </w:r>
      <w:r w:rsidRPr="00AD2F44">
        <w:t xml:space="preserve"> and noted that “the issue of damages does not preclude collective action, and the case can be bifurcated into liability and damages phases if and when it becomes necessary.”</w:t>
      </w:r>
      <w:r>
        <w:rPr>
          <w:vertAlign w:val="superscript"/>
        </w:rPr>
        <w:footnoteReference w:id="525"/>
      </w:r>
    </w:p>
    <w:p w14:paraId="149CE2E7" w14:textId="77777777" w:rsidR="005D0340" w:rsidRPr="00AD2F44" w:rsidRDefault="00F42107">
      <w:pPr>
        <w:pStyle w:val="06Third-LevelHead123"/>
      </w:pPr>
      <w:r w:rsidRPr="00AD2F44">
        <w:t>4.</w:t>
      </w:r>
      <w:r w:rsidRPr="00AD2F44">
        <w:tab/>
        <w:t>Fairness and Procedural Considerations</w:t>
      </w:r>
    </w:p>
    <w:p w14:paraId="61B97881" w14:textId="77777777" w:rsidR="005D0340" w:rsidRPr="00AD2F44" w:rsidRDefault="00F42107">
      <w:pPr>
        <w:pStyle w:val="10ATextWithIndent"/>
        <w:rPr>
          <w:vertAlign w:val="superscript"/>
        </w:rPr>
      </w:pPr>
      <w:r w:rsidRPr="00AD2F44">
        <w:t>Under the third factor of the second-stage analysis, courts consider whether adjudicating the claims on a collective basis is fair to both parties and procedurally feasible.</w:t>
      </w:r>
      <w:r w:rsidRPr="00AD2F44">
        <w:rPr>
          <w:vertAlign w:val="superscript"/>
        </w:rPr>
        <w:t xml:space="preserve"> </w:t>
      </w:r>
    </w:p>
    <w:p w14:paraId="2350DCBC" w14:textId="77777777" w:rsidR="005D0340" w:rsidRPr="00AD2F44" w:rsidRDefault="00F42107">
      <w:pPr>
        <w:pStyle w:val="10ATextWithIndent"/>
        <w:rPr>
          <w:vertAlign w:val="superscript"/>
        </w:rPr>
      </w:pPr>
      <w:r w:rsidRPr="00AD2F44">
        <w:t>As the Supreme Court has explained, the primary objectives of a Section 216(b) collective action are to (1) lower the burden to individual plaintiffs through the pooling of resources and (2) enhance judicial efficiency by resolving common issues of law and fact arising from the same alleged unlawful activity in one proceeding.</w:t>
      </w:r>
      <w:r>
        <w:rPr>
          <w:vertAlign w:val="superscript"/>
        </w:rPr>
        <w:footnoteReference w:id="526"/>
      </w:r>
      <w:r w:rsidRPr="00AD2F44">
        <w:t xml:space="preserve"> Moreover, given the FLSA’s </w:t>
      </w:r>
      <w:r w:rsidRPr="00AD2F44">
        <w:lastRenderedPageBreak/>
        <w:t>remedial purpose,</w:t>
      </w:r>
      <w:r>
        <w:rPr>
          <w:vertAlign w:val="superscript"/>
        </w:rPr>
        <w:footnoteReference w:id="527"/>
      </w:r>
      <w:r w:rsidRPr="00AD2F44">
        <w:t xml:space="preserve"> some courts have held that close calls regarding collective treatment should be resolved in favor of certification.</w:t>
      </w:r>
      <w:r>
        <w:rPr>
          <w:vertAlign w:val="superscript"/>
        </w:rPr>
        <w:footnoteReference w:id="528"/>
      </w:r>
    </w:p>
    <w:p w14:paraId="7030D30A" w14:textId="77777777" w:rsidR="005D0340" w:rsidRPr="00AD2F44" w:rsidRDefault="00F42107">
      <w:pPr>
        <w:pStyle w:val="10ATextWithIndent"/>
        <w:rPr>
          <w:vertAlign w:val="superscript"/>
        </w:rPr>
      </w:pPr>
      <w:r w:rsidRPr="00AD2F44">
        <w:t>Many courts considering this factor focus primarily on the benefits of collective treatment to employees. As one federal district court has explained, “[f]or many plaintiffs, a collective action is the only practical method of adjudicating their FLSA claims.”</w:t>
      </w:r>
      <w:r>
        <w:rPr>
          <w:vertAlign w:val="superscript"/>
        </w:rPr>
        <w:footnoteReference w:id="529"/>
      </w:r>
      <w:r w:rsidRPr="00AD2F44">
        <w:t xml:space="preserve"> So long as plaintiffs are sufficiently similarly situated, courts have denied decertification motions, reasoning that “the individual plaintiffs are less able to bear the costs of separate trials because they have fewer resources” than the employer.</w:t>
      </w:r>
      <w:r>
        <w:rPr>
          <w:vertAlign w:val="superscript"/>
        </w:rPr>
        <w:footnoteReference w:id="530"/>
      </w:r>
    </w:p>
    <w:p w14:paraId="1C1D100F" w14:textId="77777777" w:rsidR="005D0340" w:rsidRPr="00AD2F44" w:rsidRDefault="00F42107">
      <w:pPr>
        <w:pStyle w:val="10ATextWithIndent"/>
        <w:rPr>
          <w:vertAlign w:val="superscript"/>
        </w:rPr>
      </w:pPr>
      <w:r w:rsidRPr="00AD2F44">
        <w:t>On the other hand, courts have granted decertification motions where the employees are not similarly situated because of the “serious concerns about due process” of forcing an employer to rely on representative proof to defend its position in this context.</w:t>
      </w:r>
      <w:r>
        <w:rPr>
          <w:vertAlign w:val="superscript"/>
        </w:rPr>
        <w:footnoteReference w:id="531"/>
      </w:r>
      <w:r w:rsidRPr="00AD2F44">
        <w:t xml:space="preserve"> Moreover, some </w:t>
      </w:r>
      <w:r w:rsidRPr="00AD2F44">
        <w:lastRenderedPageBreak/>
        <w:t>courts have recognized that defendants “could be potentially prejudiced by a jury painting with a broad brush” in a collective action if jurors inaccurately assume all plaintiffs are entitled to the same remedy.</w:t>
      </w:r>
      <w:r>
        <w:rPr>
          <w:vertAlign w:val="superscript"/>
        </w:rPr>
        <w:footnoteReference w:id="532"/>
      </w:r>
      <w:r w:rsidRPr="00AD2F44">
        <w:t xml:space="preserve"> This is especially true where evidence shows that some members of the collective did not work overtime. As one district court has explained, “it would be a miscarriage of justice for [the employer] to pay overtime damages to a subset of Plaintiffs who are not actually owed any overtime damages. Likewise, it would be improper for Plaintiffs who did not work overtime to receive such damages.”</w:t>
      </w:r>
      <w:r>
        <w:rPr>
          <w:vertAlign w:val="superscript"/>
        </w:rPr>
        <w:footnoteReference w:id="533"/>
      </w:r>
    </w:p>
    <w:p w14:paraId="21FDD8CE" w14:textId="77777777" w:rsidR="005D0340" w:rsidRPr="00AD2F44" w:rsidRDefault="00F42107">
      <w:pPr>
        <w:pStyle w:val="10ATextWithIndent"/>
        <w:rPr>
          <w:vertAlign w:val="superscript"/>
        </w:rPr>
      </w:pPr>
      <w:r w:rsidRPr="00AD2F44">
        <w:t>In addition to the rights of both parties, courts focus on whether litigating a collective action would be procedurally feasible. Courts have recognized that decertification is appropriate where litigating a collective action would be unwieldy for the court and/or a jury,</w:t>
      </w:r>
      <w:r>
        <w:rPr>
          <w:vertAlign w:val="superscript"/>
        </w:rPr>
        <w:footnoteReference w:id="534"/>
      </w:r>
      <w:r w:rsidRPr="00AD2F44">
        <w:t xml:space="preserve"> and that litigating a collective action where the plaintiffs are not similarly situated would “undercut any efficiency or cost-saving arguments as the collective will not be able to rely on meaningful collective proof.”</w:t>
      </w:r>
      <w:r>
        <w:rPr>
          <w:vertAlign w:val="superscript"/>
        </w:rPr>
        <w:footnoteReference w:id="535"/>
      </w:r>
      <w:r w:rsidRPr="00AD2F44">
        <w:t xml:space="preserve"> Analyzing individual claims of hundreds of plaintiffs in a single proceeding is not practical where the plaintiffs’ claims are not similarly situated and any ruling on the merits would be unfair to both sides.</w:t>
      </w:r>
      <w:r>
        <w:rPr>
          <w:vertAlign w:val="superscript"/>
        </w:rPr>
        <w:footnoteReference w:id="536"/>
      </w:r>
      <w:r w:rsidRPr="00AD2F44">
        <w:t xml:space="preserve"> Courts have denied motions for decertification where doing so </w:t>
      </w:r>
      <w:r w:rsidRPr="00AD2F44">
        <w:lastRenderedPageBreak/>
        <w:t>would prompt the same issue to be litigated in several separate cases and waste limited judicial time and resources.</w:t>
      </w:r>
      <w:r>
        <w:rPr>
          <w:vertAlign w:val="superscript"/>
        </w:rPr>
        <w:footnoteReference w:id="537"/>
      </w:r>
      <w:r w:rsidRPr="00AD2F44">
        <w:t xml:space="preserve"> Some courts have balanced these competing demands by creating separate </w:t>
      </w:r>
      <w:r w:rsidRPr="00AD2F44">
        <w:lastRenderedPageBreak/>
        <w:t>subclasses for various aspects of the litigation.</w:t>
      </w:r>
      <w:r>
        <w:rPr>
          <w:vertAlign w:val="superscript"/>
        </w:rPr>
        <w:footnoteReference w:id="538"/>
      </w:r>
      <w:r w:rsidRPr="00AD2F44">
        <w:t xml:space="preserve"> The Sixth Circuit has indicated that a district court should examine whether partial decertification is possible when faced with the situation </w:t>
      </w:r>
      <w:r w:rsidRPr="00AD2F44">
        <w:lastRenderedPageBreak/>
        <w:t>where a subset of the plaintiffs fail to allege violations of the FLSA.</w:t>
      </w:r>
      <w:r>
        <w:rPr>
          <w:vertAlign w:val="superscript"/>
        </w:rPr>
        <w:footnoteReference w:id="539"/>
      </w:r>
      <w:r w:rsidRPr="00AD2F44">
        <w:t xml:space="preserve"> The court noted that the option of partial certification is important to consider because it counters the argument that a collective action must be totally decertified if some members are not similarly situated to the others.</w:t>
      </w:r>
      <w:r>
        <w:rPr>
          <w:vertAlign w:val="superscript"/>
        </w:rPr>
        <w:footnoteReference w:id="540"/>
      </w:r>
    </w:p>
    <w:p w14:paraId="22732A02" w14:textId="77777777" w:rsidR="005D0340" w:rsidRPr="00AD2F44" w:rsidRDefault="00F42107">
      <w:pPr>
        <w:pStyle w:val="10ATextWithIndent"/>
        <w:rPr>
          <w:vertAlign w:val="superscript"/>
        </w:rPr>
      </w:pPr>
      <w:r w:rsidRPr="00AD2F44">
        <w:t xml:space="preserve">Additionally, some courts have found that the plaintiffs’ failure to propose a workable trial plan weighed in favor of decertification. In </w:t>
      </w:r>
      <w:r w:rsidRPr="00AD2F44">
        <w:rPr>
          <w:i/>
          <w:iCs/>
        </w:rPr>
        <w:t>Espenscheid v. DirectSAT USA, LLC</w:t>
      </w:r>
      <w:r w:rsidRPr="00AD2F44">
        <w:t>,</w:t>
      </w:r>
      <w:r>
        <w:rPr>
          <w:vertAlign w:val="superscript"/>
        </w:rPr>
        <w:footnoteReference w:id="541"/>
      </w:r>
      <w:r w:rsidRPr="00AD2F44">
        <w:t xml:space="preserve"> for example, the Seventh Circuit affirmed decertification of an FLSA collective action where the plaintiffs failed to propose a specific and feasible trial plan.</w:t>
      </w:r>
      <w:r>
        <w:rPr>
          <w:vertAlign w:val="superscript"/>
        </w:rPr>
        <w:footnoteReference w:id="542"/>
      </w:r>
    </w:p>
    <w:p w14:paraId="371F5A08" w14:textId="77777777" w:rsidR="005D0340" w:rsidRPr="00AD2F44" w:rsidRDefault="00F42107">
      <w:pPr>
        <w:pStyle w:val="06Third-LevelHead123"/>
      </w:pPr>
      <w:r w:rsidRPr="00AD2F44">
        <w:t>5.</w:t>
      </w:r>
      <w:r w:rsidRPr="00AD2F44">
        <w:tab/>
        <w:t>Decertification Motions in Specific Types of Cases</w:t>
      </w:r>
    </w:p>
    <w:p w14:paraId="48CDAD70" w14:textId="77777777" w:rsidR="005D0340" w:rsidRPr="00AD2F44" w:rsidRDefault="00F42107">
      <w:pPr>
        <w:pStyle w:val="07Fourth-LevelHeadabc"/>
      </w:pPr>
      <w:r w:rsidRPr="00AD2F44">
        <w:t>a.</w:t>
      </w:r>
      <w:r w:rsidRPr="00AD2F44">
        <w:tab/>
        <w:t>Misclassification Cases</w:t>
      </w:r>
    </w:p>
    <w:p w14:paraId="158374F0" w14:textId="77777777" w:rsidR="005D0340" w:rsidRPr="00AD2F44" w:rsidRDefault="00F42107">
      <w:pPr>
        <w:pStyle w:val="08Fifth-LevelHeadi"/>
      </w:pPr>
      <w:r w:rsidRPr="00AD2F44">
        <w:t>(i.)</w:t>
      </w:r>
      <w:r w:rsidRPr="00AD2F44">
        <w:tab/>
        <w:t>Independent Contractor Cases</w:t>
      </w:r>
    </w:p>
    <w:p w14:paraId="6F29C718" w14:textId="77777777" w:rsidR="005D0340" w:rsidRPr="00AD2F44" w:rsidRDefault="00F42107">
      <w:pPr>
        <w:pStyle w:val="10ATextWithIndent"/>
        <w:rPr>
          <w:vertAlign w:val="superscript"/>
        </w:rPr>
      </w:pPr>
      <w:r w:rsidRPr="00AD2F44">
        <w:t>In cases alleging that workers have been improperly classified as independent contractors, courts hearing decertification motions have to decide whether the workers’ status is subject to collective-wide proof, versus highly individualized inquiries.</w:t>
      </w:r>
      <w:r>
        <w:rPr>
          <w:vertAlign w:val="superscript"/>
        </w:rPr>
        <w:footnoteReference w:id="543"/>
      </w:r>
      <w:r w:rsidRPr="00AD2F44">
        <w:t xml:space="preserve"> Courts have evaluated </w:t>
      </w:r>
      <w:r w:rsidRPr="00AD2F44">
        <w:lastRenderedPageBreak/>
        <w:t>whether collective treatment is appropriate based solely on whether the employer classified all the plaintiffs as independent contractors,</w:t>
      </w:r>
      <w:r>
        <w:rPr>
          <w:vertAlign w:val="superscript"/>
        </w:rPr>
        <w:footnoteReference w:id="544"/>
      </w:r>
      <w:r w:rsidRPr="00AD2F44">
        <w:t xml:space="preserve"> and whether variances in job duties are sufficient to warrant decertification.</w:t>
      </w:r>
      <w:r>
        <w:rPr>
          <w:vertAlign w:val="superscript"/>
        </w:rPr>
        <w:footnoteReference w:id="545"/>
      </w:r>
    </w:p>
    <w:p w14:paraId="30C7CE7E" w14:textId="77777777" w:rsidR="005D0340" w:rsidRPr="00AD2F44" w:rsidRDefault="00F42107">
      <w:pPr>
        <w:pStyle w:val="08Fifth-LevelHeadi"/>
      </w:pPr>
      <w:r w:rsidRPr="00AD2F44">
        <w:lastRenderedPageBreak/>
        <w:t>(ii.)</w:t>
      </w:r>
      <w:r w:rsidRPr="00AD2F44">
        <w:tab/>
        <w:t>Cases Involving FLSA Exemptions</w:t>
      </w:r>
    </w:p>
    <w:p w14:paraId="7C498B77" w14:textId="77777777" w:rsidR="005D0340" w:rsidRPr="00AD2F44" w:rsidRDefault="00F42107">
      <w:pPr>
        <w:pStyle w:val="10ATextWithIndent"/>
        <w:rPr>
          <w:vertAlign w:val="superscript"/>
        </w:rPr>
      </w:pPr>
      <w:r w:rsidRPr="00AD2F44">
        <w:t>Collective actions often present the issue of whether plaintiffs with similar FLSA exemption classifications are subject to disparate factual and employment settings.</w:t>
      </w:r>
      <w:r>
        <w:rPr>
          <w:vertAlign w:val="superscript"/>
        </w:rPr>
        <w:footnoteReference w:id="546"/>
      </w:r>
    </w:p>
    <w:p w14:paraId="2C785050" w14:textId="77777777" w:rsidR="005D0340" w:rsidRPr="00AD2F44" w:rsidRDefault="00F42107">
      <w:pPr>
        <w:pStyle w:val="10ATextWithIndent"/>
        <w:rPr>
          <w:vertAlign w:val="superscript"/>
        </w:rPr>
      </w:pPr>
      <w:r w:rsidRPr="00AD2F44">
        <w:t>The mere fact that a group of employees has the same job title and/or job description is not sufficient standing alone to warrant collective treatment.</w:t>
      </w:r>
      <w:r>
        <w:rPr>
          <w:vertAlign w:val="superscript"/>
        </w:rPr>
        <w:footnoteReference w:id="547"/>
      </w:r>
      <w:r w:rsidRPr="00AD2F44">
        <w:t xml:space="preserve"> Similarly, an employer’s decision </w:t>
      </w:r>
      <w:r w:rsidRPr="00AD2F44">
        <w:lastRenderedPageBreak/>
        <w:t>to categorize a group of employees as “exempt” or “nonexempt” is not sufficient on its own to warrant collective action treatment,</w:t>
      </w:r>
      <w:r>
        <w:rPr>
          <w:vertAlign w:val="superscript"/>
        </w:rPr>
        <w:footnoteReference w:id="548"/>
      </w:r>
      <w:r w:rsidRPr="00AD2F44">
        <w:t xml:space="preserve"> although some courts have granted or upheld certification </w:t>
      </w:r>
      <w:r w:rsidRPr="00AD2F44">
        <w:lastRenderedPageBreak/>
        <w:t>relying in part on such categorization.</w:t>
      </w:r>
      <w:r>
        <w:rPr>
          <w:vertAlign w:val="superscript"/>
        </w:rPr>
        <w:footnoteReference w:id="549"/>
      </w:r>
      <w:r w:rsidRPr="00AD2F44">
        <w:t xml:space="preserve"> Plaintiffs with identical job descriptions and classifications have been denied collective treatment where their job duties vary in ways that are material to the exemption determination.</w:t>
      </w:r>
      <w:r>
        <w:rPr>
          <w:vertAlign w:val="superscript"/>
        </w:rPr>
        <w:footnoteReference w:id="550"/>
      </w:r>
      <w:r w:rsidRPr="00AD2F44">
        <w:t xml:space="preserve"> On the other hand, evidence of an “across-the-board” </w:t>
      </w:r>
      <w:r w:rsidRPr="00AD2F44">
        <w:lastRenderedPageBreak/>
        <w:t>application of an exemption without regard for individual variations may undercut an employer’s argument that such variations are material or otherwise at odds with collective treatment.</w:t>
      </w:r>
      <w:r>
        <w:rPr>
          <w:vertAlign w:val="superscript"/>
        </w:rPr>
        <w:footnoteReference w:id="551"/>
      </w:r>
    </w:p>
    <w:p w14:paraId="1EADDF1D" w14:textId="77777777" w:rsidR="005D0340" w:rsidRPr="00AD2F44" w:rsidRDefault="00F42107">
      <w:pPr>
        <w:pStyle w:val="10ATextWithIndent"/>
        <w:rPr>
          <w:vertAlign w:val="superscript"/>
        </w:rPr>
      </w:pPr>
      <w:r w:rsidRPr="00AD2F44">
        <w:t>Courts have also reached different conclusions regarding the extent to which they must analyze the individual job duties of each plaintiff to resolve the merits of a collective action exemption case. Some courts have concluded that collective treatment is not appropriate in a misclassification case based on the premise that each individual plaintiff’s day-to-day job duties must be analyzed to determine whether they are subject to the exemption.</w:t>
      </w:r>
      <w:r>
        <w:rPr>
          <w:vertAlign w:val="superscript"/>
        </w:rPr>
        <w:footnoteReference w:id="552"/>
      </w:r>
      <w:r w:rsidRPr="00AD2F44">
        <w:t xml:space="preserve"> Similarly, some </w:t>
      </w:r>
      <w:r w:rsidRPr="00AD2F44">
        <w:lastRenderedPageBreak/>
        <w:t>courts have found that differences in pay structure among class members weighs in favor of decertification.</w:t>
      </w:r>
      <w:r>
        <w:rPr>
          <w:vertAlign w:val="superscript"/>
        </w:rPr>
        <w:footnoteReference w:id="553"/>
      </w:r>
      <w:r w:rsidRPr="00AD2F44">
        <w:t xml:space="preserve"> However, other courts have held that collective treatment is appropriate where the record reflects that the plaintiffs had similar factual and employment settings such that their claims could be resolved through generalized proof or representative evidence.</w:t>
      </w:r>
      <w:r>
        <w:rPr>
          <w:vertAlign w:val="superscript"/>
        </w:rPr>
        <w:footnoteReference w:id="554"/>
      </w:r>
      <w:r w:rsidRPr="00AD2F44">
        <w:t xml:space="preserve"> In some cases, </w:t>
      </w:r>
      <w:r w:rsidRPr="00AD2F44">
        <w:lastRenderedPageBreak/>
        <w:t>courts have refused to apply an individualized approach to evaluating exemption decisions where the employer failed to consider such individual factors when classifying the employees in question.</w:t>
      </w:r>
      <w:r>
        <w:rPr>
          <w:vertAlign w:val="superscript"/>
        </w:rPr>
        <w:footnoteReference w:id="555"/>
      </w:r>
    </w:p>
    <w:p w14:paraId="0F550B0B" w14:textId="77777777" w:rsidR="005D0340" w:rsidRPr="00AD2F44" w:rsidRDefault="00F42107">
      <w:pPr>
        <w:pStyle w:val="10ATextWithIndent"/>
        <w:rPr>
          <w:vertAlign w:val="superscript"/>
        </w:rPr>
      </w:pPr>
      <w:r w:rsidRPr="00AD2F44">
        <w:lastRenderedPageBreak/>
        <w:t>In a misclassification case, if there is evidence that some members of the collective did not work over 40 hours—thus making the collective susceptible to individualized determinations as to liability—collective treatment may be inappropriate.</w:t>
      </w:r>
      <w:r>
        <w:rPr>
          <w:vertAlign w:val="superscript"/>
        </w:rPr>
        <w:footnoteReference w:id="556"/>
      </w:r>
      <w:r w:rsidRPr="00AD2F44">
        <w:t xml:space="preserve"> In </w:t>
      </w:r>
      <w:r w:rsidRPr="00AD2F44">
        <w:rPr>
          <w:i/>
          <w:iCs/>
        </w:rPr>
        <w:t>Rindfleisch v. Gentiva Health Services, Inc.</w:t>
      </w:r>
      <w:r w:rsidRPr="00AD2F44">
        <w:t>,</w:t>
      </w:r>
      <w:r>
        <w:rPr>
          <w:vertAlign w:val="superscript"/>
        </w:rPr>
        <w:footnoteReference w:id="557"/>
      </w:r>
      <w:r w:rsidRPr="00AD2F44">
        <w:t xml:space="preserve"> the district court decertified a collective of over 1,000 home health nurses in which the plaintiffs challenged their classification as exempt professionals, reasoning that “the fact that some Plaintiffs did not actually work overtime hours, creates a disparate factual setting among the individual Plaintiffs as the issue of liability is not susceptible to common proof.”</w:t>
      </w:r>
      <w:r>
        <w:rPr>
          <w:vertAlign w:val="superscript"/>
        </w:rPr>
        <w:footnoteReference w:id="558"/>
      </w:r>
    </w:p>
    <w:p w14:paraId="4C955E9E" w14:textId="77777777" w:rsidR="005D0340" w:rsidRPr="00AD2F44" w:rsidRDefault="00F42107">
      <w:pPr>
        <w:pStyle w:val="07Fourth-LevelHeadabc"/>
      </w:pPr>
      <w:r w:rsidRPr="00AD2F44">
        <w:t>b.</w:t>
      </w:r>
      <w:r w:rsidRPr="00AD2F44">
        <w:tab/>
        <w:t>Off-the-Clock Claims</w:t>
      </w:r>
    </w:p>
    <w:p w14:paraId="195BA107" w14:textId="77777777" w:rsidR="005D0340" w:rsidRPr="00AD2F44" w:rsidRDefault="00F42107">
      <w:pPr>
        <w:pStyle w:val="10ATextWithIndent"/>
        <w:rPr>
          <w:vertAlign w:val="superscript"/>
        </w:rPr>
      </w:pPr>
      <w:r w:rsidRPr="00AD2F44">
        <w:t>Another common collective action issue is the extent to which plaintiffs alleging they were forced to work off the clock can establish they were subject to similar factual and employment settings.</w:t>
      </w:r>
      <w:r>
        <w:rPr>
          <w:vertAlign w:val="superscript"/>
        </w:rPr>
        <w:footnoteReference w:id="559"/>
      </w:r>
      <w:r w:rsidRPr="00AD2F44">
        <w:t xml:space="preserve"> Several courts have granted motions for decertification where the </w:t>
      </w:r>
      <w:r w:rsidRPr="00AD2F44">
        <w:lastRenderedPageBreak/>
        <w:t>plaintiffs failed to establish any companywide policy requiring off-the-clock work, finding collective treatment is inappropriate where employees allege individual managers encouraged them to work off the clock without any companywide directive requiring such work.</w:t>
      </w:r>
      <w:r>
        <w:rPr>
          <w:vertAlign w:val="superscript"/>
        </w:rPr>
        <w:footnoteReference w:id="560"/>
      </w:r>
      <w:r w:rsidRPr="00AD2F44">
        <w:t xml:space="preserve"> Even </w:t>
      </w:r>
      <w:r w:rsidRPr="00AD2F44">
        <w:lastRenderedPageBreak/>
        <w:t>where multiple collective members have alleged off-the-clock work, some courts have held that collective treatment is not warranted where plaintiffs offered divergent testimony regarding whether they ever worked off the clock, their reasons for working off the clock, the amount of work they performed off the clock, whether time records were manipulated by their supervisors, and the types of tasks performed off the clock.</w:t>
      </w:r>
      <w:r>
        <w:rPr>
          <w:vertAlign w:val="superscript"/>
        </w:rPr>
        <w:footnoteReference w:id="561"/>
      </w:r>
      <w:r w:rsidRPr="00AD2F44">
        <w:t xml:space="preserve"> Additionally, evidence that a company policy </w:t>
      </w:r>
      <w:r w:rsidRPr="00AD2F44">
        <w:lastRenderedPageBreak/>
        <w:t>prohibited off-the-clock work,</w:t>
      </w:r>
      <w:r>
        <w:rPr>
          <w:vertAlign w:val="superscript"/>
        </w:rPr>
        <w:footnoteReference w:id="562"/>
      </w:r>
      <w:r w:rsidRPr="00AD2F44">
        <w:t xml:space="preserve"> or that overtime was paid to some plaintiffs and putative collective members, may undermine similarly situated arguments.</w:t>
      </w:r>
      <w:r>
        <w:rPr>
          <w:vertAlign w:val="superscript"/>
        </w:rPr>
        <w:footnoteReference w:id="563"/>
      </w:r>
    </w:p>
    <w:p w14:paraId="6B3D43E9" w14:textId="77777777" w:rsidR="005D0340" w:rsidRPr="00AD2F44" w:rsidRDefault="00F42107">
      <w:pPr>
        <w:pStyle w:val="10ATextWithIndent"/>
        <w:rPr>
          <w:vertAlign w:val="superscript"/>
        </w:rPr>
      </w:pPr>
      <w:r w:rsidRPr="00AD2F44">
        <w:t>However, other courts have held that collective treatment is warranted where numerous plaintiffs have testified to some amount of off-the-clock work, even if their allegations are not uniform.</w:t>
      </w:r>
      <w:r>
        <w:rPr>
          <w:vertAlign w:val="superscript"/>
        </w:rPr>
        <w:footnoteReference w:id="564"/>
      </w:r>
      <w:r w:rsidRPr="00AD2F44">
        <w:t xml:space="preserve"> These courts have concluded that numerous individualized allegations of off-the-</w:t>
      </w:r>
      <w:r w:rsidRPr="00AD2F44">
        <w:lastRenderedPageBreak/>
        <w:t>clock work suffice to establish a companywide policy or practice warranting collective treatment even if there is no official companywide policy or practice requiring such work.</w:t>
      </w:r>
      <w:r>
        <w:rPr>
          <w:vertAlign w:val="superscript"/>
        </w:rPr>
        <w:footnoteReference w:id="565"/>
      </w:r>
      <w:r w:rsidRPr="00AD2F44">
        <w:t xml:space="preserve"> The Sixth </w:t>
      </w:r>
      <w:r w:rsidRPr="00AD2F44">
        <w:lastRenderedPageBreak/>
        <w:t>Circuit explained that where the plaintiffs’ claims were unified by a common theory of the defendant’s statutory violations, allegedly forcing employees to work off the clock and improperly editing timesheets, the plaintiffs were similarly situated even if the “proofs of these theories are inevitably individualized and distinct.”</w:t>
      </w:r>
      <w:r>
        <w:rPr>
          <w:vertAlign w:val="superscript"/>
        </w:rPr>
        <w:footnoteReference w:id="566"/>
      </w:r>
      <w:r w:rsidRPr="00AD2F44">
        <w:t xml:space="preserve"> As a district court in Texas explained, “[a]n employer should not be allowed to escape class liability simply because some managers do not commit FLSA violations as long as the evidence shows that there is a factual or legal nexus that binds together the claims of the opt-in plaintiffs before the Court.”</w:t>
      </w:r>
      <w:r>
        <w:rPr>
          <w:vertAlign w:val="superscript"/>
        </w:rPr>
        <w:footnoteReference w:id="567"/>
      </w:r>
    </w:p>
    <w:p w14:paraId="28632E98" w14:textId="77777777" w:rsidR="005D0340" w:rsidRPr="00AD2F44" w:rsidRDefault="00F42107">
      <w:pPr>
        <w:pStyle w:val="10ATextWithIndent"/>
        <w:rPr>
          <w:vertAlign w:val="superscript"/>
        </w:rPr>
      </w:pPr>
      <w:r w:rsidRPr="00AD2F44">
        <w:t>Courts have similarly given varying weight to companywide policies designed to minimize labor costs. Some courts have held that lawful policies intended to control costs, such as requiring manager pre-approval for overtime, can support a similarly situated finding where such a policy, in combination with other factors, leads to a pattern of FLSA violations.</w:t>
      </w:r>
      <w:r>
        <w:rPr>
          <w:vertAlign w:val="superscript"/>
        </w:rPr>
        <w:footnoteReference w:id="568"/>
      </w:r>
      <w:r w:rsidRPr="00AD2F44">
        <w:t xml:space="preserve"> </w:t>
      </w:r>
      <w:r w:rsidRPr="00AD2F44">
        <w:lastRenderedPageBreak/>
        <w:t>Moreover, explicit policies prohibiting off-the-clock work may be trumped where multiple individual managers suggested, or required, employees to work off the clock in order to meet labor budgets or productivity requirements.</w:t>
      </w:r>
      <w:r>
        <w:rPr>
          <w:vertAlign w:val="superscript"/>
        </w:rPr>
        <w:footnoteReference w:id="569"/>
      </w:r>
      <w:r w:rsidRPr="00AD2F44">
        <w:t xml:space="preserve"> On the other hand, some courts have held that a policy discouraging overtime might not be sufficient to warrant collective treatment where each individual manager has interpreted and implemented the policy in different ways,</w:t>
      </w:r>
      <w:r>
        <w:rPr>
          <w:vertAlign w:val="superscript"/>
        </w:rPr>
        <w:footnoteReference w:id="570"/>
      </w:r>
      <w:r w:rsidRPr="00AD2F44">
        <w:t xml:space="preserve"> or when there was compelling evidence that employees had worked substantial overtime hours on the clock.</w:t>
      </w:r>
      <w:r>
        <w:rPr>
          <w:vertAlign w:val="superscript"/>
        </w:rPr>
        <w:footnoteReference w:id="571"/>
      </w:r>
    </w:p>
    <w:p w14:paraId="7FFF34E3" w14:textId="77777777" w:rsidR="005D0340" w:rsidRPr="00AD2F44" w:rsidRDefault="00F42107">
      <w:pPr>
        <w:pStyle w:val="10ATextWithIndent"/>
      </w:pPr>
      <w:r w:rsidRPr="00AD2F44">
        <w:t>What follows are examples of cases that have dealt with decertification motions targeting specific types of off-the-clock claims.</w:t>
      </w:r>
    </w:p>
    <w:p w14:paraId="7C9CE717" w14:textId="77777777" w:rsidR="005D0340" w:rsidRPr="00AD2F44" w:rsidRDefault="00F42107">
      <w:pPr>
        <w:pStyle w:val="08Fifth-LevelHeadi"/>
      </w:pPr>
      <w:r w:rsidRPr="00AD2F44">
        <w:t>(i.)</w:t>
      </w:r>
      <w:r w:rsidRPr="00AD2F44">
        <w:tab/>
        <w:t>Pre-Shift and Post-Shift Cases</w:t>
      </w:r>
    </w:p>
    <w:p w14:paraId="2A5A5CA9" w14:textId="77777777" w:rsidR="005D0340" w:rsidRPr="00AD2F44" w:rsidRDefault="00F42107">
      <w:pPr>
        <w:pStyle w:val="10ATextWithIndent"/>
      </w:pPr>
      <w:r w:rsidRPr="00AD2F44">
        <w:t>As with other types of off-the-clock claims, the existence of highly individualized inquiries versus common policies to determine whether pre- or post-shift work is compensable drives whether courts grant decertification motions.</w:t>
      </w:r>
      <w:r>
        <w:rPr>
          <w:vertAlign w:val="superscript"/>
        </w:rPr>
        <w:footnoteReference w:id="572"/>
      </w:r>
      <w:r w:rsidRPr="00AD2F44">
        <w:t xml:space="preserve"> </w:t>
      </w:r>
    </w:p>
    <w:p w14:paraId="67A18A3F" w14:textId="77777777" w:rsidR="005D0340" w:rsidRPr="00AD2F44" w:rsidRDefault="00F42107">
      <w:pPr>
        <w:pStyle w:val="08Fifth-LevelHeadi"/>
      </w:pPr>
      <w:r w:rsidRPr="00AD2F44">
        <w:t>(ii.)</w:t>
      </w:r>
      <w:r w:rsidRPr="00AD2F44">
        <w:tab/>
        <w:t>Uncompensated Work During Meal Break Time</w:t>
      </w:r>
    </w:p>
    <w:p w14:paraId="3B417E56" w14:textId="77777777" w:rsidR="005D0340" w:rsidRPr="00AD2F44" w:rsidRDefault="00F42107">
      <w:pPr>
        <w:pStyle w:val="10ATextWithIndent"/>
      </w:pPr>
      <w:r w:rsidRPr="00AD2F44">
        <w:lastRenderedPageBreak/>
        <w:t>Courts that have ruled on motions to decertify meal break cases focus on whether the employer had implemented a uniform policy requiring employees to work without being compensated,</w:t>
      </w:r>
      <w:r>
        <w:rPr>
          <w:vertAlign w:val="superscript"/>
        </w:rPr>
        <w:footnoteReference w:id="573"/>
      </w:r>
      <w:r w:rsidRPr="00AD2F44">
        <w:t xml:space="preserve"> or whether resolving such claims would involve individualized inquiries.</w:t>
      </w:r>
      <w:r>
        <w:rPr>
          <w:vertAlign w:val="superscript"/>
        </w:rPr>
        <w:footnoteReference w:id="574"/>
      </w:r>
      <w:r w:rsidRPr="00AD2F44">
        <w:t xml:space="preserve"> </w:t>
      </w:r>
    </w:p>
    <w:p w14:paraId="5A986ED9" w14:textId="77777777" w:rsidR="005D0340" w:rsidRPr="00AD2F44" w:rsidRDefault="00F42107">
      <w:pPr>
        <w:pStyle w:val="08Fifth-LevelHeadi"/>
      </w:pPr>
      <w:r w:rsidRPr="00AD2F44">
        <w:lastRenderedPageBreak/>
        <w:t>(iii.)</w:t>
      </w:r>
      <w:r w:rsidRPr="00AD2F44">
        <w:tab/>
        <w:t>Rounding Cases</w:t>
      </w:r>
    </w:p>
    <w:p w14:paraId="24E17139" w14:textId="77777777" w:rsidR="005D0340" w:rsidRPr="00AD2F44" w:rsidRDefault="00F42107">
      <w:pPr>
        <w:pStyle w:val="10ATextWithIndent"/>
        <w:rPr>
          <w:vertAlign w:val="superscript"/>
        </w:rPr>
      </w:pPr>
      <w:r w:rsidRPr="00AD2F44">
        <w:t>Courts have decertified cases involving rounding claims, but not where a policy exists that is common to the collective and allegedly results in undercompensating members of the collective.</w:t>
      </w:r>
      <w:r>
        <w:rPr>
          <w:vertAlign w:val="superscript"/>
        </w:rPr>
        <w:footnoteReference w:id="575"/>
      </w:r>
    </w:p>
    <w:p w14:paraId="77C14AE1" w14:textId="77777777" w:rsidR="005D0340" w:rsidRPr="00AD2F44" w:rsidRDefault="00F42107">
      <w:pPr>
        <w:pStyle w:val="08Fifth-LevelHeadi"/>
      </w:pPr>
      <w:r w:rsidRPr="00AD2F44">
        <w:t>(iv.)</w:t>
      </w:r>
      <w:r w:rsidRPr="00AD2F44">
        <w:tab/>
        <w:t>Time Shaving Cases</w:t>
      </w:r>
    </w:p>
    <w:p w14:paraId="4D629C43" w14:textId="77777777" w:rsidR="005D0340" w:rsidRPr="00AD2F44" w:rsidRDefault="00F42107">
      <w:pPr>
        <w:pStyle w:val="10ATextWithIndent"/>
        <w:rPr>
          <w:vertAlign w:val="superscript"/>
        </w:rPr>
      </w:pPr>
      <w:r w:rsidRPr="00AD2F44">
        <w:t>Courts have denied decertification motions in time shaving cases where there were common conditions of employment.</w:t>
      </w:r>
      <w:r>
        <w:rPr>
          <w:vertAlign w:val="superscript"/>
        </w:rPr>
        <w:footnoteReference w:id="576"/>
      </w:r>
    </w:p>
    <w:p w14:paraId="5B11A05D" w14:textId="77777777" w:rsidR="005D0340" w:rsidRPr="00AD2F44" w:rsidRDefault="00F42107">
      <w:pPr>
        <w:pStyle w:val="08Fifth-LevelHeadi"/>
      </w:pPr>
      <w:r w:rsidRPr="00AD2F44">
        <w:t>(v.)</w:t>
      </w:r>
      <w:r w:rsidRPr="00AD2F44">
        <w:tab/>
        <w:t>Travel Time Cases</w:t>
      </w:r>
    </w:p>
    <w:p w14:paraId="4E41EA73" w14:textId="77777777" w:rsidR="005D0340" w:rsidRPr="00AD2F44" w:rsidRDefault="00F42107">
      <w:pPr>
        <w:pStyle w:val="10ATextWithIndent"/>
        <w:rPr>
          <w:vertAlign w:val="superscript"/>
        </w:rPr>
      </w:pPr>
      <w:r w:rsidRPr="00AD2F44">
        <w:t>Courts have typically refused to decertify collective actions based on travel time claims.</w:t>
      </w:r>
      <w:r>
        <w:rPr>
          <w:vertAlign w:val="superscript"/>
        </w:rPr>
        <w:footnoteReference w:id="577"/>
      </w:r>
      <w:r w:rsidRPr="00AD2F44">
        <w:t xml:space="preserve"> However, a showing of a policy prohibiting off-the-clock work and defendants’ lack of knowledge of the travel time may warrant decertification.</w:t>
      </w:r>
      <w:r>
        <w:rPr>
          <w:vertAlign w:val="superscript"/>
        </w:rPr>
        <w:footnoteReference w:id="578"/>
      </w:r>
    </w:p>
    <w:p w14:paraId="51CC0F60" w14:textId="77777777" w:rsidR="005D0340" w:rsidRPr="00AD2F44" w:rsidRDefault="00F42107">
      <w:pPr>
        <w:pStyle w:val="07Fourth-LevelHeadabc"/>
      </w:pPr>
      <w:r w:rsidRPr="00AD2F44">
        <w:t>c.</w:t>
      </w:r>
      <w:r w:rsidRPr="00AD2F44">
        <w:tab/>
        <w:t>Tip Credit Cases</w:t>
      </w:r>
    </w:p>
    <w:p w14:paraId="1C76A84C" w14:textId="77777777" w:rsidR="005D0340" w:rsidRPr="00AD2F44" w:rsidRDefault="00F42107">
      <w:pPr>
        <w:pStyle w:val="10ATextWithIndent"/>
      </w:pPr>
      <w:r w:rsidRPr="00AD2F44">
        <w:lastRenderedPageBreak/>
        <w:t>Courts have denied motions to decertify tip credit claims where plaintiffs have relied on the existence of policies common to the collective.</w:t>
      </w:r>
      <w:r>
        <w:rPr>
          <w:vertAlign w:val="superscript"/>
        </w:rPr>
        <w:footnoteReference w:id="579"/>
      </w:r>
      <w:r w:rsidRPr="00AD2F44">
        <w:t xml:space="preserve"> However, courts have granted decertification where there is no showing of common policies.</w:t>
      </w:r>
      <w:r>
        <w:rPr>
          <w:vertAlign w:val="superscript"/>
        </w:rPr>
        <w:footnoteReference w:id="580"/>
      </w:r>
      <w:r w:rsidRPr="00AD2F44">
        <w:t xml:space="preserve"> </w:t>
      </w:r>
    </w:p>
    <w:p w14:paraId="0F233DF5" w14:textId="77777777" w:rsidR="005D0340" w:rsidRPr="00AD2F44" w:rsidRDefault="002F69CA">
      <w:pPr>
        <w:pStyle w:val="07Fourth-LevelHeadabc"/>
      </w:pPr>
      <w:sdt>
        <w:sdtPr>
          <w:tag w:val="goog_rdk_1"/>
          <w:id w:val="-378867581"/>
        </w:sdtPr>
        <w:sdtEndPr/>
        <w:sdtContent/>
      </w:sdt>
      <w:r w:rsidR="00DD7064" w:rsidRPr="00AD2F44">
        <w:t>d.</w:t>
      </w:r>
      <w:r w:rsidR="00DD7064" w:rsidRPr="00AD2F44">
        <w:tab/>
        <w:t>Regular Rate Cases</w:t>
      </w:r>
    </w:p>
    <w:p w14:paraId="560CAB61" w14:textId="77777777" w:rsidR="005D0340" w:rsidRPr="00AD2F44" w:rsidRDefault="00F42107">
      <w:pPr>
        <w:pStyle w:val="10ATextWithIndent"/>
        <w:rPr>
          <w:vertAlign w:val="superscript"/>
        </w:rPr>
      </w:pPr>
      <w:r w:rsidRPr="00AD2F44">
        <w:t>Courts have not granted decertification motions simply because calculating damages might require individualized inquiries.</w:t>
      </w:r>
      <w:r>
        <w:rPr>
          <w:vertAlign w:val="superscript"/>
        </w:rPr>
        <w:footnoteReference w:id="581"/>
      </w:r>
    </w:p>
    <w:p w14:paraId="3F179E1A" w14:textId="77777777" w:rsidR="005D0340" w:rsidRPr="00AD2F44" w:rsidRDefault="00F42107">
      <w:pPr>
        <w:pStyle w:val="04First-LevelHeadIIIIII"/>
      </w:pPr>
      <w:r w:rsidRPr="00AD2F44">
        <w:t>IV.</w:t>
      </w:r>
      <w:r w:rsidRPr="00AD2F44">
        <w:t> </w:t>
      </w:r>
      <w:r w:rsidRPr="00AD2F44">
        <w:t xml:space="preserve">Treatment of Opt-Ins Following Denial of Notice or Grant of Decertification </w:t>
      </w:r>
    </w:p>
    <w:p w14:paraId="0CC1D0B0" w14:textId="685EB301" w:rsidR="00F52A0B" w:rsidRPr="00AD2F44" w:rsidRDefault="00F42107" w:rsidP="0089536D">
      <w:pPr>
        <w:pStyle w:val="10ATextWithIndent"/>
      </w:pPr>
      <w:r w:rsidRPr="00AD2F44">
        <w:t xml:space="preserve">After denying conditional certification or decertifying a collective action, courts may face </w:t>
      </w:r>
      <w:r w:rsidR="006229DF" w:rsidRPr="00AD2F44">
        <w:t xml:space="preserve">the issue of </w:t>
      </w:r>
      <w:r w:rsidRPr="00AD2F44">
        <w:t>how to treat opt-in plaintiffs. Generally, courts address the legal effect of decertification by dismissing opt</w:t>
      </w:r>
      <w:r w:rsidR="00C75410" w:rsidRPr="00AD2F44">
        <w:t>-</w:t>
      </w:r>
      <w:r w:rsidRPr="00AD2F44">
        <w:t>in plaintiffs without prejudice, and the named plaintiffs</w:t>
      </w:r>
      <w:r w:rsidR="002A6815" w:rsidRPr="00AD2F44">
        <w:t xml:space="preserve"> </w:t>
      </w:r>
      <w:r w:rsidRPr="00AD2F44">
        <w:t>proceed with their own claims.</w:t>
      </w:r>
      <w:r>
        <w:rPr>
          <w:rStyle w:val="FootnoteReference"/>
          <w:bCs/>
        </w:rPr>
        <w:footnoteReference w:id="582"/>
      </w:r>
      <w:r w:rsidRPr="00AD2F44">
        <w:t xml:space="preserve"> </w:t>
      </w:r>
      <w:r w:rsidR="00C75410" w:rsidRPr="00AD2F44">
        <w:t xml:space="preserve">As the Seventh Circuit has recognized, </w:t>
      </w:r>
      <w:r w:rsidRPr="00AD2F44">
        <w:t>“</w:t>
      </w:r>
      <w:r w:rsidR="00743363" w:rsidRPr="00AD2F44">
        <w:t>w</w:t>
      </w:r>
      <w:r w:rsidRPr="00AD2F44">
        <w:t xml:space="preserve">hen a collective action is decertified, it reverts to one or more individual actions on behalf of the named plaintiffs, </w:t>
      </w:r>
      <w:r w:rsidR="00B7707B" w:rsidRPr="00AD2F44">
        <w:t>…</w:t>
      </w:r>
      <w:r w:rsidRPr="00AD2F44">
        <w:t xml:space="preserve"> which is just what happens when a Rule 23 class is decertified: the unnamed class members go poof and the named plaintiffs’ claims revert to being individual claims.”</w:t>
      </w:r>
      <w:r>
        <w:rPr>
          <w:rStyle w:val="FootnoteReference"/>
          <w:bCs/>
        </w:rPr>
        <w:footnoteReference w:id="583"/>
      </w:r>
      <w:r w:rsidR="00C75410" w:rsidRPr="00AD2F44">
        <w:t xml:space="preserve"> </w:t>
      </w:r>
      <w:r w:rsidR="00956F5C" w:rsidRPr="00AD2F44">
        <w:t xml:space="preserve">This raises issues as to whether and how </w:t>
      </w:r>
      <w:r w:rsidR="00B5563B" w:rsidRPr="00AD2F44">
        <w:t xml:space="preserve">dismissed opt-in plaintiffs </w:t>
      </w:r>
      <w:r w:rsidR="00956F5C" w:rsidRPr="00AD2F44">
        <w:t>may</w:t>
      </w:r>
      <w:r w:rsidR="00B5563B" w:rsidRPr="00AD2F44">
        <w:t xml:space="preserve"> proceed with their claims</w:t>
      </w:r>
      <w:r w:rsidR="00956F5C" w:rsidRPr="00AD2F44">
        <w:t xml:space="preserve"> and whether their </w:t>
      </w:r>
      <w:r w:rsidR="00956F5C" w:rsidRPr="00AD2F44">
        <w:lastRenderedPageBreak/>
        <w:t>claims have been tolled</w:t>
      </w:r>
      <w:r w:rsidR="00B5563B" w:rsidRPr="00AD2F44">
        <w:t xml:space="preserve">. </w:t>
      </w:r>
      <w:r w:rsidR="00943421" w:rsidRPr="00AD2F44">
        <w:t>Several courts granting decertification motions have tolled the statute of limitations for a limited period of time after the decertification order to give putative class members additional time to file their own lawsuits.</w:t>
      </w:r>
      <w:r>
        <w:rPr>
          <w:vertAlign w:val="superscript"/>
        </w:rPr>
        <w:footnoteReference w:id="584"/>
      </w:r>
    </w:p>
    <w:p w14:paraId="08191A93" w14:textId="77943BAA" w:rsidR="005D0340" w:rsidRPr="00AD2F44" w:rsidRDefault="00F42107">
      <w:pPr>
        <w:pStyle w:val="05Second-LevelHeadABC"/>
      </w:pPr>
      <w:r w:rsidRPr="00AD2F44">
        <w:t>A.</w:t>
      </w:r>
      <w:r w:rsidRPr="00AD2F44">
        <w:tab/>
        <w:t>Intervention</w:t>
      </w:r>
    </w:p>
    <w:p w14:paraId="461D25AF" w14:textId="77777777" w:rsidR="005D0340" w:rsidRPr="00AD2F44" w:rsidRDefault="00F42107">
      <w:pPr>
        <w:pStyle w:val="10ATextWithIndent"/>
      </w:pPr>
      <w:r w:rsidRPr="00AD2F44">
        <w:t xml:space="preserve">In the event the court denies collective action certification, opt-in plaintiffs may seek to intervene into the case pursuant to Rule 24 of the Federal Rules of Civil Procedure, either as a matter of right under Rule 24(a)(2) or as permissive intervenors under Rule 24(b). </w:t>
      </w:r>
    </w:p>
    <w:p w14:paraId="673B91D3" w14:textId="77777777" w:rsidR="005D0340" w:rsidRPr="00AD2F44" w:rsidRDefault="00F42107">
      <w:pPr>
        <w:pStyle w:val="10ATextWithIndent"/>
        <w:rPr>
          <w:vertAlign w:val="superscript"/>
        </w:rPr>
      </w:pPr>
      <w:r w:rsidRPr="00AD2F44">
        <w:t>Intervention as a matter of right under Rule 24(a)(2) permits opt-in plaintiffs to join an action after the court denies collective action treatment when the intervenors satisfy a four-factor test.</w:t>
      </w:r>
      <w:r>
        <w:rPr>
          <w:vertAlign w:val="superscript"/>
        </w:rPr>
        <w:footnoteReference w:id="585"/>
      </w:r>
      <w:r w:rsidRPr="00AD2F44">
        <w:t xml:space="preserve"> Importantly, the motion to intervene under Rule 24(a)(2) must be timely, which under certain circumstances may require filing even before certification of a collective is denied.</w:t>
      </w:r>
      <w:r>
        <w:rPr>
          <w:vertAlign w:val="superscript"/>
        </w:rPr>
        <w:footnoteReference w:id="586"/>
      </w:r>
      <w:r w:rsidRPr="00AD2F44">
        <w:t xml:space="preserve"> In addition to timeliness, the focus of the Rule 24(a)(2) inquiry in collective actions has often been the risk of impairment of the proposed intervenors’ interests and whether the intervenors’ interests are adequately represented without intervention.</w:t>
      </w:r>
      <w:r>
        <w:rPr>
          <w:vertAlign w:val="superscript"/>
        </w:rPr>
        <w:footnoteReference w:id="587"/>
      </w:r>
    </w:p>
    <w:p w14:paraId="73563107" w14:textId="77777777" w:rsidR="005D0340" w:rsidRPr="00AD2F44" w:rsidRDefault="00F42107">
      <w:pPr>
        <w:pStyle w:val="10ATextWithIndent"/>
        <w:rPr>
          <w:vertAlign w:val="superscript"/>
        </w:rPr>
      </w:pPr>
      <w:r w:rsidRPr="00AD2F44">
        <w:t xml:space="preserve">In </w:t>
      </w:r>
      <w:r w:rsidRPr="00AD2F44">
        <w:rPr>
          <w:i/>
          <w:iCs/>
        </w:rPr>
        <w:t>Stone v. First Union Corp</w:t>
      </w:r>
      <w:r w:rsidRPr="00AD2F44">
        <w:t>.,</w:t>
      </w:r>
      <w:r>
        <w:rPr>
          <w:vertAlign w:val="superscript"/>
        </w:rPr>
        <w:footnoteReference w:id="588"/>
      </w:r>
      <w:r w:rsidRPr="00AD2F44">
        <w:t xml:space="preserve"> the Eleventh Circuit held that even when a district court is not bound by an earlier adjudication, a prior “decision would have significant persuasive effects” that might impair an intervenor’s rights in a second action by creating a negative stare </w:t>
      </w:r>
      <w:r w:rsidRPr="00AD2F44">
        <w:lastRenderedPageBreak/>
        <w:t>decisis effect because the plaintiffs alleged that the same company policy impaired their rights.</w:t>
      </w:r>
      <w:r>
        <w:rPr>
          <w:vertAlign w:val="superscript"/>
        </w:rPr>
        <w:footnoteReference w:id="589"/>
      </w:r>
      <w:r w:rsidRPr="00AD2F44">
        <w:t xml:space="preserve"> Despite differences that precluded collective action treatment, intervention was warranted because “one court’s ruling on whether the bank’s policy, as a matter of law, was in violation of the [Age Discrimination in Employment Act (ADEA)] could influence later suits.”</w:t>
      </w:r>
      <w:r>
        <w:rPr>
          <w:vertAlign w:val="superscript"/>
        </w:rPr>
        <w:footnoteReference w:id="590"/>
      </w:r>
      <w:r w:rsidRPr="00AD2F44">
        <w:t xml:space="preserve"> However, in </w:t>
      </w:r>
      <w:r w:rsidRPr="00AD2F44">
        <w:rPr>
          <w:i/>
          <w:iCs/>
        </w:rPr>
        <w:t>Fox v. Tyson Foods, Inc</w:t>
      </w:r>
      <w:r w:rsidRPr="00AD2F44">
        <w:t>.,</w:t>
      </w:r>
      <w:r>
        <w:rPr>
          <w:vertAlign w:val="superscript"/>
        </w:rPr>
        <w:footnoteReference w:id="591"/>
      </w:r>
      <w:r w:rsidRPr="00AD2F44">
        <w:t xml:space="preserve"> a case applying </w:t>
      </w:r>
      <w:r w:rsidRPr="00AD2F44">
        <w:rPr>
          <w:i/>
          <w:iCs/>
        </w:rPr>
        <w:t>Stone</w:t>
      </w:r>
      <w:r w:rsidRPr="00AD2F44">
        <w:t>, the Eleventh Circuit clarified that the persuasive effect of an earlier adjudication does not automatically extend to all actions involving similar claims.</w:t>
      </w:r>
      <w:r>
        <w:rPr>
          <w:vertAlign w:val="superscript"/>
        </w:rPr>
        <w:footnoteReference w:id="592"/>
      </w:r>
      <w:r w:rsidRPr="00AD2F44">
        <w:t xml:space="preserve"> In </w:t>
      </w:r>
      <w:r w:rsidRPr="00AD2F44">
        <w:rPr>
          <w:i/>
          <w:iCs/>
        </w:rPr>
        <w:t>Fox</w:t>
      </w:r>
      <w:r w:rsidRPr="00AD2F44">
        <w:t xml:space="preserve">, the court held that there was no common policy or plan of compensation or clothing requirements, and, in contrast to </w:t>
      </w:r>
      <w:r w:rsidRPr="00AD2F44">
        <w:rPr>
          <w:i/>
          <w:iCs/>
        </w:rPr>
        <w:t>Stone</w:t>
      </w:r>
      <w:r w:rsidRPr="00AD2F44">
        <w:t>, any “persuasive effect on later actions by the petitioners … would be insufficient to supply the necessary practical impediment” to the intervenor’s rights to permit intervention.</w:t>
      </w:r>
      <w:r>
        <w:rPr>
          <w:vertAlign w:val="superscript"/>
        </w:rPr>
        <w:footnoteReference w:id="593"/>
      </w:r>
    </w:p>
    <w:p w14:paraId="4CA3D087" w14:textId="77777777" w:rsidR="005D0340" w:rsidRPr="00AD2F44" w:rsidRDefault="00F42107">
      <w:pPr>
        <w:pStyle w:val="10ATextWithIndent"/>
        <w:rPr>
          <w:vertAlign w:val="superscript"/>
        </w:rPr>
      </w:pPr>
      <w:r w:rsidRPr="00AD2F44">
        <w:t>Assuming there is sufficient risk to their interests to permit intervention, proposed intervenors must also overcome a weak “presumption of adequate representation” by the named plaintiff in order to intervene as of right under Rule 24(a)(2).</w:t>
      </w:r>
      <w:r>
        <w:rPr>
          <w:vertAlign w:val="superscript"/>
        </w:rPr>
        <w:footnoteReference w:id="594"/>
      </w:r>
      <w:r w:rsidRPr="00AD2F44">
        <w:t xml:space="preserve"> In </w:t>
      </w:r>
      <w:r w:rsidRPr="00AD2F44">
        <w:rPr>
          <w:i/>
          <w:iCs/>
        </w:rPr>
        <w:t>Stone</w:t>
      </w:r>
      <w:r w:rsidRPr="00AD2F44">
        <w:t>, the differences that justified denying certification were also the basis for concluding that the named plaintiff was “not an adequate representative plaintiff for class action purposes,” and thus might not adequately represent the intervenor’s interests.</w:t>
      </w:r>
      <w:r>
        <w:rPr>
          <w:vertAlign w:val="superscript"/>
        </w:rPr>
        <w:footnoteReference w:id="595"/>
      </w:r>
      <w:r w:rsidRPr="00AD2F44">
        <w:t xml:space="preserve"> Although the plaintiffs all alleged that a single bank policy impaired their rights, the court reasoned that the named plaintiff and the intervenors might wish to emphasize different aspects of the policy, which was sufficient “to overcome the weak presumption of adequate representation” and justify intervention.</w:t>
      </w:r>
      <w:r>
        <w:rPr>
          <w:vertAlign w:val="superscript"/>
        </w:rPr>
        <w:footnoteReference w:id="596"/>
      </w:r>
    </w:p>
    <w:p w14:paraId="4383B5F7" w14:textId="77777777" w:rsidR="005D0340" w:rsidRPr="00AD2F44" w:rsidRDefault="00F42107">
      <w:pPr>
        <w:pStyle w:val="10ATextWithIndent"/>
        <w:rPr>
          <w:vertAlign w:val="superscript"/>
        </w:rPr>
      </w:pPr>
      <w:r w:rsidRPr="00AD2F44">
        <w:t>Even if intervention as of right under Rule 24(a)(2) is unavailable, courts may allow permissive intervention by former opt-ins of a decertified collective action under Rule 24(b).</w:t>
      </w:r>
      <w:r>
        <w:rPr>
          <w:vertAlign w:val="superscript"/>
        </w:rPr>
        <w:footnoteReference w:id="597"/>
      </w:r>
      <w:r w:rsidRPr="00AD2F44">
        <w:t xml:space="preserve"> Under Rule 24(b), the court must consider whether the party seeking to intervene “has a claim or defense that shares with the main action a common question of law or fact.”</w:t>
      </w:r>
      <w:r>
        <w:rPr>
          <w:vertAlign w:val="superscript"/>
        </w:rPr>
        <w:footnoteReference w:id="598"/>
      </w:r>
      <w:r w:rsidRPr="00AD2F44">
        <w:t xml:space="preserve"> Also, in </w:t>
      </w:r>
      <w:r w:rsidRPr="00AD2F44">
        <w:lastRenderedPageBreak/>
        <w:t>exercising its discretion regarding intervention, “the court must consider whether the intervention will unduly delay or prejudice the adjudication of the original parties’ rights.”</w:t>
      </w:r>
      <w:r>
        <w:rPr>
          <w:vertAlign w:val="superscript"/>
        </w:rPr>
        <w:footnoteReference w:id="599"/>
      </w:r>
    </w:p>
    <w:p w14:paraId="2EE8A64A" w14:textId="77777777" w:rsidR="005D0340" w:rsidRPr="00AD2F44" w:rsidRDefault="00F42107">
      <w:pPr>
        <w:pStyle w:val="10ATextWithIndent"/>
      </w:pPr>
      <w:r w:rsidRPr="00AD2F44">
        <w:t xml:space="preserve">Applying these standards, the court in </w:t>
      </w:r>
      <w:r w:rsidRPr="00AD2F44">
        <w:rPr>
          <w:i/>
          <w:iCs/>
        </w:rPr>
        <w:t>Roussell v. Brinker International, Inc</w:t>
      </w:r>
      <w:r w:rsidRPr="00AD2F44">
        <w:t>.</w:t>
      </w:r>
      <w:r>
        <w:rPr>
          <w:vertAlign w:val="superscript"/>
        </w:rPr>
        <w:footnoteReference w:id="600"/>
      </w:r>
      <w:r w:rsidRPr="00AD2F44">
        <w:t xml:space="preserve"> denied intervention by former opt-in plaintiffs after decertification of an action involving the application of the tip credit rule. While the defendant conceded that common issues of law and fact existed, the court denied intervention because it would have unduly prejudiced the defendant and delayed the original adjudication. The court explained:</w:t>
      </w:r>
    </w:p>
    <w:p w14:paraId="2E402B64" w14:textId="77777777" w:rsidR="005D0340" w:rsidRPr="00AD2F44" w:rsidRDefault="00F42107">
      <w:pPr>
        <w:pStyle w:val="09BBlockQuoteWithoutIndent"/>
        <w:rPr>
          <w:vertAlign w:val="superscript"/>
        </w:rPr>
      </w:pPr>
      <w:r w:rsidRPr="00AD2F44">
        <w:t xml:space="preserve">Here, the existing Plaintiffs do not adequately represent Movants’ interests. … It is not clear, however, that the Movants will help provide a full development of the facts at issue. With the addition of each Movant, the individualized considerations regarding the coercive inquiry will multiply the factual issues to be considered and, given the number of Movants, will undoubtedly result in considerable delay in the prosecution of this case. A trial involving upwards of 400 individual Plaintiffs is unmanageable, especially considering the number of stores represented, each involving managers from widely dispersed geographic regions. The Court cannot avoid the conclusion that a trial of this magnitude and complexity would unduly prejudice Defendant or cause substantial delay. Discovery would have to be reopened as to the Movants. Witnesses from all over the country would have to be scheduled for trial. Moreover, as Defendant notes, jurors could be confused by the presentation of multiple claims and impute evidence between multiple claimants. As the Supreme Court foresaw in </w:t>
      </w:r>
      <w:r w:rsidRPr="00AD2F44">
        <w:rPr>
          <w:i/>
          <w:iCs/>
        </w:rPr>
        <w:t>Crown, Cork,</w:t>
      </w:r>
      <w:r w:rsidRPr="00AD2F44">
        <w:t xml:space="preserve"> there may be times when the decertified class members will not be able to avail themselves of either intervention as of right or permissive intervention. The Movants’ motion shall be denied for reasons of undue prejudice and delay.</w:t>
      </w:r>
      <w:r>
        <w:rPr>
          <w:vertAlign w:val="superscript"/>
        </w:rPr>
        <w:footnoteReference w:id="601"/>
      </w:r>
    </w:p>
    <w:p w14:paraId="6ECD723E" w14:textId="77777777" w:rsidR="005D0340" w:rsidRPr="00AD2F44" w:rsidRDefault="00F42107">
      <w:pPr>
        <w:pStyle w:val="10ATextWithIndent"/>
        <w:rPr>
          <w:vertAlign w:val="superscript"/>
        </w:rPr>
      </w:pPr>
      <w:r w:rsidRPr="00AD2F44">
        <w:t xml:space="preserve">On the other hand, in </w:t>
      </w:r>
      <w:r w:rsidRPr="00AD2F44">
        <w:rPr>
          <w:i/>
          <w:iCs/>
        </w:rPr>
        <w:t>Lipnicki v. Meritage Homes Corp</w:t>
      </w:r>
      <w:r w:rsidRPr="00AD2F44">
        <w:t>.,</w:t>
      </w:r>
      <w:r>
        <w:rPr>
          <w:vertAlign w:val="superscript"/>
        </w:rPr>
        <w:footnoteReference w:id="602"/>
      </w:r>
      <w:r w:rsidRPr="00AD2F44">
        <w:t xml:space="preserve"> the court granted a motion to intervene by former opt-ins from a decertified collective action involving application of the outside sales exemption where the claims of the intervenors presented common legal issues with respect to the meaning and applicability of DOL opinion letters discussing the outside sales exemption in the new home industry as well as on the issue of willfulness (assuming there was misclassification).</w:t>
      </w:r>
      <w:r>
        <w:rPr>
          <w:vertAlign w:val="superscript"/>
        </w:rPr>
        <w:footnoteReference w:id="603"/>
      </w:r>
      <w:r w:rsidRPr="00AD2F44">
        <w:t xml:space="preserve"> The court further found that intervention resulted in little delay or prejudice to the original parties because two of the named plaintiffs had a case set for trial in the same month as the intervention ruling, and the third plaintiff would be scheduled for trial soon thereafter.</w:t>
      </w:r>
      <w:r>
        <w:rPr>
          <w:vertAlign w:val="superscript"/>
        </w:rPr>
        <w:footnoteReference w:id="604"/>
      </w:r>
      <w:r w:rsidRPr="00AD2F44">
        <w:t xml:space="preserve"> According to the court, the claims of the former opt-ins would be resolved sooner in a single forum (as opposed to being required to file numerous individual actions in courts that </w:t>
      </w:r>
      <w:r w:rsidRPr="00AD2F44">
        <w:lastRenderedPageBreak/>
        <w:t>are not already familiar with and have not already made key rulings in the case).</w:t>
      </w:r>
      <w:r>
        <w:rPr>
          <w:vertAlign w:val="superscript"/>
        </w:rPr>
        <w:footnoteReference w:id="605"/>
      </w:r>
      <w:r w:rsidRPr="00AD2F44">
        <w:t xml:space="preserve"> The court also noted that a case involving 70 plaintiffs was not unmanageable.</w:t>
      </w:r>
      <w:r>
        <w:rPr>
          <w:vertAlign w:val="superscript"/>
        </w:rPr>
        <w:footnoteReference w:id="606"/>
      </w:r>
    </w:p>
    <w:p w14:paraId="5AA4A956" w14:textId="77777777" w:rsidR="005D0340" w:rsidRPr="00AD2F44" w:rsidRDefault="00F42107">
      <w:pPr>
        <w:pStyle w:val="10ATextWithIndent"/>
        <w:rPr>
          <w:vertAlign w:val="superscript"/>
        </w:rPr>
      </w:pPr>
      <w:r w:rsidRPr="00AD2F44">
        <w:t xml:space="preserve">In </w:t>
      </w:r>
      <w:r w:rsidRPr="00AD2F44">
        <w:rPr>
          <w:i/>
          <w:iCs/>
        </w:rPr>
        <w:t>Senne v</w:t>
      </w:r>
      <w:r w:rsidRPr="00AD2F44">
        <w:t>.</w:t>
      </w:r>
      <w:r w:rsidRPr="00AD2F44">
        <w:rPr>
          <w:i/>
          <w:iCs/>
        </w:rPr>
        <w:t xml:space="preserve"> Kansas City Royals Baseball Corp</w:t>
      </w:r>
      <w:r w:rsidRPr="00AD2F44">
        <w:t>.,</w:t>
      </w:r>
      <w:r>
        <w:rPr>
          <w:vertAlign w:val="superscript"/>
          <w:lang w:val="pt-PT"/>
        </w:rPr>
        <w:footnoteReference w:id="607"/>
      </w:r>
      <w:r w:rsidRPr="00AD2F44">
        <w:t xml:space="preserve"> a California federal court granted a Rule 24(b) motion initiated by five minor league baseball players seeking to intervene in a decertified collective action brought by a group of former minor league baseball players who alleged FLSA claims against Major League Baseball (MLB) and several MLB franchises. The court found that common questions of law and fact existed between the intervenors’ claims and the main action and that the request to intervene was timely and would not cause undue delay or prejudice.</w:t>
      </w:r>
      <w:r>
        <w:rPr>
          <w:vertAlign w:val="superscript"/>
          <w:lang w:val="pt-PT"/>
        </w:rPr>
        <w:footnoteReference w:id="608"/>
      </w:r>
      <w:r w:rsidRPr="00AD2F44">
        <w:t xml:space="preserve"> One of the intervenors filed his intervention motion promptly after the court allowed another party to withdraw and the plaintiffs notified the defendants that they sought to substitute the intervenor as a named plaintiff for the withdrawn party; the rest of the proposed intervenors filed a request to intervene promptly after the court issued its order decertifying the FLSA collective action.</w:t>
      </w:r>
      <w:r>
        <w:rPr>
          <w:vertAlign w:val="superscript"/>
          <w:lang w:val="pt-PT"/>
        </w:rPr>
        <w:footnoteReference w:id="609"/>
      </w:r>
      <w:r w:rsidRPr="00AD2F44">
        <w:t xml:space="preserve"> In allowing the intervention, the court determined that the defendants would suffer minimal prejudice because (1) the intervenors had nearly identical claims as the named plaintiffs; (2) no additional discovery was needed for the pending motion for reconsideration; (3) there were no imminent trial deadlines (due to the class being vacated); and (4) to the extent the defendants may be required to conduct discovery as to the intervenors’ claims, the same discovery would be necessary if the court required them to file separate actions.</w:t>
      </w:r>
      <w:r>
        <w:rPr>
          <w:vertAlign w:val="superscript"/>
        </w:rPr>
        <w:footnoteReference w:id="610"/>
      </w:r>
    </w:p>
    <w:p w14:paraId="7A0128F9" w14:textId="77777777" w:rsidR="005D0340" w:rsidRPr="00AD2F44" w:rsidRDefault="00F42107">
      <w:pPr>
        <w:pStyle w:val="05Second-LevelHeadABC"/>
      </w:pPr>
      <w:r w:rsidRPr="00AD2F44">
        <w:t>B.</w:t>
      </w:r>
      <w:r w:rsidRPr="00AD2F44">
        <w:tab/>
        <w:t>Joinder</w:t>
      </w:r>
    </w:p>
    <w:p w14:paraId="198DC568" w14:textId="77777777" w:rsidR="005D0340" w:rsidRPr="00AD2F44" w:rsidRDefault="00F42107">
      <w:pPr>
        <w:pStyle w:val="10ATextWithIndent"/>
        <w:rPr>
          <w:vertAlign w:val="superscript"/>
        </w:rPr>
      </w:pPr>
      <w:r w:rsidRPr="00AD2F44">
        <w:t>Opt-in plaintiffs who have been dismissed without prejudice following decertification may refile their claims either individually or jointly under the permissive joinder standard set forth in Rule 20 of the Federal Rules of Civil Procedure. Under Rule 20, plaintiffs may file jointly in one action where they assert the “right to relief jointly, severally, or in the alternative with respect to or arising out of the same transaction, occurrence, or series of transactions or occurrences,” and “any question of law or fact common to all plaintiffs will arise in the action.”</w:t>
      </w:r>
      <w:r>
        <w:rPr>
          <w:vertAlign w:val="superscript"/>
        </w:rPr>
        <w:footnoteReference w:id="611"/>
      </w:r>
    </w:p>
    <w:p w14:paraId="6EDADE73" w14:textId="77777777" w:rsidR="005D0340" w:rsidRPr="00AD2F44" w:rsidRDefault="00F42107">
      <w:pPr>
        <w:pStyle w:val="10ATextWithIndent"/>
        <w:rPr>
          <w:vertAlign w:val="superscript"/>
        </w:rPr>
      </w:pPr>
      <w:r w:rsidRPr="00AD2F44">
        <w:t>Although the decision to file jointly is initially at the plaintiffs’ discretion, the court—“[o]n motion or on its own”—may then drop or sever plaintiffs “on just terms” pursuant to the misjoinder procedure set forth in Rule 21.</w:t>
      </w:r>
      <w:r>
        <w:rPr>
          <w:vertAlign w:val="superscript"/>
        </w:rPr>
        <w:footnoteReference w:id="612"/>
      </w:r>
      <w:r w:rsidRPr="00AD2F44">
        <w:t xml:space="preserve"> The court may also, in its discretion, order separate </w:t>
      </w:r>
      <w:r w:rsidRPr="00AD2F44">
        <w:lastRenderedPageBreak/>
        <w:t>trials pursuant to Rule 42.</w:t>
      </w:r>
      <w:r>
        <w:rPr>
          <w:vertAlign w:val="superscript"/>
        </w:rPr>
        <w:footnoteReference w:id="613"/>
      </w:r>
      <w:r w:rsidRPr="00AD2F44">
        <w:t xml:space="preserve"> In exercising that discretion, courts generally look first to the two-pronged requirements for joinder under Rule 20(a)(1), but may also consider issues of “fundamental fairness, judicial economy, prejudice, undue delay, as well as the dual threat of duplicitous litigation and inconsistent verdicts.”</w:t>
      </w:r>
      <w:r>
        <w:rPr>
          <w:vertAlign w:val="superscript"/>
        </w:rPr>
        <w:footnoteReference w:id="614"/>
      </w:r>
    </w:p>
    <w:p w14:paraId="5D94E068" w14:textId="77777777" w:rsidR="005D0340" w:rsidRPr="00AD2F44" w:rsidRDefault="00F42107">
      <w:pPr>
        <w:pStyle w:val="10ATextWithIndent"/>
        <w:rPr>
          <w:vertAlign w:val="superscript"/>
        </w:rPr>
      </w:pPr>
      <w:r w:rsidRPr="00AD2F44">
        <w:t>In the context of multi-plaintiff FLSA cases, courts frequently focus their analysis on variances in plaintiffs’ job duties, worksites, managers, and governing policies.</w:t>
      </w:r>
      <w:r>
        <w:rPr>
          <w:vertAlign w:val="superscript"/>
        </w:rPr>
        <w:footnoteReference w:id="615"/>
      </w:r>
      <w:r w:rsidRPr="00AD2F44">
        <w:t xml:space="preserve"> The number of </w:t>
      </w:r>
      <w:r w:rsidRPr="00AD2F44">
        <w:lastRenderedPageBreak/>
        <w:t>plaintiffs joined in the lawsuit has also been significant in the analysis.</w:t>
      </w:r>
      <w:r>
        <w:rPr>
          <w:vertAlign w:val="superscript"/>
        </w:rPr>
        <w:footnoteReference w:id="616"/>
      </w:r>
      <w:r w:rsidRPr="00AD2F44">
        <w:t xml:space="preserve"> Importantly, some courts have relied heavily on the decertification decisions as persuasive on questions of prejudice to defendants, judicial economy, and fairness, forgoing the initial Rule 20 analysis of whether the plaintiffs’ claims arise out of the same transaction or occurrence and share common issues of law or fact.</w:t>
      </w:r>
      <w:r>
        <w:rPr>
          <w:vertAlign w:val="superscript"/>
        </w:rPr>
        <w:footnoteReference w:id="617"/>
      </w:r>
      <w:r w:rsidRPr="00AD2F44">
        <w:t xml:space="preserve"> Others have ruled that denial of certification under the less stringent Section 216(b) standard necessarily precludes a finding that the same plaintiffs meet the Rule 20 standard for joinder.</w:t>
      </w:r>
      <w:r>
        <w:rPr>
          <w:vertAlign w:val="superscript"/>
        </w:rPr>
        <w:footnoteReference w:id="618"/>
      </w:r>
    </w:p>
    <w:p w14:paraId="3371CEB9" w14:textId="77777777" w:rsidR="005D0340" w:rsidRPr="00AD2F44" w:rsidRDefault="00F42107">
      <w:pPr>
        <w:pStyle w:val="04First-LevelHeadIIIIII"/>
      </w:pPr>
      <w:r w:rsidRPr="00AD2F44">
        <w:t>V.</w:t>
      </w:r>
      <w:r w:rsidRPr="00AD2F44">
        <w:t> </w:t>
      </w:r>
      <w:r w:rsidRPr="00AD2F44">
        <w:t>Case Management Issues</w:t>
      </w:r>
    </w:p>
    <w:p w14:paraId="301459FD" w14:textId="77777777" w:rsidR="005D0340" w:rsidRPr="00AD2F44" w:rsidRDefault="00F42107">
      <w:pPr>
        <w:pStyle w:val="05Second-LevelHeadABC"/>
      </w:pPr>
      <w:r w:rsidRPr="00AD2F44">
        <w:t>A.</w:t>
      </w:r>
      <w:r w:rsidRPr="00AD2F44">
        <w:tab/>
        <w:t>Scope of Discovery From Opt-In Plaintiffs</w:t>
      </w:r>
    </w:p>
    <w:p w14:paraId="17CCFD07" w14:textId="77777777" w:rsidR="005D0340" w:rsidRPr="00AD2F44" w:rsidRDefault="00F42107">
      <w:pPr>
        <w:pStyle w:val="10ATextWithIndent"/>
        <w:rPr>
          <w:vertAlign w:val="superscript"/>
        </w:rPr>
      </w:pPr>
      <w:r w:rsidRPr="00AD2F44">
        <w:t>Assuming that a court has followed the two-step ad hoc approach to certification for a collective action and decides to grant conditional certification,</w:t>
      </w:r>
      <w:r>
        <w:rPr>
          <w:vertAlign w:val="superscript"/>
        </w:rPr>
        <w:footnoteReference w:id="619"/>
      </w:r>
      <w:r w:rsidRPr="00AD2F44">
        <w:t xml:space="preserve"> notice generally issues and putative collective action members can opt in to become plaintiffs. “The action [then] proceeds as a representative action throughout discovery.”</w:t>
      </w:r>
      <w:r>
        <w:rPr>
          <w:vertAlign w:val="superscript"/>
        </w:rPr>
        <w:footnoteReference w:id="620"/>
      </w:r>
      <w:r w:rsidRPr="00AD2F44">
        <w:t xml:space="preserve"> The fact that the action has been conditionally certified, however, does not answer the question of what scope of discovery will be </w:t>
      </w:r>
      <w:r w:rsidRPr="00AD2F44">
        <w:lastRenderedPageBreak/>
        <w:t>allowed regarding the opt-in plaintiffs of the conditionally certified class, though there is not much dispute that the parties can take discovery on the merits of the claims following notice.</w:t>
      </w:r>
      <w:r>
        <w:rPr>
          <w:vertAlign w:val="superscript"/>
        </w:rPr>
        <w:footnoteReference w:id="621"/>
      </w:r>
    </w:p>
    <w:p w14:paraId="2E13BF46" w14:textId="77777777" w:rsidR="005D0340" w:rsidRPr="00AD2F44" w:rsidRDefault="00F42107">
      <w:pPr>
        <w:pStyle w:val="10ATextWithIndent"/>
        <w:rPr>
          <w:vertAlign w:val="superscript"/>
        </w:rPr>
      </w:pPr>
      <w:r w:rsidRPr="00AD2F44">
        <w:t>The courts of appeals have not yet weighed in on the issue directly, and discovery issues are generally the domain of district courts in any case.</w:t>
      </w:r>
      <w:r>
        <w:rPr>
          <w:vertAlign w:val="superscript"/>
        </w:rPr>
        <w:footnoteReference w:id="622"/>
      </w:r>
      <w:r w:rsidRPr="00AD2F44">
        <w:t xml:space="preserve"> As one district court explained, “Being discretionary calls by [District Court] judges presented with different facts and approaching their tasks from different perspectives, the cases provide little help beyond broad general outlines. The only thing that they reveal is that there is no universally accepted method for handling discovery in cases like this.”</w:t>
      </w:r>
      <w:r>
        <w:rPr>
          <w:vertAlign w:val="superscript"/>
        </w:rPr>
        <w:footnoteReference w:id="623"/>
      </w:r>
      <w:r w:rsidRPr="00AD2F44">
        <w:t xml:space="preserve"> District courts considering this issue have come to different conclusions about whether discovery should be restricted to representative sampling of the class</w:t>
      </w:r>
      <w:r>
        <w:rPr>
          <w:vertAlign w:val="superscript"/>
        </w:rPr>
        <w:footnoteReference w:id="624"/>
      </w:r>
      <w:r w:rsidRPr="00AD2F44">
        <w:t xml:space="preserve"> or </w:t>
      </w:r>
      <w:r w:rsidRPr="00AD2F44">
        <w:lastRenderedPageBreak/>
        <w:t>whether defendants can take individualized discovery of opt-in plaintiffs.</w:t>
      </w:r>
      <w:r>
        <w:rPr>
          <w:vertAlign w:val="superscript"/>
        </w:rPr>
        <w:footnoteReference w:id="625"/>
      </w:r>
      <w:r w:rsidRPr="00AD2F44">
        <w:t xml:space="preserve"> Factors influencing the determination may include whether the defendant seeks written discovery or deposition </w:t>
      </w:r>
      <w:r w:rsidRPr="00AD2F44">
        <w:lastRenderedPageBreak/>
        <w:t>discovery, the size of the class, the burden the court believes the discovery would impose on opt-in class members, the court’s view about the representative nature of a Section 216(b) case after conditional certification, and the court’s view of the application of Rule 23 jurisprudence on discovery of class members.</w:t>
      </w:r>
      <w:r>
        <w:rPr>
          <w:vertAlign w:val="superscript"/>
        </w:rPr>
        <w:footnoteReference w:id="626"/>
      </w:r>
      <w:r w:rsidRPr="00AD2F44">
        <w:t xml:space="preserve"> Where the class is compact, courts have been more willing to </w:t>
      </w:r>
      <w:r w:rsidRPr="00AD2F44">
        <w:lastRenderedPageBreak/>
        <w:t>allow individualized discovery of the opt-in plaintiffs.</w:t>
      </w:r>
      <w:r>
        <w:rPr>
          <w:vertAlign w:val="superscript"/>
        </w:rPr>
        <w:footnoteReference w:id="627"/>
      </w:r>
      <w:r w:rsidRPr="00AD2F44">
        <w:t xml:space="preserve"> In large classes, courts have been less willing to do so.</w:t>
      </w:r>
      <w:r>
        <w:rPr>
          <w:vertAlign w:val="superscript"/>
        </w:rPr>
        <w:footnoteReference w:id="628"/>
      </w:r>
    </w:p>
    <w:p w14:paraId="469DB014" w14:textId="77777777" w:rsidR="005D0340" w:rsidRPr="00AD2F44" w:rsidRDefault="00F42107">
      <w:pPr>
        <w:pStyle w:val="10ATextWithIndent"/>
        <w:rPr>
          <w:vertAlign w:val="superscript"/>
        </w:rPr>
      </w:pPr>
      <w:r w:rsidRPr="00AD2F44">
        <w:lastRenderedPageBreak/>
        <w:t xml:space="preserve">However, the size of the class is not necessarily the determining factor for courts in deciding the scope of discovery permitted. Some courts view individualized discovery in collective actions as inappropriate because of the nature of the action. In </w:t>
      </w:r>
      <w:r w:rsidRPr="00AD2F44">
        <w:rPr>
          <w:i/>
          <w:iCs/>
        </w:rPr>
        <w:t>McGrath v. City of Philadelphia</w:t>
      </w:r>
      <w:r w:rsidRPr="00AD2F44">
        <w:t>,</w:t>
      </w:r>
      <w:r>
        <w:rPr>
          <w:vertAlign w:val="superscript"/>
        </w:rPr>
        <w:footnoteReference w:id="629"/>
      </w:r>
      <w:r w:rsidRPr="00AD2F44">
        <w:t xml:space="preserve"> the district court reasoned that discovery of absent collective action members “would only serve to obfuscate the issues and drastically enhance the costs of litigation. Such a result cannot be countenanced.”</w:t>
      </w:r>
      <w:r>
        <w:rPr>
          <w:vertAlign w:val="superscript"/>
        </w:rPr>
        <w:footnoteReference w:id="630"/>
      </w:r>
    </w:p>
    <w:p w14:paraId="2A78CC54" w14:textId="77777777" w:rsidR="005D0340" w:rsidRPr="00AD2F44" w:rsidRDefault="00F42107">
      <w:pPr>
        <w:pStyle w:val="10ATextWithIndent"/>
      </w:pPr>
      <w:r w:rsidRPr="00AD2F44">
        <w:t>Other courts limiting discovery to a representative sample have voiced similar concerns about the burden of extensive discovery of individual class members,</w:t>
      </w:r>
      <w:r>
        <w:rPr>
          <w:vertAlign w:val="superscript"/>
        </w:rPr>
        <w:footnoteReference w:id="631"/>
      </w:r>
      <w:r w:rsidRPr="00AD2F44">
        <w:t xml:space="preserve"> and/or have relied on Rule 23 efficiency principles,</w:t>
      </w:r>
      <w:r>
        <w:rPr>
          <w:vertAlign w:val="superscript"/>
        </w:rPr>
        <w:footnoteReference w:id="632"/>
      </w:r>
      <w:r w:rsidRPr="00AD2F44">
        <w:t xml:space="preserve"> to support their view that discovery in a collective action should be by representative sampling or seeking classwide information in an aggregate form. Some courts split the difference or take an incremental approach, reasoning that a representative </w:t>
      </w:r>
      <w:r w:rsidRPr="00AD2F44">
        <w:lastRenderedPageBreak/>
        <w:t>sample provides the defendant a “reasonable” opportunity to develop its defenses,</w:t>
      </w:r>
      <w:r>
        <w:rPr>
          <w:vertAlign w:val="superscript"/>
        </w:rPr>
        <w:footnoteReference w:id="633"/>
      </w:r>
      <w:r w:rsidRPr="00AD2F44">
        <w:t xml:space="preserve"> but will still leave the door open for additional discovery if the defendant can make a later showing that more discovery is necessary.</w:t>
      </w:r>
      <w:r>
        <w:rPr>
          <w:vertAlign w:val="superscript"/>
        </w:rPr>
        <w:footnoteReference w:id="634"/>
      </w:r>
      <w:r w:rsidRPr="00AD2F44">
        <w:t xml:space="preserve"> Courts limiting discovery to a sample have directed parties to meet and confer over the appropriate sample size rather than set it themselves.</w:t>
      </w:r>
      <w:r>
        <w:rPr>
          <w:vertAlign w:val="superscript"/>
        </w:rPr>
        <w:footnoteReference w:id="635"/>
      </w:r>
      <w:r w:rsidRPr="00AD2F44">
        <w:t xml:space="preserve"> Other courts have looked to Rule 26 of the Federal Rules of Civil Procedure and limited discovery that would impose an undue burden on a party.</w:t>
      </w:r>
      <w:r>
        <w:rPr>
          <w:vertAlign w:val="superscript"/>
        </w:rPr>
        <w:footnoteReference w:id="636"/>
      </w:r>
      <w:r w:rsidRPr="00AD2F44">
        <w:t xml:space="preserve"> </w:t>
      </w:r>
    </w:p>
    <w:p w14:paraId="77437CEB" w14:textId="77777777" w:rsidR="005D0340" w:rsidRPr="00AD2F44" w:rsidRDefault="00F42107">
      <w:pPr>
        <w:pStyle w:val="10ATextWithIndent"/>
      </w:pPr>
      <w:r w:rsidRPr="00AD2F44">
        <w:t xml:space="preserve">In </w:t>
      </w:r>
      <w:r w:rsidRPr="00AD2F44">
        <w:rPr>
          <w:i/>
          <w:iCs/>
        </w:rPr>
        <w:t>Geer v. Challenge Financial Investors Corp</w:t>
      </w:r>
      <w:r w:rsidRPr="00AD2F44">
        <w:t>.,</w:t>
      </w:r>
      <w:r>
        <w:rPr>
          <w:vertAlign w:val="superscript"/>
        </w:rPr>
        <w:footnoteReference w:id="637"/>
      </w:r>
      <w:r w:rsidRPr="00AD2F44">
        <w:t xml:space="preserve"> the district court refused to allow in-person depositions of all 272 plaintiffs involved in the case, reasoning that the defendant had failed to show why taking depositions of all plaintiffs (even those of out-of-state opt-ins with small claims) was “necessary or, if they are necessary, that their proposed manner for taking the </w:t>
      </w:r>
      <w:r w:rsidRPr="00AD2F44">
        <w:lastRenderedPageBreak/>
        <w:t>depositions is relatively cost-effective.”</w:t>
      </w:r>
      <w:r>
        <w:rPr>
          <w:vertAlign w:val="superscript"/>
        </w:rPr>
        <w:footnoteReference w:id="638"/>
      </w:r>
      <w:r w:rsidRPr="00AD2F44">
        <w:t xml:space="preserve"> The court distinguished some of the cases permitting individualized discovery primarily on the size of the class.</w:t>
      </w:r>
      <w:r>
        <w:rPr>
          <w:vertAlign w:val="superscript"/>
        </w:rPr>
        <w:footnoteReference w:id="639"/>
      </w:r>
      <w:r w:rsidRPr="00AD2F44">
        <w:t xml:space="preserve"> It also distinguished an ADEA case where a court allowed for numerous depositions, </w:t>
      </w:r>
      <w:r w:rsidRPr="00AD2F44">
        <w:rPr>
          <w:i/>
          <w:iCs/>
        </w:rPr>
        <w:t>Williams v. Sprint/United Management Co</w:t>
      </w:r>
      <w:r w:rsidRPr="00AD2F44">
        <w:t>.,</w:t>
      </w:r>
      <w:r>
        <w:rPr>
          <w:vertAlign w:val="superscript"/>
        </w:rPr>
        <w:footnoteReference w:id="640"/>
      </w:r>
      <w:r w:rsidRPr="00AD2F44">
        <w:t xml:space="preserve"> because the allegations of intentional age discrimination in </w:t>
      </w:r>
      <w:r w:rsidRPr="00AD2F44">
        <w:rPr>
          <w:i/>
          <w:iCs/>
        </w:rPr>
        <w:t xml:space="preserve">Williams </w:t>
      </w:r>
      <w:r w:rsidRPr="00AD2F44">
        <w:t xml:space="preserve">were “by their very nature, factually intensive, unique, and not analogous to the claims [in </w:t>
      </w:r>
      <w:r w:rsidRPr="00AD2F44">
        <w:rPr>
          <w:i/>
          <w:iCs/>
        </w:rPr>
        <w:t>Geer</w:t>
      </w:r>
      <w:r w:rsidRPr="00AD2F44">
        <w:t>].”</w:t>
      </w:r>
      <w:r>
        <w:rPr>
          <w:vertAlign w:val="superscript"/>
        </w:rPr>
        <w:footnoteReference w:id="641"/>
      </w:r>
      <w:r w:rsidRPr="00AD2F44">
        <w:t xml:space="preserve"> The court also found support from the </w:t>
      </w:r>
      <w:r w:rsidRPr="00AD2F44">
        <w:rPr>
          <w:i/>
          <w:iCs/>
        </w:rPr>
        <w:t>Manual for Complex Litigation</w:t>
      </w:r>
      <w:r w:rsidRPr="00AD2F44">
        <w:t>,</w:t>
      </w:r>
      <w:r>
        <w:rPr>
          <w:vertAlign w:val="superscript"/>
        </w:rPr>
        <w:footnoteReference w:id="642"/>
      </w:r>
      <w:r w:rsidRPr="00AD2F44">
        <w:t xml:space="preserve"> which encourages judges to consider limiting unnecessary depositions in complex cases.</w:t>
      </w:r>
    </w:p>
    <w:p w14:paraId="731C2B5E" w14:textId="77777777" w:rsidR="005D0340" w:rsidRPr="00AD2F44" w:rsidRDefault="00F42107">
      <w:pPr>
        <w:pStyle w:val="10ATextWithIndent"/>
        <w:rPr>
          <w:vertAlign w:val="superscript"/>
        </w:rPr>
      </w:pPr>
      <w:r w:rsidRPr="00AD2F44">
        <w:t xml:space="preserve">In contrast, the district court in </w:t>
      </w:r>
      <w:r w:rsidRPr="00AD2F44">
        <w:rPr>
          <w:i/>
          <w:iCs/>
        </w:rPr>
        <w:t>Renfro v. Spartan Computer Services</w:t>
      </w:r>
      <w:r>
        <w:rPr>
          <w:vertAlign w:val="superscript"/>
        </w:rPr>
        <w:footnoteReference w:id="643"/>
      </w:r>
      <w:r w:rsidRPr="00AD2F44">
        <w:rPr>
          <w:i/>
          <w:iCs/>
        </w:rPr>
        <w:t xml:space="preserve"> </w:t>
      </w:r>
      <w:r w:rsidRPr="00AD2F44">
        <w:t xml:space="preserve">permitted written discovery to all 136 opt-in plaintiffs and depositions of all 27 opt-in plaintiffs whose depositions were noticed, citing with approval the holding in </w:t>
      </w:r>
      <w:r w:rsidRPr="00AD2F44">
        <w:rPr>
          <w:i/>
          <w:iCs/>
        </w:rPr>
        <w:t>Williams</w:t>
      </w:r>
      <w:r w:rsidRPr="00AD2F44">
        <w:t xml:space="preserve"> that individualized discovery of opt-in plaintiffs is permissible.</w:t>
      </w:r>
      <w:r>
        <w:rPr>
          <w:vertAlign w:val="superscript"/>
        </w:rPr>
        <w:footnoteReference w:id="644"/>
      </w:r>
      <w:r w:rsidRPr="00AD2F44">
        <w:t xml:space="preserve"> The court distinguished representative discovery cases like </w:t>
      </w:r>
      <w:r w:rsidRPr="00AD2F44">
        <w:rPr>
          <w:i/>
          <w:iCs/>
        </w:rPr>
        <w:t>McGrath v. City of Philadelphia</w:t>
      </w:r>
      <w:r w:rsidRPr="00AD2F44">
        <w:t>,</w:t>
      </w:r>
      <w:r>
        <w:rPr>
          <w:vertAlign w:val="superscript"/>
        </w:rPr>
        <w:footnoteReference w:id="645"/>
      </w:r>
      <w:r w:rsidRPr="00AD2F44">
        <w:t xml:space="preserve"> because those cases unnecessarily relied on Rule 23 class action jurisprudence, which is distinguishable from FLSA collective actions under Section 216(b) because, unlike class actions, plaintiffs have to opt in to collective actions affirmatively and the opt-in notice tells them that they will be subject to discovery.</w:t>
      </w:r>
      <w:r>
        <w:rPr>
          <w:vertAlign w:val="superscript"/>
        </w:rPr>
        <w:footnoteReference w:id="646"/>
      </w:r>
    </w:p>
    <w:p w14:paraId="1AB8B9D9" w14:textId="77777777" w:rsidR="005D0340" w:rsidRPr="00AD2F44" w:rsidRDefault="00F42107">
      <w:pPr>
        <w:pStyle w:val="10ATextWithIndent"/>
        <w:rPr>
          <w:vertAlign w:val="superscript"/>
        </w:rPr>
      </w:pPr>
      <w:r w:rsidRPr="00AD2F44">
        <w:t xml:space="preserve">In </w:t>
      </w:r>
      <w:r w:rsidRPr="00AD2F44">
        <w:rPr>
          <w:i/>
          <w:iCs/>
        </w:rPr>
        <w:t>Coldiron v. Pizza Hut, Inc</w:t>
      </w:r>
      <w:r w:rsidRPr="00AD2F44">
        <w:t>.,</w:t>
      </w:r>
      <w:r>
        <w:rPr>
          <w:vertAlign w:val="superscript"/>
        </w:rPr>
        <w:footnoteReference w:id="647"/>
      </w:r>
      <w:r w:rsidRPr="00AD2F44">
        <w:t xml:space="preserve"> a district court in California permitted written discovery of all 306 opt-in plaintiffs in a case alleging misclassification of managers as exempt from overtime requirements. The court reasoned that individualized discovery from each opt-in plaintiff “is both necessary and appropriate” in light of the defendant’s stated intention to file a motion for decertification.</w:t>
      </w:r>
      <w:r>
        <w:rPr>
          <w:vertAlign w:val="superscript"/>
        </w:rPr>
        <w:footnoteReference w:id="648"/>
      </w:r>
      <w:r w:rsidRPr="00AD2F44">
        <w:t xml:space="preserve"> The court relied in part on </w:t>
      </w:r>
      <w:r w:rsidRPr="00AD2F44">
        <w:rPr>
          <w:i/>
          <w:iCs/>
        </w:rPr>
        <w:t>Kaas v. Pratt &amp; Whitney</w:t>
      </w:r>
      <w:r w:rsidRPr="00AD2F44">
        <w:t>,</w:t>
      </w:r>
      <w:r>
        <w:rPr>
          <w:vertAlign w:val="superscript"/>
        </w:rPr>
        <w:footnoteReference w:id="649"/>
      </w:r>
      <w:r w:rsidRPr="00AD2F44">
        <w:t xml:space="preserve"> where a district court in Florida allowed depositions and written discovery of all 100 opt-in plaintiffs, </w:t>
      </w:r>
      <w:r w:rsidRPr="00AD2F44">
        <w:lastRenderedPageBreak/>
        <w:t>holding that such individualized discovery was “essential,” because the defendant could challenge whether any of the opt-in plaintiffs were similarly situated.</w:t>
      </w:r>
      <w:r>
        <w:rPr>
          <w:vertAlign w:val="superscript"/>
        </w:rPr>
        <w:footnoteReference w:id="650"/>
      </w:r>
    </w:p>
    <w:p w14:paraId="3BBE87AF" w14:textId="77777777" w:rsidR="005D0340" w:rsidRPr="00AD2F44" w:rsidRDefault="00F42107">
      <w:pPr>
        <w:pStyle w:val="10ATextWithIndent"/>
      </w:pPr>
      <w:r w:rsidRPr="00AD2F44">
        <w:t>Later in the case, however, the court rejected the defendant’s attempt to take 75 four-hour depositions. Although the court still agreed that individualized discovery was essential, the defendant had slept on its rights for two years and failed to seek the vast majority of depositions until a month before the pretrial conference.</w:t>
      </w:r>
      <w:r w:rsidRPr="00AD2F44">
        <w:rPr>
          <w:vertAlign w:val="superscript"/>
        </w:rPr>
        <w:t xml:space="preserve"> </w:t>
      </w:r>
      <w:r>
        <w:rPr>
          <w:vertAlign w:val="superscript"/>
        </w:rPr>
        <w:footnoteReference w:id="651"/>
      </w:r>
      <w:r w:rsidRPr="00AD2F44">
        <w:t xml:space="preserve"> The court therefore rejected the defendant’s request for 75 depositions and presumptively limited the defendant to 10, with the option of petitioning the court for additional depositions afterward.</w:t>
      </w:r>
      <w:r>
        <w:rPr>
          <w:vertAlign w:val="superscript"/>
        </w:rPr>
        <w:footnoteReference w:id="652"/>
      </w:r>
      <w:r w:rsidRPr="00AD2F44">
        <w:t xml:space="preserve"> </w:t>
      </w:r>
    </w:p>
    <w:p w14:paraId="176813DA" w14:textId="77777777" w:rsidR="005D0340" w:rsidRPr="00AD2F44" w:rsidRDefault="00F42107">
      <w:pPr>
        <w:pStyle w:val="10ATextWithIndent"/>
      </w:pPr>
      <w:r w:rsidRPr="00AD2F44">
        <w:t xml:space="preserve">Sometimes parties try to modify written discovery to ameliorate discovery concerns for large classes. In </w:t>
      </w:r>
      <w:r w:rsidRPr="00AD2F44">
        <w:rPr>
          <w:i/>
          <w:iCs/>
        </w:rPr>
        <w:t>Krueger v. New York Telephone Co</w:t>
      </w:r>
      <w:r w:rsidRPr="00AD2F44">
        <w:t>.,</w:t>
      </w:r>
      <w:r>
        <w:rPr>
          <w:vertAlign w:val="superscript"/>
        </w:rPr>
        <w:footnoteReference w:id="653"/>
      </w:r>
      <w:r w:rsidRPr="00AD2F44">
        <w:t xml:space="preserve"> an ADEA collective action, the court granted a motion to compel depositions for 33 of 162 opt-ins as requested by the defendant (only 14 were in dispute), and written discovery as to all 162, reasoning that the evidence sought was relevant and necessary to classwide issues of liability.</w:t>
      </w:r>
      <w:r>
        <w:rPr>
          <w:vertAlign w:val="superscript"/>
        </w:rPr>
        <w:footnoteReference w:id="654"/>
      </w:r>
      <w:r w:rsidRPr="00AD2F44">
        <w:t xml:space="preserve"> In granting the written discovery, the court highlighted the defendant’s reasonableness in offering to use a questionnaire rather than interrogatories to reduce the potential burden on the plaintiffs.</w:t>
      </w:r>
      <w:r>
        <w:rPr>
          <w:vertAlign w:val="superscript"/>
        </w:rPr>
        <w:footnoteReference w:id="655"/>
      </w:r>
      <w:r w:rsidRPr="00AD2F44">
        <w:t xml:space="preserve"> </w:t>
      </w:r>
    </w:p>
    <w:p w14:paraId="0ECE4C6B" w14:textId="77777777" w:rsidR="005D0340" w:rsidRPr="00AD2F44" w:rsidRDefault="00F42107">
      <w:pPr>
        <w:pStyle w:val="10ATextWithIndent"/>
        <w:rPr>
          <w:vertAlign w:val="superscript"/>
        </w:rPr>
      </w:pPr>
      <w:r w:rsidRPr="00AD2F44">
        <w:t xml:space="preserve">But courts will not always find proposed written discovery modifications sufficient to avoid causing an undue burden on the plaintiffs. For example, the court in </w:t>
      </w:r>
      <w:r w:rsidRPr="00AD2F44">
        <w:rPr>
          <w:i/>
          <w:iCs/>
        </w:rPr>
        <w:t>Roy v. FedEx Ground Package System</w:t>
      </w:r>
      <w:r>
        <w:rPr>
          <w:vertAlign w:val="superscript"/>
        </w:rPr>
        <w:footnoteReference w:id="656"/>
      </w:r>
      <w:r w:rsidRPr="00AD2F44">
        <w:t xml:space="preserve"> refused to allow a modified 11-question form to go to over 544 opt-in plaintiffs in lieu of interrogatories, requests for production of documents, and admissions.</w:t>
      </w:r>
      <w:r>
        <w:rPr>
          <w:vertAlign w:val="superscript"/>
        </w:rPr>
        <w:footnoteReference w:id="657"/>
      </w:r>
      <w:r w:rsidRPr="00AD2F44">
        <w:t xml:space="preserve"> Observing that “the scope of the proposed questionnaire was exceedingly broad” and would likely create an undue burden on plaintiffs and their counsel, the court instead found that 50 questionnaires would be sufficient to create a representative sample.</w:t>
      </w:r>
      <w:r>
        <w:rPr>
          <w:vertAlign w:val="superscript"/>
        </w:rPr>
        <w:footnoteReference w:id="658"/>
      </w:r>
    </w:p>
    <w:p w14:paraId="1B565D85" w14:textId="77777777" w:rsidR="005D0340" w:rsidRPr="00AD2F44" w:rsidRDefault="00F42107">
      <w:pPr>
        <w:pStyle w:val="10ATextWithIndent"/>
        <w:rPr>
          <w:vertAlign w:val="superscript"/>
        </w:rPr>
      </w:pPr>
      <w:r w:rsidRPr="00AD2F44">
        <w:t xml:space="preserve">There are consequences for plaintiffs who are not responsive to the discovery requests authorized by the court. Plaintiffs selected for discovery (either with individualized or representative discovery) may be subject to sanctions (including dismissal) under Rules 37 and 41 of the Federal Rules of Civil Procedure if they refuse to participate in discovery. For example, in </w:t>
      </w:r>
      <w:r w:rsidRPr="00AD2F44">
        <w:rPr>
          <w:i/>
          <w:iCs/>
        </w:rPr>
        <w:t>LaFleur v. Dollar Tree Stores, Inc</w:t>
      </w:r>
      <w:r w:rsidRPr="00AD2F44">
        <w:t>.,</w:t>
      </w:r>
      <w:r>
        <w:rPr>
          <w:vertAlign w:val="superscript"/>
        </w:rPr>
        <w:footnoteReference w:id="659"/>
      </w:r>
      <w:r w:rsidRPr="00AD2F44">
        <w:t xml:space="preserve"> a district court in Virginia dismissed with prejudice claims of more than 100 opt-ins who failed to appear for depositions and 1,100 opt-ins who </w:t>
      </w:r>
      <w:r w:rsidRPr="00AD2F44">
        <w:lastRenderedPageBreak/>
        <w:t>failed to respond to interrogatories and requests for production of documents.</w:t>
      </w:r>
      <w:r>
        <w:rPr>
          <w:vertAlign w:val="superscript"/>
        </w:rPr>
        <w:footnoteReference w:id="660"/>
      </w:r>
      <w:r w:rsidRPr="00AD2F44">
        <w:t xml:space="preserve"> The court reasoned that the plaintiffs had acted in bad faith after being repeatedly reminded of their discovery obligations, that plaintiffs’ failure to participate in discovery significantly prejudiced the defendant, and that deterrence was necessary due to the plaintiffs’ history of noncompliance with court orders and rules of procedure.</w:t>
      </w:r>
      <w:r>
        <w:rPr>
          <w:vertAlign w:val="superscript"/>
        </w:rPr>
        <w:footnoteReference w:id="661"/>
      </w:r>
    </w:p>
    <w:p w14:paraId="5B4E7714" w14:textId="77777777" w:rsidR="005D0340" w:rsidRPr="00AD2F44" w:rsidRDefault="00F42107">
      <w:pPr>
        <w:pStyle w:val="05Second-LevelHeadABC"/>
      </w:pPr>
      <w:r w:rsidRPr="00AD2F44">
        <w:t>B.</w:t>
      </w:r>
      <w:r w:rsidRPr="00AD2F44">
        <w:tab/>
        <w:t>Bifurcation of Liability and Damages</w:t>
      </w:r>
    </w:p>
    <w:p w14:paraId="6C3B2A35" w14:textId="77777777" w:rsidR="005D0340" w:rsidRPr="00AD2F44" w:rsidRDefault="00F42107">
      <w:pPr>
        <w:pStyle w:val="10ATextWithIndent"/>
      </w:pPr>
      <w:r w:rsidRPr="00AD2F44">
        <w:t>Frequently, parties in FLSA collective actions will seek to bifurcate the liability and damages phases of the trial, as well as discovery.</w:t>
      </w:r>
      <w:r>
        <w:rPr>
          <w:vertAlign w:val="superscript"/>
        </w:rPr>
        <w:footnoteReference w:id="662"/>
      </w:r>
      <w:r w:rsidRPr="00AD2F44">
        <w:t xml:space="preserve"> A request to bifurcate is governed by Federal Rule of Civil Procedure 42(b), which states:</w:t>
      </w:r>
    </w:p>
    <w:p w14:paraId="34CF1B55" w14:textId="77777777" w:rsidR="005D0340" w:rsidRPr="00AD2F44" w:rsidRDefault="00F42107">
      <w:pPr>
        <w:pStyle w:val="09BBlockQuoteWithoutIndent"/>
        <w:rPr>
          <w:vertAlign w:val="superscript"/>
        </w:rPr>
      </w:pPr>
      <w:r w:rsidRPr="00AD2F44">
        <w:lastRenderedPageBreak/>
        <w:t>For convenience, to avoid prejudice, or to expedite and economize, the court may order a separate trial of one or more separate issues, claims, crossclaims, counterclaims, or third-party claims. When ordering a separate trial, the court must preserve any federal right to a jury trial.</w:t>
      </w:r>
      <w:r>
        <w:rPr>
          <w:vertAlign w:val="superscript"/>
        </w:rPr>
        <w:footnoteReference w:id="663"/>
      </w:r>
    </w:p>
    <w:p w14:paraId="08584AE6" w14:textId="77777777" w:rsidR="005D0340" w:rsidRPr="00AD2F44" w:rsidRDefault="00F42107">
      <w:pPr>
        <w:pStyle w:val="10BTextWithoutIndent"/>
        <w:rPr>
          <w:vertAlign w:val="superscript"/>
        </w:rPr>
      </w:pPr>
      <w:r w:rsidRPr="00AD2F44">
        <w:t>The decision to bifurcate is within the discretion of the district court.</w:t>
      </w:r>
      <w:r>
        <w:rPr>
          <w:vertAlign w:val="superscript"/>
        </w:rPr>
        <w:footnoteReference w:id="664"/>
      </w:r>
      <w:r w:rsidRPr="00AD2F44">
        <w:t xml:space="preserve"> In many instances, the parties will stipulate or otherwise agree to bifurcation.</w:t>
      </w:r>
      <w:r>
        <w:rPr>
          <w:vertAlign w:val="superscript"/>
        </w:rPr>
        <w:footnoteReference w:id="665"/>
      </w:r>
      <w:r w:rsidRPr="00AD2F44">
        <w:t xml:space="preserve"> Courts have also granted bifurcation on the motion of one or both of the parties to the action.</w:t>
      </w:r>
      <w:r>
        <w:rPr>
          <w:vertAlign w:val="superscript"/>
        </w:rPr>
        <w:footnoteReference w:id="666"/>
      </w:r>
      <w:r w:rsidRPr="00AD2F44">
        <w:t xml:space="preserve"> However, motions to bifurcate brought </w:t>
      </w:r>
      <w:r w:rsidRPr="00AD2F44">
        <w:lastRenderedPageBreak/>
        <w:t>too early during the litigation, such as before the action is conditionally certified, may be denied by the court without prejudice as premature.</w:t>
      </w:r>
      <w:r>
        <w:rPr>
          <w:vertAlign w:val="superscript"/>
        </w:rPr>
        <w:footnoteReference w:id="667"/>
      </w:r>
    </w:p>
    <w:p w14:paraId="3E3E03D1" w14:textId="77777777" w:rsidR="005D0340" w:rsidRPr="00AD2F44" w:rsidRDefault="00F42107">
      <w:pPr>
        <w:pStyle w:val="10ATextWithIndent"/>
        <w:rPr>
          <w:vertAlign w:val="superscript"/>
        </w:rPr>
      </w:pPr>
      <w:r w:rsidRPr="00AD2F44">
        <w:t>Bifurcation is frequently utilized as a case management tool by courts to address individualized damages issues that arise in collective actions.</w:t>
      </w:r>
      <w:r>
        <w:rPr>
          <w:vertAlign w:val="superscript"/>
        </w:rPr>
        <w:footnoteReference w:id="668"/>
      </w:r>
      <w:r w:rsidRPr="00AD2F44">
        <w:t xml:space="preserve"> In connection with motions brought by defendants to decertify collective actions, as well as in response to plaintiffs’ motions for conditional certification, many courts have identified bifurcation as a method to aid the manageability of the action by addressing individualized defenses raised by defendants concerning damages questions at a separate point in the litigation.</w:t>
      </w:r>
      <w:r>
        <w:rPr>
          <w:vertAlign w:val="superscript"/>
        </w:rPr>
        <w:footnoteReference w:id="669"/>
      </w:r>
      <w:r w:rsidRPr="00AD2F44">
        <w:t xml:space="preserve"> At least one court has found </w:t>
      </w:r>
      <w:r w:rsidRPr="00AD2F44">
        <w:lastRenderedPageBreak/>
        <w:t>that bifurcation and similar procedural tools, like subclasses and representative testimony, were not sufficient to address the individualized inquiries inherent in the litigation.</w:t>
      </w:r>
      <w:r>
        <w:rPr>
          <w:vertAlign w:val="superscript"/>
        </w:rPr>
        <w:footnoteReference w:id="670"/>
      </w:r>
    </w:p>
    <w:p w14:paraId="6C252D7C" w14:textId="77777777" w:rsidR="005D0340" w:rsidRPr="00AD2F44" w:rsidRDefault="00F42107">
      <w:pPr>
        <w:pStyle w:val="10ATextWithIndent"/>
        <w:rPr>
          <w:vertAlign w:val="superscript"/>
        </w:rPr>
      </w:pPr>
      <w:r w:rsidRPr="00AD2F44">
        <w:t>Courts that have granted motions to bifurcate have considered several general factors when determining the appropriateness of bifurcation. Courts have looked at the convenience that will result through the bifurcation of the liability and damages stages of the proceedings.</w:t>
      </w:r>
      <w:r>
        <w:rPr>
          <w:vertAlign w:val="superscript"/>
        </w:rPr>
        <w:footnoteReference w:id="671"/>
      </w:r>
      <w:r w:rsidRPr="00AD2F44">
        <w:t xml:space="preserve"> Courts have also found bifurcation to be appropriate where it promoted expedition and judicial economy with respect to that action.</w:t>
      </w:r>
      <w:r>
        <w:rPr>
          <w:vertAlign w:val="superscript"/>
        </w:rPr>
        <w:footnoteReference w:id="672"/>
      </w:r>
      <w:r w:rsidRPr="00AD2F44">
        <w:t xml:space="preserve"> For example, in support of bifurcation, some courts have noted that if a party is not found liable in first stage of the proceeding it would eliminate the need for evidence at trial concerning willfulness and damages.</w:t>
      </w:r>
      <w:r>
        <w:rPr>
          <w:vertAlign w:val="superscript"/>
        </w:rPr>
        <w:footnoteReference w:id="673"/>
      </w:r>
    </w:p>
    <w:p w14:paraId="694ECF9A" w14:textId="77777777" w:rsidR="005D0340" w:rsidRPr="00AD2F44" w:rsidRDefault="00F42107">
      <w:pPr>
        <w:pStyle w:val="10ATextWithIndent"/>
        <w:rPr>
          <w:vertAlign w:val="superscript"/>
        </w:rPr>
      </w:pPr>
      <w:r w:rsidRPr="00AD2F44">
        <w:t xml:space="preserve">Courts have also considered the complexity of the case, the discreteness of issues to be tried, and the likelihood of confusion to the jury if liability is not tried separately from </w:t>
      </w:r>
      <w:r w:rsidRPr="00AD2F44">
        <w:lastRenderedPageBreak/>
        <w:t>damages.</w:t>
      </w:r>
      <w:r>
        <w:rPr>
          <w:vertAlign w:val="superscript"/>
        </w:rPr>
        <w:footnoteReference w:id="674"/>
      </w:r>
      <w:r w:rsidRPr="00AD2F44">
        <w:t xml:space="preserve"> In addition, courts will evaluate the potential prejudice bifurcation may cause for each party.</w:t>
      </w:r>
      <w:r>
        <w:rPr>
          <w:vertAlign w:val="superscript"/>
        </w:rPr>
        <w:footnoteReference w:id="675"/>
      </w:r>
    </w:p>
    <w:p w14:paraId="0F7F33F8" w14:textId="77777777" w:rsidR="005D0340" w:rsidRPr="00AD2F44" w:rsidRDefault="00F42107">
      <w:pPr>
        <w:pStyle w:val="10ATextWithIndent"/>
        <w:rPr>
          <w:vertAlign w:val="superscript"/>
        </w:rPr>
      </w:pPr>
      <w:r w:rsidRPr="00AD2F44">
        <w:t>Bifurcation of liability and damages phases of a trial does not necessarily mean that a court will bifurcate discovery on those issues as well.</w:t>
      </w:r>
      <w:r>
        <w:rPr>
          <w:vertAlign w:val="superscript"/>
        </w:rPr>
        <w:footnoteReference w:id="676"/>
      </w:r>
      <w:r w:rsidRPr="00AD2F44">
        <w:t xml:space="preserve"> Where proceedings have been bifurcated, the Fifth Circuit has found that evidence concerning damages, which is to be addressed in the second stage, should not be relied on to defeat claims during the liability stage, particularly when the parties have not yet conducted discovery on that issue.</w:t>
      </w:r>
      <w:r>
        <w:rPr>
          <w:vertAlign w:val="superscript"/>
        </w:rPr>
        <w:footnoteReference w:id="677"/>
      </w:r>
    </w:p>
    <w:p w14:paraId="1DF96F96" w14:textId="77777777" w:rsidR="005D0340" w:rsidRPr="00AD2F44" w:rsidRDefault="00F42107">
      <w:pPr>
        <w:pStyle w:val="05Second-LevelHeadABC"/>
      </w:pPr>
      <w:r w:rsidRPr="00AD2F44">
        <w:t>C.</w:t>
      </w:r>
      <w:r w:rsidRPr="00AD2F44">
        <w:tab/>
        <w:t>Test Plaintiffs</w:t>
      </w:r>
    </w:p>
    <w:p w14:paraId="053A93B4" w14:textId="77777777" w:rsidR="005D0340" w:rsidRPr="00AD2F44" w:rsidRDefault="00F42107">
      <w:pPr>
        <w:pStyle w:val="10ATextWithIndent"/>
        <w:rPr>
          <w:vertAlign w:val="superscript"/>
        </w:rPr>
      </w:pPr>
      <w:r w:rsidRPr="00AD2F44">
        <w:t>Another procedural device that is sometimes used by courts to manage collective actions is the use of a bellwether trial, or conducting a trial using test plaintiffs. Under this mechanism, the court or the parties identify some sampling of test plaintiffs and/or claims, where one or more claims are tested first, either through trial or dispositive motion, as a way of aiding the court and parties in handling the remaining claims and parties.</w:t>
      </w:r>
      <w:r>
        <w:rPr>
          <w:vertAlign w:val="superscript"/>
        </w:rPr>
        <w:footnoteReference w:id="678"/>
      </w:r>
    </w:p>
    <w:p w14:paraId="33411B6F" w14:textId="77777777" w:rsidR="005D0340" w:rsidRPr="00AD2F44" w:rsidRDefault="00F42107">
      <w:pPr>
        <w:pStyle w:val="10ATextWithIndent"/>
        <w:rPr>
          <w:vertAlign w:val="superscript"/>
        </w:rPr>
      </w:pPr>
      <w:r w:rsidRPr="00AD2F44">
        <w:t>Some courts have had parties select a certain number of opt-in plaintiffs as a microcosm of the entire class, and then limited discovery as to only those opt-ins.</w:t>
      </w:r>
      <w:r>
        <w:rPr>
          <w:vertAlign w:val="superscript"/>
        </w:rPr>
        <w:footnoteReference w:id="679"/>
      </w:r>
      <w:r w:rsidRPr="00AD2F44">
        <w:t xml:space="preserve"> Courts may also </w:t>
      </w:r>
      <w:r w:rsidRPr="00AD2F44">
        <w:lastRenderedPageBreak/>
        <w:t>adjudicate the claims of the test plaintiffs first for the purpose of determining liability with respect to the remainder of the opt-in plaintiffs.</w:t>
      </w:r>
      <w:r>
        <w:rPr>
          <w:vertAlign w:val="superscript"/>
        </w:rPr>
        <w:footnoteReference w:id="680"/>
      </w:r>
      <w:r w:rsidRPr="00AD2F44">
        <w:t xml:space="preserve"> This is usually done by stipulation.</w:t>
      </w:r>
      <w:r>
        <w:rPr>
          <w:vertAlign w:val="superscript"/>
        </w:rPr>
        <w:footnoteReference w:id="681"/>
      </w:r>
    </w:p>
    <w:p w14:paraId="63C65042" w14:textId="77777777" w:rsidR="005D0340" w:rsidRPr="00AD2F44" w:rsidRDefault="00F42107">
      <w:pPr>
        <w:pStyle w:val="10ATextWithIndent"/>
      </w:pPr>
      <w:r w:rsidRPr="00AD2F44">
        <w:t xml:space="preserve">For instance, in </w:t>
      </w:r>
      <w:r w:rsidRPr="00AD2F44">
        <w:rPr>
          <w:i/>
          <w:iCs/>
        </w:rPr>
        <w:t>Hogan v. Allstate Insurance Co</w:t>
      </w:r>
      <w:r w:rsidRPr="00AD2F44">
        <w:t>.,</w:t>
      </w:r>
      <w:r>
        <w:rPr>
          <w:vertAlign w:val="superscript"/>
        </w:rPr>
        <w:footnoteReference w:id="682"/>
      </w:r>
      <w:r w:rsidRPr="00AD2F44">
        <w:t xml:space="preserve"> the district court directed each side to choose three test plaintiffs for purposes of discovery and motions for summary judgment.</w:t>
      </w:r>
      <w:r>
        <w:rPr>
          <w:vertAlign w:val="superscript"/>
        </w:rPr>
        <w:footnoteReference w:id="683"/>
      </w:r>
      <w:r w:rsidRPr="00AD2F44">
        <w:t xml:space="preserve"> The parties filed cross-motions for summary judgment and the district court granted the defendant’s motion for summary judgment with respect to all six test plaintiffs and also against the remaining 2,300 opt-in class members.</w:t>
      </w:r>
      <w:r>
        <w:rPr>
          <w:vertAlign w:val="superscript"/>
        </w:rPr>
        <w:footnoteReference w:id="684"/>
      </w:r>
      <w:r w:rsidRPr="00AD2F44">
        <w:t xml:space="preserve"> The Eleventh Circuit affirmed summary judgment as to the six test plaintiffs, holding that they satisfied the administrative exemption to the overtime requirements of the FLSA.</w:t>
      </w:r>
      <w:r>
        <w:rPr>
          <w:vertAlign w:val="superscript"/>
        </w:rPr>
        <w:footnoteReference w:id="685"/>
      </w:r>
      <w:r w:rsidRPr="00AD2F44">
        <w:t xml:space="preserve"> However, the court vacated the grant of summary judgment as to the nontest plaintiffs because the district court had not given those individuals the required 10-day notice pursuant to Rule 56(c) of the Federal Rules of Civil Procedure.</w:t>
      </w:r>
      <w:r>
        <w:rPr>
          <w:vertAlign w:val="superscript"/>
        </w:rPr>
        <w:footnoteReference w:id="686"/>
      </w:r>
      <w:r w:rsidRPr="00AD2F44">
        <w:t xml:space="preserve"> The court noted that “[i]f the district court had explicitly notified all plaintiffs that, should the test plaintiffs lose at the summary judgment stage, so would the remaining opt-in plaintiffs, that would have been sufficient notice.”</w:t>
      </w:r>
      <w:r>
        <w:rPr>
          <w:vertAlign w:val="superscript"/>
        </w:rPr>
        <w:footnoteReference w:id="687"/>
      </w:r>
      <w:r w:rsidRPr="00AD2F44">
        <w:t xml:space="preserve"> On remand, the district court then sent notice to the remaining opt-ins, informing them that the order granting summary judgment would apply to them unless they showed cause why it should not.</w:t>
      </w:r>
      <w:r>
        <w:rPr>
          <w:vertAlign w:val="superscript"/>
        </w:rPr>
        <w:footnoteReference w:id="688"/>
      </w:r>
      <w:r w:rsidRPr="00AD2F44">
        <w:t xml:space="preserve"> </w:t>
      </w:r>
    </w:p>
    <w:p w14:paraId="4A01D323" w14:textId="77777777" w:rsidR="005D0340" w:rsidRPr="00AD2F44" w:rsidRDefault="00F42107">
      <w:pPr>
        <w:pStyle w:val="10ATextWithIndent"/>
        <w:rPr>
          <w:vertAlign w:val="superscript"/>
        </w:rPr>
      </w:pPr>
      <w:r w:rsidRPr="00AD2F44">
        <w:t>One court rejected this</w:t>
      </w:r>
      <w:r w:rsidRPr="00AD2F44">
        <w:rPr>
          <w:i/>
          <w:iCs/>
        </w:rPr>
        <w:t xml:space="preserve"> </w:t>
      </w:r>
      <w:r w:rsidRPr="00AD2F44">
        <w:t xml:space="preserve">approach in a case where a motion for decertification had already been denied and refused to allow the defendant to unilaterally select two test plaintiffs, noting that the court had not entered an order like the one in </w:t>
      </w:r>
      <w:r w:rsidRPr="00AD2F44">
        <w:rPr>
          <w:i/>
          <w:iCs/>
        </w:rPr>
        <w:t>Hogan</w:t>
      </w:r>
      <w:r w:rsidRPr="00AD2F44">
        <w:t xml:space="preserve"> permitting the selection of such plaintiffs.</w:t>
      </w:r>
      <w:r>
        <w:rPr>
          <w:vertAlign w:val="superscript"/>
        </w:rPr>
        <w:footnoteReference w:id="689"/>
      </w:r>
      <w:r w:rsidRPr="00AD2F44">
        <w:t xml:space="preserve"> However, another court distinguished this decision to allow the use of test plaintiffs </w:t>
      </w:r>
      <w:r w:rsidRPr="00AD2F44">
        <w:lastRenderedPageBreak/>
        <w:t>where decertification had not yet been addressed and the action was still only conditionally certified.</w:t>
      </w:r>
      <w:r>
        <w:rPr>
          <w:vertAlign w:val="superscript"/>
        </w:rPr>
        <w:footnoteReference w:id="690"/>
      </w:r>
    </w:p>
    <w:p w14:paraId="430DB36A" w14:textId="77777777" w:rsidR="005D0340" w:rsidRPr="00AD2F44" w:rsidRDefault="00F42107">
      <w:pPr>
        <w:pStyle w:val="04First-LevelHeadIIIIII"/>
      </w:pPr>
      <w:r w:rsidRPr="00AD2F44">
        <w:t>VI.</w:t>
      </w:r>
      <w:r w:rsidRPr="00AD2F44">
        <w:t> </w:t>
      </w:r>
      <w:r w:rsidRPr="00AD2F44">
        <w:t>Management of Multiple Collective Actions</w:t>
      </w:r>
    </w:p>
    <w:p w14:paraId="7FA8D134" w14:textId="77777777" w:rsidR="005D0340" w:rsidRPr="00AD2F44" w:rsidRDefault="00F42107">
      <w:pPr>
        <w:pStyle w:val="10ATextWithIndent"/>
      </w:pPr>
      <w:r w:rsidRPr="00AD2F44">
        <w:t xml:space="preserve">When multiple FLSA collective actions that raise common factual questions are filed against the same defendant in multiple fora, plaintiffs, defendants, and the courts must sort through the best way to manage the actions. The </w:t>
      </w:r>
      <w:r w:rsidRPr="00AD2F44">
        <w:rPr>
          <w:i/>
          <w:iCs/>
        </w:rPr>
        <w:t>Manual for Complex Litigation</w:t>
      </w:r>
      <w:r>
        <w:rPr>
          <w:vertAlign w:val="superscript"/>
        </w:rPr>
        <w:footnoteReference w:id="691"/>
      </w:r>
      <w:r w:rsidRPr="00AD2F44">
        <w:t xml:space="preserve"> is a detailed resource for information regarding how to manage multi-jurisdictional litigation, and this section will not duplicate the information contained therein. Instead, this section will focus on how courts have managed multiple FLSA collective actions filed against the same defendant.</w:t>
      </w:r>
    </w:p>
    <w:p w14:paraId="0A6EC715" w14:textId="77777777" w:rsidR="005D0340" w:rsidRPr="00AD2F44" w:rsidRDefault="00F42107">
      <w:pPr>
        <w:pStyle w:val="05Second-LevelHeadABC"/>
      </w:pPr>
      <w:r w:rsidRPr="00AD2F44">
        <w:t>A.</w:t>
      </w:r>
      <w:r w:rsidRPr="00AD2F44">
        <w:tab/>
        <w:t>Multidistrict Transfer Under Section 1407</w:t>
      </w:r>
    </w:p>
    <w:p w14:paraId="56D82899" w14:textId="77777777" w:rsidR="005D0340" w:rsidRPr="00AD2F44" w:rsidRDefault="00F42107">
      <w:pPr>
        <w:pStyle w:val="10ATextWithIndent"/>
      </w:pPr>
      <w:r w:rsidRPr="00AD2F44">
        <w:t xml:space="preserve">One common approach to managing multiple similar actions is to seek consolidation or coordination through a multidistrict transfer under 28 U.S.C. §1407. Section 1407(a) provides that </w:t>
      </w:r>
    </w:p>
    <w:p w14:paraId="3D9A69B9" w14:textId="77777777" w:rsidR="005D0340" w:rsidRPr="00AD2F44" w:rsidRDefault="00F42107">
      <w:pPr>
        <w:pStyle w:val="09BBlockQuoteWithoutIndent"/>
      </w:pPr>
      <w:r w:rsidRPr="00AD2F44">
        <w:t>[w]hen civil actions involving one or more common questions of fact are pending in different districts, such actions may be transferred to any district for coordinated or consolidated pretrial proceedings. Such transfers shall be made by the judicial panel on multidistrict litigation [JPML] authorized by this section upon its determination that transfers for such proceedings will be for the convenience of parties and witnesses and will promote the just and efficient conduct of such actions.</w:t>
      </w:r>
      <w:r>
        <w:rPr>
          <w:vertAlign w:val="superscript"/>
        </w:rPr>
        <w:footnoteReference w:id="692"/>
      </w:r>
      <w:r w:rsidRPr="00AD2F44">
        <w:t xml:space="preserve"> </w:t>
      </w:r>
    </w:p>
    <w:p w14:paraId="67D6A683" w14:textId="77777777" w:rsidR="005D0340" w:rsidRPr="00AD2F44" w:rsidRDefault="00F42107">
      <w:pPr>
        <w:pStyle w:val="10BTextWithoutIndent"/>
        <w:rPr>
          <w:vertAlign w:val="superscript"/>
        </w:rPr>
      </w:pPr>
      <w:r w:rsidRPr="00AD2F44">
        <w:t>A transfer may be initiated by motion of any party or by the JPML on its own initiative.</w:t>
      </w:r>
      <w:r>
        <w:rPr>
          <w:vertAlign w:val="superscript"/>
        </w:rPr>
        <w:footnoteReference w:id="693"/>
      </w:r>
      <w:r w:rsidRPr="00AD2F44">
        <w:t xml:space="preserve"> Section 1407 on its face only allows transfers for pretrial proceedings and directs that cases be remanded to the transferor court(s) after pretrial proceedings are complete;</w:t>
      </w:r>
      <w:r>
        <w:rPr>
          <w:vertAlign w:val="superscript"/>
        </w:rPr>
        <w:footnoteReference w:id="694"/>
      </w:r>
      <w:r w:rsidRPr="00AD2F44">
        <w:t xml:space="preserve"> “[i]n practice, however, the vast majority of transferred cases are disposed of completely in the transferee court, either through pretrial dispositions such as summary judgment, or by trial.”</w:t>
      </w:r>
      <w:r>
        <w:rPr>
          <w:vertAlign w:val="superscript"/>
        </w:rPr>
        <w:footnoteReference w:id="695"/>
      </w:r>
      <w:r w:rsidRPr="00AD2F44">
        <w:t xml:space="preserve"> Further, decisions of the JPML “make clear that ‘centralization under Section 1407 should be the last solution after considered review of all other options.’”</w:t>
      </w:r>
      <w:r>
        <w:rPr>
          <w:vertAlign w:val="superscript"/>
        </w:rPr>
        <w:footnoteReference w:id="696"/>
      </w:r>
    </w:p>
    <w:p w14:paraId="30BED44B" w14:textId="77777777" w:rsidR="005D0340" w:rsidRPr="00AD2F44" w:rsidRDefault="00F42107">
      <w:pPr>
        <w:pStyle w:val="10ATextWithIndent"/>
        <w:rPr>
          <w:vertAlign w:val="superscript"/>
        </w:rPr>
      </w:pPr>
      <w:r w:rsidRPr="00AD2F44">
        <w:lastRenderedPageBreak/>
        <w:t xml:space="preserve">Because the overriding purpose of Section 1407 is to conserve judicial resources, multidistrict transfers are common in FLSA collective action cases where there are common factual issues raised. For example, in </w:t>
      </w:r>
      <w:r w:rsidRPr="00AD2F44">
        <w:rPr>
          <w:i/>
          <w:iCs/>
        </w:rPr>
        <w:t>In re Food Lion, Inc., Fair Labor Standards Act “Effective Scheduling” Litigation</w:t>
      </w:r>
      <w:r w:rsidRPr="00AD2F44">
        <w:t>,</w:t>
      </w:r>
      <w:r>
        <w:rPr>
          <w:vertAlign w:val="superscript"/>
        </w:rPr>
        <w:footnoteReference w:id="697"/>
      </w:r>
      <w:r w:rsidRPr="00AD2F44">
        <w:t xml:space="preserve"> after the multidistrict litigation (MDL) transferee court had granted summary judgment to the defendant on several of the transferred actions before it and remanded the remaining actions to the original courts, which were located within different appellate circuits, the Fourth Circuit determined that a consolidated appeal was the “best means of achieving the goals of efficient and uniform adjudication of numerous actions.”</w:t>
      </w:r>
      <w:r>
        <w:rPr>
          <w:vertAlign w:val="superscript"/>
        </w:rPr>
        <w:footnoteReference w:id="698"/>
      </w:r>
      <w:r w:rsidRPr="00AD2F44">
        <w:t xml:space="preserve"> Although the distinct facts of the remaining cases required the district court to identify six or seven categories of cases, the Fourth Circuit reasoned that the risk of each transferor court reconsidering the transferee court’s decisions, and as many as three appellate courts reviewing those decisions, undermined the purposes of Section 1407.</w:t>
      </w:r>
      <w:r>
        <w:rPr>
          <w:vertAlign w:val="superscript"/>
        </w:rPr>
        <w:footnoteReference w:id="699"/>
      </w:r>
      <w:r w:rsidRPr="00AD2F44">
        <w:t xml:space="preserve"> Thus, over a dissent that focused on the individual nature of the claims, the Fourth Circuit ordered the JPML to retransfer the dismissed claims to the transferee court to enter final judgment and allow any appeals of those claims to be heard by the Fourth Circuit.</w:t>
      </w:r>
      <w:r>
        <w:rPr>
          <w:vertAlign w:val="superscript"/>
        </w:rPr>
        <w:footnoteReference w:id="700"/>
      </w:r>
    </w:p>
    <w:p w14:paraId="23E31FE2" w14:textId="77777777" w:rsidR="005D0340" w:rsidRPr="00AD2F44" w:rsidRDefault="00F42107">
      <w:pPr>
        <w:pStyle w:val="10ATextWithIndent"/>
        <w:rPr>
          <w:vertAlign w:val="superscript"/>
        </w:rPr>
      </w:pPr>
      <w:r w:rsidRPr="00AD2F44">
        <w:t>Assuming sufficient common factual issues exist to warrant transfer, factors that the JPML considers in determining where to transfer an FLSA case include (1) where the earliest case was filed,</w:t>
      </w:r>
      <w:r>
        <w:rPr>
          <w:vertAlign w:val="superscript"/>
        </w:rPr>
        <w:footnoteReference w:id="701"/>
      </w:r>
      <w:r w:rsidRPr="00AD2F44">
        <w:t xml:space="preserve"> (2) where the most procedurally advanced case is,</w:t>
      </w:r>
      <w:r>
        <w:rPr>
          <w:vertAlign w:val="superscript"/>
        </w:rPr>
        <w:footnoteReference w:id="702"/>
      </w:r>
      <w:r w:rsidRPr="00AD2F44">
        <w:t xml:space="preserve"> (3) what is most </w:t>
      </w:r>
      <w:r w:rsidRPr="00AD2F44">
        <w:lastRenderedPageBreak/>
        <w:t>convenient for the parties and witnesses,</w:t>
      </w:r>
      <w:r>
        <w:rPr>
          <w:vertAlign w:val="superscript"/>
        </w:rPr>
        <w:footnoteReference w:id="703"/>
      </w:r>
      <w:r w:rsidRPr="00AD2F44">
        <w:t xml:space="preserve"> and (4) which court has the resources to handle a transferred case.</w:t>
      </w:r>
      <w:r>
        <w:rPr>
          <w:vertAlign w:val="superscript"/>
        </w:rPr>
        <w:footnoteReference w:id="704"/>
      </w:r>
    </w:p>
    <w:p w14:paraId="5B4AE463" w14:textId="77777777" w:rsidR="005D0340" w:rsidRPr="00AD2F44" w:rsidRDefault="00F42107">
      <w:pPr>
        <w:pStyle w:val="10ATextWithIndent"/>
        <w:rPr>
          <w:vertAlign w:val="superscript"/>
        </w:rPr>
      </w:pPr>
      <w:r w:rsidRPr="00AD2F44">
        <w:lastRenderedPageBreak/>
        <w:t>Cases that do not have sufficient common factual issues,</w:t>
      </w:r>
      <w:r>
        <w:rPr>
          <w:vertAlign w:val="superscript"/>
        </w:rPr>
        <w:footnoteReference w:id="705"/>
      </w:r>
      <w:r w:rsidRPr="00AD2F44">
        <w:t xml:space="preserve"> are not sufficiently complicated,</w:t>
      </w:r>
      <w:r>
        <w:rPr>
          <w:vertAlign w:val="superscript"/>
        </w:rPr>
        <w:footnoteReference w:id="706"/>
      </w:r>
      <w:r w:rsidRPr="00AD2F44">
        <w:t xml:space="preserve"> or do not involve more than a few parties</w:t>
      </w:r>
      <w:r>
        <w:rPr>
          <w:vertAlign w:val="superscript"/>
        </w:rPr>
        <w:footnoteReference w:id="707"/>
      </w:r>
      <w:r w:rsidRPr="00AD2F44">
        <w:t xml:space="preserve"> will not be transferred under Section 1407. In addition, procedural disparities often weigh against centralization.</w:t>
      </w:r>
      <w:r>
        <w:rPr>
          <w:vertAlign w:val="superscript"/>
        </w:rPr>
        <w:footnoteReference w:id="708"/>
      </w:r>
    </w:p>
    <w:p w14:paraId="63288826" w14:textId="77777777" w:rsidR="005D0340" w:rsidRPr="00AD2F44" w:rsidRDefault="00F42107">
      <w:pPr>
        <w:pStyle w:val="05Second-LevelHeadABC"/>
      </w:pPr>
      <w:r w:rsidRPr="00AD2F44">
        <w:lastRenderedPageBreak/>
        <w:t>B.</w:t>
      </w:r>
      <w:r w:rsidRPr="00AD2F44">
        <w:tab/>
        <w:t>Alternatives to Section 1407 Transfer</w:t>
      </w:r>
    </w:p>
    <w:p w14:paraId="24FC0002" w14:textId="77777777" w:rsidR="005D0340" w:rsidRPr="00AD2F44" w:rsidRDefault="00F42107">
      <w:pPr>
        <w:pStyle w:val="10ATextWithIndent"/>
        <w:rPr>
          <w:vertAlign w:val="superscript"/>
        </w:rPr>
      </w:pPr>
      <w:r w:rsidRPr="00AD2F44">
        <w:t>Cases that do not warrant Section 1407 transfer can still be coordinated or consolidated using other procedural vehicles.</w:t>
      </w:r>
      <w:r>
        <w:rPr>
          <w:vertAlign w:val="superscript"/>
        </w:rPr>
        <w:footnoteReference w:id="709"/>
      </w:r>
      <w:r w:rsidRPr="00AD2F44">
        <w:t xml:space="preserve"> The parties may seek transfer,</w:t>
      </w:r>
      <w:r>
        <w:rPr>
          <w:vertAlign w:val="superscript"/>
        </w:rPr>
        <w:footnoteReference w:id="710"/>
      </w:r>
      <w:r w:rsidRPr="00AD2F44">
        <w:t xml:space="preserve"> consolidation for pretrial and/or trial,</w:t>
      </w:r>
      <w:r>
        <w:rPr>
          <w:vertAlign w:val="superscript"/>
        </w:rPr>
        <w:footnoteReference w:id="711"/>
      </w:r>
      <w:r w:rsidRPr="00AD2F44">
        <w:t xml:space="preserve"> or severance and transfer of some claims.</w:t>
      </w:r>
      <w:r>
        <w:rPr>
          <w:vertAlign w:val="superscript"/>
        </w:rPr>
        <w:footnoteReference w:id="712"/>
      </w:r>
      <w:r w:rsidRPr="00AD2F44">
        <w:t xml:space="preserve"> Informal cooperation among the parties and involved courts is also a common alternative to centralization.</w:t>
      </w:r>
      <w:r>
        <w:rPr>
          <w:vertAlign w:val="superscript"/>
        </w:rPr>
        <w:footnoteReference w:id="713"/>
      </w:r>
    </w:p>
    <w:p w14:paraId="72991D46" w14:textId="77777777" w:rsidR="005D0340" w:rsidRPr="00AD2F44" w:rsidRDefault="00F42107">
      <w:pPr>
        <w:pStyle w:val="05Second-LevelHeadABC"/>
      </w:pPr>
      <w:r w:rsidRPr="00AD2F44">
        <w:lastRenderedPageBreak/>
        <w:t>C.</w:t>
      </w:r>
      <w:r w:rsidRPr="00AD2F44">
        <w:tab/>
        <w:t>The Section 1407 “Common Issues” Standard Versus the “Similarly Situated” Standard</w:t>
      </w:r>
    </w:p>
    <w:p w14:paraId="7704EA62" w14:textId="77777777" w:rsidR="005D0340" w:rsidRPr="00AD2F44" w:rsidRDefault="00F42107">
      <w:pPr>
        <w:pStyle w:val="10ATextWithIndent"/>
      </w:pPr>
      <w:r w:rsidRPr="00AD2F44">
        <w:t>Several courts have addressed the relationship between the common issues requirement for multidistrict transfer and the collective action requirement that plaintiffs be similarly situated.</w:t>
      </w:r>
    </w:p>
    <w:p w14:paraId="12A0976F" w14:textId="77777777" w:rsidR="005D0340" w:rsidRPr="00AD2F44" w:rsidRDefault="00F42107">
      <w:pPr>
        <w:pStyle w:val="10ATextWithIndent"/>
      </w:pPr>
      <w:r w:rsidRPr="00AD2F44">
        <w:t>At least one court has opined that a defendant could claim, without being inconsistent, both that class certification is unwarranted and that consolidation is favored because there are still common questions of law to be resolved, as it is important to avoid inconsistent class certification determinations.</w:t>
      </w:r>
      <w:r>
        <w:rPr>
          <w:vertAlign w:val="superscript"/>
        </w:rPr>
        <w:footnoteReference w:id="714"/>
      </w:r>
      <w:r w:rsidRPr="00AD2F44">
        <w:t xml:space="preserve"> However, in consolidating 18 FLSA actions in </w:t>
      </w:r>
      <w:r w:rsidRPr="00AD2F44">
        <w:rPr>
          <w:i/>
          <w:iCs/>
        </w:rPr>
        <w:t>In re Tyson Foods, Inc</w:t>
      </w:r>
      <w:r w:rsidRPr="00AD2F44">
        <w:t>.,</w:t>
      </w:r>
      <w:r>
        <w:rPr>
          <w:vertAlign w:val="superscript"/>
        </w:rPr>
        <w:footnoteReference w:id="715"/>
      </w:r>
      <w:r w:rsidRPr="00AD2F44">
        <w:t xml:space="preserve"> the JPML used language suggesting that there are some similarities between the certification and consolidation inquiries:</w:t>
      </w:r>
    </w:p>
    <w:p w14:paraId="35DE2B1B" w14:textId="77777777" w:rsidR="005D0340" w:rsidRPr="00AD2F44" w:rsidRDefault="00F42107">
      <w:pPr>
        <w:pStyle w:val="09BBlockQuoteWithoutIndent"/>
      </w:pPr>
      <w:r w:rsidRPr="00AD2F44">
        <w:t xml:space="preserve">Transfer under Section 1407 does not require a complete identity or even a majority of common factual or legal issues as a prerequisite to transfer. Regardless of any differences among the actions, they raise common factual questions regarding Tyson’s employment practices and compliance with the FLSA. Centralization under Section 1407 has the salutary effect of placing all actions in this docket before a single judge who can formulate a pretrial program that: (1) allows discovery with respect to any non-common issues to proceed concurrently with discovery on common issues, </w:t>
      </w:r>
      <w:r w:rsidRPr="00AD2F44">
        <w:rPr>
          <w:i/>
          <w:iCs/>
        </w:rPr>
        <w:t>In re Joseph F. Smith Patent Litigation</w:t>
      </w:r>
      <w:r w:rsidRPr="00AD2F44">
        <w:t>, 407 F. Supp. 1403, 1404 ([J.P.M.L.]1976); and (2) ensures that pretrial proceedings will be conducted in a streamlined manner leading to the just and expeditious resolution of all actions to the overall benefit of the parties and the judiciary.</w:t>
      </w:r>
      <w:r>
        <w:rPr>
          <w:vertAlign w:val="superscript"/>
        </w:rPr>
        <w:footnoteReference w:id="716"/>
      </w:r>
    </w:p>
    <w:p w14:paraId="272883FA" w14:textId="77777777" w:rsidR="005D0340" w:rsidRPr="00AD2F44" w:rsidRDefault="00F42107">
      <w:pPr>
        <w:pStyle w:val="10ATextWithIndent"/>
        <w:rPr>
          <w:vertAlign w:val="superscript"/>
        </w:rPr>
      </w:pPr>
      <w:r w:rsidRPr="00AD2F44">
        <w:t>However, centralization of multiple collective actions filed after decertification of one main action will likely be denied where discovery on common factual issues has already occurred in the main action.</w:t>
      </w:r>
      <w:r>
        <w:rPr>
          <w:vertAlign w:val="superscript"/>
        </w:rPr>
        <w:footnoteReference w:id="717"/>
      </w:r>
    </w:p>
    <w:p w14:paraId="585BC724" w14:textId="77777777" w:rsidR="005D0340" w:rsidRPr="00AD2F44" w:rsidRDefault="00F42107">
      <w:pPr>
        <w:pStyle w:val="05Second-LevelHeadABC"/>
      </w:pPr>
      <w:r w:rsidRPr="00AD2F44">
        <w:t>D.</w:t>
      </w:r>
      <w:r w:rsidRPr="00AD2F44">
        <w:tab/>
        <w:t>Notice and Opting In/Out of a Multidistrict Litigation Case</w:t>
      </w:r>
    </w:p>
    <w:p w14:paraId="53F38831" w14:textId="77777777" w:rsidR="005D0340" w:rsidRPr="00AD2F44" w:rsidRDefault="00F42107">
      <w:pPr>
        <w:pStyle w:val="10ATextWithIndent"/>
        <w:rPr>
          <w:vertAlign w:val="superscript"/>
        </w:rPr>
      </w:pPr>
      <w:r w:rsidRPr="00AD2F44">
        <w:t xml:space="preserve">Transfer and consolidation under Section 1407 does not allow for material amendments that would supersede or combine the transferred complaints, but does allow for amendments </w:t>
      </w:r>
      <w:r w:rsidRPr="00AD2F44">
        <w:lastRenderedPageBreak/>
        <w:t>such as adding new defendants, expanding the class definition, and adding new claims.</w:t>
      </w:r>
      <w:r>
        <w:rPr>
          <w:vertAlign w:val="superscript"/>
        </w:rPr>
        <w:footnoteReference w:id="718"/>
      </w:r>
      <w:r w:rsidRPr="00AD2F44">
        <w:t xml:space="preserve"> However, if the parties consent, the transferred complaints may be combined for trial.</w:t>
      </w:r>
      <w:r>
        <w:rPr>
          <w:vertAlign w:val="superscript"/>
        </w:rPr>
        <w:footnoteReference w:id="719"/>
      </w:r>
    </w:p>
    <w:p w14:paraId="40BCB105" w14:textId="77777777" w:rsidR="005D0340" w:rsidRPr="00AD2F44" w:rsidRDefault="00F42107">
      <w:pPr>
        <w:pStyle w:val="10ATextWithIndent"/>
        <w:rPr>
          <w:vertAlign w:val="superscript"/>
        </w:rPr>
      </w:pPr>
      <w:r w:rsidRPr="00AD2F44">
        <w:t>Courts have also addressed the process for opting in to or out of a multidistrict collective action. In one case, the court allowed a supplemental Section 216(b) notice in two consolidated cases, permitting the individuals to opt in to one case or the other, if any.</w:t>
      </w:r>
      <w:r>
        <w:rPr>
          <w:vertAlign w:val="superscript"/>
        </w:rPr>
        <w:footnoteReference w:id="720"/>
      </w:r>
      <w:r w:rsidRPr="00AD2F44">
        <w:t xml:space="preserve"> Some courts have also allowed equitable tolling to address the complexities of a multidistrict case,</w:t>
      </w:r>
      <w:r>
        <w:rPr>
          <w:vertAlign w:val="superscript"/>
        </w:rPr>
        <w:footnoteReference w:id="721"/>
      </w:r>
      <w:r w:rsidRPr="00AD2F44">
        <w:t xml:space="preserve"> while others have been less lenient in addressing equitable tolling and notice issues.</w:t>
      </w:r>
      <w:r>
        <w:rPr>
          <w:vertAlign w:val="superscript"/>
        </w:rPr>
        <w:footnoteReference w:id="722"/>
      </w:r>
      <w:r w:rsidRPr="00AD2F44">
        <w:t xml:space="preserve"> One court allowed opt-in plaintiffs to withdraw from a multidistrict case, but only on the condition that those individuals not join any other FLSA actions with similar claims against the same defendant.</w:t>
      </w:r>
      <w:r>
        <w:rPr>
          <w:vertAlign w:val="superscript"/>
        </w:rPr>
        <w:footnoteReference w:id="723"/>
      </w:r>
    </w:p>
    <w:p w14:paraId="21DFD1E7" w14:textId="77777777" w:rsidR="005D0340" w:rsidRPr="00AD2F44" w:rsidRDefault="00F42107">
      <w:pPr>
        <w:pStyle w:val="05Second-LevelHeadABC"/>
      </w:pPr>
      <w:r w:rsidRPr="00AD2F44">
        <w:t>E.</w:t>
      </w:r>
      <w:r w:rsidRPr="00AD2F44">
        <w:tab/>
        <w:t>The First-to-File Rule</w:t>
      </w:r>
    </w:p>
    <w:p w14:paraId="22845087" w14:textId="77777777" w:rsidR="005D0340" w:rsidRPr="00AD2F44" w:rsidRDefault="00F42107">
      <w:pPr>
        <w:pStyle w:val="10ATextWithIndent"/>
        <w:rPr>
          <w:vertAlign w:val="superscript"/>
        </w:rPr>
      </w:pPr>
      <w:r w:rsidRPr="00AD2F44">
        <w:t xml:space="preserve">The first-to-file rule is not a Federal Rule of Civil Procedure, but is instead a principle of federal comity that arises where there is more than one similar action filed in federal courts of </w:t>
      </w:r>
      <w:r w:rsidRPr="00AD2F44">
        <w:lastRenderedPageBreak/>
        <w:t>equal rank.</w:t>
      </w:r>
      <w:r>
        <w:rPr>
          <w:vertAlign w:val="superscript"/>
        </w:rPr>
        <w:footnoteReference w:id="724"/>
      </w:r>
      <w:r w:rsidRPr="00AD2F44">
        <w:t xml:space="preserve"> According to this rule, “when actions involving nearly identical parties and issues have been filed in two different district courts, ‘the court in which the first suit was filed should generally proceed to judgment.’”</w:t>
      </w:r>
      <w:r>
        <w:rPr>
          <w:vertAlign w:val="superscript"/>
        </w:rPr>
        <w:footnoteReference w:id="725"/>
      </w:r>
    </w:p>
    <w:p w14:paraId="49121B11" w14:textId="77777777" w:rsidR="005D0340" w:rsidRPr="00AD2F44" w:rsidRDefault="00F42107">
      <w:pPr>
        <w:pStyle w:val="10ATextWithIndent"/>
        <w:rPr>
          <w:vertAlign w:val="superscript"/>
        </w:rPr>
      </w:pPr>
      <w:r w:rsidRPr="00AD2F44">
        <w:t>Pursuant to the first-to-file rule, district courts may dismiss,</w:t>
      </w:r>
      <w:r>
        <w:rPr>
          <w:vertAlign w:val="superscript"/>
        </w:rPr>
        <w:footnoteReference w:id="726"/>
      </w:r>
      <w:r w:rsidRPr="00AD2F44">
        <w:t xml:space="preserve"> stay, or transfer later-filed cases as a matter of comity in order to maximize judicial economy and minimize the risk of inconsistencies.</w:t>
      </w:r>
      <w:r>
        <w:rPr>
          <w:vertAlign w:val="superscript"/>
        </w:rPr>
        <w:footnoteReference w:id="727"/>
      </w:r>
      <w:r w:rsidRPr="00AD2F44">
        <w:t xml:space="preserve"> The first-to-file rule does not require complete identity of parties and issues, but inquires whether there is “substantial overlap” between the parties and issues in the two </w:t>
      </w:r>
      <w:r w:rsidRPr="00AD2F44">
        <w:lastRenderedPageBreak/>
        <w:t>cases.</w:t>
      </w:r>
      <w:r>
        <w:rPr>
          <w:vertAlign w:val="superscript"/>
        </w:rPr>
        <w:footnoteReference w:id="728"/>
      </w:r>
      <w:r w:rsidRPr="00AD2F44">
        <w:t xml:space="preserve"> In class and collective actions, courts look to whether the members of the putative classes overlap as well as whether the issues raised in the cases overlap.</w:t>
      </w:r>
      <w:r>
        <w:rPr>
          <w:vertAlign w:val="superscript"/>
        </w:rPr>
        <w:footnoteReference w:id="729"/>
      </w:r>
      <w:r w:rsidRPr="00AD2F44">
        <w:t xml:space="preserve"> A court, however, </w:t>
      </w:r>
      <w:r w:rsidRPr="00AD2F44">
        <w:lastRenderedPageBreak/>
        <w:t>may apply the first-to-file rule where the issues in the action are substantially the same but there is not a complete overlap of the parties.</w:t>
      </w:r>
      <w:r>
        <w:rPr>
          <w:vertAlign w:val="superscript"/>
        </w:rPr>
        <w:footnoteReference w:id="730"/>
      </w:r>
    </w:p>
    <w:p w14:paraId="56A534B7" w14:textId="77777777" w:rsidR="005D0340" w:rsidRPr="00AD2F44" w:rsidRDefault="00F42107">
      <w:pPr>
        <w:pStyle w:val="10ATextWithIndent"/>
        <w:rPr>
          <w:vertAlign w:val="superscript"/>
        </w:rPr>
      </w:pPr>
      <w:r w:rsidRPr="00AD2F44">
        <w:t>A court may refuse to apply the first-to-file rule when sufficiently compelling circumstances exist to avoid the rule’s application.</w:t>
      </w:r>
      <w:r>
        <w:rPr>
          <w:vertAlign w:val="superscript"/>
        </w:rPr>
        <w:footnoteReference w:id="731"/>
      </w:r>
      <w:r w:rsidRPr="00AD2F44">
        <w:t xml:space="preserve"> The first-to-file rule also cannot be applied </w:t>
      </w:r>
      <w:r w:rsidRPr="00AD2F44">
        <w:lastRenderedPageBreak/>
        <w:t>for the purpose of excluding certain plaintiffs from a class.</w:t>
      </w:r>
      <w:r>
        <w:rPr>
          <w:vertAlign w:val="superscript"/>
        </w:rPr>
        <w:footnoteReference w:id="732"/>
      </w:r>
      <w:r w:rsidRPr="00AD2F44">
        <w:t xml:space="preserve"> At least one court has refused to apply the first-to-file rule to a global settlement resolving the claims of an earlier-filed case.</w:t>
      </w:r>
      <w:r>
        <w:rPr>
          <w:vertAlign w:val="superscript"/>
        </w:rPr>
        <w:footnoteReference w:id="733"/>
      </w:r>
    </w:p>
    <w:p w14:paraId="1AE42CA5" w14:textId="77777777" w:rsidR="005D0340" w:rsidRPr="00AD2F44" w:rsidRDefault="00F42107">
      <w:pPr>
        <w:pStyle w:val="10ATextWithIndent"/>
        <w:rPr>
          <w:vertAlign w:val="superscript"/>
        </w:rPr>
      </w:pPr>
      <w:r w:rsidRPr="00AD2F44">
        <w:t>In one case, the first-to-file rule was used to transfer all of the cases the plaintiffs filed, after the plaintiffs failed to get their original case conditionally certified, back to the court that denied conditional certification.</w:t>
      </w:r>
      <w:r>
        <w:rPr>
          <w:vertAlign w:val="superscript"/>
        </w:rPr>
        <w:footnoteReference w:id="734"/>
      </w:r>
      <w:r w:rsidRPr="00AD2F44">
        <w:t xml:space="preserve"> In the original lawsuit, employees at five different facilities filed a single action in the Northern District of Alabama alleging violations of the FLSA and sought conditional certification of their claims.</w:t>
      </w:r>
      <w:r>
        <w:rPr>
          <w:vertAlign w:val="superscript"/>
        </w:rPr>
        <w:footnoteReference w:id="735"/>
      </w:r>
      <w:r w:rsidRPr="00AD2F44">
        <w:t xml:space="preserve"> After the court denied conditional certification, the opt-in plaintiffs were allowed to withdraw from the action, leaving only the named plaintiffs to pursue their claims in the original action.</w:t>
      </w:r>
      <w:r>
        <w:rPr>
          <w:vertAlign w:val="superscript"/>
        </w:rPr>
        <w:footnoteReference w:id="736"/>
      </w:r>
      <w:r w:rsidRPr="00AD2F44">
        <w:t xml:space="preserve"> The opt-in plaintiffs then filed four different actions in the Southern District of Mississippi, one for each facility.</w:t>
      </w:r>
      <w:r>
        <w:rPr>
          <w:vertAlign w:val="superscript"/>
        </w:rPr>
        <w:footnoteReference w:id="737"/>
      </w:r>
      <w:r w:rsidRPr="00AD2F44">
        <w:t xml:space="preserve"> The defendant asked the Southern District of Mississippi to transfer all four cases back to the Northern District of Alabama pursuant to the first-to-file rule.</w:t>
      </w:r>
      <w:r>
        <w:rPr>
          <w:vertAlign w:val="superscript"/>
        </w:rPr>
        <w:footnoteReference w:id="738"/>
      </w:r>
      <w:r w:rsidRPr="00AD2F44">
        <w:t xml:space="preserve"> The trial court agreed, finding substantial overlap of issues.</w:t>
      </w:r>
      <w:r>
        <w:rPr>
          <w:vertAlign w:val="superscript"/>
        </w:rPr>
        <w:footnoteReference w:id="739"/>
      </w:r>
      <w:r w:rsidRPr="00AD2F44">
        <w:t xml:space="preserve"> The trial court also found important the fact that employees in the first-filed action “risk obtaining different relief for identical injuries suffered by their coworkers who are joined to one of the four Mississippi actions.”</w:t>
      </w:r>
      <w:r>
        <w:rPr>
          <w:vertAlign w:val="superscript"/>
        </w:rPr>
        <w:footnoteReference w:id="740"/>
      </w:r>
      <w:r w:rsidRPr="00AD2F44">
        <w:t xml:space="preserve"> Finally, the court found that “unavoidable duplication of effort in having separate courts work to arrive at the same decision” was a factor </w:t>
      </w:r>
      <w:sdt>
        <w:sdtPr>
          <w:tag w:val="goog_rdk_5"/>
          <w:id w:val="1535229308"/>
        </w:sdtPr>
        <w:sdtEndPr/>
        <w:sdtContent/>
      </w:sdt>
      <w:r w:rsidRPr="00AD2F44">
        <w:t>favoring transfer.</w:t>
      </w:r>
      <w:r>
        <w:rPr>
          <w:vertAlign w:val="superscript"/>
        </w:rPr>
        <w:footnoteReference w:id="741"/>
      </w:r>
      <w:r w:rsidRPr="00AD2F44">
        <w:t xml:space="preserve"> The court made clear that its transfer decision was pursuant to the first-to-file rule, and was not dependent on the absence or presence of the factors in Section 1404(a).</w:t>
      </w:r>
      <w:r>
        <w:rPr>
          <w:vertAlign w:val="superscript"/>
        </w:rPr>
        <w:footnoteReference w:id="742"/>
      </w:r>
    </w:p>
    <w:p w14:paraId="3E917974" w14:textId="77777777" w:rsidR="005D0340" w:rsidRPr="00AD2F44" w:rsidRDefault="00F42107">
      <w:pPr>
        <w:pStyle w:val="10ATextWithIndent"/>
        <w:rPr>
          <w:vertAlign w:val="superscript"/>
        </w:rPr>
      </w:pPr>
      <w:r w:rsidRPr="00AD2F44">
        <w:t xml:space="preserve">However, in </w:t>
      </w:r>
      <w:r w:rsidRPr="00AD2F44">
        <w:rPr>
          <w:i/>
          <w:iCs/>
        </w:rPr>
        <w:t>Ross v. U.S. Bank National Association</w:t>
      </w:r>
      <w:r w:rsidRPr="00AD2F44">
        <w:t>,</w:t>
      </w:r>
      <w:r>
        <w:rPr>
          <w:vertAlign w:val="superscript"/>
        </w:rPr>
        <w:footnoteReference w:id="743"/>
      </w:r>
      <w:r w:rsidRPr="00AD2F44">
        <w:t xml:space="preserve"> where certification was denied in the first-filed case, the second court refused to transfer the second case pursuant to the first-to-file rule. There, the court found that the parties in the two actions were different, so the first-to-file rule did not apply. Specifically, the only plaintiffs in the first-filed action were the named </w:t>
      </w:r>
      <w:r w:rsidRPr="00AD2F44">
        <w:lastRenderedPageBreak/>
        <w:t>plaintiffs because class certification had been denied, whereas the later filed action had different named plaintiffs and alleged a putative class.</w:t>
      </w:r>
      <w:r>
        <w:rPr>
          <w:vertAlign w:val="superscript"/>
        </w:rPr>
        <w:footnoteReference w:id="744"/>
      </w:r>
    </w:p>
    <w:p w14:paraId="6DED23DD" w14:textId="77777777" w:rsidR="005D0340" w:rsidRPr="00AD2F44" w:rsidRDefault="00F42107">
      <w:pPr>
        <w:pStyle w:val="05Second-LevelHeadABC"/>
      </w:pPr>
      <w:r w:rsidRPr="00AD2F44">
        <w:t>F.</w:t>
      </w:r>
      <w:r w:rsidRPr="00AD2F44">
        <w:tab/>
        <w:t>Stays and Injunctions</w:t>
      </w:r>
    </w:p>
    <w:p w14:paraId="3D85D57D" w14:textId="77777777" w:rsidR="005D0340" w:rsidRPr="00AD2F44" w:rsidRDefault="00F42107">
      <w:pPr>
        <w:pStyle w:val="10ATextWithIndent"/>
        <w:rPr>
          <w:vertAlign w:val="superscript"/>
        </w:rPr>
      </w:pPr>
      <w:r w:rsidRPr="00AD2F44">
        <w:t>After a motion for multidistrict transfer has been filed, the courts in which the original actions were filed may be asked to stay proceedings pending a decision by the JPML. In considering such motions, courts typically apply a three-factor test, weighing (1) the interests in judicial economy, (2) the hardship and equity to a moving party if the action is not stayed, and (3) potential prejudice to the nonmoving party.</w:t>
      </w:r>
      <w:r>
        <w:rPr>
          <w:vertAlign w:val="superscript"/>
        </w:rPr>
        <w:footnoteReference w:id="745"/>
      </w:r>
      <w:r w:rsidRPr="00AD2F44">
        <w:t xml:space="preserve"> Although such stays may be granted,</w:t>
      </w:r>
      <w:r>
        <w:rPr>
          <w:vertAlign w:val="superscript"/>
        </w:rPr>
        <w:footnoteReference w:id="746"/>
      </w:r>
      <w:r w:rsidRPr="00AD2F44">
        <w:t xml:space="preserve"> they </w:t>
      </w:r>
      <w:r w:rsidRPr="00AD2F44">
        <w:lastRenderedPageBreak/>
        <w:t>are not automatic</w:t>
      </w:r>
      <w:r>
        <w:rPr>
          <w:vertAlign w:val="superscript"/>
        </w:rPr>
        <w:footnoteReference w:id="747"/>
      </w:r>
      <w:r w:rsidRPr="00AD2F44">
        <w:t xml:space="preserve"> and may be rejected.</w:t>
      </w:r>
      <w:r>
        <w:rPr>
          <w:vertAlign w:val="superscript"/>
        </w:rPr>
        <w:footnoteReference w:id="748"/>
      </w:r>
      <w:r w:rsidRPr="00AD2F44">
        <w:t xml:space="preserve"> Additionally, courts may partially stay certain common discovery (such as corporate representative depositions applicable to the proposed cases to be transferred) but otherwise permit discovery to proceed as to facts specific to the case before the court.</w:t>
      </w:r>
      <w:r>
        <w:rPr>
          <w:vertAlign w:val="superscript"/>
        </w:rPr>
        <w:footnoteReference w:id="749"/>
      </w:r>
    </w:p>
    <w:p w14:paraId="525BEE28" w14:textId="77777777" w:rsidR="005D0340" w:rsidRPr="00AD2F44" w:rsidRDefault="00F42107">
      <w:pPr>
        <w:pStyle w:val="10ATextWithIndent"/>
        <w:rPr>
          <w:vertAlign w:val="superscript"/>
        </w:rPr>
      </w:pPr>
      <w:r w:rsidRPr="00AD2F44">
        <w:t>In one case, a stay pending a JPML decision was denied by one of the possible transferor courts in Minnesota.</w:t>
      </w:r>
      <w:r>
        <w:rPr>
          <w:vertAlign w:val="superscript"/>
        </w:rPr>
        <w:footnoteReference w:id="750"/>
      </w:r>
      <w:r w:rsidRPr="00AD2F44">
        <w:t xml:space="preserve"> Just days later, though, that same Minnesota court granted the defendant’s motion to stay the case pending resolution of one of the other possible transferor cases that was pending in California, where a settlement had already been preliminarily approved.</w:t>
      </w:r>
      <w:r>
        <w:rPr>
          <w:vertAlign w:val="superscript"/>
        </w:rPr>
        <w:footnoteReference w:id="751"/>
      </w:r>
      <w:r w:rsidRPr="00AD2F44">
        <w:t xml:space="preserve"> In granting the defendant’s motion, the Minnesota court found that the actions were “near duplicates” and there was a risk of the parties not knowing which court’s rulings would take precedence.</w:t>
      </w:r>
      <w:r>
        <w:rPr>
          <w:vertAlign w:val="superscript"/>
        </w:rPr>
        <w:footnoteReference w:id="752"/>
      </w:r>
    </w:p>
    <w:p w14:paraId="2BCC54E4" w14:textId="77777777" w:rsidR="005D0340" w:rsidRPr="00AD2F44" w:rsidRDefault="00F42107">
      <w:pPr>
        <w:pStyle w:val="10ATextWithIndent"/>
        <w:rPr>
          <w:vertAlign w:val="superscript"/>
        </w:rPr>
      </w:pPr>
      <w:r w:rsidRPr="00AD2F44">
        <w:t xml:space="preserve">In another case, the transferee court denied the plaintiffs’ motion to stay a state court action, to which one of the multidistrict cases had been remanded, stating that “[a]ny doubts as to the propriety of a federal injunction against state court proceedings should be resolved in favor </w:t>
      </w:r>
      <w:r w:rsidRPr="00AD2F44">
        <w:lastRenderedPageBreak/>
        <w:t>of permitting the state courts to proceed in an orderly fashion to finally determine the controversy.”</w:t>
      </w:r>
      <w:r>
        <w:rPr>
          <w:vertAlign w:val="superscript"/>
        </w:rPr>
        <w:footnoteReference w:id="753"/>
      </w:r>
    </w:p>
    <w:p w14:paraId="58E178EE" w14:textId="77777777" w:rsidR="005D0340" w:rsidRPr="002055B0" w:rsidRDefault="00F42107">
      <w:pPr>
        <w:pStyle w:val="10ATextWithIndent"/>
        <w:rPr>
          <w:vertAlign w:val="superscript"/>
          <w:lang w:val="pt-PT"/>
        </w:rPr>
      </w:pPr>
      <w:r w:rsidRPr="00AD2F44">
        <w:t xml:space="preserve">In a different context from the multidistrict litigation transfer situation, the Seventh Circuit considered an appeal of an order enjoining three separate FLSA collective actions against the corporate defendant’s franchisees filed in other federal district courts (in which the corporate franchisor was not named as a defendant) while the underlying FLSA collective action against the corporate franchisor remained pending in the U.S. District Court for the Northern District of Illinois. In </w:t>
      </w:r>
      <w:r w:rsidRPr="00AD2F44">
        <w:rPr>
          <w:i/>
          <w:iCs/>
        </w:rPr>
        <w:t>In re Jimmy John’s Overtime Litigation</w:t>
      </w:r>
      <w:r w:rsidRPr="00AD2F44">
        <w:t>,</w:t>
      </w:r>
      <w:r>
        <w:rPr>
          <w:vertAlign w:val="superscript"/>
          <w:lang w:val="pt-PT"/>
        </w:rPr>
        <w:footnoteReference w:id="754"/>
      </w:r>
      <w:r w:rsidRPr="00AD2F44">
        <w:t xml:space="preserve"> the plaintiffs brought consolidated FLSA collective actions against the corporate Jimmy John’s franchisor and a number of franchisees under the theory that they were joint employers. Three of the opt-in plaintiffs in the action subsequently filed separate FLSA collective actions against other Jimmy John’s franchisees in different federal district courts (in which the Jimmy John’s corporate franchisor was not named as a defendant). The district court entered an order enjoining the three newly filed federal FLSA collective actions until the plaintiffs’ claims against the corporate franchisor were resolved. In a bench ruling, the district court explained that it “[had] the power” to enjoin the actions “in the interest of harmony and delaying expense and overlapping work for judges.”</w:t>
      </w:r>
      <w:r>
        <w:rPr>
          <w:vertAlign w:val="superscript"/>
          <w:lang w:val="pt-PT"/>
        </w:rPr>
        <w:footnoteReference w:id="755"/>
      </w:r>
    </w:p>
    <w:p w14:paraId="5CE934F3" w14:textId="77777777" w:rsidR="005D0340" w:rsidRPr="002055B0" w:rsidRDefault="00F42107">
      <w:pPr>
        <w:pStyle w:val="10ATextWithIndent"/>
        <w:rPr>
          <w:vertAlign w:val="superscript"/>
          <w:lang w:val="pt-PT"/>
        </w:rPr>
      </w:pPr>
      <w:r w:rsidRPr="00AD2F44">
        <w:t>The Seventh Circuit disagreed, finding that the district court lacked the authority to enjoin the other pending federal district court actions under the All Writs Acts or its inherent equitable powers. Specifically, the Seventh Circuit rejected the corporate franchisor’s argument that the anti-suit injunction was necessary to prevent duplicative litigation and conflicting interpretations of written policies because (1) the parties were not identical (the Jimmy John’s franchisor was not named in the three new actions); and (2) “the potential effect of one suit on the other does not justify an injunction.”</w:t>
      </w:r>
      <w:r>
        <w:rPr>
          <w:vertAlign w:val="superscript"/>
          <w:lang w:val="pt-PT"/>
        </w:rPr>
        <w:footnoteReference w:id="756"/>
      </w:r>
      <w:r w:rsidRPr="00AD2F44">
        <w:t xml:space="preserve"> The Seventh Circuit also found that the district court lacked the authority to enjoin the plaintiffs from pursuing their claims against the franchisee defendants in other district courts because the “in aid of jurisdiction” exception to the Anti-Injunction Act</w:t>
      </w:r>
      <w:r>
        <w:rPr>
          <w:vertAlign w:val="superscript"/>
          <w:lang w:val="pt-PT"/>
        </w:rPr>
        <w:footnoteReference w:id="757"/>
      </w:r>
      <w:r w:rsidRPr="00AD2F44">
        <w:t xml:space="preserve"> has not been expanded beyond in rem actions, school desegregation cases, and multidistrict litigation cases.</w:t>
      </w:r>
      <w:r>
        <w:rPr>
          <w:vertAlign w:val="superscript"/>
          <w:lang w:val="pt-PT"/>
        </w:rPr>
        <w:footnoteReference w:id="758"/>
      </w:r>
      <w:r w:rsidRPr="00AD2F44">
        <w:t xml:space="preserve"> Additionally, the Seventh Circuit found that, even if the district court had the authority to enjoin the other actions under the All Writs Act,</w:t>
      </w:r>
      <w:r>
        <w:rPr>
          <w:vertAlign w:val="superscript"/>
          <w:lang w:val="pt-PT"/>
        </w:rPr>
        <w:footnoteReference w:id="759"/>
      </w:r>
      <w:r w:rsidRPr="00AD2F44">
        <w:t xml:space="preserve"> the injunction was improper because the district court failed to address the factors required by Rule 65 in entering the injunction.</w:t>
      </w:r>
      <w:r>
        <w:rPr>
          <w:vertAlign w:val="superscript"/>
          <w:lang w:val="pt-PT"/>
        </w:rPr>
        <w:footnoteReference w:id="760"/>
      </w:r>
    </w:p>
    <w:p w14:paraId="79A13D18" w14:textId="77777777" w:rsidR="005D0340" w:rsidRPr="00AD2F44" w:rsidRDefault="00F42107">
      <w:pPr>
        <w:pStyle w:val="04First-LevelHeadIIIIII"/>
      </w:pPr>
      <w:r w:rsidRPr="00AD2F44">
        <w:lastRenderedPageBreak/>
        <w:t>VII.</w:t>
      </w:r>
      <w:r w:rsidRPr="00AD2F44">
        <w:t> </w:t>
      </w:r>
      <w:r w:rsidRPr="00AD2F44">
        <w:t>Pretrial Disposition of Cases</w:t>
      </w:r>
    </w:p>
    <w:p w14:paraId="39B1B45C" w14:textId="77777777" w:rsidR="005D0340" w:rsidRPr="00AD2F44" w:rsidRDefault="00F42107">
      <w:pPr>
        <w:pStyle w:val="05Second-LevelHeadABC"/>
      </w:pPr>
      <w:r w:rsidRPr="00AD2F44">
        <w:t>A.</w:t>
      </w:r>
      <w:r w:rsidRPr="00AD2F44">
        <w:tab/>
        <w:t>Offers of Judgment in Collective and Class Actions</w:t>
      </w:r>
    </w:p>
    <w:p w14:paraId="716103F6" w14:textId="77777777" w:rsidR="005D0340" w:rsidRPr="00AD2F44" w:rsidRDefault="00F42107">
      <w:pPr>
        <w:pStyle w:val="10ATextWithIndent"/>
      </w:pPr>
      <w:r w:rsidRPr="00AD2F44">
        <w:t>“[W]hen the issues presented [in a case] are no longer ‘live’ or the parties lack a legally cognizable interest in the outcome,” the case is moot and may no longer be tried.</w:t>
      </w:r>
      <w:r>
        <w:rPr>
          <w:vertAlign w:val="superscript"/>
        </w:rPr>
        <w:footnoteReference w:id="761"/>
      </w:r>
      <w:r w:rsidRPr="00AD2F44">
        <w:t xml:space="preserve"> Rule 68 of the Federal Rules of Civil Procedure allows a defendant to make an offer for judgment to be taken against it in full satisfaction of the plaintiff’s claims,</w:t>
      </w:r>
      <w:r>
        <w:rPr>
          <w:vertAlign w:val="superscript"/>
        </w:rPr>
        <w:footnoteReference w:id="762"/>
      </w:r>
      <w:r w:rsidRPr="00AD2F44">
        <w:t xml:space="preserve"> thus raising the issue of whether the plaintiff’s claims have been mooted, even if the plaintiff refuses the offer.</w:t>
      </w:r>
      <w:r>
        <w:rPr>
          <w:vertAlign w:val="superscript"/>
        </w:rPr>
        <w:footnoteReference w:id="763"/>
      </w:r>
      <w:r w:rsidRPr="00AD2F44">
        <w:t xml:space="preserve"> Some employers use the Rule 68 offer of judgment procedure to seek dismissal of an FLSA Section 216(b) collective action prior to the conditional certification and notice stage, on the basis that an offer of judgment has mooted the lead plaintiff’s claims.</w:t>
      </w:r>
      <w:r>
        <w:rPr>
          <w:rStyle w:val="FootnoteReference"/>
        </w:rPr>
        <w:footnoteReference w:id="764"/>
      </w:r>
      <w:r w:rsidRPr="00AD2F44">
        <w:t xml:space="preserve"> </w:t>
      </w:r>
    </w:p>
    <w:p w14:paraId="31E1ECB4" w14:textId="77777777" w:rsidR="005D0340" w:rsidRPr="00AD2F44" w:rsidRDefault="00F42107">
      <w:pPr>
        <w:pStyle w:val="06Third-LevelHead123"/>
      </w:pPr>
      <w:r w:rsidRPr="00AD2F44">
        <w:t>1.</w:t>
      </w:r>
      <w:r w:rsidRPr="00AD2F44">
        <w:tab/>
      </w:r>
      <w:r w:rsidRPr="00AD2F44">
        <w:rPr>
          <w:i w:val="0"/>
          <w:iCs/>
        </w:rPr>
        <w:t>Genesis Healthcare Corp. v. Symczyk</w:t>
      </w:r>
    </w:p>
    <w:p w14:paraId="43428471" w14:textId="77777777" w:rsidR="005D0340" w:rsidRPr="00AD2F44" w:rsidRDefault="00F42107">
      <w:pPr>
        <w:pStyle w:val="10ATextWithIndent"/>
      </w:pPr>
      <w:r w:rsidRPr="00AD2F44">
        <w:t xml:space="preserve">This tactic—i.e., the use of a Rule 68 offer of judgment as a means to moot the lead plaintiff’s claim in a Section 216(b) FLSA collective action—was addressed by the Supreme Court in </w:t>
      </w:r>
      <w:r w:rsidRPr="00AD2F44">
        <w:rPr>
          <w:i/>
          <w:iCs/>
        </w:rPr>
        <w:t>Genesis Healthcare Corp</w:t>
      </w:r>
      <w:r w:rsidRPr="00AD2F44">
        <w:t>.</w:t>
      </w:r>
      <w:r w:rsidRPr="00AD2F44">
        <w:rPr>
          <w:i/>
          <w:iCs/>
        </w:rPr>
        <w:t xml:space="preserve"> v</w:t>
      </w:r>
      <w:r w:rsidRPr="00AD2F44">
        <w:t>.</w:t>
      </w:r>
      <w:r w:rsidRPr="00AD2F44">
        <w:rPr>
          <w:i/>
          <w:iCs/>
        </w:rPr>
        <w:t xml:space="preserve"> Symczyk</w:t>
      </w:r>
      <w:r w:rsidRPr="00AD2F44">
        <w:t>.</w:t>
      </w:r>
      <w:r>
        <w:rPr>
          <w:vertAlign w:val="superscript"/>
        </w:rPr>
        <w:footnoteReference w:id="765"/>
      </w:r>
      <w:r w:rsidRPr="00AD2F44">
        <w:t xml:space="preserve"> In </w:t>
      </w:r>
      <w:r w:rsidRPr="00AD2F44">
        <w:rPr>
          <w:i/>
          <w:iCs/>
        </w:rPr>
        <w:t>Symczyk</w:t>
      </w:r>
      <w:r w:rsidRPr="00AD2F44">
        <w:t xml:space="preserve">, the Court held that, where the lone plaintiff’s individual claim in an FLSA collective action becomes moot, the entire collective action must be dismissed for lack of subject matter jurisdiction. The plaintiff, a registered nurse, brought a collective action against her former employer on behalf of herself and other similarly situated employees. She alleged that the employer violated the FLSA by automatically deducting 30-minute meal breaks from the employees’ time worked each shift, even when the employees performed compensable work during those breaks. Upon answering the complaint, and before any other plaintiffs opted in to the lawsuit, the employers served Symczyk with an offer of </w:t>
      </w:r>
      <w:r w:rsidRPr="00AD2F44">
        <w:lastRenderedPageBreak/>
        <w:t>judgment under Rule 68, providing for full relief on her individual claim. She was given 10 days to consider the offer, after which time the offer would be deemed withdrawn.</w:t>
      </w:r>
    </w:p>
    <w:p w14:paraId="69DFAEBA" w14:textId="77777777" w:rsidR="005D0340" w:rsidRPr="00AD2F44" w:rsidRDefault="00F42107">
      <w:pPr>
        <w:pStyle w:val="10ATextWithIndent"/>
      </w:pPr>
      <w:r w:rsidRPr="00AD2F44">
        <w:t>When Symczyk failed to respond to the offer within the 10-day period, the employers filed a motion to dismiss for lack of subject matter jurisdiction, arguing that, having rejected the offer for full relief, Symczyk no longer had a personal stake in the outcome of the suit and, therefore, the action was moot. Symczyk countered that the employers were inappropriately attempting to “pick off” the named plaintiff before the collective action could get off the ground, and that such strategic offers of judgment frustrate the goals of collective actions. Agreeing with the employers, the district court dismissed the action for lack of subject matter jurisdiction,</w:t>
      </w:r>
      <w:r>
        <w:rPr>
          <w:vertAlign w:val="superscript"/>
        </w:rPr>
        <w:footnoteReference w:id="766"/>
      </w:r>
      <w:r w:rsidRPr="00AD2F44">
        <w:t xml:space="preserve"> but on appeal the Third Circuit reversed, albeit only after Symczyk acknowledged that no other potential plaintiff had opted in to the suit, that the employers’ offer fully satisfied her individual claim, and that such an offer generally moots a plaintiff’s claim under Third Circuit precedent.</w:t>
      </w:r>
      <w:r>
        <w:rPr>
          <w:vertAlign w:val="superscript"/>
        </w:rPr>
        <w:footnoteReference w:id="767"/>
      </w:r>
    </w:p>
    <w:p w14:paraId="453F00F1" w14:textId="77777777" w:rsidR="005D0340" w:rsidRPr="00AD2F44" w:rsidRDefault="00F42107">
      <w:pPr>
        <w:pStyle w:val="10ATextWithIndent"/>
      </w:pPr>
      <w:r w:rsidRPr="00AD2F44">
        <w:t>The Supreme Court reversed the Third Circuit’s ruling, holding that the collective action should have been dismissed. The Court explained that, “[i]f an intervening circumstance deprives the plaintiff of a ‘personal stake in the outcome of the lawsuit,’ at any point during litigation, the action can no longer proceed and must be dismissed as moot.”</w:t>
      </w:r>
      <w:r>
        <w:rPr>
          <w:vertAlign w:val="superscript"/>
        </w:rPr>
        <w:footnoteReference w:id="768"/>
      </w:r>
      <w:r w:rsidRPr="00AD2F44">
        <w:t xml:space="preserve"> While the Court acknowledged a federal circuit split as to whether an unaccepted offer that fully satisfies a plaintiff’s claim is sufficient to render the claim moot, the Court declined to decide that issue for two reasons. First, both the district court and the Third Circuit concluded that Symczyk’s individual claim was moot. Second, Symczyk conceded before both lower courts that an offer of complete relief generally renders a claim moot, and she failed to raise an argument to the contrary in her brief in opposition to the petition for certiorari. The Court, therefore, “assume[d], without deciding, that petitioners’ Rule 68 offer mooted respondent’s individual claim.”</w:t>
      </w:r>
      <w:r>
        <w:rPr>
          <w:vertAlign w:val="superscript"/>
        </w:rPr>
        <w:footnoteReference w:id="769"/>
      </w:r>
    </w:p>
    <w:p w14:paraId="1D14028E" w14:textId="77777777" w:rsidR="005D0340" w:rsidRPr="00AD2F44" w:rsidRDefault="00F42107">
      <w:pPr>
        <w:pStyle w:val="10ATextWithIndent"/>
      </w:pPr>
      <w:r w:rsidRPr="00AD2F44">
        <w:t>From there, the Court went on to apply “well-settled mootness principles” in finding that Symczyk’s action could not survive based on the collective action allegations in her complaint.</w:t>
      </w:r>
      <w:r>
        <w:rPr>
          <w:vertAlign w:val="superscript"/>
        </w:rPr>
        <w:footnoteReference w:id="770"/>
      </w:r>
      <w:r w:rsidRPr="00AD2F44">
        <w:t xml:space="preserve"> As stated by the Court, “[i]n the absence of any claimant’s opting in, respondent’s suit became moot when her individual claim became moot, because she lacked any personal interest in representing others in this action.”</w:t>
      </w:r>
      <w:r>
        <w:rPr>
          <w:vertAlign w:val="superscript"/>
        </w:rPr>
        <w:footnoteReference w:id="771"/>
      </w:r>
      <w:r w:rsidRPr="00AD2F44">
        <w:t xml:space="preserve"> The Court distinguished precedent evaluating mootness principles in Rule 23 class actions on the ground that “Rule 23 actions are fundamentally different from collective actions under the FLSA.”</w:t>
      </w:r>
      <w:r>
        <w:rPr>
          <w:vertAlign w:val="superscript"/>
        </w:rPr>
        <w:footnoteReference w:id="772"/>
      </w:r>
      <w:r w:rsidRPr="00AD2F44">
        <w:t xml:space="preserve"> The Court explained that, unlike a Rule 23 certification, “conditional certification” of FLSA collective actions does not give rise to independent legal status for a class because “conditional certification” merely authorizes notice to potential collective action members, who must still file consents to join the case in order to become parties.</w:t>
      </w:r>
      <w:r>
        <w:rPr>
          <w:vertAlign w:val="superscript"/>
        </w:rPr>
        <w:footnoteReference w:id="773"/>
      </w:r>
      <w:r w:rsidRPr="00AD2F44">
        <w:t xml:space="preserve"> Thus, even a conditionally certified collective action would </w:t>
      </w:r>
      <w:r w:rsidRPr="00AD2F44">
        <w:lastRenderedPageBreak/>
        <w:t>not prevent mooting a sole plaintiff’s claim. The Court also rejected application of the theory that mooting a named plaintiff’s claim does not necessarily moot the action if the class claim is “inherently transitory,” reasoning that this theory was developed to apply to claims that were unreviewable because the conduct at issue was “fleeting” (like temporary pretrial detention), not because of defendants’ litigation strategy, such as using Rule 68 offers to moot individual claims.</w:t>
      </w:r>
      <w:r>
        <w:rPr>
          <w:vertAlign w:val="superscript"/>
        </w:rPr>
        <w:footnoteReference w:id="774"/>
      </w:r>
    </w:p>
    <w:p w14:paraId="23B2D5BC" w14:textId="77777777" w:rsidR="005D0340" w:rsidRPr="00AD2F44" w:rsidRDefault="00F42107">
      <w:pPr>
        <w:pStyle w:val="06Third-LevelHead123"/>
      </w:pPr>
      <w:r w:rsidRPr="00AD2F44">
        <w:t>2.</w:t>
      </w:r>
      <w:r w:rsidRPr="00AD2F44">
        <w:tab/>
      </w:r>
      <w:r w:rsidRPr="00AD2F44">
        <w:rPr>
          <w:i w:val="0"/>
          <w:iCs/>
        </w:rPr>
        <w:t>Campbell-Ewald v. Gomez</w:t>
      </w:r>
    </w:p>
    <w:p w14:paraId="1EBE401A" w14:textId="2B9E335E" w:rsidR="005D0340" w:rsidRPr="00AD2F44" w:rsidRDefault="00F42107">
      <w:pPr>
        <w:pStyle w:val="10ATextWithIndent"/>
      </w:pPr>
      <w:r w:rsidRPr="00AD2F44">
        <w:t xml:space="preserve">After </w:t>
      </w:r>
      <w:r w:rsidRPr="00AD2F44">
        <w:rPr>
          <w:i/>
          <w:iCs/>
        </w:rPr>
        <w:t>Symczyk</w:t>
      </w:r>
      <w:r w:rsidRPr="00AD2F44">
        <w:t>, numerous district courts dismissed FLSA collective actions where rejected or unaccepted offers of judgment for full relief were served on the named plaintiffs prior to any other opt-ins joining the action and prior to a motion for conditional certification being filed.</w:t>
      </w:r>
      <w:r>
        <w:rPr>
          <w:vertAlign w:val="superscript"/>
        </w:rPr>
        <w:footnoteReference w:id="775"/>
      </w:r>
      <w:r w:rsidRPr="00AD2F44">
        <w:t xml:space="preserve"> These cases, however, have been largely overruled by the U.S. Supreme Court’s decision in </w:t>
      </w:r>
      <w:r w:rsidRPr="00AD2F44">
        <w:rPr>
          <w:i/>
          <w:iCs/>
        </w:rPr>
        <w:t>Campbell-Ewald Co. v. Gomez</w:t>
      </w:r>
      <w:r w:rsidRPr="00AD2F44">
        <w:t>.</w:t>
      </w:r>
      <w:r>
        <w:rPr>
          <w:vertAlign w:val="superscript"/>
        </w:rPr>
        <w:footnoteReference w:id="776"/>
      </w:r>
      <w:r w:rsidRPr="00AD2F44">
        <w:t xml:space="preserve"> In </w:t>
      </w:r>
      <w:r w:rsidRPr="00AD2F44">
        <w:rPr>
          <w:i/>
          <w:iCs/>
        </w:rPr>
        <w:t>Campbell-Ewald</w:t>
      </w:r>
      <w:r w:rsidRPr="00AD2F44">
        <w:t>, the Supreme Court held that an unaccepted offer of judgment does not operate to “moot” a plaintiff’s claim and, thus, cannot constitute the basis for dismissing a class action.</w:t>
      </w:r>
      <w:r>
        <w:rPr>
          <w:vertAlign w:val="superscript"/>
        </w:rPr>
        <w:footnoteReference w:id="777"/>
      </w:r>
      <w:r w:rsidRPr="00AD2F44">
        <w:t xml:space="preserve"> </w:t>
      </w:r>
    </w:p>
    <w:p w14:paraId="03ADDEC5" w14:textId="77777777" w:rsidR="005D0340" w:rsidRPr="00AD2F44" w:rsidRDefault="00F42107">
      <w:pPr>
        <w:pStyle w:val="10ATextWithIndent"/>
        <w:rPr>
          <w:vertAlign w:val="superscript"/>
        </w:rPr>
      </w:pPr>
      <w:r w:rsidRPr="00AD2F44">
        <w:rPr>
          <w:i/>
          <w:iCs/>
        </w:rPr>
        <w:t>Campbell-Ewald</w:t>
      </w:r>
      <w:r w:rsidRPr="00AD2F44">
        <w:t xml:space="preserve"> involved a Rule 23 class action under the Telephone Consumer Protection Act (TCPA).</w:t>
      </w:r>
      <w:r>
        <w:rPr>
          <w:vertAlign w:val="superscript"/>
        </w:rPr>
        <w:footnoteReference w:id="778"/>
      </w:r>
      <w:r w:rsidRPr="00AD2F44">
        <w:t xml:space="preserve"> Prior to the class certification motion deadline, Campbell-Ewald Co. filed an offer of judgment in which it offered to pay the plaintiff full relief for his individual </w:t>
      </w:r>
      <w:r w:rsidRPr="00AD2F44">
        <w:lastRenderedPageBreak/>
        <w:t>claim in the case.</w:t>
      </w:r>
      <w:r>
        <w:rPr>
          <w:vertAlign w:val="superscript"/>
        </w:rPr>
        <w:footnoteReference w:id="779"/>
      </w:r>
      <w:r w:rsidRPr="00AD2F44">
        <w:t xml:space="preserve"> After the offer expired, Campbell-Ewald moved to dismiss the case under Rule 12(b)(1) for lack of subject matter jurisdiction.</w:t>
      </w:r>
      <w:r>
        <w:rPr>
          <w:vertAlign w:val="superscript"/>
        </w:rPr>
        <w:footnoteReference w:id="780"/>
      </w:r>
      <w:r w:rsidRPr="00AD2F44">
        <w:t xml:space="preserve"> The district court denied the motion to dismiss.</w:t>
      </w:r>
      <w:r>
        <w:rPr>
          <w:vertAlign w:val="superscript"/>
        </w:rPr>
        <w:footnoteReference w:id="781"/>
      </w:r>
      <w:r w:rsidRPr="00AD2F44">
        <w:t xml:space="preserve"> After summary judgment was entered in favor of Campbell-Ewald on sovereign immunity grounds and was appealed by the plaintiff, the Ninth Circuit reversed the summary judgment motion on the sovereign immunity issue and found that the case remained live and was not mooted by the unaccepted offer of judgment for full relief.</w:t>
      </w:r>
      <w:r>
        <w:rPr>
          <w:vertAlign w:val="superscript"/>
        </w:rPr>
        <w:footnoteReference w:id="782"/>
      </w:r>
    </w:p>
    <w:p w14:paraId="4047DD52" w14:textId="77777777" w:rsidR="005D0340" w:rsidRPr="00AD2F44" w:rsidRDefault="00F42107">
      <w:pPr>
        <w:pStyle w:val="10ATextWithIndent"/>
        <w:rPr>
          <w:vertAlign w:val="superscript"/>
        </w:rPr>
      </w:pPr>
      <w:r w:rsidRPr="00AD2F44">
        <w:t xml:space="preserve">On appeal from the Ninth Circuit, the Supreme Court considered the “threshold question” that was left open in </w:t>
      </w:r>
      <w:r w:rsidRPr="00AD2F44">
        <w:rPr>
          <w:i/>
          <w:iCs/>
        </w:rPr>
        <w:t>Symczyk</w:t>
      </w:r>
      <w:r w:rsidRPr="00AD2F44">
        <w:t>: whether an unaccepted offer of judgment can moot a case.</w:t>
      </w:r>
      <w:r>
        <w:rPr>
          <w:vertAlign w:val="superscript"/>
        </w:rPr>
        <w:footnoteReference w:id="783"/>
      </w:r>
      <w:r w:rsidRPr="00AD2F44">
        <w:t xml:space="preserve"> The Court adopted the reasoning in Justice Kagan’s dissent in </w:t>
      </w:r>
      <w:r w:rsidRPr="00AD2F44">
        <w:rPr>
          <w:i/>
          <w:iCs/>
        </w:rPr>
        <w:t>Symczyk</w:t>
      </w:r>
      <w:r w:rsidRPr="00AD2F44">
        <w:t xml:space="preserve"> in holding that Gomez’s complaint was not effaced by Campbell-Ewald’s unaccepted offer of judgment.</w:t>
      </w:r>
      <w:r>
        <w:rPr>
          <w:vertAlign w:val="superscript"/>
        </w:rPr>
        <w:footnoteReference w:id="784"/>
      </w:r>
      <w:r w:rsidRPr="00AD2F44">
        <w:t xml:space="preserve"> The Court reasoned that, under settled principles of contract law, Campbell-Ewald’s unaccepted offer of judgment, once rejected, had “no continuing efficacy.”</w:t>
      </w:r>
      <w:r>
        <w:rPr>
          <w:vertAlign w:val="superscript"/>
        </w:rPr>
        <w:footnoteReference w:id="785"/>
      </w:r>
      <w:r w:rsidRPr="00AD2F44">
        <w:t xml:space="preserve"> Once Gomez rejected the settlement bid, and given Campbell-Ewald’s continuing denial of liability, Gomez gained no entitlement to the relief previously offered.</w:t>
      </w:r>
      <w:r>
        <w:rPr>
          <w:vertAlign w:val="superscript"/>
        </w:rPr>
        <w:footnoteReference w:id="786"/>
      </w:r>
      <w:r w:rsidRPr="00AD2F44">
        <w:t xml:space="preserve"> The Court explained that, with no settlement offer still operative, “the parties remained adverse; both retained the same stake in the litigation they had at the outset.”</w:t>
      </w:r>
      <w:r>
        <w:rPr>
          <w:vertAlign w:val="superscript"/>
        </w:rPr>
        <w:footnoteReference w:id="787"/>
      </w:r>
    </w:p>
    <w:p w14:paraId="20025DA5" w14:textId="77777777" w:rsidR="005D0340" w:rsidRPr="00AD2F44" w:rsidRDefault="00F42107">
      <w:pPr>
        <w:pStyle w:val="10ATextWithIndent"/>
      </w:pPr>
      <w:r w:rsidRPr="00AD2F44">
        <w:t>The Court also reasoned that the text of Rule 68 does not support the notion that an unaccepted offer of judgment can moot a claim.</w:t>
      </w:r>
      <w:r>
        <w:rPr>
          <w:vertAlign w:val="superscript"/>
        </w:rPr>
        <w:footnoteReference w:id="788"/>
      </w:r>
      <w:r w:rsidRPr="00AD2F44">
        <w:t xml:space="preserve"> To the contrary, Rule 68 provides that an offer of judgment “is considered withdrawn” if not accepted within 14 days of its service.</w:t>
      </w:r>
      <w:r>
        <w:rPr>
          <w:vertAlign w:val="superscript"/>
        </w:rPr>
        <w:footnoteReference w:id="789"/>
      </w:r>
      <w:r w:rsidRPr="00AD2F44">
        <w:t xml:space="preserve"> Rule 68’s sole built-in sanction is that the offeree must pay the costs incurred after the offer was made if the ultimate judgment is not more favorable than the unaccepted offer.</w:t>
      </w:r>
      <w:r>
        <w:rPr>
          <w:vertAlign w:val="superscript"/>
        </w:rPr>
        <w:footnoteReference w:id="790"/>
      </w:r>
      <w:r w:rsidRPr="00AD2F44">
        <w:t xml:space="preserve"> The Court confined its ruling to settlement offers and offers of judgment. It expressly left open the question of whether a claim can be mooted when a plaintiff is paid full relief:</w:t>
      </w:r>
    </w:p>
    <w:p w14:paraId="15CF4807" w14:textId="77777777" w:rsidR="005D0340" w:rsidRPr="00AD2F44" w:rsidRDefault="00F42107">
      <w:pPr>
        <w:pStyle w:val="09BBlockQuoteWithoutIndent"/>
      </w:pPr>
      <w:r w:rsidRPr="00AD2F44">
        <w:t xml:space="preserve">We need not, and do not, now decide whether the result would be different if a defendant deposits the full amount of a plaintiff’s individual claim in an account payable to the plaintiff, and the court then enters </w:t>
      </w:r>
      <w:r w:rsidRPr="00AD2F44">
        <w:lastRenderedPageBreak/>
        <w:t>judgment for the plaintiff in that amount. That question is appropriately reserved for a case in which it is not a hypothetical.</w:t>
      </w:r>
      <w:r>
        <w:rPr>
          <w:vertAlign w:val="superscript"/>
        </w:rPr>
        <w:footnoteReference w:id="791"/>
      </w:r>
      <w:r w:rsidRPr="00AD2F44">
        <w:t xml:space="preserve"> </w:t>
      </w:r>
    </w:p>
    <w:p w14:paraId="4C0AFA27" w14:textId="77777777" w:rsidR="005D0340" w:rsidRPr="00AD2F44" w:rsidRDefault="00F42107">
      <w:pPr>
        <w:pStyle w:val="06Third-LevelHead123"/>
      </w:pPr>
      <w:r w:rsidRPr="00AD2F44">
        <w:t>3.</w:t>
      </w:r>
      <w:r w:rsidRPr="00AD2F44">
        <w:tab/>
        <w:t xml:space="preserve">Rule 68 Offers in Hybrid Class/Collective Actions </w:t>
      </w:r>
    </w:p>
    <w:p w14:paraId="5C2B7A31" w14:textId="77777777" w:rsidR="005D0340" w:rsidRPr="00AD2F44" w:rsidRDefault="00F42107">
      <w:pPr>
        <w:pStyle w:val="10ATextWithIndent"/>
      </w:pPr>
      <w:r w:rsidRPr="00AD2F44">
        <w:t>The above analysis reflects Rule 68 issues in FLSA collective actions. The analysis is less clear when the case also entails class action claims under Rule 23. The differences between Rule 23 class actions and Section 216(b) collective actions have resulted in Rule 68 offers of judgment meeting varying degrees of success. As noted earlier in this chapter, in a collective action, employees are not joined or bound by the action until they have opted into the litigation. This distinction creates a different analysis of the impact of full relief under Rule 68 for Rule 23 versus Section 216(b) plaintiffs, though it does not eliminate the consideration of related policy issues.</w:t>
      </w:r>
    </w:p>
    <w:p w14:paraId="0AFB8358" w14:textId="77777777" w:rsidR="005D0340" w:rsidRPr="00AD2F44" w:rsidRDefault="00F42107">
      <w:pPr>
        <w:pStyle w:val="10ATextWithIndent"/>
      </w:pPr>
      <w:r w:rsidRPr="00AD2F44">
        <w:t>In the Rule 23 class action context, the effect of a Rule 68 offer of judgment on an action’s justiciability is not settled in all respects. It is clear that once certified, a Rule 23 class has an interest in litigation distinct from that of class representatives; thus, a Rule 23 action with a certified class will survive mooting of the named plaintiff’s individual claims.</w:t>
      </w:r>
      <w:r>
        <w:rPr>
          <w:vertAlign w:val="superscript"/>
        </w:rPr>
        <w:footnoteReference w:id="792"/>
      </w:r>
      <w:r w:rsidRPr="00AD2F44">
        <w:t xml:space="preserve"> However, some courts have permitted an offer of judgment to a Rule 23 named plaintiff, if made prior to the filing of a certification motion, to moot both the individual claim and the case.</w:t>
      </w:r>
      <w:r>
        <w:rPr>
          <w:vertAlign w:val="superscript"/>
        </w:rPr>
        <w:footnoteReference w:id="793"/>
      </w:r>
      <w:r w:rsidRPr="00AD2F44">
        <w:t xml:space="preserve"> The Third Circuit took a different view, however, deciding in </w:t>
      </w:r>
      <w:r w:rsidRPr="00AD2F44">
        <w:rPr>
          <w:i/>
          <w:iCs/>
        </w:rPr>
        <w:t>Weiss v. Regal Collections</w:t>
      </w:r>
      <w:r>
        <w:rPr>
          <w:vertAlign w:val="superscript"/>
        </w:rPr>
        <w:footnoteReference w:id="794"/>
      </w:r>
      <w:r w:rsidRPr="00AD2F44">
        <w:t xml:space="preserve"> that a court may retain jurisdiction even when the named representative’s individual claim has been mooted by a Rule 68 offer and no motion to certify the class has been filed yet. Relying in part on Supreme </w:t>
      </w:r>
      <w:r w:rsidRPr="00AD2F44">
        <w:lastRenderedPageBreak/>
        <w:t>Court precedent</w:t>
      </w:r>
      <w:r>
        <w:rPr>
          <w:vertAlign w:val="superscript"/>
        </w:rPr>
        <w:footnoteReference w:id="795"/>
      </w:r>
      <w:r w:rsidRPr="00AD2F44">
        <w:t xml:space="preserve"> and concerned that allowing a defendant to “pick off” lead plaintiffs via offers of judgment contravenes the purposes of the Rule 23 class action mechanism, the </w:t>
      </w:r>
      <w:r w:rsidRPr="00AD2F44">
        <w:rPr>
          <w:i/>
          <w:iCs/>
        </w:rPr>
        <w:t>Weiss</w:t>
      </w:r>
      <w:r w:rsidRPr="00AD2F44">
        <w:t xml:space="preserve"> court created a broad exception to traditional principles in such cases by applying the “relation back” doctrine to a situation where a plaintiff had not yet had a reasonable opportunity to file a certification motion.</w:t>
      </w:r>
      <w:r>
        <w:rPr>
          <w:vertAlign w:val="superscript"/>
        </w:rPr>
        <w:footnoteReference w:id="796"/>
      </w:r>
      <w:r w:rsidRPr="00AD2F44">
        <w:t xml:space="preserve"> Under this doctrine, class certification relates back to the filing of the class complaint and the class retains standing and leave to amend to appoint a new named plaintiff, although the named plaintiff’s individual claim may be moot.</w:t>
      </w:r>
      <w:r>
        <w:rPr>
          <w:vertAlign w:val="superscript"/>
        </w:rPr>
        <w:footnoteReference w:id="797"/>
      </w:r>
    </w:p>
    <w:p w14:paraId="6DEA7CC4" w14:textId="77777777" w:rsidR="005D0340" w:rsidRPr="00AD2F44" w:rsidRDefault="00F42107">
      <w:pPr>
        <w:pStyle w:val="05Second-LevelHeadABC"/>
      </w:pPr>
      <w:r w:rsidRPr="00AD2F44">
        <w:t>B.</w:t>
      </w:r>
      <w:r w:rsidRPr="00AD2F44">
        <w:tab/>
        <w:t>Issue Preclusion in Multiple Collective Actions</w:t>
      </w:r>
    </w:p>
    <w:p w14:paraId="57C15513" w14:textId="77777777" w:rsidR="005D0340" w:rsidRPr="00AD2F44" w:rsidRDefault="00F42107">
      <w:pPr>
        <w:pStyle w:val="10ATextWithIndent"/>
      </w:pPr>
      <w:r w:rsidRPr="00AD2F44">
        <w:t>As discussed in Section VI [Management of Multiple Collective Actions] of this chapter, multiple actions may be filed against the same defendant in multiple jurisdictions to recover wages under either the FLSA or state wage and hour laws, or both. Once a decision has been rendered in one of these actions regarding collective action treatment under Section 216(b) of the FLSA, the question of issue preclusion (or collateral estoppel) can arise in other concurrent suits or subsequent actions. Issue preclusion can be raised in subsequent suits asserting either Rule 23 class certification or a Section 216(b) collective action under the FLSA, assuming the generally applicable rules for applying issue preclusion are satisfied.</w:t>
      </w:r>
      <w:r>
        <w:rPr>
          <w:vertAlign w:val="superscript"/>
        </w:rPr>
        <w:footnoteReference w:id="798"/>
      </w:r>
    </w:p>
    <w:p w14:paraId="2EE9AD12" w14:textId="77777777" w:rsidR="005D0340" w:rsidRPr="00AD2F44" w:rsidRDefault="00F42107">
      <w:pPr>
        <w:pStyle w:val="10ATextWithIndent"/>
        <w:rPr>
          <w:vertAlign w:val="superscript"/>
        </w:rPr>
      </w:pPr>
      <w:r w:rsidRPr="00AD2F44">
        <w:t>A defendant may seek to bar subsequent class allegations based on the denial of conditional certification or decertification of a collective action in a prior action against that defendant.</w:t>
      </w:r>
      <w:r>
        <w:rPr>
          <w:vertAlign w:val="superscript"/>
        </w:rPr>
        <w:footnoteReference w:id="799"/>
      </w:r>
      <w:r w:rsidRPr="00AD2F44">
        <w:t xml:space="preserve"> One court held that a ruling on certification, although technically an interlocutory order, could constitute a final judgment for purposes of applying the doctrine of collateral </w:t>
      </w:r>
      <w:r w:rsidRPr="00AD2F44">
        <w:lastRenderedPageBreak/>
        <w:t>estoppel.</w:t>
      </w:r>
      <w:r>
        <w:rPr>
          <w:vertAlign w:val="superscript"/>
        </w:rPr>
        <w:footnoteReference w:id="800"/>
      </w:r>
      <w:r w:rsidRPr="00AD2F44">
        <w:t xml:space="preserve"> Another court, however, found that the interlocutory nature of the decision prevents satisfying the “final judgment” aspect of issue preclusion and rejected such claims on that ground.</w:t>
      </w:r>
      <w:r>
        <w:rPr>
          <w:vertAlign w:val="superscript"/>
        </w:rPr>
        <w:footnoteReference w:id="801"/>
      </w:r>
      <w:r w:rsidRPr="00AD2F44">
        <w:t xml:space="preserve"> Even where courts determine that a decision on certification, such as conditional certification, constitutes a final judgment, courts will closely scrutinize whether the issues were the same before the first court,</w:t>
      </w:r>
      <w:r>
        <w:rPr>
          <w:vertAlign w:val="superscript"/>
        </w:rPr>
        <w:footnoteReference w:id="802"/>
      </w:r>
      <w:r w:rsidRPr="00AD2F44">
        <w:t xml:space="preserve"> whether the parties were the same before the first court,</w:t>
      </w:r>
      <w:r>
        <w:rPr>
          <w:vertAlign w:val="superscript"/>
        </w:rPr>
        <w:footnoteReference w:id="803"/>
      </w:r>
      <w:r w:rsidRPr="00AD2F44">
        <w:t xml:space="preserve"> and whether the putative class is defined differently (such as by position or geographic area)</w:t>
      </w:r>
      <w:r>
        <w:rPr>
          <w:vertAlign w:val="superscript"/>
        </w:rPr>
        <w:footnoteReference w:id="804"/>
      </w:r>
      <w:r w:rsidRPr="00AD2F44">
        <w:t xml:space="preserve"> to </w:t>
      </w:r>
      <w:r w:rsidRPr="00AD2F44">
        <w:lastRenderedPageBreak/>
        <w:t>determine if the issues in the prior litigation were a critical and necessary part of the judgment in that action, thereby precluding relitigation in a subsequent case.</w:t>
      </w:r>
      <w:r>
        <w:rPr>
          <w:vertAlign w:val="superscript"/>
        </w:rPr>
        <w:footnoteReference w:id="805"/>
      </w:r>
    </w:p>
    <w:p w14:paraId="55A145FB" w14:textId="77777777" w:rsidR="005D0340" w:rsidRPr="00AD2F44" w:rsidRDefault="00F42107">
      <w:pPr>
        <w:pStyle w:val="10ATextWithIndent"/>
      </w:pPr>
      <w:r w:rsidRPr="00AD2F44">
        <w:t>Because these issues often arise in cases brought in different states, whether a nationwide company policy exists may be pivotal. In this regard, failure to find a nationwide policy sufficient to permit a particular collective action may not bar a smaller, more focused action that does not rely on such a broad policy.</w:t>
      </w:r>
      <w:r>
        <w:rPr>
          <w:vertAlign w:val="superscript"/>
        </w:rPr>
        <w:footnoteReference w:id="806"/>
      </w:r>
      <w:r w:rsidRPr="00AD2F44">
        <w:t xml:space="preserve"> Additionally, a finding that no nationwide policy existed sufficient for collective treatment may not necessarily have meant that a more limited collective action would have been inappropriate based on statewide policies or practices.</w:t>
      </w:r>
      <w:r>
        <w:rPr>
          <w:vertAlign w:val="superscript"/>
        </w:rPr>
        <w:footnoteReference w:id="807"/>
      </w:r>
      <w:r w:rsidRPr="00AD2F44">
        <w:t xml:space="preserve"> Because a court’s previous factual finding must be “necessary” to its decision, a collateral factor or an issue not raised before the first court will not bar a subsequent request for a collective action or state law class action.</w:t>
      </w:r>
      <w:r>
        <w:rPr>
          <w:vertAlign w:val="superscript"/>
        </w:rPr>
        <w:footnoteReference w:id="808"/>
      </w:r>
    </w:p>
    <w:p w14:paraId="2706A219" w14:textId="77777777" w:rsidR="005D0340" w:rsidRPr="00AD2F44" w:rsidRDefault="00F42107">
      <w:pPr>
        <w:pStyle w:val="04First-LevelHeadIIIIII"/>
      </w:pPr>
      <w:r w:rsidRPr="00AD2F44">
        <w:t>VIII.</w:t>
      </w:r>
      <w:r w:rsidRPr="00AD2F44">
        <w:t> </w:t>
      </w:r>
      <w:r w:rsidRPr="00AD2F44">
        <w:t>Trial</w:t>
      </w:r>
    </w:p>
    <w:p w14:paraId="448572D9" w14:textId="77777777" w:rsidR="005D0340" w:rsidRPr="00AD2F44" w:rsidRDefault="00F42107">
      <w:pPr>
        <w:pStyle w:val="10ATextWithIndent"/>
      </w:pPr>
      <w:r w:rsidRPr="00AD2F44">
        <w:t>Because collective actions seek relief on behalf of groups of employees, they present distinct issues concerning how to efficiently and effectively try such actions. These issues impact the amount and nature of evidence that parties must present in order to meet their respective burdens, the manner in which they use expert evidence, and the procedural mechanisms that courts may use to promote more efficient adjudication of these collective actions.</w:t>
      </w:r>
    </w:p>
    <w:p w14:paraId="4E93B989" w14:textId="77777777" w:rsidR="005D0340" w:rsidRPr="00AD2F44" w:rsidRDefault="00F42107">
      <w:pPr>
        <w:pStyle w:val="05Second-LevelHeadABC"/>
      </w:pPr>
      <w:r w:rsidRPr="00AD2F44">
        <w:t>A.</w:t>
      </w:r>
      <w:r w:rsidRPr="00AD2F44">
        <w:tab/>
        <w:t>Representative Testimony and Evidence</w:t>
      </w:r>
    </w:p>
    <w:p w14:paraId="14419A48" w14:textId="77777777" w:rsidR="005D0340" w:rsidRPr="00AD2F44" w:rsidRDefault="00F42107">
      <w:pPr>
        <w:pStyle w:val="10ATextWithIndent"/>
      </w:pPr>
      <w:r w:rsidRPr="00AD2F44">
        <w:t>The collective action provides a judicial mechanism for the efficient resolution of claims that involve common factual issues on the basis of common proof. Rather than separately trying many individual employees’ claims that present common factual and legal questions, a court may resolve them collectively on the basis of evidence that is representative of the whole group.</w:t>
      </w:r>
      <w:r>
        <w:rPr>
          <w:vertAlign w:val="superscript"/>
        </w:rPr>
        <w:footnoteReference w:id="809"/>
      </w:r>
    </w:p>
    <w:p w14:paraId="33C88A02" w14:textId="77777777" w:rsidR="005D0340" w:rsidRPr="00AD2F44" w:rsidRDefault="00F42107">
      <w:pPr>
        <w:pStyle w:val="10ATextWithIndent"/>
      </w:pPr>
      <w:r w:rsidRPr="00AD2F44">
        <w:t xml:space="preserve">The ability to resolve claims in FLSA collective actions using representative evidence developed based on the Supreme Court’s decision in </w:t>
      </w:r>
      <w:r w:rsidRPr="00AD2F44">
        <w:rPr>
          <w:i/>
          <w:iCs/>
        </w:rPr>
        <w:t>Anderson v. Mt. Clemens Pottery Co</w:t>
      </w:r>
      <w:r w:rsidRPr="00AD2F44">
        <w:t>.</w:t>
      </w:r>
      <w:r>
        <w:rPr>
          <w:vertAlign w:val="superscript"/>
        </w:rPr>
        <w:footnoteReference w:id="810"/>
      </w:r>
      <w:r w:rsidRPr="00AD2F44">
        <w:t xml:space="preserve"> </w:t>
      </w:r>
      <w:r w:rsidRPr="00AD2F44">
        <w:lastRenderedPageBreak/>
        <w:t>There, the Court confirmed that employees who bring actions under Section 216(b) have the burden of proving that they performed work for which they were not properly compensated.</w:t>
      </w:r>
      <w:r>
        <w:rPr>
          <w:vertAlign w:val="superscript"/>
        </w:rPr>
        <w:footnoteReference w:id="811"/>
      </w:r>
      <w:r w:rsidRPr="00AD2F44">
        <w:t xml:space="preserve"> However, where an employer has failed to maintain proper and accurate records, as required by the FLSA, an employee can meet this burden by presenting evidence proving “that he has in fact performed work for which he was improperly compensated and if he produces sufficient evidence to show the amount and extent of that work as a matter of just and reasonable inference.”</w:t>
      </w:r>
      <w:r>
        <w:rPr>
          <w:vertAlign w:val="superscript"/>
        </w:rPr>
        <w:footnoteReference w:id="812"/>
      </w:r>
      <w:r w:rsidRPr="00AD2F44">
        <w:t xml:space="preserve"> If an employee makes this showing, establishing his or her prima facie case, then the burden shifts to the employer to come forward with evidence of the precise amount of work performed or with evidence to negate the reasonableness of the inference to be drawn from the employee’s evidence.</w:t>
      </w:r>
      <w:r>
        <w:rPr>
          <w:vertAlign w:val="superscript"/>
        </w:rPr>
        <w:footnoteReference w:id="813"/>
      </w:r>
    </w:p>
    <w:p w14:paraId="2F633E01" w14:textId="77777777" w:rsidR="005D0340" w:rsidRPr="00AD2F44" w:rsidRDefault="00F42107">
      <w:pPr>
        <w:pStyle w:val="10ATextWithIndent"/>
      </w:pPr>
      <w:r w:rsidRPr="00AD2F44">
        <w:t xml:space="preserve">Based on the Court’s holding in </w:t>
      </w:r>
      <w:r w:rsidRPr="00AD2F44">
        <w:rPr>
          <w:i/>
          <w:iCs/>
        </w:rPr>
        <w:t>Mt. Clemens</w:t>
      </w:r>
      <w:r w:rsidRPr="00AD2F44">
        <w:t xml:space="preserve"> that employees can meet their prima facie burden by producing sufficient evidence showing liability “as a matter of just and reasonable inference,”</w:t>
      </w:r>
      <w:r>
        <w:rPr>
          <w:vertAlign w:val="superscript"/>
        </w:rPr>
        <w:footnoteReference w:id="814"/>
      </w:r>
      <w:r w:rsidRPr="00AD2F44">
        <w:t xml:space="preserve"> courts have concluded that </w:t>
      </w:r>
      <w:r w:rsidRPr="00AD2F44">
        <w:rPr>
          <w:i/>
          <w:iCs/>
        </w:rPr>
        <w:t xml:space="preserve">Mt. Clemens </w:t>
      </w:r>
      <w:r w:rsidRPr="00AD2F44">
        <w:t>contemplated the use of representative evidence.</w:t>
      </w:r>
      <w:r>
        <w:rPr>
          <w:vertAlign w:val="superscript"/>
        </w:rPr>
        <w:footnoteReference w:id="815"/>
      </w:r>
      <w:r w:rsidRPr="00AD2F44">
        <w:t xml:space="preserve"> Through the use of such representative testimony, it is generally recognized that plaintiffs can establish a prima facie right to recovery on behalf of nontestifying individuals who were subject to the same questionable pattern or practice.</w:t>
      </w:r>
      <w:r>
        <w:rPr>
          <w:vertAlign w:val="superscript"/>
        </w:rPr>
        <w:footnoteReference w:id="816"/>
      </w:r>
      <w:r w:rsidRPr="00AD2F44">
        <w:t xml:space="preserve"> Although most of the decisions </w:t>
      </w:r>
      <w:r w:rsidRPr="00AD2F44">
        <w:lastRenderedPageBreak/>
        <w:t>reaching this conclusion arise in the context of representative actions brought by the Secretary of Labor pursuant to Section 216(c),</w:t>
      </w:r>
      <w:r>
        <w:rPr>
          <w:vertAlign w:val="superscript"/>
        </w:rPr>
        <w:footnoteReference w:id="817"/>
      </w:r>
      <w:r w:rsidRPr="00AD2F44">
        <w:t xml:space="preserve"> many courts have recognized the applicability of this principle in private collective actions pursuant to Section 216(b).</w:t>
      </w:r>
      <w:r>
        <w:rPr>
          <w:vertAlign w:val="superscript"/>
        </w:rPr>
        <w:footnoteReference w:id="818"/>
      </w:r>
    </w:p>
    <w:p w14:paraId="0D4E6696" w14:textId="77777777" w:rsidR="005D0340" w:rsidRPr="00AD2F44" w:rsidRDefault="00F42107">
      <w:pPr>
        <w:pStyle w:val="10ATextWithIndent"/>
      </w:pPr>
      <w:r w:rsidRPr="00AD2F44">
        <w:t xml:space="preserve">The appropriateness of representative evidence to prove violations of the FLSA and state wage and hour law class claims was considered by the Supreme Court in </w:t>
      </w:r>
      <w:r w:rsidRPr="00AD2F44">
        <w:rPr>
          <w:i/>
          <w:iCs/>
        </w:rPr>
        <w:t>Tyson Foods, Inc. v. Bouaphakeo</w:t>
      </w:r>
      <w:r w:rsidRPr="00AD2F44">
        <w:t>.</w:t>
      </w:r>
      <w:r>
        <w:rPr>
          <w:vertAlign w:val="superscript"/>
        </w:rPr>
        <w:footnoteReference w:id="819"/>
      </w:r>
      <w:r w:rsidRPr="00AD2F44">
        <w:t xml:space="preserve"> In </w:t>
      </w:r>
      <w:r w:rsidRPr="00AD2F44">
        <w:rPr>
          <w:i/>
          <w:iCs/>
        </w:rPr>
        <w:t>Tyson Foods</w:t>
      </w:r>
      <w:r w:rsidRPr="00AD2F44">
        <w:t xml:space="preserve">, the Court, relying on </w:t>
      </w:r>
      <w:r w:rsidRPr="00AD2F44">
        <w:rPr>
          <w:i/>
          <w:iCs/>
        </w:rPr>
        <w:t>Mt. Clemens</w:t>
      </w:r>
      <w:r w:rsidRPr="00AD2F44">
        <w:t>, held that where the employer does not have accurate records of time worked, representative proof from a sample based on expert witnesses’ estimation of average time that employees spent on donning and doffing off the clock could be used to maintain collective action status.</w:t>
      </w:r>
      <w:r>
        <w:rPr>
          <w:vertAlign w:val="superscript"/>
        </w:rPr>
        <w:footnoteReference w:id="820"/>
      </w:r>
      <w:r w:rsidRPr="00AD2F44">
        <w:t xml:space="preserve"> In so holding, the Court stated:</w:t>
      </w:r>
    </w:p>
    <w:p w14:paraId="13C24124" w14:textId="77777777" w:rsidR="005D0340" w:rsidRPr="00AD2F44" w:rsidRDefault="00F42107">
      <w:pPr>
        <w:pStyle w:val="09BBlockQuoteWithoutIndent"/>
        <w:rPr>
          <w:vertAlign w:val="superscript"/>
        </w:rPr>
      </w:pPr>
      <w:r w:rsidRPr="00AD2F44">
        <w:t xml:space="preserve">The Court reiterates that, while petitioner, respondents, or their respective </w:t>
      </w:r>
      <w:r w:rsidRPr="00AD2F44">
        <w:rPr>
          <w:i/>
          <w:iCs/>
        </w:rPr>
        <w:t>amici</w:t>
      </w:r>
      <w:r w:rsidRPr="00AD2F44">
        <w:t xml:space="preserve"> may urge adoption of broad and categorical rules governing the use of representative and statistical evidence in class actions, this </w:t>
      </w:r>
      <w:r w:rsidRPr="00AD2F44">
        <w:lastRenderedPageBreak/>
        <w:t>case provides no occasion to do so. Whether a representative sample may be used to establish classwide liability will depend on the purpose for which the sample is being introduced and on the underlying cause of action. In FLSA actions, inferring the hours an employee has worked from a study such as [the expert’s report] has been permitted so long as the study is otherwise admissible. The fairness and utility of statistical methods in contexts other than those presented here will depend on the facts and circumstances of those cases.</w:t>
      </w:r>
      <w:r>
        <w:rPr>
          <w:vertAlign w:val="superscript"/>
        </w:rPr>
        <w:footnoteReference w:id="821"/>
      </w:r>
    </w:p>
    <w:p w14:paraId="1E49C1D8" w14:textId="77777777" w:rsidR="005D0340" w:rsidRPr="00AD2F44" w:rsidRDefault="00F42107">
      <w:pPr>
        <w:pStyle w:val="10ATextWithIndent"/>
        <w:rPr>
          <w:vertAlign w:val="superscript"/>
        </w:rPr>
      </w:pPr>
      <w:r w:rsidRPr="00AD2F44">
        <w:t>Where representative testimony from a sample of the class is used to establish the plaintiffs’ prima facie case with respect to the entire group, the testimony presented by those plaintiffs who do testify must be fairly representative of the whole group.</w:t>
      </w:r>
      <w:r>
        <w:rPr>
          <w:vertAlign w:val="superscript"/>
        </w:rPr>
        <w:footnoteReference w:id="822"/>
      </w:r>
      <w:r w:rsidRPr="00AD2F44">
        <w:t xml:space="preserve"> In other words, “[t]he use of representational testimony is justified only where it is reasonable to believe that the testifying witnesses’ experiences are sufficiently similar to those of the rest of the non-testifying plaintiffs.”</w:t>
      </w:r>
      <w:r>
        <w:rPr>
          <w:vertAlign w:val="superscript"/>
        </w:rPr>
        <w:footnoteReference w:id="823"/>
      </w:r>
      <w:r w:rsidRPr="00AD2F44">
        <w:t xml:space="preserve"> One appellate court suggested, in dicta, that, “[t]o extrapolate from the experience of the 42 [representative plaintiffs] to that of the 2341 [in the class] would require that all 2341 have done roughly the same amount of work, including the same amount of overtime work, and had been paid the same wage.”</w:t>
      </w:r>
      <w:r>
        <w:rPr>
          <w:vertAlign w:val="superscript"/>
        </w:rPr>
        <w:footnoteReference w:id="824"/>
      </w:r>
    </w:p>
    <w:p w14:paraId="0E9E450D" w14:textId="77777777" w:rsidR="005D0340" w:rsidRPr="00AD2F44" w:rsidRDefault="00F42107">
      <w:pPr>
        <w:pStyle w:val="10ATextWithIndent"/>
      </w:pPr>
      <w:r w:rsidRPr="00AD2F44">
        <w:t>Also, where employees fall into several different job categories with differences that impact the material issues being tried, at a minimum testimony of a representative employee from, or a person with first-hand knowledge of, each of those categories is essential to support a back pay award.</w:t>
      </w:r>
      <w:r>
        <w:rPr>
          <w:vertAlign w:val="superscript"/>
        </w:rPr>
        <w:footnoteReference w:id="825"/>
      </w:r>
      <w:r w:rsidRPr="00AD2F44">
        <w:t xml:space="preserve"> For this reason, in some instances courts have found that plaintiffs could not </w:t>
      </w:r>
      <w:r w:rsidRPr="00AD2F44">
        <w:lastRenderedPageBreak/>
        <w:t>establish a claim for all of the individuals that the plaintiffs sought to represent as part of the collective action.</w:t>
      </w:r>
      <w:r>
        <w:rPr>
          <w:vertAlign w:val="superscript"/>
        </w:rPr>
        <w:footnoteReference w:id="826"/>
      </w:r>
    </w:p>
    <w:p w14:paraId="68CBC56F" w14:textId="77777777" w:rsidR="005D0340" w:rsidRPr="00AD2F44" w:rsidRDefault="00F42107">
      <w:pPr>
        <w:pStyle w:val="10ATextWithIndent"/>
      </w:pPr>
      <w:r w:rsidRPr="00AD2F44">
        <w:lastRenderedPageBreak/>
        <w:t>There is no bright-line rule concerning the ratio or percentage of employees from a class that must testify in order to establish sufficient representative evidence to establish a prima facie case with respect to the entire group.</w:t>
      </w:r>
      <w:r>
        <w:rPr>
          <w:vertAlign w:val="superscript"/>
        </w:rPr>
        <w:footnoteReference w:id="827"/>
      </w:r>
      <w:r w:rsidRPr="00AD2F44">
        <w:t xml:space="preserve"> Some courts allow a small percentage of the total class to serve as testifying witnesses.</w:t>
      </w:r>
      <w:r>
        <w:rPr>
          <w:vertAlign w:val="superscript"/>
        </w:rPr>
        <w:footnoteReference w:id="828"/>
      </w:r>
      <w:r w:rsidRPr="00AD2F44">
        <w:t xml:space="preserve"> However, some courts have questioned the ability of a small number of testifying witnesses to adequately represent a large class of nontestifying employees.</w:t>
      </w:r>
      <w:r>
        <w:rPr>
          <w:vertAlign w:val="superscript"/>
        </w:rPr>
        <w:footnoteReference w:id="829"/>
      </w:r>
    </w:p>
    <w:p w14:paraId="6C6218A0" w14:textId="77777777" w:rsidR="005D0340" w:rsidRPr="00AD2F44" w:rsidRDefault="00F42107">
      <w:pPr>
        <w:pStyle w:val="10ATextWithIndent"/>
      </w:pPr>
      <w:r w:rsidRPr="00AD2F44">
        <w:t xml:space="preserve">Further, although plaintiffs may establish their prima facie case by representative evidence, such a showing does not automatically establish liability. Under the burden-shifting regime established by </w:t>
      </w:r>
      <w:r w:rsidRPr="00AD2F44">
        <w:rPr>
          <w:i/>
          <w:iCs/>
        </w:rPr>
        <w:t>Mt. Clemens</w:t>
      </w:r>
      <w:r w:rsidRPr="00AD2F44">
        <w:t xml:space="preserve">, once plaintiffs have made out their prima facie case, defendants have the opportunity to present evidence showing the precise amount of work performed or negating the inferences that plaintiffs are asking to be drawn from their </w:t>
      </w:r>
      <w:r w:rsidRPr="00AD2F44">
        <w:lastRenderedPageBreak/>
        <w:t>representative evidence.</w:t>
      </w:r>
      <w:r>
        <w:rPr>
          <w:vertAlign w:val="superscript"/>
        </w:rPr>
        <w:footnoteReference w:id="830"/>
      </w:r>
      <w:r w:rsidRPr="00AD2F44">
        <w:t xml:space="preserve"> In making such a showing, defendants may not be limited to the type of representative evidence relied on by plaintiffs. Defendants may present individualized evidence to establish their defenses—including evidence with respect to employees who did not testify.</w:t>
      </w:r>
      <w:r>
        <w:rPr>
          <w:vertAlign w:val="superscript"/>
        </w:rPr>
        <w:footnoteReference w:id="831"/>
      </w:r>
    </w:p>
    <w:p w14:paraId="0A57A225" w14:textId="77777777" w:rsidR="005D0340" w:rsidRPr="00AD2F44" w:rsidRDefault="00F42107">
      <w:pPr>
        <w:pStyle w:val="05Second-LevelHeadABC"/>
      </w:pPr>
      <w:r w:rsidRPr="00AD2F44">
        <w:lastRenderedPageBreak/>
        <w:t>B.</w:t>
      </w:r>
      <w:r w:rsidRPr="00AD2F44">
        <w:tab/>
        <w:t>Use of Expert Witnesses</w:t>
      </w:r>
    </w:p>
    <w:p w14:paraId="5EF42E32" w14:textId="77777777" w:rsidR="005D0340" w:rsidRPr="00AD2F44" w:rsidRDefault="00F42107">
      <w:pPr>
        <w:pStyle w:val="10ATextWithIndent"/>
      </w:pPr>
      <w:r w:rsidRPr="00AD2F44">
        <w:t>Rule 702 of the Federal Rules of Evidence sets forth the standard governing the admissibility of expert testimony in collective action trials.</w:t>
      </w:r>
      <w:r>
        <w:rPr>
          <w:vertAlign w:val="superscript"/>
        </w:rPr>
        <w:footnoteReference w:id="832"/>
      </w:r>
      <w:r w:rsidRPr="00AD2F44">
        <w:t xml:space="preserve"> Rule 702 provides that</w:t>
      </w:r>
    </w:p>
    <w:p w14:paraId="589D1C50" w14:textId="77777777" w:rsidR="005D0340" w:rsidRPr="00AD2F44" w:rsidRDefault="00F42107">
      <w:pPr>
        <w:pStyle w:val="09BBlockQuoteWithoutIndent"/>
      </w:pPr>
      <w:r w:rsidRPr="00AD2F44">
        <w:t>[a] witness who is qualified as an expert by knowledge, skill, experience, training, or education may testify in the form of an opinion or otherwise if: (a) the expert’s scientific, technical, or other specialized knowledge will help the trier of fact to understand the ­evidence or to determine a fact in issue; (b) the testimony is based on sufficient facts or data, (c) the testimony is the product of reliable principles and methods; and (d) the expert has reliably applied the principles and methods to the facts of the case.</w:t>
      </w:r>
      <w:r>
        <w:rPr>
          <w:vertAlign w:val="superscript"/>
        </w:rPr>
        <w:footnoteReference w:id="833"/>
      </w:r>
    </w:p>
    <w:p w14:paraId="1E541556" w14:textId="77777777" w:rsidR="005D0340" w:rsidRPr="00AD2F44" w:rsidRDefault="00F42107">
      <w:pPr>
        <w:pStyle w:val="10ATextWithIndent"/>
      </w:pPr>
      <w:r w:rsidRPr="00AD2F44">
        <w:t xml:space="preserve">In </w:t>
      </w:r>
      <w:r w:rsidRPr="00AD2F44">
        <w:rPr>
          <w:i/>
          <w:iCs/>
        </w:rPr>
        <w:t>Daubert v. Merrell Dow Pharmaceuticals</w:t>
      </w:r>
      <w:r w:rsidRPr="00AD2F44">
        <w:t>,</w:t>
      </w:r>
      <w:r>
        <w:rPr>
          <w:vertAlign w:val="superscript"/>
        </w:rPr>
        <w:footnoteReference w:id="834"/>
      </w:r>
      <w:r w:rsidRPr="00AD2F44">
        <w:t xml:space="preserve"> the Supreme Court held that a trial court “must ensure that any and all scientific testimony or evidence admitted is not only relevant, but </w:t>
      </w:r>
      <w:r w:rsidRPr="00AD2F44">
        <w:lastRenderedPageBreak/>
        <w:t>reliable.”</w:t>
      </w:r>
      <w:r>
        <w:rPr>
          <w:vertAlign w:val="superscript"/>
        </w:rPr>
        <w:footnoteReference w:id="835"/>
      </w:r>
      <w:r w:rsidRPr="00AD2F44">
        <w:t xml:space="preserve"> A court must determine at the outset “whether the reasoning or methodology underlying the testimony is scientifically valid and … whether that reasoning or methodology properly can be applied to the facts in issue.”</w:t>
      </w:r>
      <w:r>
        <w:rPr>
          <w:vertAlign w:val="superscript"/>
        </w:rPr>
        <w:footnoteReference w:id="836"/>
      </w:r>
      <w:r w:rsidRPr="00AD2F44">
        <w:t xml:space="preserve"> The party offering expert testimony bears the burden of establishing its reliability by a preponderance of the evidence.</w:t>
      </w:r>
      <w:r>
        <w:rPr>
          <w:vertAlign w:val="superscript"/>
        </w:rPr>
        <w:footnoteReference w:id="837"/>
      </w:r>
    </w:p>
    <w:p w14:paraId="1AC349C7" w14:textId="77777777" w:rsidR="005D0340" w:rsidRPr="00AD2F44" w:rsidRDefault="00F42107">
      <w:pPr>
        <w:pStyle w:val="10ATextWithIndent"/>
      </w:pPr>
      <w:r w:rsidRPr="00AD2F44">
        <w:t>A trial court has broad latitude in deciding how to determine reliability under this “gatekeeper” function.</w:t>
      </w:r>
      <w:r>
        <w:rPr>
          <w:vertAlign w:val="superscript"/>
        </w:rPr>
        <w:footnoteReference w:id="838"/>
      </w:r>
      <w:r w:rsidRPr="00AD2F44">
        <w:t xml:space="preserve"> Several courts have recognized that in the context of a bench trial, the </w:t>
      </w:r>
      <w:r w:rsidRPr="00AD2F44">
        <w:rPr>
          <w:i/>
          <w:iCs/>
        </w:rPr>
        <w:t>Daubert</w:t>
      </w:r>
      <w:r w:rsidRPr="00AD2F44">
        <w:t xml:space="preserve"> gatekeeping obligation is less pressing than in the context of a jury trial because the gatekeeper and trier of fact are the same.</w:t>
      </w:r>
      <w:r>
        <w:rPr>
          <w:vertAlign w:val="superscript"/>
        </w:rPr>
        <w:footnoteReference w:id="839"/>
      </w:r>
      <w:r w:rsidRPr="00AD2F44">
        <w:t xml:space="preserve"> Regardless, the “gatekeeper” role does not vary depending on the nature of the expert testimony.</w:t>
      </w:r>
      <w:r>
        <w:rPr>
          <w:vertAlign w:val="superscript"/>
        </w:rPr>
        <w:footnoteReference w:id="840"/>
      </w:r>
    </w:p>
    <w:p w14:paraId="50F22059" w14:textId="0751A749" w:rsidR="005D0340" w:rsidRPr="00AD2F44" w:rsidRDefault="00F42107">
      <w:pPr>
        <w:pStyle w:val="10ATextWithIndent"/>
      </w:pPr>
      <w:r w:rsidRPr="00AD2F44">
        <w:t>Experts relied on in FLSA collective actions commonly address nonscientific subjects or base their testimony largely on their personal experiences.</w:t>
      </w:r>
      <w:r>
        <w:rPr>
          <w:vertAlign w:val="superscript"/>
        </w:rPr>
        <w:footnoteReference w:id="841"/>
      </w:r>
      <w:r w:rsidRPr="00AD2F44">
        <w:t xml:space="preserve"> Such evidence remains ­subject to the same level of scrutiny as opinions from scientific experts.</w:t>
      </w:r>
      <w:r>
        <w:rPr>
          <w:vertAlign w:val="superscript"/>
        </w:rPr>
        <w:footnoteReference w:id="842"/>
      </w:r>
      <w:r w:rsidRPr="00AD2F44">
        <w:t xml:space="preserve"> When FLSA matters do involve scientific evidence, courts examine under what circumstances such scientific evidence is helpful </w:t>
      </w:r>
      <w:r w:rsidRPr="00AD2F44">
        <w:lastRenderedPageBreak/>
        <w:t>to the trier of fact while recognizing that scientific evidence is not required as a matter of law to prove elements of an FLSA cause of action.</w:t>
      </w:r>
      <w:r>
        <w:rPr>
          <w:rStyle w:val="FootnoteReference"/>
        </w:rPr>
        <w:footnoteReference w:id="843"/>
      </w:r>
      <w:r w:rsidR="00620E33" w:rsidRPr="00AD2F44">
        <w:t xml:space="preserve"> </w:t>
      </w:r>
      <w:r w:rsidRPr="00AD2F44">
        <w:t xml:space="preserve">Where an expert seeks to offer an opinion developed specifically for the facts of a particular collective action, courts consider the </w:t>
      </w:r>
      <w:r w:rsidRPr="00AD2F44">
        <w:rPr>
          <w:i/>
          <w:iCs/>
        </w:rPr>
        <w:t>Daubert</w:t>
      </w:r>
      <w:r w:rsidRPr="00AD2F44">
        <w:t xml:space="preserve"> factors to ensure such conclusions have been derived from reliable methodologies.</w:t>
      </w:r>
    </w:p>
    <w:p w14:paraId="73CFD3FD" w14:textId="77777777" w:rsidR="005D0340" w:rsidRPr="00AD2F44" w:rsidRDefault="00F42107">
      <w:pPr>
        <w:pStyle w:val="06Third-LevelHead123"/>
      </w:pPr>
      <w:r w:rsidRPr="00AD2F44">
        <w:t>1.</w:t>
      </w:r>
      <w:r w:rsidRPr="00AD2F44">
        <w:tab/>
        <w:t>Damages</w:t>
      </w:r>
    </w:p>
    <w:p w14:paraId="07049310" w14:textId="214631D0" w:rsidR="005D0340" w:rsidRPr="00AD2F44" w:rsidRDefault="00F42107">
      <w:pPr>
        <w:pStyle w:val="10ATextWithIndent"/>
      </w:pPr>
      <w:r w:rsidRPr="00AD2F44">
        <w:t>Parties in FLSA collective actions often utilize experts, such as certified public accountant</w:t>
      </w:r>
      <w:r w:rsidR="007F7F1C" w:rsidRPr="00AD2F44">
        <w:t>s</w:t>
      </w:r>
      <w:r w:rsidRPr="00AD2F44">
        <w:t xml:space="preserve"> (CPAs)</w:t>
      </w:r>
      <w:r w:rsidR="00A74856" w:rsidRPr="00AD2F44">
        <w:t xml:space="preserve"> and economists</w:t>
      </w:r>
      <w:r w:rsidRPr="00AD2F44">
        <w:t>, to offer testimony regarding damages calculations. Such testimony has generally been permitted either as expert or lay witness testimony.</w:t>
      </w:r>
      <w:r>
        <w:rPr>
          <w:vertAlign w:val="superscript"/>
        </w:rPr>
        <w:footnoteReference w:id="844"/>
      </w:r>
      <w:r w:rsidRPr="00AD2F44">
        <w:t xml:space="preserve"> </w:t>
      </w:r>
    </w:p>
    <w:p w14:paraId="558A93EB" w14:textId="77777777" w:rsidR="005D0340" w:rsidRPr="00AD2F44" w:rsidRDefault="00F42107">
      <w:pPr>
        <w:pStyle w:val="06Third-LevelHead123"/>
      </w:pPr>
      <w:r w:rsidRPr="00AD2F44">
        <w:t>2.</w:t>
      </w:r>
      <w:r w:rsidRPr="00AD2F44">
        <w:tab/>
        <w:t>Former Department of Labor Officials</w:t>
      </w:r>
    </w:p>
    <w:p w14:paraId="405986AC" w14:textId="274BA8C9" w:rsidR="005D0340" w:rsidRPr="00AD2F44" w:rsidRDefault="00F42107">
      <w:pPr>
        <w:pStyle w:val="10ATextWithIndent"/>
        <w:rPr>
          <w:vertAlign w:val="superscript"/>
        </w:rPr>
      </w:pPr>
      <w:r w:rsidRPr="00AD2F44">
        <w:t>Courts have reached differing conclusions regarding the admissibility of opinions of former DOL officials. For instance, a district court in California excluded an expert report and testimony of a former DOL official in a donning and doffing case on the grounds that her opinions were on the ultimate issue of law.</w:t>
      </w:r>
      <w:r>
        <w:rPr>
          <w:vertAlign w:val="superscript"/>
        </w:rPr>
        <w:footnoteReference w:id="845"/>
      </w:r>
      <w:r w:rsidRPr="00AD2F44">
        <w:t xml:space="preserve"> In striking the expert report, the court noted that </w:t>
      </w:r>
      <w:r w:rsidRPr="00AD2F44">
        <w:lastRenderedPageBreak/>
        <w:t>the expert report read like a “legal brief” and reasoned that “[r]esolving doubtful questions of law is the distinct and exclusive province of the trial judge.”</w:t>
      </w:r>
      <w:r>
        <w:rPr>
          <w:vertAlign w:val="superscript"/>
        </w:rPr>
        <w:footnoteReference w:id="846"/>
      </w:r>
    </w:p>
    <w:p w14:paraId="45904854" w14:textId="77777777" w:rsidR="005D0340" w:rsidRPr="00AD2F44" w:rsidRDefault="00F42107">
      <w:pPr>
        <w:pStyle w:val="10ATextWithIndent"/>
      </w:pPr>
      <w:r w:rsidRPr="00AD2F44">
        <w:t>On the other hand, another court found the methodology of a former long-serving DOL compliance officer sufficiently reliable to opine on the employer’s alleged overtime violation where his opinion was based on the same type of work that he did investigating overtime violations at the DOL.</w:t>
      </w:r>
      <w:r>
        <w:rPr>
          <w:vertAlign w:val="superscript"/>
        </w:rPr>
        <w:footnoteReference w:id="847"/>
      </w:r>
      <w:r w:rsidRPr="00AD2F44">
        <w:t xml:space="preserve"> However, the court excluded the expert’s opinion as to amounts of compensation owed these employees because his conclusion was not readily apparent from the regulations, ignored a widely accepted rule of law, and failed to acknowledge that his opinion had a questionable basis in the FLSA.</w:t>
      </w:r>
      <w:r>
        <w:rPr>
          <w:vertAlign w:val="superscript"/>
        </w:rPr>
        <w:footnoteReference w:id="848"/>
      </w:r>
      <w:r w:rsidRPr="00AD2F44">
        <w:t xml:space="preserve"> </w:t>
      </w:r>
    </w:p>
    <w:p w14:paraId="4B33A22B" w14:textId="77777777" w:rsidR="005D0340" w:rsidRPr="00AD2F44" w:rsidRDefault="00F42107">
      <w:pPr>
        <w:pStyle w:val="10ATextWithIndent"/>
        <w:rPr>
          <w:vertAlign w:val="superscript"/>
        </w:rPr>
      </w:pPr>
      <w:r w:rsidRPr="00AD2F44">
        <w:t>Courts may permit expert testimony regarding “DOL’s standards and practices” in assessing whether an employee satisfies the requirements for an exemption, but not testimony concluding that the employee does or does not satisfy the exemption.</w:t>
      </w:r>
      <w:r>
        <w:rPr>
          <w:vertAlign w:val="superscript"/>
        </w:rPr>
        <w:footnoteReference w:id="849"/>
      </w:r>
      <w:r w:rsidRPr="00AD2F44">
        <w:t xml:space="preserve"> In</w:t>
      </w:r>
      <w:r w:rsidRPr="00AD2F44">
        <w:rPr>
          <w:i/>
          <w:iCs/>
        </w:rPr>
        <w:t xml:space="preserve"> Perez v. RadioShack Corp</w:t>
      </w:r>
      <w:r w:rsidRPr="00AD2F44">
        <w:t>.,</w:t>
      </w:r>
      <w:r>
        <w:rPr>
          <w:vertAlign w:val="superscript"/>
        </w:rPr>
        <w:footnoteReference w:id="850"/>
      </w:r>
      <w:r w:rsidRPr="00AD2F44">
        <w:t xml:space="preserve"> the plaintiffs presented the testimony of a district director from DOL’s Wage and Hour Division, where he analyzed the factors of the executive exemption’s “primary duty” requirement and opined on whether RadioShack’s managers in the case met the requirement.</w:t>
      </w:r>
      <w:r>
        <w:rPr>
          <w:vertAlign w:val="superscript"/>
        </w:rPr>
        <w:footnoteReference w:id="851"/>
      </w:r>
      <w:r w:rsidRPr="00AD2F44">
        <w:t xml:space="preserve"> The court rejected much of his report as constituting improper legal conclusions, but permitted his testimony on DOL’s standards and practices.</w:t>
      </w:r>
      <w:r>
        <w:rPr>
          <w:vertAlign w:val="superscript"/>
        </w:rPr>
        <w:footnoteReference w:id="852"/>
      </w:r>
      <w:r w:rsidRPr="00AD2F44">
        <w:t xml:space="preserve"> Likewise, courts have also permitted </w:t>
      </w:r>
      <w:r w:rsidRPr="00AD2F44">
        <w:lastRenderedPageBreak/>
        <w:t>professors to testify regarding historical industry practices or the occupations at issue in the particular case.</w:t>
      </w:r>
      <w:r>
        <w:rPr>
          <w:vertAlign w:val="superscript"/>
        </w:rPr>
        <w:footnoteReference w:id="853"/>
      </w:r>
    </w:p>
    <w:p w14:paraId="16E13BCB" w14:textId="77777777" w:rsidR="005D0340" w:rsidRPr="00AD2F44" w:rsidRDefault="00F42107">
      <w:pPr>
        <w:pStyle w:val="10ATextWithIndent"/>
        <w:rPr>
          <w:vertAlign w:val="superscript"/>
        </w:rPr>
      </w:pPr>
      <w:r w:rsidRPr="00AD2F44">
        <w:t>Courts will also consider nonscientific expert testimony bearing on whether an employer willfully violated the FLSA,</w:t>
      </w:r>
      <w:r>
        <w:rPr>
          <w:vertAlign w:val="superscript"/>
        </w:rPr>
        <w:footnoteReference w:id="854"/>
      </w:r>
      <w:r w:rsidRPr="00AD2F44">
        <w:t xml:space="preserve"> although such testimony has not been found dispositive.</w:t>
      </w:r>
      <w:r>
        <w:rPr>
          <w:vertAlign w:val="superscript"/>
        </w:rPr>
        <w:footnoteReference w:id="855"/>
      </w:r>
      <w:r w:rsidRPr="00AD2F44">
        <w:t xml:space="preserve"> Again, any such testimony will be evaluated with the same rigor as other expert testimony.</w:t>
      </w:r>
      <w:r>
        <w:rPr>
          <w:vertAlign w:val="superscript"/>
        </w:rPr>
        <w:footnoteReference w:id="856"/>
      </w:r>
    </w:p>
    <w:p w14:paraId="59BF8B00" w14:textId="77777777" w:rsidR="005D0340" w:rsidRPr="00AD2F44" w:rsidRDefault="00F42107">
      <w:pPr>
        <w:pStyle w:val="06Third-LevelHead123"/>
      </w:pPr>
      <w:r w:rsidRPr="00AD2F44">
        <w:t>3.</w:t>
      </w:r>
      <w:r w:rsidRPr="00AD2F44">
        <w:tab/>
        <w:t>Surveys</w:t>
      </w:r>
    </w:p>
    <w:p w14:paraId="244457F1" w14:textId="77777777" w:rsidR="005D0340" w:rsidRPr="00AD2F44" w:rsidRDefault="00F42107">
      <w:pPr>
        <w:pStyle w:val="10ATextWithIndent"/>
      </w:pPr>
      <w:r w:rsidRPr="00AD2F44">
        <w:t xml:space="preserve">Expert testimony based on survey evidence has also been admitted in an FLSA collective action trial by at least one district court. In </w:t>
      </w:r>
      <w:r w:rsidRPr="00AD2F44">
        <w:rPr>
          <w:i/>
          <w:iCs/>
        </w:rPr>
        <w:t>Johnson v. Big Lots Stores, Inc.</w:t>
      </w:r>
      <w:r w:rsidRPr="00AD2F44">
        <w:t>,</w:t>
      </w:r>
      <w:r>
        <w:rPr>
          <w:vertAlign w:val="superscript"/>
        </w:rPr>
        <w:footnoteReference w:id="857"/>
      </w:r>
      <w:r w:rsidRPr="00AD2F44">
        <w:t xml:space="preserve"> the plaintiffs claimed that they had been misclassified as exempt “executive” employees and sought to admit the opinion of an economics and statistics expert and his supporting survey data, which concluded that the employees’ reported job duties did not include the types of activities that FLSA regulations require in order for an employee to qualify as a bona fide executive.</w:t>
      </w:r>
      <w:r>
        <w:rPr>
          <w:vertAlign w:val="superscript"/>
        </w:rPr>
        <w:footnoteReference w:id="858"/>
      </w:r>
      <w:r w:rsidRPr="00AD2F44">
        <w:t xml:space="preserve"> The plaintiffs also sought to introduce the report of a former DOL compliance officer that relied on the survey data to opine that survey respondents were misclassified as exempt executive employees. Shortly before the bench trial on the plaintiffs’ claims, the employer moved to exclude such testimony, arguing that the economics expert’s conclusions were invalid and his methodology was unreliable given that the survey responses were hearsay and the survey format was flawed. The defendant also argued that the expert testimony was irrelevant as it reflected only opt-ins’ statements and not the broader group of employees.</w:t>
      </w:r>
    </w:p>
    <w:p w14:paraId="6CEE8354" w14:textId="77777777" w:rsidR="005D0340" w:rsidRPr="00AD2F44" w:rsidRDefault="00F42107">
      <w:pPr>
        <w:pStyle w:val="10ATextWithIndent"/>
        <w:rPr>
          <w:vertAlign w:val="superscript"/>
        </w:rPr>
      </w:pPr>
      <w:r w:rsidRPr="00AD2F44">
        <w:t xml:space="preserve">The court rejected the defendant’s arguments. First, the court noted that the </w:t>
      </w:r>
      <w:r w:rsidRPr="00AD2F44">
        <w:rPr>
          <w:i/>
          <w:iCs/>
        </w:rPr>
        <w:t>Daubert</w:t>
      </w:r>
      <w:r>
        <w:rPr>
          <w:vertAlign w:val="superscript"/>
        </w:rPr>
        <w:footnoteReference w:id="859"/>
      </w:r>
      <w:r w:rsidRPr="00AD2F44">
        <w:t xml:space="preserve"> standard applies to survey evidence such that it is admissible at trial when there is a showing of </w:t>
      </w:r>
      <w:r w:rsidRPr="00AD2F44">
        <w:lastRenderedPageBreak/>
        <w:t>reliability.</w:t>
      </w:r>
      <w:r>
        <w:rPr>
          <w:vertAlign w:val="superscript"/>
        </w:rPr>
        <w:footnoteReference w:id="860"/>
      </w:r>
      <w:r w:rsidRPr="00AD2F44">
        <w:t xml:space="preserve"> Moreover, the rules of evidence permit opinion testimony based on hearsay survey data.</w:t>
      </w:r>
      <w:r>
        <w:rPr>
          <w:vertAlign w:val="superscript"/>
        </w:rPr>
        <w:footnoteReference w:id="861"/>
      </w:r>
      <w:r w:rsidRPr="00AD2F44">
        <w:t xml:space="preserve"> Thus, because the survey methodology did not contain flaws that rendered the expert’s opinion inadmissible under </w:t>
      </w:r>
      <w:r w:rsidRPr="00AD2F44">
        <w:rPr>
          <w:i/>
          <w:iCs/>
        </w:rPr>
        <w:t>Daubert</w:t>
      </w:r>
      <w:r w:rsidRPr="00AD2F44">
        <w:t>, the survey data was admissible for the purpose of allowing the court to evaluate the expert’s opinion.</w:t>
      </w:r>
      <w:r>
        <w:rPr>
          <w:vertAlign w:val="superscript"/>
        </w:rPr>
        <w:footnoteReference w:id="862"/>
      </w:r>
      <w:r w:rsidRPr="00AD2F44">
        <w:t xml:space="preserve"> Second, the employer failed to offer any reason that the opt-ins surveyed were systematically different from or unrepresentative of individuals employed in the position at issue, and the court reasoned that any bias by the survey respondents would affect the weight of the expert’s opinion, but did not render his study unreliable. Finally, the court found the survey questions sufficiently “clear, precise, and unbiased” for the survey and report to be admitted.</w:t>
      </w:r>
      <w:r>
        <w:rPr>
          <w:vertAlign w:val="superscript"/>
        </w:rPr>
        <w:footnoteReference w:id="863"/>
      </w:r>
      <w:r w:rsidRPr="00AD2F44">
        <w:t xml:space="preserve"> Courts have excluded survey evidence where the surveys were designed and conducted by the plaintiffs’ counsel instead of an independent expert.</w:t>
      </w:r>
      <w:r>
        <w:rPr>
          <w:vertAlign w:val="superscript"/>
        </w:rPr>
        <w:footnoteReference w:id="864"/>
      </w:r>
    </w:p>
    <w:p w14:paraId="153111FF" w14:textId="77777777" w:rsidR="005D0340" w:rsidRPr="00AD2F44" w:rsidRDefault="00F42107">
      <w:pPr>
        <w:pStyle w:val="06Third-LevelHead123"/>
      </w:pPr>
      <w:r w:rsidRPr="00AD2F44">
        <w:t>4.</w:t>
      </w:r>
      <w:r w:rsidRPr="00AD2F44">
        <w:tab/>
        <w:t>Time Studies</w:t>
      </w:r>
    </w:p>
    <w:p w14:paraId="168C2D72" w14:textId="77777777" w:rsidR="005D0340" w:rsidRPr="00AD2F44" w:rsidRDefault="00F42107">
      <w:pPr>
        <w:pStyle w:val="10ATextWithIndent"/>
      </w:pPr>
      <w:r w:rsidRPr="00AD2F44">
        <w:t>Courts also frequently consider the expert testimony of time-study experts relied on to establish the amount of time worked in collective actions where the employer has failed to record such time.</w:t>
      </w:r>
      <w:r>
        <w:rPr>
          <w:vertAlign w:val="superscript"/>
        </w:rPr>
        <w:footnoteReference w:id="865"/>
      </w:r>
      <w:r w:rsidRPr="00AD2F44">
        <w:t xml:space="preserve"> As discussed in Section VIII.A [Trial; Representative Testimony and Evidence] of this chapter, under these circumstances employees need only produce evidence of the amount and extent of that work “as a matter of just and reasonable inference.”</w:t>
      </w:r>
      <w:r>
        <w:rPr>
          <w:vertAlign w:val="superscript"/>
        </w:rPr>
        <w:footnoteReference w:id="866"/>
      </w:r>
      <w:r w:rsidRPr="00AD2F44">
        <w:t xml:space="preserve"> Expert testimony, when combined with documentary evidence and employee testimony, provides an appropriate method of meeting this burden.</w:t>
      </w:r>
    </w:p>
    <w:p w14:paraId="1AB81EAC" w14:textId="77777777" w:rsidR="005D0340" w:rsidRPr="00AD2F44" w:rsidRDefault="00F42107">
      <w:pPr>
        <w:pStyle w:val="10ATextWithIndent"/>
      </w:pPr>
      <w:r w:rsidRPr="00AD2F44">
        <w:lastRenderedPageBreak/>
        <w:t xml:space="preserve"> In </w:t>
      </w:r>
      <w:r w:rsidRPr="00AD2F44">
        <w:rPr>
          <w:i/>
          <w:iCs/>
        </w:rPr>
        <w:t>Tyson Foods, Inc. v. Bouaphakeo</w:t>
      </w:r>
      <w:r w:rsidRPr="00AD2F44">
        <w:t>,</w:t>
      </w:r>
      <w:r>
        <w:rPr>
          <w:vertAlign w:val="superscript"/>
        </w:rPr>
        <w:footnoteReference w:id="867"/>
      </w:r>
      <w:r w:rsidRPr="00AD2F44">
        <w:t xml:space="preserve"> a case in which no </w:t>
      </w:r>
      <w:r w:rsidRPr="00AD2F44">
        <w:rPr>
          <w:i/>
          <w:iCs/>
        </w:rPr>
        <w:t>Daubert</w:t>
      </w:r>
      <w:r w:rsidRPr="00AD2F44">
        <w:t xml:space="preserve"> motion was filed, the Supreme Court held that an industrial relations expert’s time-study report estimating the average time that a sample of plaintiffs spent donning and doffing protective gear could support liability as to the entire class of 3,300 plaintiffs. The plaintiffs’ industrial relations expert conducted 744 videotaped observations and analyzed how long various donning and doffing activities took in two departments.</w:t>
      </w:r>
      <w:r>
        <w:rPr>
          <w:vertAlign w:val="superscript"/>
        </w:rPr>
        <w:footnoteReference w:id="868"/>
      </w:r>
      <w:r w:rsidRPr="00AD2F44">
        <w:t xml:space="preserve"> He averaged the time by department and estimated that employees in the “cut and retrim” department spent 18 minutes a day on donning and doffing activities and the employees in the “kill” department spent 21.25 minutes a day on donning and doffing activities.</w:t>
      </w:r>
      <w:r>
        <w:rPr>
          <w:vertAlign w:val="superscript"/>
        </w:rPr>
        <w:footnoteReference w:id="869"/>
      </w:r>
      <w:r w:rsidRPr="00AD2F44">
        <w:t xml:space="preserve"> Another expert for the plaintiffs then calculated the estimated uncompensated overtime time based on the time estimates provided by the time-study expert and reached a damage calculation of $6.7 million for the class.</w:t>
      </w:r>
      <w:r>
        <w:rPr>
          <w:vertAlign w:val="superscript"/>
        </w:rPr>
        <w:footnoteReference w:id="870"/>
      </w:r>
      <w:r w:rsidRPr="00AD2F44">
        <w:t xml:space="preserve"> The Court affirmed a jury verdict of $2.9 million and held that the representative evidence offered by the plaintiffs was permissible to prove liability and damages as to the entire class.</w:t>
      </w:r>
      <w:r>
        <w:rPr>
          <w:vertAlign w:val="superscript"/>
        </w:rPr>
        <w:footnoteReference w:id="871"/>
      </w:r>
      <w:r w:rsidRPr="00AD2F44">
        <w:t xml:space="preserve"> It reasoned that one way to show that the sample is reliable is to show that each class member could have relied on the sample to establish liability if the class member had brought an individual action.</w:t>
      </w:r>
      <w:r>
        <w:rPr>
          <w:vertAlign w:val="superscript"/>
        </w:rPr>
        <w:footnoteReference w:id="872"/>
      </w:r>
      <w:r w:rsidRPr="00AD2F44">
        <w:t xml:space="preserve"> In distinguishing the case from </w:t>
      </w:r>
      <w:r w:rsidRPr="00AD2F44">
        <w:rPr>
          <w:i/>
          <w:iCs/>
        </w:rPr>
        <w:t>Wal-Mart Stores, Inc. v. Dukes</w:t>
      </w:r>
      <w:r w:rsidRPr="00AD2F44">
        <w:t>,</w:t>
      </w:r>
      <w:r>
        <w:rPr>
          <w:vertAlign w:val="superscript"/>
        </w:rPr>
        <w:footnoteReference w:id="873"/>
      </w:r>
      <w:r w:rsidRPr="00AD2F44">
        <w:t xml:space="preserve"> the Court explained:</w:t>
      </w:r>
    </w:p>
    <w:p w14:paraId="247D5F10" w14:textId="77777777" w:rsidR="005D0340" w:rsidRPr="00AD2F44" w:rsidRDefault="00F42107">
      <w:pPr>
        <w:pStyle w:val="09BBlockQuoteWithoutIndent"/>
        <w:rPr>
          <w:vertAlign w:val="superscript"/>
        </w:rPr>
      </w:pPr>
      <w:r w:rsidRPr="00AD2F44">
        <w:t xml:space="preserve">[T]he study here could have been sufficient to sustain a jury finding as to hours worked if it were introduced in each employee’s individual action. While the experiences of the employees in </w:t>
      </w:r>
      <w:r w:rsidRPr="00AD2F44">
        <w:rPr>
          <w:i/>
          <w:iCs/>
        </w:rPr>
        <w:t>Wal-Mart</w:t>
      </w:r>
      <w:r w:rsidRPr="00AD2F44">
        <w:t xml:space="preserve"> bore little relationship to one another, in this case each employee worked in the same facility, did similar work, and was paid under the same policy. As </w:t>
      </w:r>
      <w:r w:rsidRPr="00AD2F44">
        <w:rPr>
          <w:i/>
          <w:iCs/>
        </w:rPr>
        <w:t>Mt</w:t>
      </w:r>
      <w:r w:rsidRPr="00AD2F44">
        <w:t>.</w:t>
      </w:r>
      <w:r w:rsidRPr="00AD2F44">
        <w:rPr>
          <w:i/>
          <w:iCs/>
        </w:rPr>
        <w:t xml:space="preserve"> Clemens</w:t>
      </w:r>
      <w:r w:rsidRPr="00AD2F44">
        <w:t xml:space="preserve"> confirms, under these circumstances the experiences of a subset of employees can be probative as to the experiences of all of them.</w:t>
      </w:r>
      <w:r>
        <w:rPr>
          <w:vertAlign w:val="superscript"/>
        </w:rPr>
        <w:footnoteReference w:id="874"/>
      </w:r>
    </w:p>
    <w:p w14:paraId="78B4B396" w14:textId="77777777" w:rsidR="005D0340" w:rsidRPr="00AD2F44" w:rsidRDefault="00F42107">
      <w:pPr>
        <w:pStyle w:val="10ATextWithIndent"/>
        <w:rPr>
          <w:vertAlign w:val="superscript"/>
        </w:rPr>
      </w:pPr>
      <w:r w:rsidRPr="00AD2F44">
        <w:t>Time-study expert testimony has also been considered to evaluate whether the time at issue qualifies as de minimis.</w:t>
      </w:r>
      <w:r>
        <w:rPr>
          <w:vertAlign w:val="superscript"/>
        </w:rPr>
        <w:footnoteReference w:id="875"/>
      </w:r>
      <w:r w:rsidRPr="00AD2F44">
        <w:t xml:space="preserve"> However, courts have excluded such evidence where it was </w:t>
      </w:r>
      <w:r w:rsidRPr="00AD2F44">
        <w:lastRenderedPageBreak/>
        <w:t>based on unreliable methodologies.</w:t>
      </w:r>
      <w:r>
        <w:rPr>
          <w:vertAlign w:val="superscript"/>
        </w:rPr>
        <w:footnoteReference w:id="876"/>
      </w:r>
      <w:r w:rsidRPr="00AD2F44">
        <w:t xml:space="preserve"> Even in those cases where the court allows expert time-study evidence bearing on representative testimony, however, such evidence has been held to have limited application in calculating damages.</w:t>
      </w:r>
      <w:r>
        <w:rPr>
          <w:vertAlign w:val="superscript"/>
        </w:rPr>
        <w:footnoteReference w:id="877"/>
      </w:r>
    </w:p>
    <w:p w14:paraId="475A8C56" w14:textId="77777777" w:rsidR="005D0340" w:rsidRPr="00AD2F44" w:rsidRDefault="00F42107">
      <w:pPr>
        <w:pStyle w:val="05Second-LevelHeadABC"/>
      </w:pPr>
      <w:r w:rsidRPr="00AD2F44">
        <w:t>C.</w:t>
      </w:r>
      <w:r w:rsidRPr="00AD2F44">
        <w:tab/>
        <w:t>Order and Presentation of Proof</w:t>
      </w:r>
    </w:p>
    <w:p w14:paraId="77C6890B" w14:textId="77777777" w:rsidR="005D0340" w:rsidRPr="00AD2F44" w:rsidRDefault="00F42107">
      <w:pPr>
        <w:pStyle w:val="10ATextWithIndent"/>
      </w:pPr>
      <w:r w:rsidRPr="00AD2F44">
        <w:t>To promote greater efficiency and judicial economy in collective actions, in light of the often large number of plaintiffs and the complexity caused by the burden-shifting schemes of FLSA jurisprudence, courts managing collective action trials often employ a variety of procedural mechanisms that impact the order and presentation of proof.</w:t>
      </w:r>
    </w:p>
    <w:p w14:paraId="168467FB" w14:textId="77777777" w:rsidR="005D0340" w:rsidRPr="00AD2F44" w:rsidRDefault="00F42107">
      <w:pPr>
        <w:pStyle w:val="10ATextWithIndent"/>
      </w:pPr>
      <w:r w:rsidRPr="00AD2F44">
        <w:t>Rule 403 of the Federal Rules of Evidence enables trial judges to exclude needlessly cumulative evidence.</w:t>
      </w:r>
      <w:r>
        <w:rPr>
          <w:vertAlign w:val="superscript"/>
        </w:rPr>
        <w:footnoteReference w:id="878"/>
      </w:r>
      <w:r w:rsidRPr="00AD2F44">
        <w:t xml:space="preserve"> Relying on this rule, courts may limit the number of witnesses that each side may call at trial or limit the length of collective action trials.</w:t>
      </w:r>
      <w:r>
        <w:rPr>
          <w:vertAlign w:val="superscript"/>
        </w:rPr>
        <w:footnoteReference w:id="879"/>
      </w:r>
      <w:r w:rsidRPr="00AD2F44">
        <w:t xml:space="preserve"> In determining whether to limit the number of witnesses that each side may call, courts often rely on representations by </w:t>
      </w:r>
      <w:r w:rsidRPr="00AD2F44">
        <w:lastRenderedPageBreak/>
        <w:t>counsel, or by stipulations between the parties, that establish that additional witnesses would testify similarly to other witnesses that are actually presented at trial.</w:t>
      </w:r>
      <w:r>
        <w:rPr>
          <w:vertAlign w:val="superscript"/>
        </w:rPr>
        <w:footnoteReference w:id="880"/>
      </w:r>
    </w:p>
    <w:p w14:paraId="7095BAC2" w14:textId="77777777" w:rsidR="005D0340" w:rsidRPr="00AD2F44" w:rsidRDefault="00F42107">
      <w:pPr>
        <w:pStyle w:val="10ATextWithIndent"/>
      </w:pPr>
      <w:r w:rsidRPr="00AD2F44">
        <w:t>Although placing limits on numbers of witnesses is an important method to manage collective action trials, there are, of course, limits to courts’ ability to use this tool. Rule 403 requires courts to balance the probative value of evidence against the negative consequences of using that evidence. Thus, Rule 403 does not permit judges to exclude evidence with probative value just because it will cause delay.</w:t>
      </w:r>
      <w:r>
        <w:rPr>
          <w:vertAlign w:val="superscript"/>
        </w:rPr>
        <w:footnoteReference w:id="881"/>
      </w:r>
      <w:r w:rsidRPr="00AD2F44">
        <w:t xml:space="preserve"> This is particularly significant given the number of collective action trials that involve proof based on representative evidence.</w:t>
      </w:r>
      <w:r>
        <w:rPr>
          <w:vertAlign w:val="superscript"/>
        </w:rPr>
        <w:footnoteReference w:id="882"/>
      </w:r>
      <w:r w:rsidRPr="00AD2F44">
        <w:t xml:space="preserve"> Imposing a witness limit that is too strict might inappropriately preclude the parties from presenting sufficient evidence to sustain their burdens of proof.</w:t>
      </w:r>
      <w:r>
        <w:rPr>
          <w:vertAlign w:val="superscript"/>
        </w:rPr>
        <w:footnoteReference w:id="883"/>
      </w:r>
      <w:r w:rsidRPr="00AD2F44">
        <w:t xml:space="preserve"> Further, because such limitations may impact the ability to present sufficient evidence, courts may preclude defendants from arguing that plaintiffs have failed to present enough representative evidence in situations where defendants agree to, or advocate for, limits on the evidence that the parties can present at trial.</w:t>
      </w:r>
      <w:r>
        <w:rPr>
          <w:vertAlign w:val="superscript"/>
        </w:rPr>
        <w:footnoteReference w:id="884"/>
      </w:r>
    </w:p>
    <w:p w14:paraId="3B2A959E" w14:textId="77777777" w:rsidR="005D0340" w:rsidRPr="00AD2F44" w:rsidRDefault="00F42107">
      <w:pPr>
        <w:pStyle w:val="10ATextWithIndent"/>
      </w:pPr>
      <w:r w:rsidRPr="00AD2F44">
        <w:t>In addition to limiting the number of witnesses that each side may call at trial, courts sometimes attempt to make FLSA collective action trials more manageable by bifurcating the liability and damages phases of such trials.</w:t>
      </w:r>
      <w:r>
        <w:rPr>
          <w:vertAlign w:val="superscript"/>
        </w:rPr>
        <w:footnoteReference w:id="885"/>
      </w:r>
      <w:r w:rsidRPr="00AD2F44">
        <w:t xml:space="preserve"> Pursuant to Rule 42(b) of the Federal Rules of </w:t>
      </w:r>
      <w:r w:rsidRPr="00AD2F44">
        <w:lastRenderedPageBreak/>
        <w:t>Civil Procedure, courts have the discretion to order a separate trial of any claim or issue.</w:t>
      </w:r>
      <w:r>
        <w:rPr>
          <w:vertAlign w:val="superscript"/>
        </w:rPr>
        <w:footnoteReference w:id="886"/>
      </w:r>
      <w:r w:rsidRPr="00AD2F44">
        <w:t xml:space="preserve"> Given the burden-shifting mechanisms established by </w:t>
      </w:r>
      <w:r w:rsidRPr="00AD2F44">
        <w:rPr>
          <w:i/>
        </w:rPr>
        <w:t>Mt. Clemens</w:t>
      </w:r>
      <w:r w:rsidRPr="00AD2F44">
        <w:t>,</w:t>
      </w:r>
      <w:r>
        <w:rPr>
          <w:vertAlign w:val="superscript"/>
        </w:rPr>
        <w:footnoteReference w:id="887"/>
      </w:r>
      <w:r w:rsidRPr="00AD2F44">
        <w:t xml:space="preserve"> liability determinations in FLSA collective actions often focus on the establishment of a pattern or practice of FLSA violations that can be proved by representative evidence.</w:t>
      </w:r>
      <w:r>
        <w:rPr>
          <w:vertAlign w:val="superscript"/>
        </w:rPr>
        <w:footnoteReference w:id="888"/>
      </w:r>
    </w:p>
    <w:p w14:paraId="6BBAB306" w14:textId="77777777" w:rsidR="005D0340" w:rsidRPr="00AD2F44" w:rsidRDefault="00F42107">
      <w:pPr>
        <w:pStyle w:val="10ATextWithIndent"/>
      </w:pPr>
      <w:r w:rsidRPr="00AD2F44">
        <w:t>Once such a pattern or practice is established, and the defendant fails to rebut that prima facie showing or prove its affirmative defenses, the issue becomes what damages should be awarded to remedy that violation. Such a damages showing often involves particularized determinations with respect to each employee, or class of employees, represented in the action.</w:t>
      </w:r>
      <w:r>
        <w:rPr>
          <w:vertAlign w:val="superscript"/>
        </w:rPr>
        <w:footnoteReference w:id="889"/>
      </w:r>
      <w:r w:rsidRPr="00AD2F44">
        <w:t xml:space="preserve"> Thus, by bifurcating damages from liability, courts may avoid expending unnecessary resources </w:t>
      </w:r>
      <w:r w:rsidRPr="00AD2F44">
        <w:lastRenderedPageBreak/>
        <w:t>on the issue of damages in the event that liability is not established, as well as avoid the possibility of confusion and prejudice by presenting damages and liability evidence at the same time.</w:t>
      </w:r>
      <w:r>
        <w:rPr>
          <w:vertAlign w:val="superscript"/>
        </w:rPr>
        <w:footnoteReference w:id="890"/>
      </w:r>
    </w:p>
    <w:p w14:paraId="7472EB35" w14:textId="77777777" w:rsidR="005D0340" w:rsidRPr="00AD2F44" w:rsidRDefault="00F42107">
      <w:pPr>
        <w:pStyle w:val="10ATextWithIndent"/>
      </w:pPr>
      <w:r w:rsidRPr="00AD2F44">
        <w:t>In addition to these two main methods of promoting the efficient trial of FLSA collective action claims, in some instances courts have attempted to create more streamlined trials by ordering the parties to present their cases in a particular order. Under normal circumstances plaintiffs present their case-in-chief, defendants present a rebuttal to that case and their own affirmative defenses, and then the plaintiffs present a rebuttal to the defendant’s defenses. In at least one FLSA collective action trial, however, the court ruled that the plaintiffs had to present their rebuttal evidence to the defendant’s affirmative defense as part of their case-in-chief.</w:t>
      </w:r>
      <w:r>
        <w:rPr>
          <w:vertAlign w:val="superscript"/>
        </w:rPr>
        <w:footnoteReference w:id="891"/>
      </w:r>
      <w:r w:rsidRPr="00AD2F44">
        <w:t xml:space="preserve"> Further, in cases where defendants have the burden of proof on the affirmative defense, some courts have permitted defendants to present their case-in-chief before plaintiffs.</w:t>
      </w:r>
      <w:r>
        <w:rPr>
          <w:vertAlign w:val="superscript"/>
        </w:rPr>
        <w:footnoteReference w:id="892"/>
      </w:r>
    </w:p>
    <w:p w14:paraId="77B63E2C" w14:textId="77777777" w:rsidR="005D0340" w:rsidRPr="00AD2F44" w:rsidRDefault="00F42107">
      <w:pPr>
        <w:pStyle w:val="04First-LevelHeadIIIIII"/>
      </w:pPr>
      <w:r w:rsidRPr="00AD2F44">
        <w:t>IX.</w:t>
      </w:r>
      <w:r w:rsidRPr="00AD2F44">
        <w:t> </w:t>
      </w:r>
      <w:r w:rsidRPr="00AD2F44">
        <w:t>Appellate Issues for Collective Actions</w:t>
      </w:r>
    </w:p>
    <w:p w14:paraId="257C09CF" w14:textId="77777777" w:rsidR="005D0340" w:rsidRPr="00AD2F44" w:rsidRDefault="00F42107">
      <w:pPr>
        <w:pStyle w:val="10ATextWithIndent"/>
      </w:pPr>
      <w:r w:rsidRPr="00AD2F44">
        <w:t>The primary appellate issue unique to collective actions is whether decisions granting or denying collective action treatment are subject to appellate review before a final judgment after trial on the merits.</w:t>
      </w:r>
    </w:p>
    <w:p w14:paraId="22910C5D" w14:textId="77777777" w:rsidR="005D0340" w:rsidRPr="00AD2F44" w:rsidRDefault="00F42107">
      <w:pPr>
        <w:pStyle w:val="10ATextWithIndent"/>
      </w:pPr>
      <w:r w:rsidRPr="00AD2F44">
        <w:t>Orders granting or denying motions to issue notice to a conditional collective action class are not final judgments appealable under 28 U.S.C. §1291.</w:t>
      </w:r>
      <w:r>
        <w:rPr>
          <w:vertAlign w:val="superscript"/>
        </w:rPr>
        <w:footnoteReference w:id="893"/>
      </w:r>
      <w:r w:rsidRPr="00AD2F44">
        <w:t xml:space="preserve"> Further, unlike class certification </w:t>
      </w:r>
      <w:r w:rsidRPr="00AD2F44">
        <w:lastRenderedPageBreak/>
        <w:t>decisions under Rule 23(f), there is no explicit mechanism under Section 216(b) for seeking review of conditional certification decisions.</w:t>
      </w:r>
      <w:r>
        <w:rPr>
          <w:vertAlign w:val="superscript"/>
        </w:rPr>
        <w:footnoteReference w:id="894"/>
      </w:r>
      <w:r w:rsidRPr="00AD2F44">
        <w:t xml:space="preserve"> </w:t>
      </w:r>
    </w:p>
    <w:p w14:paraId="31940E2C" w14:textId="77777777" w:rsidR="005D0340" w:rsidRPr="00AD2F44" w:rsidRDefault="00F42107">
      <w:pPr>
        <w:pStyle w:val="10ATextWithIndent"/>
        <w:rPr>
          <w:vertAlign w:val="superscript"/>
        </w:rPr>
      </w:pPr>
      <w:r w:rsidRPr="00AD2F44">
        <w:t xml:space="preserve">Parties who have sought appellate review of collective action certification decisions have done so under the Supreme Court’s “collateral order” exception to Section 1291 from </w:t>
      </w:r>
      <w:r w:rsidRPr="00AD2F44">
        <w:rPr>
          <w:i/>
          <w:iCs/>
        </w:rPr>
        <w:t>Cohen v. Beneficial Industrial Loan Corp</w:t>
      </w:r>
      <w:r w:rsidRPr="00AD2F44">
        <w:t>.</w:t>
      </w:r>
      <w:r>
        <w:rPr>
          <w:vertAlign w:val="superscript"/>
        </w:rPr>
        <w:footnoteReference w:id="895"/>
      </w:r>
      <w:r w:rsidRPr="00AD2F44">
        <w:t xml:space="preserve"> None has been successful.</w:t>
      </w:r>
      <w:r>
        <w:rPr>
          <w:vertAlign w:val="superscript"/>
        </w:rPr>
        <w:footnoteReference w:id="896"/>
      </w:r>
      <w:r w:rsidRPr="00AD2F44">
        <w:t xml:space="preserve"> Courts have rejected interlocutory appeals both by defendants after a motion to issue notice was granted</w:t>
      </w:r>
      <w:r>
        <w:rPr>
          <w:vertAlign w:val="superscript"/>
        </w:rPr>
        <w:footnoteReference w:id="897"/>
      </w:r>
      <w:r w:rsidRPr="00AD2F44">
        <w:t xml:space="preserve"> and by plaintiffs when such a motion was denied.</w:t>
      </w:r>
      <w:r>
        <w:rPr>
          <w:vertAlign w:val="superscript"/>
        </w:rPr>
        <w:footnoteReference w:id="898"/>
      </w:r>
      <w:r w:rsidRPr="00AD2F44">
        <w:t xml:space="preserve"> Courts have also concluded that orders on decertification motions are not subject to interlocutory review.</w:t>
      </w:r>
      <w:r>
        <w:rPr>
          <w:vertAlign w:val="superscript"/>
        </w:rPr>
        <w:footnoteReference w:id="899"/>
      </w:r>
      <w:r w:rsidRPr="00AD2F44">
        <w:t xml:space="preserve"> As the Third Circuit explained, to obtain appellate review of a decertification decision, “the plaintiff must either proceed to a final judgment on the merits of his or her individual claims or seek the District Court’s permission to pursue an immediate appeal.”</w:t>
      </w:r>
      <w:r>
        <w:rPr>
          <w:vertAlign w:val="superscript"/>
        </w:rPr>
        <w:footnoteReference w:id="900"/>
      </w:r>
    </w:p>
    <w:p w14:paraId="17F08547" w14:textId="77777777" w:rsidR="005D0340" w:rsidRPr="00AD2F44" w:rsidRDefault="00F42107">
      <w:pPr>
        <w:pStyle w:val="10ATextWithIndent"/>
        <w:rPr>
          <w:vertAlign w:val="superscript"/>
        </w:rPr>
      </w:pPr>
      <w:r w:rsidRPr="00AD2F44">
        <w:t>Where decertification is granted, the Ninth Circuit has held that opt-ins’ argument that being “ouste[d]” from the suit “violated their right under the FLSA to pursue their claims collectively” allows them to appeal that order because “the dismissal order then merged into the final judgment. Nothing more is needed for appellate jurisdiction or for standing.”</w:t>
      </w:r>
      <w:r>
        <w:rPr>
          <w:vertAlign w:val="superscript"/>
        </w:rPr>
        <w:footnoteReference w:id="901"/>
      </w:r>
      <w:r w:rsidRPr="00AD2F44">
        <w:t xml:space="preserve"> Similarly, </w:t>
      </w:r>
      <w:r w:rsidRPr="00AD2F44">
        <w:lastRenderedPageBreak/>
        <w:t>the Eleventh Circuit has opined that opt-ins are party plaintiffs and have standing to appeal once there is an entry of judgment (in this case, the final settlement approval decision).</w:t>
      </w:r>
      <w:r>
        <w:rPr>
          <w:vertAlign w:val="superscript"/>
        </w:rPr>
        <w:footnoteReference w:id="902"/>
      </w:r>
    </w:p>
    <w:p w14:paraId="0135BFBA" w14:textId="77777777" w:rsidR="005D0340" w:rsidRPr="00AD2F44" w:rsidRDefault="00F42107">
      <w:pPr>
        <w:pStyle w:val="10ATextWithIndent"/>
      </w:pPr>
      <w:r w:rsidRPr="00AD2F44">
        <w:t xml:space="preserve">The courts considering the application of </w:t>
      </w:r>
      <w:r w:rsidRPr="00AD2F44">
        <w:rPr>
          <w:i/>
          <w:iCs/>
        </w:rPr>
        <w:t>Cohen</w:t>
      </w:r>
      <w:r w:rsidRPr="00AD2F44">
        <w:t xml:space="preserve">’s collateral order exception have relied on the reasoning of the Supreme Court in </w:t>
      </w:r>
      <w:r w:rsidRPr="00AD2F44">
        <w:rPr>
          <w:i/>
          <w:iCs/>
        </w:rPr>
        <w:t>Coopers &amp; Lybrand v. Livesay</w:t>
      </w:r>
      <w:r w:rsidRPr="00AD2F44">
        <w:t>.</w:t>
      </w:r>
      <w:r>
        <w:rPr>
          <w:vertAlign w:val="superscript"/>
        </w:rPr>
        <w:footnoteReference w:id="903"/>
      </w:r>
      <w:r w:rsidRPr="00AD2F44">
        <w:t xml:space="preserve"> The Court in </w:t>
      </w:r>
      <w:r w:rsidRPr="00AD2F44">
        <w:rPr>
          <w:i/>
          <w:iCs/>
        </w:rPr>
        <w:t xml:space="preserve">Coopers &amp; Lybrand </w:t>
      </w:r>
      <w:r w:rsidRPr="00AD2F44">
        <w:t>held that class certification decisions under Rule 23 are not subject to the exception, because (1) the order is subject to review and modification by the district court, (2) the certification decision is not separate but rather involves issues that are intertwined with the merits of the plaintiff’s claims, and (3) the certification decision is subject to effective review after final judgment.</w:t>
      </w:r>
      <w:r>
        <w:rPr>
          <w:vertAlign w:val="superscript"/>
        </w:rPr>
        <w:footnoteReference w:id="904"/>
      </w:r>
      <w:r w:rsidRPr="00AD2F44">
        <w:t xml:space="preserve"> Although later decisions have acknowledged Rule 23(f)’s abrogation of </w:t>
      </w:r>
      <w:r w:rsidRPr="00AD2F44">
        <w:rPr>
          <w:i/>
          <w:iCs/>
        </w:rPr>
        <w:t>Coopers &amp; Lybrand</w:t>
      </w:r>
      <w:r w:rsidRPr="00AD2F44">
        <w:t xml:space="preserve"> with respect to Rule 23 certification decisions, they have held that the reasoning of the case continues to support rejection of interlocutory appeals in Section 216(b) certification decisions,</w:t>
      </w:r>
      <w:r>
        <w:rPr>
          <w:vertAlign w:val="superscript"/>
        </w:rPr>
        <w:footnoteReference w:id="905"/>
      </w:r>
      <w:r w:rsidRPr="00AD2F44">
        <w:t xml:space="preserve"> and one court has held that the existence of Rule 23(f) without a parallel provision under Section 216(b) only strengthened its reliance on </w:t>
      </w:r>
      <w:r w:rsidRPr="00AD2F44">
        <w:rPr>
          <w:i/>
          <w:iCs/>
        </w:rPr>
        <w:t>Coopers &amp; Lybrand</w:t>
      </w:r>
      <w:r w:rsidRPr="00AD2F44">
        <w:t>.</w:t>
      </w:r>
      <w:r>
        <w:rPr>
          <w:vertAlign w:val="superscript"/>
        </w:rPr>
        <w:footnoteReference w:id="906"/>
      </w:r>
    </w:p>
    <w:p w14:paraId="0608E843" w14:textId="77777777" w:rsidR="005D0340" w:rsidRPr="00AD2F44" w:rsidRDefault="00F42107">
      <w:pPr>
        <w:pStyle w:val="10ATextWithIndent"/>
      </w:pPr>
      <w:r w:rsidRPr="00AD2F44">
        <w:t>Another argument raised by litigants seeking interlocutory appeal of a district court order on conditional certification is that it can be reviewed along with a decision under Rule 23 on the basis of pendent appellate jurisdiction.</w:t>
      </w:r>
      <w:r>
        <w:rPr>
          <w:vertAlign w:val="superscript"/>
        </w:rPr>
        <w:footnoteReference w:id="907"/>
      </w:r>
      <w:r w:rsidRPr="00AD2F44">
        <w:t xml:space="preserve"> This argument has been rejected because the pendent appellate jurisdiction rule is narrowly construed, and the standard for conditional certification and the Rule 23 certification standard—particularly predominance—are distinct and do not require evaluation of the evidence under the same standard.</w:t>
      </w:r>
      <w:r>
        <w:rPr>
          <w:vertAlign w:val="superscript"/>
        </w:rPr>
        <w:footnoteReference w:id="908"/>
      </w:r>
      <w:r w:rsidRPr="00AD2F44">
        <w:t xml:space="preserve"> However, the Third Circuit in </w:t>
      </w:r>
      <w:r w:rsidRPr="00AD2F44">
        <w:rPr>
          <w:i/>
          <w:iCs/>
        </w:rPr>
        <w:t>Reinig v. RBS Citizens</w:t>
      </w:r>
      <w:r>
        <w:rPr>
          <w:vertAlign w:val="superscript"/>
        </w:rPr>
        <w:footnoteReference w:id="909"/>
      </w:r>
      <w:r w:rsidRPr="00AD2F44">
        <w:rPr>
          <w:i/>
          <w:iCs/>
        </w:rPr>
        <w:t xml:space="preserve"> </w:t>
      </w:r>
      <w:r w:rsidRPr="00AD2F44">
        <w:t>identified a narrow exception that allows the “exercise [of] pendent appellate jurisdiction ‘over issues that are not independently appealable,’” but held that the exception had not been satisfied in that particular appeal regarding a district court order granting the certification of a collective.</w:t>
      </w:r>
      <w:r>
        <w:rPr>
          <w:vertAlign w:val="superscript"/>
        </w:rPr>
        <w:footnoteReference w:id="910"/>
      </w:r>
    </w:p>
    <w:p w14:paraId="1EC313D5" w14:textId="77777777" w:rsidR="005D0340" w:rsidRPr="00AD2F44" w:rsidRDefault="00F42107">
      <w:pPr>
        <w:pStyle w:val="10ATextWithIndent"/>
      </w:pPr>
      <w:r w:rsidRPr="00AD2F44">
        <w:lastRenderedPageBreak/>
        <w:t>Another appellate issue that may arise is the extent to which a named plaintiff maintains standing to pursue an appeal after accepting an offer of judgment.</w:t>
      </w:r>
      <w:r>
        <w:rPr>
          <w:vertAlign w:val="superscript"/>
        </w:rPr>
        <w:footnoteReference w:id="911"/>
      </w:r>
      <w:r w:rsidRPr="00AD2F44">
        <w:t xml:space="preserve"> In </w:t>
      </w:r>
      <w:r w:rsidRPr="00AD2F44">
        <w:rPr>
          <w:i/>
          <w:iCs/>
        </w:rPr>
        <w:t>Smith v</w:t>
      </w:r>
      <w:r w:rsidRPr="00AD2F44">
        <w:t>.</w:t>
      </w:r>
      <w:r w:rsidRPr="00AD2F44">
        <w:rPr>
          <w:i/>
          <w:iCs/>
        </w:rPr>
        <w:t xml:space="preserve"> T-Mobile USA Inc</w:t>
      </w:r>
      <w:r w:rsidRPr="00AD2F44">
        <w:t>.,</w:t>
      </w:r>
      <w:r>
        <w:rPr>
          <w:vertAlign w:val="superscript"/>
        </w:rPr>
        <w:footnoteReference w:id="912"/>
      </w:r>
      <w:r w:rsidRPr="00AD2F44">
        <w:t xml:space="preserve"> the Ninth Circuit joined the Fifth and Eleventh Circuits in holding that “a[n] FLSA plaintiff who voluntarily settles his individual claims prior to being joined by opt-in plaintiffs and after the district court’s certification denial does not retain a personal stake in the appeal so as to preserve [appellate] jurisdiction.”</w:t>
      </w:r>
      <w:r>
        <w:rPr>
          <w:vertAlign w:val="superscript"/>
        </w:rPr>
        <w:footnoteReference w:id="913"/>
      </w:r>
      <w:r w:rsidRPr="00AD2F44">
        <w:t xml:space="preserve"> The plaintiffs in </w:t>
      </w:r>
      <w:r w:rsidRPr="00AD2F44">
        <w:rPr>
          <w:i/>
          <w:iCs/>
        </w:rPr>
        <w:t>Smith</w:t>
      </w:r>
      <w:r w:rsidRPr="00AD2F44">
        <w:t>, after being denied certification, agreed to accept an offer of judgment in full satisfaction of their individual claims, and a separate amount in full satisfaction for attorneys’ fees and costs.</w:t>
      </w:r>
      <w:r>
        <w:rPr>
          <w:vertAlign w:val="superscript"/>
        </w:rPr>
        <w:footnoteReference w:id="914"/>
      </w:r>
      <w:r w:rsidRPr="00AD2F44">
        <w:t xml:space="preserve"> The plaintiffs attempted to preserve their right to appeal via a stipulation with the defendant, but the court held that “structural distinctions between a[n] FLSA collective action and a Rule 23 class action foreclose appellants’ claims of a continuing personal stake.”</w:t>
      </w:r>
      <w:r>
        <w:rPr>
          <w:vertAlign w:val="superscript"/>
        </w:rPr>
        <w:footnoteReference w:id="915"/>
      </w:r>
      <w:r w:rsidRPr="00AD2F44">
        <w:t xml:space="preserve"> Because an FLSA collective action, unlike a Rule 23 class action, depends for its existence on other plaintiffs opting in, if no other plaintiffs have opted in, an FLSA plaintiff is representing no one’s interest but his own; if he settles that interest, there are no claims remaining to assert, nor are there remaining stakes in attorneys’ fees, costs, or any possible plaintiffs’ enhancement that could accompany a collective action.</w:t>
      </w:r>
      <w:r>
        <w:rPr>
          <w:vertAlign w:val="superscript"/>
        </w:rPr>
        <w:footnoteReference w:id="916"/>
      </w:r>
    </w:p>
    <w:p w14:paraId="3CDC87E9" w14:textId="77777777" w:rsidR="005D0340" w:rsidRPr="00AD2F44" w:rsidRDefault="00F42107">
      <w:pPr>
        <w:pStyle w:val="10ATextWithIndent"/>
      </w:pPr>
      <w:r w:rsidRPr="00AD2F44">
        <w:t xml:space="preserve">On the other hand, the Seventh Circuit held, in </w:t>
      </w:r>
      <w:r w:rsidRPr="00AD2F44">
        <w:rPr>
          <w:i/>
          <w:iCs/>
        </w:rPr>
        <w:t>Espenscheid v. DirectSAT USA, LLC</w:t>
      </w:r>
      <w:r w:rsidRPr="00AD2F44">
        <w:t>,</w:t>
      </w:r>
      <w:r>
        <w:rPr>
          <w:vertAlign w:val="superscript"/>
        </w:rPr>
        <w:footnoteReference w:id="917"/>
      </w:r>
      <w:r w:rsidRPr="00AD2F44">
        <w:t xml:space="preserve"> that, where plaintiffs were denied the ability to obtain incentive awards that were conditional on certification of a collective action, their settlement and dismissal following decertification did not divest the court of jurisdiction to hear the appeal.</w:t>
      </w:r>
      <w:r>
        <w:rPr>
          <w:vertAlign w:val="superscript"/>
        </w:rPr>
        <w:footnoteReference w:id="918"/>
      </w:r>
      <w:r w:rsidRPr="00AD2F44">
        <w:t xml:space="preserve"> The court reasoned that the prospect of a financial incentive award, which was denied by the decertification order, gave the plaintiffs a financial stake in any award that might be given to a class, similar to financial assignees, meaning that they had a continuing stake.</w:t>
      </w:r>
      <w:r>
        <w:rPr>
          <w:vertAlign w:val="superscript"/>
        </w:rPr>
        <w:footnoteReference w:id="919"/>
      </w:r>
    </w:p>
    <w:p w14:paraId="7356D2AA" w14:textId="390CD3B7" w:rsidR="005D0340" w:rsidRPr="00AD2F44" w:rsidRDefault="00F42107" w:rsidP="00377A90">
      <w:pPr>
        <w:pStyle w:val="10ATextWithIndent"/>
        <w:ind w:firstLine="0"/>
      </w:pPr>
      <w:r w:rsidRPr="00AD2F44">
        <w:tab/>
        <w:t xml:space="preserve">A similar issue arises when a named plaintiff in a decertified case succeeds on the merits yet wishes to appeal the decertification order. In considering whether that plaintiff maintains a cognizable interest in the appeal, the Second Circuit held </w:t>
      </w:r>
      <w:r w:rsidR="00377A90" w:rsidRPr="00AD2F44">
        <w:t xml:space="preserve">that </w:t>
      </w:r>
      <w:r w:rsidRPr="00AD2F44">
        <w:t>the plaintiff retains a “private attorney general interest [that] suffices for jurisdiction.”</w:t>
      </w:r>
      <w:r>
        <w:rPr>
          <w:rStyle w:val="FootnoteReference"/>
        </w:rPr>
        <w:footnoteReference w:id="920"/>
      </w:r>
      <w:r w:rsidRPr="00AD2F44">
        <w:t xml:space="preserve"> </w:t>
      </w:r>
    </w:p>
    <w:p w14:paraId="64DCC42F" w14:textId="1DB6E955" w:rsidR="005D0340" w:rsidRPr="00AD2F44" w:rsidRDefault="00F42107" w:rsidP="008D4DF3">
      <w:pPr>
        <w:pStyle w:val="10ATextWithIndent"/>
      </w:pPr>
      <w:r w:rsidRPr="00AD2F44">
        <w:t>In some cases, appellants have also sought review of certification decisions via a petition for writ of mandamus.</w:t>
      </w:r>
      <w:r>
        <w:rPr>
          <w:vertAlign w:val="superscript"/>
        </w:rPr>
        <w:footnoteReference w:id="921"/>
      </w:r>
      <w:r w:rsidRPr="00AD2F44">
        <w:t xml:space="preserve"> For reasons similar to the rejection of the collateral order exception to </w:t>
      </w:r>
      <w:r w:rsidRPr="00AD2F44">
        <w:lastRenderedPageBreak/>
        <w:t>the final judgment rule, these efforts have also been rejected.</w:t>
      </w:r>
      <w:r>
        <w:rPr>
          <w:vertAlign w:val="superscript"/>
        </w:rPr>
        <w:footnoteReference w:id="922"/>
      </w:r>
      <w:r w:rsidR="008D4DF3">
        <w:t xml:space="preserve"> At least one court has held that a party cannot move for interlocutory appeal of a lower court’s decision on the number and type of certification stages.</w:t>
      </w:r>
      <w:r>
        <w:rPr>
          <w:rStyle w:val="FootnoteReference"/>
        </w:rPr>
        <w:footnoteReference w:id="923"/>
      </w:r>
      <w:r w:rsidR="008D4DF3">
        <w:t xml:space="preserve"> </w:t>
      </w:r>
      <w:r w:rsidRPr="00AD2F44">
        <w:t xml:space="preserve">A notable exception is a case from </w:t>
      </w:r>
      <w:r w:rsidR="00F22EEA" w:rsidRPr="00AD2F44">
        <w:t xml:space="preserve">the </w:t>
      </w:r>
      <w:r w:rsidRPr="00AD2F44">
        <w:t>Fifth Circuit</w:t>
      </w:r>
      <w:r w:rsidR="00613A98" w:rsidRPr="00AD2F44">
        <w:t xml:space="preserve"> </w:t>
      </w:r>
      <w:r w:rsidR="00377A90" w:rsidRPr="00AD2F44">
        <w:t xml:space="preserve">that </w:t>
      </w:r>
      <w:r w:rsidRPr="00AD2F44">
        <w:t>granted a writ of mandamus after a district court allowed judicial notice to issue to potential opt</w:t>
      </w:r>
      <w:r w:rsidR="00377A90" w:rsidRPr="00AD2F44">
        <w:t>-</w:t>
      </w:r>
      <w:r w:rsidRPr="00AD2F44">
        <w:t>ins with arbitration agreements, in violation of circuit precedent.</w:t>
      </w:r>
      <w:r>
        <w:rPr>
          <w:rStyle w:val="FootnoteReference"/>
        </w:rPr>
        <w:footnoteReference w:id="924"/>
      </w:r>
    </w:p>
    <w:p w14:paraId="045F25CE" w14:textId="77777777" w:rsidR="005D0340" w:rsidRPr="00AD2F44" w:rsidRDefault="00F42107">
      <w:pPr>
        <w:pStyle w:val="10ATextWithIndent"/>
      </w:pPr>
      <w:r w:rsidRPr="00AD2F44">
        <w:t>Further, pending appeal of an order granting or denying a motion to compel arbitration, district courts may not have jurisdiction to decide a motion for equitable tolling of the FLSA limitations period.</w:t>
      </w:r>
      <w:r>
        <w:rPr>
          <w:vertAlign w:val="superscript"/>
        </w:rPr>
        <w:footnoteReference w:id="925"/>
      </w:r>
      <w:r w:rsidRPr="00AD2F44">
        <w:t xml:space="preserve"> Moreover, where a motion to compel is not made but the defendant seeks to prevent opt-ins with arbitration agreements from receiving notice through the court’s conditional certification order, the Sixth Circuit held that such an order is not reviewable on appeal, including under 9 U.S.C. §16(a)(1)(B) of the Federal Arbitration Act (FAA).</w:t>
      </w:r>
      <w:r>
        <w:rPr>
          <w:vertAlign w:val="superscript"/>
        </w:rPr>
        <w:footnoteReference w:id="926"/>
      </w:r>
      <w:r w:rsidRPr="00AD2F44">
        <w:t xml:space="preserve"> When a district court either grants or denies a motion to compel arbitration, the standard of review is de novo.</w:t>
      </w:r>
      <w:r>
        <w:rPr>
          <w:vertAlign w:val="superscript"/>
        </w:rPr>
        <w:footnoteReference w:id="927"/>
      </w:r>
      <w:r w:rsidRPr="00AD2F44">
        <w:t xml:space="preserve"> </w:t>
      </w:r>
    </w:p>
    <w:p w14:paraId="513A046F" w14:textId="2951FA3A" w:rsidR="005D0340" w:rsidRPr="00AD2F44" w:rsidRDefault="00F42107">
      <w:pPr>
        <w:pStyle w:val="10ATextWithIndent"/>
        <w:rPr>
          <w:vertAlign w:val="superscript"/>
        </w:rPr>
      </w:pPr>
      <w:r w:rsidRPr="00AD2F44">
        <w:t xml:space="preserve">Another appellate review issue pertains to the exercise of pendent appellate review in suits involving both FLSA collective actions and Rule 23 state wage and hour class actions. When an appellate court is reviewing the propriety of a lower court’s Rule 23 ruling, the issue arises as to whether the FLSA certification decision is “inextricably intertwined” as to warrant pendent appellate review. The Third Circuit, relying on reasoning from the Second Circuit, has held that a Rule 23 class certification and FLSA final collective action certification are not </w:t>
      </w:r>
      <w:r w:rsidRPr="00AD2F44">
        <w:lastRenderedPageBreak/>
        <w:t>“inextricably intertwined.”</w:t>
      </w:r>
      <w:r>
        <w:rPr>
          <w:vertAlign w:val="superscript"/>
        </w:rPr>
        <w:footnoteReference w:id="928"/>
      </w:r>
      <w:r w:rsidRPr="00AD2F44">
        <w:t xml:space="preserve"> Accordingly, the court declined to exercise pendent appellate jurisdiction over the FLSA collective action certification order, as urged by the defendant.</w:t>
      </w:r>
      <w:r>
        <w:rPr>
          <w:vertAlign w:val="superscript"/>
        </w:rPr>
        <w:footnoteReference w:id="929"/>
      </w:r>
    </w:p>
    <w:p w14:paraId="39C903CC" w14:textId="77777777" w:rsidR="005D0340" w:rsidRPr="00AD2F44" w:rsidRDefault="00F42107">
      <w:pPr>
        <w:pStyle w:val="04First-LevelHeadIIIIII"/>
      </w:pPr>
      <w:r w:rsidRPr="00AD2F44">
        <w:t>X.</w:t>
      </w:r>
      <w:r w:rsidRPr="00AD2F44">
        <w:t> </w:t>
      </w:r>
      <w:r w:rsidRPr="00AD2F44">
        <w:t>The Collective Action Mechanism in Arbitration</w:t>
      </w:r>
    </w:p>
    <w:p w14:paraId="6FA36B0B" w14:textId="77777777" w:rsidR="005D0340" w:rsidRPr="00AD2F44" w:rsidRDefault="00F42107">
      <w:pPr>
        <w:pStyle w:val="10ATextWithIndent"/>
      </w:pPr>
      <w:r w:rsidRPr="00AD2F44">
        <w:t>As discussed in Chapter 16, Litigation Issues, Section III.A [FLSA Claims in Arbitration; Arbitrability of FLSA Claims], FLSA claims are arbitrable under the Federal Arbitration Act (FAA).</w:t>
      </w:r>
      <w:r>
        <w:rPr>
          <w:vertAlign w:val="superscript"/>
        </w:rPr>
        <w:footnoteReference w:id="930"/>
      </w:r>
      <w:r w:rsidRPr="00AD2F44">
        <w:t xml:space="preserve"> However, disputes often arise over whether such claims may be subject to arbitration when they are brought pursuant to the collective action provision in Section 216(b) of the FLSA.</w:t>
      </w:r>
    </w:p>
    <w:p w14:paraId="6B4E7F34" w14:textId="77777777" w:rsidR="005D0340" w:rsidRPr="00AD2F44" w:rsidRDefault="00F42107">
      <w:pPr>
        <w:pStyle w:val="10ATextWithIndent"/>
      </w:pPr>
      <w:r w:rsidRPr="00AD2F44">
        <w:t>This section discusses a number of issues that have arisen regarding arbitration of FLSA claims in the collective action context, including the enforceability of arbitration provisions that either purport to waive or do not expressly prohibit the employee’s right to pursue a collective action; whether FLSA collective arbitrations proceed on an “opt in” or “opt out” basis; and the impact on conditional certification when putative collective action members may be subject to an arbitration agreement.</w:t>
      </w:r>
      <w:r>
        <w:rPr>
          <w:vertAlign w:val="superscript"/>
        </w:rPr>
        <w:footnoteReference w:id="931"/>
      </w:r>
    </w:p>
    <w:p w14:paraId="3D72D19F" w14:textId="77777777" w:rsidR="005D0340" w:rsidRPr="00AD2F44" w:rsidRDefault="00F42107">
      <w:pPr>
        <w:pStyle w:val="05Second-LevelHeadABC"/>
      </w:pPr>
      <w:r w:rsidRPr="00AD2F44">
        <w:t>A.</w:t>
      </w:r>
      <w:r w:rsidRPr="00AD2F44">
        <w:tab/>
        <w:t>Arbitration Agreements Expressly Prohibiting Class and Collective Arbitration</w:t>
      </w:r>
    </w:p>
    <w:p w14:paraId="78E0919B" w14:textId="77777777" w:rsidR="005D0340" w:rsidRPr="00AD2F44" w:rsidRDefault="00F42107">
      <w:pPr>
        <w:pStyle w:val="10ATextWithIndent"/>
      </w:pPr>
      <w:r w:rsidRPr="00AD2F44">
        <w:t>Agreements to arbitrate employment disputes commonly contain a provision that expressly prohibits employees from bringing or participating in class or collective actions.</w:t>
      </w:r>
      <w:r>
        <w:rPr>
          <w:vertAlign w:val="superscript"/>
        </w:rPr>
        <w:footnoteReference w:id="932"/>
      </w:r>
      <w:r w:rsidRPr="00AD2F44">
        <w:t xml:space="preserve"> These agreements raise the issue of whether plaintiffs can waive the ability to proceed under the FLSA’s collective action mechanism in Section 216(b).</w:t>
      </w:r>
    </w:p>
    <w:p w14:paraId="5A3EE723" w14:textId="77777777" w:rsidR="005D0340" w:rsidRPr="00AD2F44" w:rsidRDefault="00F42107">
      <w:pPr>
        <w:pStyle w:val="10ATextWithIndent"/>
      </w:pPr>
      <w:r w:rsidRPr="00AD2F44">
        <w:t>Courts addressing collective action waivers have focused on whether the Section 216(b) collective mechanism is substantive or procedural, and whether the FLSA’s statutory text or legislative history evinces congressional intent to provide employees a nonwaivable right to pursue FLSA claims on a collective basis.</w:t>
      </w:r>
      <w:r>
        <w:rPr>
          <w:vertAlign w:val="superscript"/>
        </w:rPr>
        <w:footnoteReference w:id="933"/>
      </w:r>
      <w:r w:rsidRPr="00AD2F44">
        <w:t xml:space="preserve"> Some courts have expressed policy concerns to </w:t>
      </w:r>
      <w:r w:rsidRPr="00AD2F44">
        <w:lastRenderedPageBreak/>
        <w:t>question whether Section 216(b) is waivable,</w:t>
      </w:r>
      <w:r>
        <w:rPr>
          <w:vertAlign w:val="superscript"/>
        </w:rPr>
        <w:footnoteReference w:id="934"/>
      </w:r>
      <w:r w:rsidRPr="00AD2F44">
        <w:t xml:space="preserve"> but almost all federal appellate courts to directly address the issue have concluded that the FLSA’s collective action mechanism can be waived in arbitration agreements. In 2004, for example, the Fifth Circuit in </w:t>
      </w:r>
      <w:r w:rsidRPr="00AD2F44">
        <w:rPr>
          <w:i/>
          <w:iCs/>
        </w:rPr>
        <w:t>Carter v. Countrywide Credit Industries, Inc</w:t>
      </w:r>
      <w:r w:rsidRPr="00AD2F44">
        <w:t>.</w:t>
      </w:r>
      <w:r>
        <w:rPr>
          <w:vertAlign w:val="superscript"/>
        </w:rPr>
        <w:footnoteReference w:id="935"/>
      </w:r>
      <w:r w:rsidRPr="00AD2F44">
        <w:t xml:space="preserve"> rejected employees’ claim that their inability to bring a collective action in arbitration deprived them of their substantive rights under the FLSA.</w:t>
      </w:r>
      <w:r>
        <w:rPr>
          <w:vertAlign w:val="superscript"/>
        </w:rPr>
        <w:footnoteReference w:id="936"/>
      </w:r>
      <w:r w:rsidRPr="00AD2F44">
        <w:t xml:space="preserve"> Similarly, in 2005, the Eleventh Circuit in </w:t>
      </w:r>
      <w:r w:rsidRPr="00AD2F44">
        <w:rPr>
          <w:i/>
          <w:iCs/>
        </w:rPr>
        <w:t>Caley v. Gulfstream Aerospace Corp</w:t>
      </w:r>
      <w:r w:rsidRPr="00AD2F44">
        <w:t>.</w:t>
      </w:r>
      <w:r>
        <w:rPr>
          <w:vertAlign w:val="superscript"/>
        </w:rPr>
        <w:footnoteReference w:id="937"/>
      </w:r>
      <w:r w:rsidRPr="00AD2F44">
        <w:t xml:space="preserve"> held that arbitration agreements that prohibit collective actions are “consistent with the goals of ‘simplicity, informality, and expedition’ touted by the Supreme Court in </w:t>
      </w:r>
      <w:r w:rsidRPr="00AD2F44">
        <w:rPr>
          <w:i/>
          <w:iCs/>
        </w:rPr>
        <w:t xml:space="preserve">Gilmer </w:t>
      </w:r>
      <w:r w:rsidRPr="00AD2F44">
        <w:t>[</w:t>
      </w:r>
      <w:r w:rsidRPr="00AD2F44">
        <w:rPr>
          <w:i/>
          <w:iCs/>
        </w:rPr>
        <w:t>v. Interstate/Johnson Lane Corp</w:t>
      </w:r>
      <w:r w:rsidRPr="00AD2F44">
        <w:t>].”</w:t>
      </w:r>
      <w:r>
        <w:rPr>
          <w:vertAlign w:val="superscript"/>
        </w:rPr>
        <w:footnoteReference w:id="938"/>
      </w:r>
      <w:r w:rsidRPr="00AD2F44">
        <w:t xml:space="preserve"> Decisions by the Fourth</w:t>
      </w:r>
      <w:r>
        <w:rPr>
          <w:vertAlign w:val="superscript"/>
        </w:rPr>
        <w:footnoteReference w:id="939"/>
      </w:r>
      <w:r w:rsidRPr="00AD2F44">
        <w:t xml:space="preserve"> and Ninth</w:t>
      </w:r>
      <w:r>
        <w:rPr>
          <w:vertAlign w:val="superscript"/>
        </w:rPr>
        <w:footnoteReference w:id="940"/>
      </w:r>
      <w:r w:rsidRPr="00AD2F44">
        <w:t xml:space="preserve"> Circuits reached similar conclusions.</w:t>
      </w:r>
    </w:p>
    <w:p w14:paraId="3A35FF0F" w14:textId="77777777" w:rsidR="005D0340" w:rsidRPr="00AD2F44" w:rsidRDefault="00F42107">
      <w:pPr>
        <w:pStyle w:val="10ATextWithIndent"/>
      </w:pPr>
      <w:r w:rsidRPr="00AD2F44">
        <w:lastRenderedPageBreak/>
        <w:t xml:space="preserve">In 2011, in </w:t>
      </w:r>
      <w:r w:rsidRPr="00AD2F44">
        <w:rPr>
          <w:i/>
        </w:rPr>
        <w:t>AT&amp;T Mobility, LLC v. Concepcion</w:t>
      </w:r>
      <w:r w:rsidRPr="00AD2F44">
        <w:t>,</w:t>
      </w:r>
      <w:r>
        <w:rPr>
          <w:vertAlign w:val="superscript"/>
        </w:rPr>
        <w:footnoteReference w:id="941"/>
      </w:r>
      <w:r w:rsidRPr="00AD2F44">
        <w:t xml:space="preserve"> the Supreme Court for the first time addressed the enforceability of class action waivers in arbitration agreements. Although arising in the consumer—not employment—context, </w:t>
      </w:r>
      <w:r w:rsidRPr="00AD2F44">
        <w:rPr>
          <w:i/>
        </w:rPr>
        <w:t>Concepcion</w:t>
      </w:r>
      <w:r w:rsidRPr="00AD2F44">
        <w:t xml:space="preserve"> has influenced how some courts treat collective action waivers in cases brought under the FLSA. In </w:t>
      </w:r>
      <w:r w:rsidRPr="00AD2F44">
        <w:rPr>
          <w:i/>
        </w:rPr>
        <w:t>Concepcion</w:t>
      </w:r>
      <w:r w:rsidRPr="00AD2F44">
        <w:t>, a divided Supreme Court upheld a class action waiver in a consumer contract, holding that the FAA preempted California’s judicially created rule that generally treated class action waivers in arbitration agreements as unconscionable.</w:t>
      </w:r>
      <w:r>
        <w:rPr>
          <w:vertAlign w:val="superscript"/>
        </w:rPr>
        <w:footnoteReference w:id="942"/>
      </w:r>
      <w:r w:rsidRPr="00AD2F44">
        <w:t xml:space="preserve"> The Court reasoned that “[t]he ‘principal purpose’ of the FAA is to ‘ensur[e] that private arbitration agreements are enforced according to their terms,’” including enforcing limitations on “</w:t>
      </w:r>
      <w:r w:rsidRPr="00AD2F44">
        <w:rPr>
          <w:i/>
        </w:rPr>
        <w:t>with</w:t>
      </w:r>
      <w:r w:rsidRPr="00AD2F44">
        <w:t xml:space="preserve"> </w:t>
      </w:r>
      <w:r w:rsidRPr="00AD2F44">
        <w:rPr>
          <w:i/>
        </w:rPr>
        <w:t>whom</w:t>
      </w:r>
      <w:r w:rsidRPr="00AD2F44">
        <w:t xml:space="preserve"> a party will arbitrate its disputes”</w:t>
      </w:r>
      <w:r>
        <w:rPr>
          <w:vertAlign w:val="superscript"/>
        </w:rPr>
        <w:footnoteReference w:id="943"/>
      </w:r>
      <w:r w:rsidRPr="00AD2F44">
        <w:t xml:space="preserve"> so as to promote “streamlined proceedings” and “expeditious results.”</w:t>
      </w:r>
      <w:r>
        <w:rPr>
          <w:vertAlign w:val="superscript"/>
        </w:rPr>
        <w:footnoteReference w:id="944"/>
      </w:r>
      <w:r w:rsidRPr="00AD2F44">
        <w:t xml:space="preserve"> The Court found that class arbitration was inconsistent with the FAA for several reasons: (1) class arbitration sacrifices the informality and speed achieved by bilateral arbitration, “mak[ing] the process slower, more costly, and more likely to generate procedural morass rather than final judgment”;</w:t>
      </w:r>
      <w:r>
        <w:rPr>
          <w:vertAlign w:val="superscript"/>
        </w:rPr>
        <w:footnoteReference w:id="945"/>
      </w:r>
      <w:r w:rsidRPr="00AD2F44">
        <w:t xml:space="preserve"> (2) “classwide arbitration </w:t>
      </w:r>
      <w:r w:rsidRPr="00AD2F44">
        <w:rPr>
          <w:i/>
        </w:rPr>
        <w:t>requires</w:t>
      </w:r>
      <w:r w:rsidRPr="00AD2F44">
        <w:t xml:space="preserve"> procedural formality,” including protection of absent class members’ due process rights, something Congress did not envision would be entrusted to an arbitrator;</w:t>
      </w:r>
      <w:r>
        <w:rPr>
          <w:vertAlign w:val="superscript"/>
        </w:rPr>
        <w:footnoteReference w:id="946"/>
      </w:r>
      <w:r w:rsidRPr="00AD2F44">
        <w:t xml:space="preserve"> and (3) “class arbitration greatly increases risks to defendants,” and given limited judicial review, “is poorly suited to the higher stakes of class litigation.”</w:t>
      </w:r>
      <w:r>
        <w:rPr>
          <w:vertAlign w:val="superscript"/>
        </w:rPr>
        <w:footnoteReference w:id="947"/>
      </w:r>
    </w:p>
    <w:p w14:paraId="4486B804" w14:textId="77777777" w:rsidR="005D0340" w:rsidRPr="00AD2F44" w:rsidRDefault="00F42107">
      <w:pPr>
        <w:pStyle w:val="10ATextWithIndent"/>
      </w:pPr>
      <w:r w:rsidRPr="00AD2F44">
        <w:t xml:space="preserve">Since </w:t>
      </w:r>
      <w:r w:rsidRPr="00AD2F44">
        <w:rPr>
          <w:i/>
          <w:iCs/>
        </w:rPr>
        <w:t>Concepcion</w:t>
      </w:r>
      <w:r w:rsidRPr="00AD2F44">
        <w:t xml:space="preserve">, courts in FLSA cases (some expressly relying on </w:t>
      </w:r>
      <w:r w:rsidRPr="00AD2F44">
        <w:rPr>
          <w:i/>
          <w:iCs/>
        </w:rPr>
        <w:t>Concepcion</w:t>
      </w:r>
      <w:r w:rsidRPr="00AD2F44">
        <w:t xml:space="preserve">, others not) generally continue to uphold the validity of arbitration agreements that contain class and collective action waivers. In 2013, the Eighth Circuit in </w:t>
      </w:r>
      <w:r w:rsidRPr="00AD2F44">
        <w:rPr>
          <w:i/>
          <w:iCs/>
        </w:rPr>
        <w:t>Owen v. Bristol Care, Inc.</w:t>
      </w:r>
      <w:r>
        <w:rPr>
          <w:vertAlign w:val="superscript"/>
        </w:rPr>
        <w:footnoteReference w:id="948"/>
      </w:r>
      <w:r w:rsidRPr="00AD2F44">
        <w:t xml:space="preserve"> joined other circuits in “conclud[ing] that arbitration agreements containing class waivers are enforceable in FLSA cases.”</w:t>
      </w:r>
      <w:r>
        <w:rPr>
          <w:vertAlign w:val="superscript"/>
        </w:rPr>
        <w:footnoteReference w:id="949"/>
      </w:r>
      <w:r w:rsidRPr="00AD2F44">
        <w:t xml:space="preserve"> Also in 2013, first in </w:t>
      </w:r>
      <w:r w:rsidRPr="00AD2F44">
        <w:rPr>
          <w:i/>
          <w:iCs/>
        </w:rPr>
        <w:t>Sutherland v. Ernst &amp; Young LLP </w:t>
      </w:r>
      <w:r>
        <w:rPr>
          <w:vertAlign w:val="superscript"/>
        </w:rPr>
        <w:footnoteReference w:id="950"/>
      </w:r>
      <w:r w:rsidRPr="00AD2F44">
        <w:t xml:space="preserve"> and again in </w:t>
      </w:r>
      <w:r w:rsidRPr="00AD2F44">
        <w:rPr>
          <w:i/>
          <w:iCs/>
        </w:rPr>
        <w:t>Raniere v. Citigroup</w:t>
      </w:r>
      <w:r w:rsidRPr="00AD2F44">
        <w:t>,</w:t>
      </w:r>
      <w:r>
        <w:rPr>
          <w:vertAlign w:val="superscript"/>
        </w:rPr>
        <w:footnoteReference w:id="951"/>
      </w:r>
      <w:r w:rsidRPr="00AD2F44">
        <w:t xml:space="preserve"> the Second Circuit held that the FLSA does not contain a “contrary congressional command” that prevents an employee from waiving his or her ability to proceed collectively and that the FLSA collective action right is thus a waivable procedural </w:t>
      </w:r>
      <w:r w:rsidRPr="00AD2F44">
        <w:lastRenderedPageBreak/>
        <w:t>mechanism.</w:t>
      </w:r>
      <w:r>
        <w:rPr>
          <w:vertAlign w:val="superscript"/>
        </w:rPr>
        <w:footnoteReference w:id="952"/>
      </w:r>
      <w:r w:rsidRPr="00AD2F44">
        <w:t xml:space="preserve"> Following these cases, the Eleventh Circuit in </w:t>
      </w:r>
      <w:r w:rsidRPr="00AD2F44">
        <w:rPr>
          <w:i/>
          <w:iCs/>
        </w:rPr>
        <w:t>Walthour v. Chipio Windshield Repair, LLC</w:t>
      </w:r>
      <w:r>
        <w:rPr>
          <w:vertAlign w:val="superscript"/>
        </w:rPr>
        <w:footnoteReference w:id="953"/>
      </w:r>
      <w:r w:rsidRPr="00AD2F44">
        <w:t xml:space="preserve"> concluded, among other things, that Section 216(b) does not provide for a nonwaivable, substantive right to bring a collective action.</w:t>
      </w:r>
      <w:r>
        <w:rPr>
          <w:vertAlign w:val="superscript"/>
        </w:rPr>
        <w:footnoteReference w:id="954"/>
      </w:r>
    </w:p>
    <w:p w14:paraId="7F4E5BEC" w14:textId="77777777" w:rsidR="005D0340" w:rsidRPr="00AD2F44" w:rsidRDefault="00F42107">
      <w:pPr>
        <w:pStyle w:val="10ATextWithIndent"/>
      </w:pPr>
      <w:r w:rsidRPr="00AD2F44">
        <w:t xml:space="preserve">Although not an employment case, the Supreme Court’s 2013 decision in </w:t>
      </w:r>
      <w:r w:rsidRPr="00AD2F44">
        <w:rPr>
          <w:i/>
          <w:iCs/>
        </w:rPr>
        <w:t>American Express v. Italian Colors Restaurant </w:t>
      </w:r>
      <w:r>
        <w:rPr>
          <w:vertAlign w:val="superscript"/>
        </w:rPr>
        <w:footnoteReference w:id="955"/>
      </w:r>
      <w:r w:rsidRPr="00AD2F44">
        <w:rPr>
          <w:i/>
          <w:iCs/>
        </w:rPr>
        <w:t xml:space="preserve"> </w:t>
      </w:r>
      <w:r w:rsidRPr="00AD2F44">
        <w:t>also has been cited by courts in considering whether class and collective action waivers are enforceable in FLSA cases.</w:t>
      </w:r>
      <w:r>
        <w:rPr>
          <w:vertAlign w:val="superscript"/>
        </w:rPr>
        <w:footnoteReference w:id="956"/>
      </w:r>
      <w:r w:rsidRPr="00AD2F44">
        <w:t xml:space="preserve"> In </w:t>
      </w:r>
      <w:r w:rsidRPr="00AD2F44">
        <w:rPr>
          <w:i/>
          <w:iCs/>
        </w:rPr>
        <w:t>Italian Colors</w:t>
      </w:r>
      <w:r w:rsidRPr="00AD2F44">
        <w:t>,</w:t>
      </w:r>
      <w:r w:rsidRPr="00AD2F44">
        <w:rPr>
          <w:i/>
          <w:iCs/>
        </w:rPr>
        <w:t xml:space="preserve"> </w:t>
      </w:r>
      <w:r w:rsidRPr="00AD2F44">
        <w:t>the plaintiffs—merchants who accept American Express cards—attempted to sue the defendant credit card company for violating federal antitrust laws. An arbitration agreement, however, provided that “[t]here shall be no right or authority for any Claims to be arbitrated on a class action basis.”</w:t>
      </w:r>
      <w:r>
        <w:rPr>
          <w:vertAlign w:val="superscript"/>
        </w:rPr>
        <w:footnoteReference w:id="957"/>
      </w:r>
      <w:r w:rsidRPr="00AD2F44">
        <w:t xml:space="preserve"> The Supreme Court rejected the notion that there should be a case-by-case analysis of whether a class action waiver renders it impossible to vindicate federal rights. “[T]he antitrust laws,” wrote the Court, “do not guarantee an affordable procedural path to the vindication of every claim.”</w:t>
      </w:r>
      <w:r>
        <w:rPr>
          <w:vertAlign w:val="superscript"/>
        </w:rPr>
        <w:footnoteReference w:id="958"/>
      </w:r>
      <w:r w:rsidRPr="00AD2F44">
        <w:t xml:space="preserve"> The Court rejected the attempt to distinguish </w:t>
      </w:r>
      <w:r w:rsidRPr="00AD2F44">
        <w:rPr>
          <w:i/>
          <w:iCs/>
        </w:rPr>
        <w:t>Concepcion</w:t>
      </w:r>
      <w:r w:rsidRPr="00AD2F44">
        <w:t xml:space="preserve">, finding that </w:t>
      </w:r>
      <w:r w:rsidRPr="00AD2F44">
        <w:rPr>
          <w:i/>
          <w:iCs/>
        </w:rPr>
        <w:t>Concepcion</w:t>
      </w:r>
      <w:r w:rsidRPr="00AD2F44">
        <w:t xml:space="preserve"> “all but resolve[d] this case.”</w:t>
      </w:r>
      <w:r>
        <w:rPr>
          <w:vertAlign w:val="superscript"/>
        </w:rPr>
        <w:footnoteReference w:id="959"/>
      </w:r>
      <w:r w:rsidRPr="00AD2F44">
        <w:t xml:space="preserve"> Notably, the </w:t>
      </w:r>
      <w:r w:rsidRPr="00AD2F44">
        <w:rPr>
          <w:i/>
          <w:iCs/>
        </w:rPr>
        <w:t>Italian Colors</w:t>
      </w:r>
      <w:r w:rsidRPr="00AD2F44">
        <w:t xml:space="preserve"> Court described </w:t>
      </w:r>
      <w:r w:rsidRPr="00AD2F44">
        <w:rPr>
          <w:i/>
          <w:iCs/>
        </w:rPr>
        <w:t>Concepcion</w:t>
      </w:r>
      <w:r w:rsidRPr="00AD2F44">
        <w:t xml:space="preserve"> as having established “that the FAA’s command to enforce arbitration agreements trumps any interest in ensuring the prosecution of low-value claims.”</w:t>
      </w:r>
      <w:r>
        <w:rPr>
          <w:vertAlign w:val="superscript"/>
        </w:rPr>
        <w:footnoteReference w:id="960"/>
      </w:r>
    </w:p>
    <w:p w14:paraId="7C297134" w14:textId="77777777" w:rsidR="005D0340" w:rsidRPr="00AD2F44" w:rsidRDefault="00F42107">
      <w:pPr>
        <w:pStyle w:val="10ATextWithIndent"/>
      </w:pPr>
      <w:r w:rsidRPr="00AD2F44">
        <w:t>Courts in FLSA cases have reached mixed results when asked to invalidate arbitration agreements on the basis that the costs of proceeding in arbitration effectively preclude vindication of rights.</w:t>
      </w:r>
      <w:r>
        <w:rPr>
          <w:vertAlign w:val="superscript"/>
        </w:rPr>
        <w:footnoteReference w:id="961"/>
      </w:r>
      <w:r w:rsidRPr="00AD2F44">
        <w:t xml:space="preserve"> Courts have also cited </w:t>
      </w:r>
      <w:r w:rsidRPr="00AD2F44">
        <w:rPr>
          <w:i/>
          <w:iCs/>
        </w:rPr>
        <w:t>Italian Colors</w:t>
      </w:r>
      <w:r w:rsidRPr="00AD2F44">
        <w:t xml:space="preserve"> in conjunction with the Supreme </w:t>
      </w:r>
      <w:r w:rsidRPr="00AD2F44">
        <w:lastRenderedPageBreak/>
        <w:t xml:space="preserve">Court’s decision in </w:t>
      </w:r>
      <w:r w:rsidRPr="00AD2F44">
        <w:rPr>
          <w:i/>
          <w:iCs/>
        </w:rPr>
        <w:t>Gilmer</w:t>
      </w:r>
      <w:r>
        <w:rPr>
          <w:vertAlign w:val="superscript"/>
        </w:rPr>
        <w:footnoteReference w:id="962"/>
      </w:r>
      <w:r w:rsidRPr="00AD2F44">
        <w:t xml:space="preserve"> to conclude that “the text of §16(b) does not set forth a nonwaivable substantive right to a collective action.”</w:t>
      </w:r>
      <w:r>
        <w:rPr>
          <w:vertAlign w:val="superscript"/>
        </w:rPr>
        <w:footnoteReference w:id="963"/>
      </w:r>
    </w:p>
    <w:p w14:paraId="5CE8DD7D" w14:textId="77777777" w:rsidR="005D0340" w:rsidRPr="00AD2F44" w:rsidRDefault="00F42107">
      <w:pPr>
        <w:pStyle w:val="10ATextWithIndent"/>
      </w:pPr>
      <w:r w:rsidRPr="00AD2F44">
        <w:t>Employees have also challenged class and collective action waiver provisions in arbitration agreements as violating the National Labor Relations Act (NLRA).</w:t>
      </w:r>
      <w:r>
        <w:rPr>
          <w:vertAlign w:val="superscript"/>
        </w:rPr>
        <w:footnoteReference w:id="964"/>
      </w:r>
      <w:r w:rsidRPr="00AD2F44">
        <w:t xml:space="preserve"> In </w:t>
      </w:r>
      <w:r w:rsidRPr="00AD2F44">
        <w:rPr>
          <w:i/>
          <w:iCs/>
        </w:rPr>
        <w:t>D</w:t>
      </w:r>
      <w:r w:rsidRPr="00AD2F44">
        <w:t>.</w:t>
      </w:r>
      <w:r w:rsidRPr="00AD2F44">
        <w:rPr>
          <w:i/>
          <w:iCs/>
        </w:rPr>
        <w:t>R</w:t>
      </w:r>
      <w:r w:rsidRPr="00AD2F44">
        <w:t>.</w:t>
      </w:r>
      <w:r w:rsidRPr="00AD2F44">
        <w:rPr>
          <w:i/>
          <w:iCs/>
        </w:rPr>
        <w:t xml:space="preserve"> Horton, Inc</w:t>
      </w:r>
      <w:r w:rsidRPr="00AD2F44">
        <w:t>.,</w:t>
      </w:r>
      <w:r>
        <w:rPr>
          <w:vertAlign w:val="superscript"/>
        </w:rPr>
        <w:footnoteReference w:id="965"/>
      </w:r>
      <w:r w:rsidRPr="00AD2F44">
        <w:t xml:space="preserve"> the National Labor Relations Board (NLRB) held that a class/collective action waiver in an arbitration agreement violated employees’ right to engage in protected concerted activity. The Fifth Circuit later denied enforcement of the NLRB’s ruling,</w:t>
      </w:r>
      <w:r>
        <w:rPr>
          <w:vertAlign w:val="superscript"/>
        </w:rPr>
        <w:footnoteReference w:id="966"/>
      </w:r>
      <w:r w:rsidRPr="00AD2F44">
        <w:t xml:space="preserve"> but a divided NLRB subsequently reaffirmed its position that requiring employees to sign arbitration agreements containing class or collective action waivers constitutes an unfair labor practice and is unenforceable under the NLRA.</w:t>
      </w:r>
      <w:r>
        <w:rPr>
          <w:vertAlign w:val="superscript"/>
        </w:rPr>
        <w:footnoteReference w:id="967"/>
      </w:r>
      <w:r w:rsidRPr="00AD2F44">
        <w:t xml:space="preserve"> The federal circuit courts thereafter split regarding the NLRB’s position.</w:t>
      </w:r>
      <w:r>
        <w:rPr>
          <w:vertAlign w:val="superscript"/>
        </w:rPr>
        <w:footnoteReference w:id="968"/>
      </w:r>
      <w:r w:rsidRPr="00AD2F44">
        <w:t xml:space="preserve"> </w:t>
      </w:r>
    </w:p>
    <w:p w14:paraId="6C85D927" w14:textId="77777777" w:rsidR="005D0340" w:rsidRPr="00AD2F44" w:rsidRDefault="00F42107">
      <w:pPr>
        <w:pStyle w:val="10ATextWithIndent"/>
      </w:pPr>
      <w:r w:rsidRPr="00AD2F44">
        <w:t xml:space="preserve">The Supreme Court resolved this circuit split in </w:t>
      </w:r>
      <w:r w:rsidRPr="00AD2F44">
        <w:rPr>
          <w:i/>
          <w:iCs/>
        </w:rPr>
        <w:t>Epic Systems Corp</w:t>
      </w:r>
      <w:r w:rsidRPr="00AD2F44">
        <w:t>.</w:t>
      </w:r>
      <w:r w:rsidRPr="00AD2F44">
        <w:rPr>
          <w:i/>
          <w:iCs/>
        </w:rPr>
        <w:t xml:space="preserve"> v</w:t>
      </w:r>
      <w:r w:rsidRPr="00AD2F44">
        <w:t>.</w:t>
      </w:r>
      <w:r w:rsidRPr="00AD2F44">
        <w:rPr>
          <w:i/>
          <w:iCs/>
        </w:rPr>
        <w:t xml:space="preserve"> Lewis</w:t>
      </w:r>
      <w:r w:rsidRPr="00AD2F44">
        <w:t>.</w:t>
      </w:r>
      <w:r>
        <w:rPr>
          <w:vertAlign w:val="superscript"/>
        </w:rPr>
        <w:footnoteReference w:id="969"/>
      </w:r>
      <w:r w:rsidRPr="00AD2F44">
        <w:t xml:space="preserve"> Writing for the majority, Justice Gorsuch concluded that the provisions of the FAA requiring courts to enforce arbitration agreements with class waivers did not conflict with the provisions of the NLRA protecting employees’ rights to “engage in concerted activities for the purpose of </w:t>
      </w:r>
      <w:r w:rsidRPr="00AD2F44">
        <w:lastRenderedPageBreak/>
        <w:t>collective bargaining or other mutual aid and protection.”</w:t>
      </w:r>
      <w:r>
        <w:rPr>
          <w:vertAlign w:val="superscript"/>
        </w:rPr>
        <w:footnoteReference w:id="970"/>
      </w:r>
      <w:r w:rsidRPr="00AD2F44">
        <w:t xml:space="preserve"> Relying on the principle that courts must “strive to give effect” to both statutory provisions when they purportedly conflict, the Court held that nothing in the text or structure of the NLRA suggested it was intended to regulate the “procedures judges or arbitrators must apply in disputes that leave the workplace and enter the courtroom or arbitral forum.”</w:t>
      </w:r>
      <w:r>
        <w:rPr>
          <w:vertAlign w:val="superscript"/>
        </w:rPr>
        <w:footnoteReference w:id="971"/>
      </w:r>
      <w:r w:rsidRPr="00AD2F44">
        <w:t xml:space="preserve"> It found this conclusion supported by the fact that Congress had shown it knew how to expressly override the FAA and regulate the procedures for bringing claims under specific statutory schemes, but had done neither when passing the NLRA.</w:t>
      </w:r>
      <w:r>
        <w:rPr>
          <w:vertAlign w:val="superscript"/>
        </w:rPr>
        <w:footnoteReference w:id="972"/>
      </w:r>
      <w:r w:rsidRPr="00AD2F44">
        <w:t xml:space="preserve"> The Court rejected arguments that it should defer to the NLRB’s view that class waivers in arbitration agreements violate the NLRA, noting that the NLRB was not delegated authority to interpret the FAA and that, in any event, there was no ambiguity in the statutory text once the Court applied “traditional tool[s] of statutory construction.”</w:t>
      </w:r>
      <w:r>
        <w:rPr>
          <w:vertAlign w:val="superscript"/>
        </w:rPr>
        <w:footnoteReference w:id="973"/>
      </w:r>
      <w:r w:rsidRPr="00AD2F44">
        <w:t xml:space="preserve"> </w:t>
      </w:r>
    </w:p>
    <w:p w14:paraId="65E897B7" w14:textId="77777777" w:rsidR="005D0340" w:rsidRPr="00AD2F44" w:rsidRDefault="00F42107">
      <w:pPr>
        <w:pStyle w:val="10ATextWithIndent"/>
      </w:pPr>
      <w:r w:rsidRPr="00AD2F44">
        <w:t>Justice Ginsburg dissented.</w:t>
      </w:r>
      <w:r>
        <w:rPr>
          <w:vertAlign w:val="superscript"/>
        </w:rPr>
        <w:footnoteReference w:id="974"/>
      </w:r>
      <w:r w:rsidRPr="00AD2F44">
        <w:t xml:space="preserve"> She opined that the history of federal labor statutes, including the NLRA, demonstrated Congress’ recognition that “[f]or workers striving to gain from their employers decent terms and conditions in employment, there is strength in numbers.”</w:t>
      </w:r>
      <w:r>
        <w:rPr>
          <w:vertAlign w:val="superscript"/>
        </w:rPr>
        <w:footnoteReference w:id="975"/>
      </w:r>
      <w:r w:rsidRPr="00AD2F44">
        <w:t xml:space="preserve"> Based on the NLRA’s history, her reading of the plain meaning of its text, and prior court decisions holding that employees could engage in protected concerted activity when bringing litigation, she would have held that employees had a right under the statute to bring collective claims in arbitration.</w:t>
      </w:r>
      <w:r>
        <w:rPr>
          <w:vertAlign w:val="superscript"/>
        </w:rPr>
        <w:footnoteReference w:id="976"/>
      </w:r>
      <w:r w:rsidRPr="00AD2F44">
        <w:t xml:space="preserve"> Justice Ginsburg argued that the FAA’s provisions could accommodate the NLRA’s because the FAA does not require enforcement of “illegal” contracts.</w:t>
      </w:r>
      <w:r>
        <w:rPr>
          <w:vertAlign w:val="superscript"/>
        </w:rPr>
        <w:footnoteReference w:id="977"/>
      </w:r>
      <w:r w:rsidRPr="00AD2F44">
        <w:t xml:space="preserve"> Moreover, even if a conflict existed between the two statutes, she believed the NLRA impliedly repealed the FAA “as the more pinpointed, subject-matter specific legislation, in that it speaks directly to group action by employees to improve the terms and conditions of their employment.”</w:t>
      </w:r>
      <w:r>
        <w:rPr>
          <w:vertAlign w:val="superscript"/>
        </w:rPr>
        <w:footnoteReference w:id="978"/>
      </w:r>
      <w:r w:rsidRPr="00AD2F44">
        <w:t xml:space="preserve"> Since </w:t>
      </w:r>
      <w:r w:rsidRPr="00AD2F44">
        <w:rPr>
          <w:i/>
          <w:iCs/>
        </w:rPr>
        <w:t>Epic Systems</w:t>
      </w:r>
      <w:r w:rsidRPr="00AD2F44">
        <w:t>, courts have dismissed cases where the arbitration agreements specifically state that claims under the FLSA are covered and class actions are prohibited, barring other contractual defenses.</w:t>
      </w:r>
      <w:r>
        <w:rPr>
          <w:rStyle w:val="FootnoteReference"/>
        </w:rPr>
        <w:footnoteReference w:id="979"/>
      </w:r>
      <w:r w:rsidRPr="00AD2F44">
        <w:t xml:space="preserve"> </w:t>
      </w:r>
    </w:p>
    <w:p w14:paraId="27112CB6" w14:textId="77777777" w:rsidR="005D0340" w:rsidRPr="00AD2F44" w:rsidRDefault="00F42107">
      <w:pPr>
        <w:pStyle w:val="10ATextWithIndent"/>
      </w:pPr>
      <w:r w:rsidRPr="00AD2F44">
        <w:lastRenderedPageBreak/>
        <w:t>Even if an employee is subject to an enforceable arbitration agreement with a class or collective action waiver, the defendant may waive its right to compel arbitration on an individual basis through its litigation conduct.</w:t>
      </w:r>
      <w:r>
        <w:rPr>
          <w:vertAlign w:val="superscript"/>
        </w:rPr>
        <w:footnoteReference w:id="980"/>
      </w:r>
      <w:r w:rsidRPr="00AD2F44">
        <w:t xml:space="preserve"> </w:t>
      </w:r>
    </w:p>
    <w:p w14:paraId="58ED04CD" w14:textId="77777777" w:rsidR="005D0340" w:rsidRPr="00AD2F44" w:rsidRDefault="00F42107">
      <w:pPr>
        <w:pStyle w:val="05Second-LevelHeadABC"/>
      </w:pPr>
      <w:r w:rsidRPr="00AD2F44">
        <w:t>B.</w:t>
      </w:r>
      <w:r w:rsidRPr="00AD2F44">
        <w:tab/>
        <w:t>Arbitration Agreements Without an Express Class/Collective Waiver</w:t>
      </w:r>
    </w:p>
    <w:p w14:paraId="17DE1FA4" w14:textId="24E4E3E7" w:rsidR="005D0340" w:rsidRPr="00AD2F44" w:rsidRDefault="00F42107">
      <w:pPr>
        <w:pStyle w:val="10ATextWithIndent"/>
      </w:pPr>
      <w:r w:rsidRPr="00AD2F44">
        <w:t>Some arbitration agreements contain no express prohibition of class or collective actions. The issue of whether class or collective actions are permitted turns on how courts or arbitrators construe the intent of the contracting parties.</w:t>
      </w:r>
    </w:p>
    <w:p w14:paraId="5C7860BB" w14:textId="15993472" w:rsidR="005D0340" w:rsidRPr="00AD2F44" w:rsidRDefault="00F42107">
      <w:pPr>
        <w:pStyle w:val="10ATextWithIndent"/>
      </w:pPr>
      <w:r w:rsidRPr="00AD2F44">
        <w:t xml:space="preserve">In 2010, the Court in </w:t>
      </w:r>
      <w:r w:rsidRPr="00AD2F44">
        <w:rPr>
          <w:i/>
          <w:iCs/>
        </w:rPr>
        <w:t>Stolt-Nielsen S.A. v. AnimalFeeds International Corp.</w:t>
      </w:r>
      <w:r>
        <w:rPr>
          <w:vertAlign w:val="superscript"/>
        </w:rPr>
        <w:footnoteReference w:id="981"/>
      </w:r>
      <w:r w:rsidRPr="00AD2F44">
        <w:t xml:space="preserve">considered whether permitting class arbitration when the arbitration clause is silent on that issue is consistent with the FAA. In </w:t>
      </w:r>
      <w:r w:rsidRPr="00AD2F44">
        <w:rPr>
          <w:i/>
          <w:iCs/>
        </w:rPr>
        <w:t>Stolt-Nielsen</w:t>
      </w:r>
      <w:r w:rsidRPr="00AD2F44">
        <w:t xml:space="preserve">, “neither the language of the contract nor any other evidence established that the parties had reached any agreement on the question of class </w:t>
      </w:r>
      <w:r w:rsidRPr="00AD2F44">
        <w:lastRenderedPageBreak/>
        <w:t>arbitration.”</w:t>
      </w:r>
      <w:r>
        <w:rPr>
          <w:vertAlign w:val="superscript"/>
        </w:rPr>
        <w:footnoteReference w:id="982"/>
      </w:r>
      <w:r w:rsidRPr="00AD2F44">
        <w:t xml:space="preserve"> A panel of arbitrators found that, despite the silent agreement, class arbitration was permitted. The Supreme Court vacated the panel’s decision and held that “a party may not be compelled under the FAA to submit to class arbitration unless there is a contractual basis for concluding that the party </w:t>
      </w:r>
      <w:r w:rsidRPr="00AD2F44">
        <w:rPr>
          <w:i/>
          <w:iCs/>
        </w:rPr>
        <w:t xml:space="preserve">agreed </w:t>
      </w:r>
      <w:r w:rsidRPr="00AD2F44">
        <w:t>to do so.”</w:t>
      </w:r>
      <w:r>
        <w:rPr>
          <w:vertAlign w:val="superscript"/>
        </w:rPr>
        <w:footnoteReference w:id="983"/>
      </w:r>
    </w:p>
    <w:p w14:paraId="237E00BC" w14:textId="7084373B" w:rsidR="005D0340" w:rsidRPr="00AD2F44" w:rsidRDefault="00F42107">
      <w:pPr>
        <w:pStyle w:val="10ATextWithIndent"/>
      </w:pPr>
      <w:r w:rsidRPr="00AD2F44">
        <w:t xml:space="preserve">Following </w:t>
      </w:r>
      <w:r w:rsidRPr="00AD2F44">
        <w:rPr>
          <w:i/>
          <w:iCs/>
        </w:rPr>
        <w:t>Stolt-Nielsen</w:t>
      </w:r>
      <w:r w:rsidRPr="00AD2F44">
        <w:t>, courts (and arbitrators) focused their analysis on determining the parties’ intent, in the absence of an express provision, to permit or preclude class or collective arbitrations.</w:t>
      </w:r>
      <w:r>
        <w:rPr>
          <w:vertAlign w:val="superscript"/>
        </w:rPr>
        <w:footnoteReference w:id="984"/>
      </w:r>
      <w:r w:rsidRPr="00AD2F44">
        <w:t xml:space="preserve"> However, the Supreme Court narrowed the scope of such review in </w:t>
      </w:r>
      <w:r w:rsidRPr="00AD2F44">
        <w:rPr>
          <w:i/>
          <w:iCs/>
        </w:rPr>
        <w:t>Lamps Plus v. Varela</w:t>
      </w:r>
      <w:r w:rsidRPr="00AD2F44">
        <w:t>,</w:t>
      </w:r>
      <w:r>
        <w:rPr>
          <w:vertAlign w:val="superscript"/>
        </w:rPr>
        <w:footnoteReference w:id="985"/>
      </w:r>
      <w:r w:rsidRPr="00AD2F44">
        <w:t xml:space="preserve"> holding that “[c]ourts may not infer from an ambiguous agreement that parties have </w:t>
      </w:r>
      <w:r w:rsidRPr="00AD2F44">
        <w:lastRenderedPageBreak/>
        <w:t>consented to arbitrate on a classwide basis.”</w:t>
      </w:r>
      <w:r>
        <w:rPr>
          <w:vertAlign w:val="superscript"/>
        </w:rPr>
        <w:footnoteReference w:id="986"/>
      </w:r>
      <w:r w:rsidRPr="00AD2F44">
        <w:t xml:space="preserve"> Instead, courts or arbitrators must find an “affirmative contractual basis” to conclude that the parties agreed to class arbitration.</w:t>
      </w:r>
      <w:r>
        <w:rPr>
          <w:vertAlign w:val="superscript"/>
        </w:rPr>
        <w:footnoteReference w:id="987"/>
      </w:r>
    </w:p>
    <w:p w14:paraId="52F0A22B" w14:textId="1E3C630B" w:rsidR="005D0340" w:rsidRPr="00AD2F44" w:rsidRDefault="00F42107">
      <w:pPr>
        <w:pStyle w:val="05Second-LevelHeadABC"/>
      </w:pPr>
      <w:r w:rsidRPr="00AD2F44">
        <w:t xml:space="preserve"> </w:t>
      </w:r>
      <w:r w:rsidR="00E8295E" w:rsidRPr="00AD2F44">
        <w:t>C</w:t>
      </w:r>
      <w:r w:rsidR="00DD7064" w:rsidRPr="00AD2F44">
        <w:t>.</w:t>
      </w:r>
      <w:r w:rsidR="00DD7064" w:rsidRPr="00AD2F44">
        <w:tab/>
        <w:t>Procedural Rules for Arbitrating FLSA Class and Collective Actions</w:t>
      </w:r>
    </w:p>
    <w:p w14:paraId="748A2981" w14:textId="77777777" w:rsidR="005D0340" w:rsidRPr="00AD2F44" w:rsidRDefault="00F42107">
      <w:pPr>
        <w:pStyle w:val="10ATextWithIndent"/>
      </w:pPr>
      <w:r w:rsidRPr="00AD2F44">
        <w:t>Arbitration agreements often incorporate the specific procedural rules of private providers of dispute resolution services, such as the AAA or JAMS.</w:t>
      </w:r>
      <w:r>
        <w:rPr>
          <w:vertAlign w:val="superscript"/>
        </w:rPr>
        <w:footnoteReference w:id="988"/>
      </w:r>
      <w:r w:rsidRPr="00AD2F44">
        <w:t xml:space="preserve"> The issue becomes whether an FLSA action brought in arbitration under the AAA or JAMS rules may proceed on an “opt out” (rather than “opt in”) basis. Some arbitrators have held that an FLSA collective action can proceed as an opt-out class based on the parties’ selection of AAA and JAMS procedural rules. In </w:t>
      </w:r>
      <w:r w:rsidRPr="00AD2F44">
        <w:rPr>
          <w:i/>
          <w:iCs/>
        </w:rPr>
        <w:t>Long John Silver’s Restaurants, Inc. v. Cole</w:t>
      </w:r>
      <w:r w:rsidRPr="00AD2F44">
        <w:t>,</w:t>
      </w:r>
      <w:r>
        <w:rPr>
          <w:vertAlign w:val="superscript"/>
        </w:rPr>
        <w:footnoteReference w:id="989"/>
      </w:r>
      <w:r w:rsidRPr="00AD2F44">
        <w:t xml:space="preserve"> decided before </w:t>
      </w:r>
      <w:r w:rsidRPr="00AD2F44">
        <w:rPr>
          <w:i/>
          <w:iCs/>
        </w:rPr>
        <w:t>Stolt-Nielsen</w:t>
      </w:r>
      <w:r w:rsidRPr="00AD2F44">
        <w:t>,</w:t>
      </w:r>
      <w:r>
        <w:rPr>
          <w:vertAlign w:val="superscript"/>
        </w:rPr>
        <w:footnoteReference w:id="990"/>
      </w:r>
      <w:r w:rsidRPr="00AD2F44">
        <w:t xml:space="preserve"> employees initiated a collective arbitration; the arbitrator determined that the agreement did not preclude class arbitration; and, although the “opt-in” mechanism of Section 216(b) did not apply, the arbitration agreement permitted the claims to proceed—via the AAA’s Supplementary Rules for Class Arbitrations (Class Rules)—as an “opt-out” class. On interlocutory review, the district court declined to vacate the arbitrator’s award, ruling that the FLSA did not provide employees a nonwaivable substantive right to “opt in” proceedings and that the arbitrator did not exceed his authority in determining that the claimants could serve as representatives of an “opt out” class.</w:t>
      </w:r>
      <w:r>
        <w:rPr>
          <w:vertAlign w:val="superscript"/>
        </w:rPr>
        <w:footnoteReference w:id="991"/>
      </w:r>
      <w:r w:rsidRPr="00AD2F44">
        <w:t xml:space="preserve"> On appeal, the Fourth Circuit affirmed the arbitrator’s decision to apply the opt-out provisions contained in the AAA’s Class Rules to collective claims pursued under Section 216(b) of the FLSA.</w:t>
      </w:r>
      <w:r>
        <w:rPr>
          <w:vertAlign w:val="superscript"/>
        </w:rPr>
        <w:footnoteReference w:id="992"/>
      </w:r>
      <w:r w:rsidRPr="00AD2F44">
        <w:t xml:space="preserve"> The court reasoned that it is “far from clear” that Section 216(b)’s opt-in provision creates a substantive nonwaivable right, and thus the arbitrator’s decision—that the opt-in provision was waivable—was not contrary to any clear principle of law.</w:t>
      </w:r>
      <w:r>
        <w:rPr>
          <w:vertAlign w:val="superscript"/>
        </w:rPr>
        <w:footnoteReference w:id="993"/>
      </w:r>
      <w:r w:rsidRPr="00AD2F44">
        <w:t xml:space="preserve"> The Fourth Circuit concluded that the arbitrator “did his job” by analyzing the agreement and the issues,</w:t>
      </w:r>
      <w:r>
        <w:rPr>
          <w:vertAlign w:val="superscript"/>
        </w:rPr>
        <w:footnoteReference w:id="994"/>
      </w:r>
      <w:r w:rsidRPr="00AD2F44">
        <w:t xml:space="preserve"> and the appellate court was thus “obliged” to affirm the district court and uphold the arbitrator’s decision to allow for a Rule 23-type opt-out FLSA class under the AAA’s class rules.</w:t>
      </w:r>
      <w:r>
        <w:rPr>
          <w:vertAlign w:val="superscript"/>
        </w:rPr>
        <w:footnoteReference w:id="995"/>
      </w:r>
    </w:p>
    <w:p w14:paraId="73672A8D" w14:textId="77777777" w:rsidR="005D0340" w:rsidRPr="00AD2F44" w:rsidRDefault="00F42107">
      <w:pPr>
        <w:pStyle w:val="10ATextWithIndent"/>
      </w:pPr>
      <w:r w:rsidRPr="00AD2F44">
        <w:t xml:space="preserve">Under the same rationale used by the arbitrator in </w:t>
      </w:r>
      <w:r w:rsidRPr="00AD2F44">
        <w:rPr>
          <w:i/>
          <w:iCs/>
        </w:rPr>
        <w:t>Long John Silver’s</w:t>
      </w:r>
      <w:r w:rsidRPr="00AD2F44">
        <w:t>, some arbitrators have permitted FLSA claims to proceed as opt-out classes under AAA and JAMS class rules,</w:t>
      </w:r>
      <w:r>
        <w:rPr>
          <w:vertAlign w:val="superscript"/>
        </w:rPr>
        <w:footnoteReference w:id="996"/>
      </w:r>
      <w:r w:rsidRPr="00AD2F44">
        <w:t xml:space="preserve"> </w:t>
      </w:r>
      <w:r w:rsidRPr="00AD2F44">
        <w:lastRenderedPageBreak/>
        <w:t>and the Fifth Circuit deferred to this approach.</w:t>
      </w:r>
      <w:r>
        <w:rPr>
          <w:rStyle w:val="FootnoteReference"/>
        </w:rPr>
        <w:footnoteReference w:id="997"/>
      </w:r>
      <w:r w:rsidRPr="00AD2F44">
        <w:t xml:space="preserve"> Other arbitrators have declined and instead found that the FLSA’s opt-in procedures under Section 216(b) should govern FLSA actions brought in arbitration.</w:t>
      </w:r>
      <w:r>
        <w:rPr>
          <w:vertAlign w:val="superscript"/>
        </w:rPr>
        <w:footnoteReference w:id="998"/>
      </w:r>
      <w:r w:rsidRPr="00AD2F44">
        <w:t xml:space="preserve"> </w:t>
      </w:r>
    </w:p>
    <w:p w14:paraId="57D86A9E" w14:textId="7DA457BB" w:rsidR="005D0340" w:rsidRPr="00AD2F44" w:rsidRDefault="00F42107">
      <w:pPr>
        <w:pStyle w:val="05Second-LevelHeadABC"/>
      </w:pPr>
      <w:r w:rsidRPr="00AD2F44">
        <w:t>D</w:t>
      </w:r>
      <w:r w:rsidR="00DD7064" w:rsidRPr="00AD2F44">
        <w:t>.</w:t>
      </w:r>
      <w:r w:rsidR="00DD7064" w:rsidRPr="00AD2F44">
        <w:tab/>
        <w:t>Conditional Certification When Putative Class Members May Be Subject to Arbitration Agreements</w:t>
      </w:r>
    </w:p>
    <w:p w14:paraId="247F11EE" w14:textId="7F188C8A" w:rsidR="005D0340" w:rsidRPr="00AD2F44" w:rsidRDefault="00F42107">
      <w:pPr>
        <w:pStyle w:val="10ATextWithIndent"/>
      </w:pPr>
      <w:r w:rsidRPr="00AD2F44">
        <w:t>In opposing motions to conditionally certify FLSA cases as collective actions, employers have argued that certification should not be granted where some, if not all, of the putative members of the collective are subject to arbitration agreements. In the Fifth and Seventh Circuits, resolution of this issue requires some level of proof that the employees in question signed enforceable arbitration agreements. The Fifth Circuit held that “district courts may not send notice to an employee with a valid arbitration agreement unless the record shows that nothing in the agreement would prohibit that employee from participating in the collective action.”</w:t>
      </w:r>
      <w:r>
        <w:rPr>
          <w:vertAlign w:val="superscript"/>
        </w:rPr>
        <w:footnoteReference w:id="999"/>
      </w:r>
      <w:r w:rsidRPr="00AD2F44">
        <w:t xml:space="preserve"> However, under such circumstances, the employer bears the burden of proving the existence of a valid arbitration agreement “by a preponderance of the evidence,” which may require evidentiary findings before notice can be issued.</w:t>
      </w:r>
      <w:r>
        <w:rPr>
          <w:vertAlign w:val="superscript"/>
        </w:rPr>
        <w:footnoteReference w:id="1000"/>
      </w:r>
      <w:r w:rsidRPr="00AD2F44">
        <w:t xml:space="preserve"> The Seventh Circuit held that courts may authorize distribution of notice</w:t>
      </w:r>
      <w:r w:rsidR="00CF33C3" w:rsidRPr="00AD2F44">
        <w:t>s</w:t>
      </w:r>
      <w:r w:rsidRPr="00AD2F44">
        <w:t xml:space="preserve"> to potential plaintiffs who allegedly signed arbitration agreements</w:t>
      </w:r>
    </w:p>
    <w:p w14:paraId="39DFABD5" w14:textId="77777777" w:rsidR="005D0340" w:rsidRPr="00AD2F44" w:rsidRDefault="00F42107">
      <w:pPr>
        <w:pStyle w:val="09BBlockQuoteWithoutIndent"/>
      </w:pPr>
      <w:r w:rsidRPr="00AD2F44">
        <w:t>unless (1) no plaintiff contests the existence or validity of the alleged arbitration agreements, or (2) after the court allows discovery on the alleged agreements’ existence and validity, the defendant establishes by a preponderance of the evidence the existence of a valid arbitration agreement for each employee it seeks to exclude from receiving notice.</w:t>
      </w:r>
      <w:r>
        <w:rPr>
          <w:vertAlign w:val="superscript"/>
        </w:rPr>
        <w:footnoteReference w:id="1001"/>
      </w:r>
    </w:p>
    <w:p w14:paraId="54CFD216" w14:textId="2B5A7C99" w:rsidR="005D0340" w:rsidRPr="00AD2F44" w:rsidRDefault="00F42107">
      <w:pPr>
        <w:pStyle w:val="10ATextWithIndent"/>
      </w:pPr>
      <w:r w:rsidRPr="00AD2F44">
        <w:t>District courts outside the Fifth and Seventh Circuits have treated this issue in different ways. Many district courts grant at least partial conditional certification despite the fact that members of the putative collective may be subject to arbitration agreements.</w:t>
      </w:r>
      <w:r>
        <w:rPr>
          <w:vertAlign w:val="superscript"/>
        </w:rPr>
        <w:footnoteReference w:id="1002"/>
      </w:r>
      <w:r w:rsidRPr="00AD2F44">
        <w:t xml:space="preserve"> In allowing </w:t>
      </w:r>
      <w:r w:rsidRPr="00AD2F44">
        <w:lastRenderedPageBreak/>
        <w:t>notice to issue, district courts have deferred the issue of whether the FLSA claims of some or all plaintiffs may be compelled to arbitration until after putative class members have determined whether to opt in under the procedures set forth in the court’s order.</w:t>
      </w:r>
      <w:r>
        <w:rPr>
          <w:vertAlign w:val="superscript"/>
        </w:rPr>
        <w:footnoteReference w:id="1003"/>
      </w:r>
      <w:r w:rsidRPr="00AD2F44">
        <w:t xml:space="preserve"> However, other district </w:t>
      </w:r>
      <w:r w:rsidRPr="00AD2F44">
        <w:lastRenderedPageBreak/>
        <w:t>courts have refused to authorize the issuance of notice to putative class members subject to an arbitration agreement where the court had already found the arbitration agreement valid.</w:t>
      </w:r>
      <w:r>
        <w:rPr>
          <w:vertAlign w:val="superscript"/>
        </w:rPr>
        <w:footnoteReference w:id="1004"/>
      </w:r>
      <w:r w:rsidRPr="00AD2F44">
        <w:t xml:space="preserve"> </w:t>
      </w:r>
    </w:p>
    <w:p w14:paraId="048C9FA1" w14:textId="77777777" w:rsidR="005D0340" w:rsidRPr="00AD2F44" w:rsidRDefault="00F42107">
      <w:pPr>
        <w:pStyle w:val="10ATextWithIndent"/>
        <w:rPr>
          <w:vertAlign w:val="superscript"/>
        </w:rPr>
      </w:pPr>
      <w:r w:rsidRPr="00AD2F44">
        <w:t>In other situations, plaintiffs have argued that a district court may exercise its authority to manage the collective action process to restrict the ability of employers to obtain new post-suit arbitration agreements pending the issuance of notice.</w:t>
      </w:r>
      <w:r>
        <w:rPr>
          <w:vertAlign w:val="superscript"/>
        </w:rPr>
        <w:footnoteReference w:id="1005"/>
      </w:r>
      <w:r w:rsidRPr="00AD2F44">
        <w:t xml:space="preserve"> The Fourth Circuit affirmed a lower court’s refusal to compel arbitration pursuant to arbitration agreements executed by putative class members more than a year after the collective action lawsuit was filed.</w:t>
      </w:r>
      <w:r>
        <w:rPr>
          <w:vertAlign w:val="superscript"/>
        </w:rPr>
        <w:footnoteReference w:id="1006"/>
      </w:r>
      <w:r w:rsidRPr="00AD2F44">
        <w:t xml:space="preserve"> However, this </w:t>
      </w:r>
      <w:r w:rsidRPr="00AD2F44">
        <w:lastRenderedPageBreak/>
        <w:t>authority may be constrained where none of the current plaintiffs in the lawsuit are subject to the new arbitration agreements.</w:t>
      </w:r>
      <w:r>
        <w:rPr>
          <w:vertAlign w:val="superscript"/>
        </w:rPr>
        <w:footnoteReference w:id="1007"/>
      </w:r>
    </w:p>
    <w:p w14:paraId="21D4911F" w14:textId="77777777" w:rsidR="005D0340" w:rsidRPr="00AD2F44" w:rsidRDefault="00F42107">
      <w:pPr>
        <w:pStyle w:val="04First-LevelHeadIIIIII"/>
      </w:pPr>
      <w:r w:rsidRPr="00AD2F44">
        <w:t>XI.</w:t>
      </w:r>
      <w:r w:rsidRPr="00AD2F44">
        <w:t> </w:t>
      </w:r>
      <w:r w:rsidRPr="00AD2F44">
        <w:t>Hybrid FLSA/State Law Class Actions</w:t>
      </w:r>
    </w:p>
    <w:p w14:paraId="72D01D7D" w14:textId="77777777" w:rsidR="005D0340" w:rsidRPr="00AD2F44" w:rsidRDefault="00F42107">
      <w:pPr>
        <w:pStyle w:val="05Second-LevelHeadABC"/>
      </w:pPr>
      <w:r w:rsidRPr="00AD2F44">
        <w:t>A.</w:t>
      </w:r>
      <w:r w:rsidRPr="00AD2F44">
        <w:tab/>
        <w:t>Introduction</w:t>
      </w:r>
    </w:p>
    <w:p w14:paraId="35082C56" w14:textId="77777777" w:rsidR="005D0340" w:rsidRPr="00AD2F44" w:rsidRDefault="00F42107">
      <w:pPr>
        <w:pStyle w:val="10ATextWithIndent"/>
      </w:pPr>
      <w:r w:rsidRPr="00AD2F44">
        <w:t>In some federal court actions, plaintiffs combine FLSA collective action claims with state law class action claims for damages under Rule 23 of the Federal Rules of Civil Procedure. Membership in the FLSA collective action is governed by the “opt-in” procedure set forth in the FLSA itself. Membership in the state law class action, in contrast, is governed by the “opt-out” procedure set forth in Rule 23. Actions combining FLSA collective actions and Rule 23 class actions in this fashion have often been referred to as “hybrid actions.”</w:t>
      </w:r>
      <w:r>
        <w:rPr>
          <w:vertAlign w:val="superscript"/>
        </w:rPr>
        <w:footnoteReference w:id="1008"/>
      </w:r>
      <w:r w:rsidRPr="00AD2F44">
        <w:t xml:space="preserve"> This section discusses hybrid actions and, more particularly, the jurisdictional and procedural challenges that have been brought against their maintenance.</w:t>
      </w:r>
      <w:r>
        <w:rPr>
          <w:vertAlign w:val="superscript"/>
        </w:rPr>
        <w:footnoteReference w:id="1009"/>
      </w:r>
    </w:p>
    <w:p w14:paraId="1599B6B0" w14:textId="77777777" w:rsidR="005D0340" w:rsidRPr="00AD2F44" w:rsidRDefault="00F42107">
      <w:pPr>
        <w:pStyle w:val="10ATextWithIndent"/>
      </w:pPr>
      <w:r w:rsidRPr="00AD2F44">
        <w:t xml:space="preserve">The impetus for most litigation challenging hybrid actions is that the FLSA collective action uses the opt-in procedure and Rule 23 uses the opt-out procedure. The chief significance of this procedural difference is that, in any given action, many individuals who do not opt </w:t>
      </w:r>
      <w:r w:rsidRPr="00AD2F44">
        <w:rPr>
          <w:i/>
          <w:iCs/>
        </w:rPr>
        <w:t>in to</w:t>
      </w:r>
      <w:r w:rsidRPr="00AD2F44">
        <w:t xml:space="preserve"> the FLSA action will also not opt </w:t>
      </w:r>
      <w:r w:rsidRPr="00AD2F44">
        <w:rPr>
          <w:i/>
          <w:iCs/>
        </w:rPr>
        <w:t>out</w:t>
      </w:r>
      <w:r w:rsidRPr="00AD2F44">
        <w:t xml:space="preserve"> </w:t>
      </w:r>
      <w:r w:rsidRPr="00AD2F44">
        <w:rPr>
          <w:i/>
          <w:iCs/>
        </w:rPr>
        <w:t>of</w:t>
      </w:r>
      <w:r w:rsidRPr="00AD2F44">
        <w:t xml:space="preserve"> the Rule 23 class. The result is that the Rule 23 class will generally be larger than the FLSA class and the employer will be facing greater potential liability than it would from an FLSA collective action alone. In addition, to the extent the state law </w:t>
      </w:r>
      <w:r w:rsidRPr="00AD2F44">
        <w:lastRenderedPageBreak/>
        <w:t>claims mirror the FLSA claims, the employer may find itself, in substance, litigating the FLSA issues as to the entire Rule 23 class, even though only a relatively small percentage of those class members will be pursuing any FLSA claims in the action (and Rule 23 class members may similarly find that their FLSA claims are being effectively adjudicated even though they did not join the FLSA action). Prior to the advent of federal court jurisdiction over many state law class actions under the Class Action Fairness Act of 2005 (CAFA),</w:t>
      </w:r>
      <w:r>
        <w:rPr>
          <w:vertAlign w:val="superscript"/>
        </w:rPr>
        <w:footnoteReference w:id="1010"/>
      </w:r>
      <w:r w:rsidRPr="00AD2F44">
        <w:t xml:space="preserve"> employers and some courts had noted that the only basis for federal jurisdiction over the state law claims was supplemental jurisdiction, that many Rule 23 class members would be in federal court who did not have any federal claims, and that the vessel that would have carried them there would be the FLSA, a statute intended, in pertinent part, to limit the scope of FLSA collective actions through use of the opt-in procedure.</w:t>
      </w:r>
    </w:p>
    <w:p w14:paraId="45023070" w14:textId="77777777" w:rsidR="005D0340" w:rsidRPr="00AD2F44" w:rsidRDefault="00F42107">
      <w:pPr>
        <w:pStyle w:val="10ATextWithIndent"/>
      </w:pPr>
      <w:r w:rsidRPr="00AD2F44">
        <w:t>Hybrid actions have been allowed to proceed in the federal courts,</w:t>
      </w:r>
      <w:r>
        <w:rPr>
          <w:vertAlign w:val="superscript"/>
        </w:rPr>
        <w:footnoteReference w:id="1011"/>
      </w:r>
      <w:r w:rsidRPr="00AD2F44">
        <w:t xml:space="preserve"> but many have been successfully challenged or have had the scope of their state law classes limited. The following sections examine the challenges that have been litigated: objections that FLSA opt-in actions and Rule 23 opt-out actions are legally “incompatible”; motions to dismiss or strike on the ground that Rule 23, as applied in hybrid actions, is invalidated by the federal Rules Enabling Act;</w:t>
      </w:r>
      <w:r>
        <w:rPr>
          <w:vertAlign w:val="superscript"/>
        </w:rPr>
        <w:footnoteReference w:id="1012"/>
      </w:r>
      <w:r w:rsidRPr="00AD2F44">
        <w:t xml:space="preserve"> challenges to the existence, scope, and exercise of supplemental jurisdiction over state law claims in a hybrid action; questions about the standing of plaintiffs to pursue Rule 23 claims under the laws of states where they did not work; and arguments that state law claims cannot satisfy the Rule 23 criteria for class certification in hybrid actions.</w:t>
      </w:r>
    </w:p>
    <w:p w14:paraId="000922DD" w14:textId="77777777" w:rsidR="005D0340" w:rsidRPr="00AD2F44" w:rsidRDefault="00F42107">
      <w:pPr>
        <w:pStyle w:val="05Second-LevelHeadABC"/>
      </w:pPr>
      <w:r w:rsidRPr="00AD2F44">
        <w:t>B.</w:t>
      </w:r>
      <w:r w:rsidRPr="00AD2F44">
        <w:tab/>
        <w:t>Why Hybrid Actions?</w:t>
      </w:r>
    </w:p>
    <w:p w14:paraId="798B3A85" w14:textId="77777777" w:rsidR="005D0340" w:rsidRPr="00AD2F44" w:rsidRDefault="00F42107">
      <w:pPr>
        <w:pStyle w:val="10ATextWithIndent"/>
      </w:pPr>
      <w:r w:rsidRPr="00AD2F44">
        <w:t>There are a range of potential reasons why plaintiffs may choose to proceed with a hybrid action.</w:t>
      </w:r>
      <w:r>
        <w:rPr>
          <w:vertAlign w:val="superscript"/>
        </w:rPr>
        <w:footnoteReference w:id="1013"/>
      </w:r>
      <w:r w:rsidRPr="00AD2F44">
        <w:t xml:space="preserve"> First, many states have their own wage and hour laws, including statutes, regulations, and common law, which may be more protective of or generous to employees than the FLSA in the substantive rights they create. Examples include the following:</w:t>
      </w:r>
    </w:p>
    <w:p w14:paraId="6D50F009" w14:textId="77777777" w:rsidR="005D0340" w:rsidRPr="00AD2F44" w:rsidRDefault="00F42107">
      <w:pPr>
        <w:pStyle w:val="13AFirst-LevelBulletedList"/>
      </w:pPr>
      <w:r w:rsidRPr="00AD2F44">
        <w:t>higher minimum wages;</w:t>
      </w:r>
    </w:p>
    <w:p w14:paraId="55156A27" w14:textId="77777777" w:rsidR="005D0340" w:rsidRPr="00AD2F44" w:rsidRDefault="00F42107">
      <w:pPr>
        <w:pStyle w:val="13AFirst-LevelBulletedList"/>
      </w:pPr>
      <w:r w:rsidRPr="00AD2F44">
        <w:t>broader standards for what constitutes compensable time;</w:t>
      </w:r>
    </w:p>
    <w:p w14:paraId="31962EC3" w14:textId="77777777" w:rsidR="005D0340" w:rsidRPr="00AD2F44" w:rsidRDefault="00F42107">
      <w:pPr>
        <w:pStyle w:val="13AFirst-LevelBulletedList"/>
      </w:pPr>
      <w:r w:rsidRPr="00AD2F44">
        <w:t>daily or double overtime, or other premiums for certain hours or types of shifts;</w:t>
      </w:r>
    </w:p>
    <w:p w14:paraId="698CCB73" w14:textId="77777777" w:rsidR="005D0340" w:rsidRPr="00AD2F44" w:rsidRDefault="00F42107">
      <w:pPr>
        <w:pStyle w:val="13AFirst-LevelBulletedList"/>
      </w:pPr>
      <w:r w:rsidRPr="00AD2F44">
        <w:lastRenderedPageBreak/>
        <w:t>stricter standards regarding overtime pay computation, meal periods, rest breaks, wage statements, and expense reimbursement;</w:t>
      </w:r>
    </w:p>
    <w:p w14:paraId="5965E819" w14:textId="77777777" w:rsidR="005D0340" w:rsidRPr="00AD2F44" w:rsidRDefault="00F42107">
      <w:pPr>
        <w:pStyle w:val="13AFirst-LevelBulletedList"/>
      </w:pPr>
      <w:r w:rsidRPr="00AD2F44">
        <w:t>narrower or non-existent overtime exemptions; and</w:t>
      </w:r>
    </w:p>
    <w:p w14:paraId="3585E172" w14:textId="77777777" w:rsidR="005D0340" w:rsidRPr="00AD2F44" w:rsidRDefault="00F42107">
      <w:pPr>
        <w:pStyle w:val="13AFirst-LevelBulletedList"/>
      </w:pPr>
      <w:r w:rsidRPr="00AD2F44">
        <w:t>provisions governing when wages must be paid.</w:t>
      </w:r>
      <w:r>
        <w:rPr>
          <w:vertAlign w:val="superscript"/>
        </w:rPr>
        <w:footnoteReference w:id="1014"/>
      </w:r>
    </w:p>
    <w:p w14:paraId="6C26AE80" w14:textId="77777777" w:rsidR="005D0340" w:rsidRPr="00AD2F44" w:rsidRDefault="00F42107">
      <w:pPr>
        <w:pStyle w:val="10ATextWithIndent"/>
      </w:pPr>
      <w:r w:rsidRPr="00AD2F44">
        <w:t>Second, state laws may be more protective of employees than the FLSA in their remedial schemes. For example, state law claims may have longer limitations periods than the FLSA. State law remedies may also provide for more substantial awards or penalties, liquidated damages, punitive damages, or prejudgment interest. Unlike the FLSA, state laws generally do not provide employers with a potential good faith defense to liability.</w:t>
      </w:r>
      <w:r>
        <w:rPr>
          <w:vertAlign w:val="superscript"/>
        </w:rPr>
        <w:footnoteReference w:id="1015"/>
      </w:r>
      <w:r w:rsidRPr="00AD2F44">
        <w:t xml:space="preserve"> Some states that provide for liquidated damages do not provide employers with a potential good faith defense to such damages, whereas the FLSA does.</w:t>
      </w:r>
      <w:r>
        <w:rPr>
          <w:vertAlign w:val="superscript"/>
        </w:rPr>
        <w:footnoteReference w:id="1016"/>
      </w:r>
      <w:r w:rsidRPr="00AD2F44">
        <w:t xml:space="preserve"> Further, private plaintiffs may be able to seek equitable relief such as an injunction under state law,</w:t>
      </w:r>
      <w:r>
        <w:rPr>
          <w:vertAlign w:val="superscript"/>
        </w:rPr>
        <w:footnoteReference w:id="1017"/>
      </w:r>
      <w:r w:rsidRPr="00AD2F44">
        <w:t xml:space="preserve"> whereas private plaintiffs cannot obtain such relief under the FLSA (except in retaliation cases).</w:t>
      </w:r>
      <w:r>
        <w:rPr>
          <w:vertAlign w:val="superscript"/>
        </w:rPr>
        <w:footnoteReference w:id="1018"/>
      </w:r>
    </w:p>
    <w:p w14:paraId="23014768" w14:textId="77777777" w:rsidR="005D0340" w:rsidRPr="00AD2F44" w:rsidRDefault="00F42107">
      <w:pPr>
        <w:pStyle w:val="10ATextWithIndent"/>
      </w:pPr>
      <w:r w:rsidRPr="00AD2F44">
        <w:t>Third, the use of Rule 23 procedures may confer certain advantages on employees. For example, the statute of limitations will typically be tolled for absent class members upon the filing of a proposed Rule 23 class action complaint, whereas the statute of limitations on FLSA claims will typically not be tolled until each employee files a written consent with the court to join the FLSA collective action.</w:t>
      </w:r>
      <w:r>
        <w:rPr>
          <w:vertAlign w:val="superscript"/>
        </w:rPr>
        <w:footnoteReference w:id="1019"/>
      </w:r>
      <w:r w:rsidRPr="00AD2F44">
        <w:t xml:space="preserve"> Also, Rule 23 class actions are opt-out actions, whereas FLSA collective actions are opt-in actions, requiring affirmative action by employees who desire to participate. For this reason, opt-out state law actions can reasonably be expected to have a higher number of potential class members than opt-in FLSA actions.</w:t>
      </w:r>
      <w:r>
        <w:rPr>
          <w:vertAlign w:val="superscript"/>
        </w:rPr>
        <w:footnoteReference w:id="1020"/>
      </w:r>
    </w:p>
    <w:p w14:paraId="031D31A2" w14:textId="77777777" w:rsidR="005D0340" w:rsidRPr="00AD2F44" w:rsidRDefault="00F42107">
      <w:pPr>
        <w:pStyle w:val="10ATextWithIndent"/>
      </w:pPr>
      <w:r w:rsidRPr="00AD2F44">
        <w:lastRenderedPageBreak/>
        <w:t>Fourth, employees may include state law claims in their complaint because of issues that might arise if they do not.</w:t>
      </w:r>
      <w:r>
        <w:rPr>
          <w:vertAlign w:val="superscript"/>
        </w:rPr>
        <w:footnoteReference w:id="1021"/>
      </w:r>
      <w:r w:rsidRPr="00AD2F44">
        <w:t xml:space="preserve"> For example, depending on how claim preclusion doctrines are applied in a particular action, employees may later find that they are unable to prosecute state law claims in a separate action if they could have prosecuted them in the same action as their FLSA claims.</w:t>
      </w:r>
      <w:r>
        <w:rPr>
          <w:vertAlign w:val="superscript"/>
        </w:rPr>
        <w:footnoteReference w:id="1022"/>
      </w:r>
      <w:r w:rsidRPr="00AD2F44">
        <w:t xml:space="preserve"> Of course, on the other hand, including state law claims may preclude members of the state law class from later pursuing claims under the FLSA.</w:t>
      </w:r>
      <w:r>
        <w:rPr>
          <w:vertAlign w:val="superscript"/>
        </w:rPr>
        <w:footnoteReference w:id="1023"/>
      </w:r>
    </w:p>
    <w:p w14:paraId="1205C6F5" w14:textId="77777777" w:rsidR="005D0340" w:rsidRPr="00AD2F44" w:rsidRDefault="00F42107">
      <w:pPr>
        <w:pStyle w:val="10ATextWithIndent"/>
      </w:pPr>
      <w:r w:rsidRPr="00AD2F44">
        <w:t>Fifth, employees may seek to bring state law claims that are predicated on alleged FLSA violations, but that provide their own state law remedies. For example, where a state statute provides for damages or penalties for the late payment of wages, an employee might seek to recover penalties under the state law for the late payment of overtime wages that were due under the FLSA, even if the employee might not have been independently entitled to be paid overtime wages under state law.</w:t>
      </w:r>
      <w:r>
        <w:rPr>
          <w:vertAlign w:val="superscript"/>
        </w:rPr>
        <w:footnoteReference w:id="1024"/>
      </w:r>
      <w:r w:rsidRPr="00AD2F44">
        <w:t xml:space="preserve"> Similarly, where a state statute—such as an unfair business practices statute—makes it a violation of state law not to pay overtime wages that are due under the FLSA, employees might seek to pursue claims under that state statute, even though they might not have been independently entitled to receive overtime pay under any other state law.</w:t>
      </w:r>
      <w:r>
        <w:rPr>
          <w:vertAlign w:val="superscript"/>
        </w:rPr>
        <w:footnoteReference w:id="1025"/>
      </w:r>
    </w:p>
    <w:p w14:paraId="02AE53D7" w14:textId="77777777" w:rsidR="005D0340" w:rsidRPr="00AD2F44" w:rsidRDefault="00F42107">
      <w:pPr>
        <w:pStyle w:val="10ATextWithIndent"/>
      </w:pPr>
      <w:r w:rsidRPr="00AD2F44">
        <w:lastRenderedPageBreak/>
        <w:t>The FLSA may also provide employees with additional benefits beyond those available under the relevant state law such as a longer statute of limitations, liquidated damages, mandatory attorneys’ fees, coverage during a period of time when the employee did not work in a state with its own minimum wage or overtime law, a narrower overtime exemption, or a wider range of persons or entities who may be held liable. For this reason, employees may want to pursue hybrid claims rather than state law claims alone.</w:t>
      </w:r>
    </w:p>
    <w:p w14:paraId="74D31760" w14:textId="77777777" w:rsidR="005D0340" w:rsidRPr="00AD2F44" w:rsidRDefault="00F42107">
      <w:pPr>
        <w:pStyle w:val="05Second-LevelHeadABC"/>
      </w:pPr>
      <w:r w:rsidRPr="00AD2F44">
        <w:t>C.</w:t>
      </w:r>
      <w:r w:rsidRPr="00AD2F44">
        <w:tab/>
        <w:t>Legal Challenges to Hybrid Actions</w:t>
      </w:r>
    </w:p>
    <w:p w14:paraId="6134A786" w14:textId="77777777" w:rsidR="005D0340" w:rsidRPr="00AD2F44" w:rsidRDefault="00F42107">
      <w:pPr>
        <w:pStyle w:val="06Third-LevelHead123"/>
      </w:pPr>
      <w:r w:rsidRPr="00AD2F44">
        <w:t>1.</w:t>
      </w:r>
      <w:r w:rsidRPr="00AD2F44">
        <w:tab/>
        <w:t>“Incompatibility”</w:t>
      </w:r>
    </w:p>
    <w:p w14:paraId="3C0BB4F1" w14:textId="77777777" w:rsidR="005D0340" w:rsidRPr="00AD2F44" w:rsidRDefault="00F42107">
      <w:pPr>
        <w:pStyle w:val="10ATextWithIndent"/>
      </w:pPr>
      <w:r w:rsidRPr="00AD2F44">
        <w:t>Many courts have considered a theory that FLSA collective actions and Rule 23 state law class actions are “incompatible” when filed in the same action. The incompatibility theory arises from the fact that FLSA and state law actions are governed by different procedures for determining who is included in the action—i.e., the FLSA uses an opt-</w:t>
      </w:r>
      <w:r w:rsidRPr="00AD2F44">
        <w:rPr>
          <w:i/>
          <w:iCs/>
        </w:rPr>
        <w:t>in</w:t>
      </w:r>
      <w:r w:rsidRPr="00AD2F44">
        <w:t xml:space="preserve"> procedure to determine membership in the FLSA class while Rule 23 uses an opt-</w:t>
      </w:r>
      <w:r w:rsidRPr="00AD2F44">
        <w:rPr>
          <w:i/>
          <w:iCs/>
        </w:rPr>
        <w:t>out</w:t>
      </w:r>
      <w:r w:rsidRPr="00AD2F44">
        <w:t xml:space="preserve"> procedure to determine membership in the state law class.</w:t>
      </w:r>
      <w:r>
        <w:rPr>
          <w:vertAlign w:val="superscript"/>
        </w:rPr>
        <w:footnoteReference w:id="1026"/>
      </w:r>
      <w:r w:rsidRPr="00AD2F44">
        <w:t xml:space="preserve"> Proponents of the incompatibility theory</w:t>
      </w:r>
      <w:r>
        <w:rPr>
          <w:vertAlign w:val="superscript"/>
        </w:rPr>
        <w:footnoteReference w:id="1027"/>
      </w:r>
      <w:r w:rsidRPr="00AD2F44">
        <w:t xml:space="preserve"> generally argue that Congress’ purpose in adopting the FLSA’s opt-in requirement was to limit employers’ exposure to class actions for FLSA violations and to prevent FLSA claims from being adjudicated without express consent, and that these purposes would be frustrated where employees who elected not to join the FLSA action were nonetheless mandatory members of the proposed Rule 23 state law class because they did not opt out.</w:t>
      </w:r>
    </w:p>
    <w:p w14:paraId="282965A8" w14:textId="77777777" w:rsidR="005D0340" w:rsidRPr="00AD2F44" w:rsidRDefault="00F42107">
      <w:pPr>
        <w:pStyle w:val="10ATextWithIndent"/>
      </w:pPr>
      <w:r w:rsidRPr="00AD2F44">
        <w:t>In its purest form, the incompatibility theory is a claim that hybrid actions are categorically impermissible as a matter of law regardless of the basis for federal jurisdiction over the state law claims. Where the basis for federal court jurisdiction over the state law claims is supplemental jurisdiction, proponents of the incompatibility theory have presented one or more of the following arguments: (1) supplemental jurisdiction is not authorized over Rule 23 state law claims in a hybrid action; (2) supplemental jurisdiction is not authorized over members of the proposed Rule 23 state law class who do not opt in to the FLSA action; or (3) it would be an abuse of the court’s discretion to exercise supplemental jurisdiction over the Rule 23 state law claims in a hybrid action. The incompatibility theory has also been raised as a basis for declining to certify a Rule 23 class action for the state law claims in a hybrid action.</w:t>
      </w:r>
    </w:p>
    <w:p w14:paraId="572DAB48" w14:textId="77777777" w:rsidR="005D0340" w:rsidRPr="00AD2F44" w:rsidRDefault="00F42107">
      <w:pPr>
        <w:pStyle w:val="10ATextWithIndent"/>
      </w:pPr>
      <w:r w:rsidRPr="00AD2F44">
        <w:lastRenderedPageBreak/>
        <w:t>All circuit courts and the majority of district courts to consider the issue have rejected the argument that hybrid actions are categorically impermissible as a matter of law because of a perceived incompatibility (or “inconsistency,” “irreconcilability,” or “conflict”) between Rule 23 state law claims and FLSA collective action claims in the same suit.</w:t>
      </w:r>
      <w:r>
        <w:rPr>
          <w:vertAlign w:val="superscript"/>
        </w:rPr>
        <w:footnoteReference w:id="1028"/>
      </w:r>
      <w:r w:rsidRPr="00AD2F44">
        <w:t xml:space="preserve"> For example, the District </w:t>
      </w:r>
      <w:r w:rsidRPr="00AD2F44">
        <w:lastRenderedPageBreak/>
        <w:t>of Columbia Circuit rejected the argument that a “conflict” between the FLSA and Rule 23 limits the district courts’ supplemental jurisdiction or provides a compelling reason for declining to exercise supplemental jurisdiction.</w:t>
      </w:r>
      <w:r>
        <w:rPr>
          <w:vertAlign w:val="superscript"/>
        </w:rPr>
        <w:footnoteReference w:id="1029"/>
      </w:r>
      <w:r w:rsidRPr="00AD2F44">
        <w:t xml:space="preserve"> The Ninth Circuit has agreed with this analysis.</w:t>
      </w:r>
      <w:r>
        <w:rPr>
          <w:vertAlign w:val="superscript"/>
        </w:rPr>
        <w:footnoteReference w:id="1030"/>
      </w:r>
    </w:p>
    <w:p w14:paraId="0E10CD6A" w14:textId="77777777" w:rsidR="005D0340" w:rsidRPr="00AD2F44" w:rsidRDefault="00F42107">
      <w:pPr>
        <w:pStyle w:val="10ATextWithIndent"/>
      </w:pPr>
      <w:r w:rsidRPr="00AD2F44">
        <w:t>The Seventh Circuit rejected the position that there is a “clear incompatibility between the ‘opt out’ nature of a Rule 23 action and the ‘opt in’ nature of a Section 216 action” such that the Rule 23 class action device is “automatically” not the superior mechanism for resolving the state law claims, with the result that a Rule 23 action can never be prosecuted in the same action with an FLSA collective action.</w:t>
      </w:r>
      <w:r>
        <w:rPr>
          <w:vertAlign w:val="superscript"/>
        </w:rPr>
        <w:footnoteReference w:id="1031"/>
      </w:r>
      <w:r w:rsidRPr="00AD2F44">
        <w:t xml:space="preserve"> The court explained that “[n]othing we find suggests that the FLSA is not amenable to state law claims for related relief in the same federal proceeding. … There is ample evidence that a combined action is consistent with the regime Congress has established in the FLSA.”</w:t>
      </w:r>
      <w:r>
        <w:rPr>
          <w:vertAlign w:val="superscript"/>
        </w:rPr>
        <w:footnoteReference w:id="1032"/>
      </w:r>
      <w:r w:rsidRPr="00AD2F44">
        <w:t xml:space="preserve"> The court considered and rejected the argument that</w:t>
      </w:r>
    </w:p>
    <w:p w14:paraId="35A51055" w14:textId="77777777" w:rsidR="005D0340" w:rsidRPr="00AD2F44" w:rsidRDefault="00F42107">
      <w:pPr>
        <w:pStyle w:val="09BBlockQuoteWithoutIndent"/>
      </w:pPr>
      <w:r w:rsidRPr="00AD2F44">
        <w:t>permitting a plaintiff who ends up in only the Rule 23(b)(3) class (because she neither opted out of that class nor opted in to the FLSA collective action) to proceed as part of the state law class is in tension with the idea that disinterested parties were not supposed to take advantage of the FLSA.</w:t>
      </w:r>
      <w:r>
        <w:rPr>
          <w:vertAlign w:val="superscript"/>
        </w:rPr>
        <w:footnoteReference w:id="1033"/>
      </w:r>
    </w:p>
    <w:p w14:paraId="187068E5" w14:textId="63670D27" w:rsidR="005D0340" w:rsidRPr="00AD2F44" w:rsidRDefault="00F42107">
      <w:pPr>
        <w:pStyle w:val="10ATextWithIndent"/>
      </w:pPr>
      <w:r w:rsidRPr="00AD2F44">
        <w:t xml:space="preserve">The court observed that such a plaintiff would not be entitled to any FLSA remedy, and “[t]he most that one can say is that her state claim has found its way into federal court under the court’s supplemental jurisdiction. But that is a complaint that could be brought in almost every </w:t>
      </w:r>
      <w:r w:rsidRPr="00AD2F44">
        <w:lastRenderedPageBreak/>
        <w:t>claim that rests on Section 1367 jurisdiction.</w:t>
      </w:r>
      <w:r>
        <w:rPr>
          <w:vertAlign w:val="superscript"/>
        </w:rPr>
        <w:footnoteReference w:id="1034"/>
      </w:r>
      <w:r w:rsidRPr="00AD2F44">
        <w:t xml:space="preserve"> The court recognized that “[s]ome [plaintiffs] may be part of both the FLSA group and the Rule 23 class; some may be in one but not the other. We conclude that there is nothing in the FLSA that forecloses these possibilities.”</w:t>
      </w:r>
      <w:r>
        <w:rPr>
          <w:vertAlign w:val="superscript"/>
        </w:rPr>
        <w:footnoteReference w:id="1035"/>
      </w:r>
      <w:r w:rsidRPr="00AD2F44">
        <w:t xml:space="preserve"> The Second and Third Circuits joined the Seventh, Ninth, and District of Columbia Circuits in rejecting that there is an inherent incompat</w:t>
      </w:r>
      <w:r w:rsidR="00620E33" w:rsidRPr="00AD2F44">
        <w:t>i</w:t>
      </w:r>
      <w:r w:rsidRPr="00AD2F44">
        <w:t>bility in permitting FLSA actions requiring opt in and Rule 23 state law claims requiring opt out to proceed in the same action.</w:t>
      </w:r>
      <w:r>
        <w:rPr>
          <w:vertAlign w:val="superscript"/>
        </w:rPr>
        <w:footnoteReference w:id="1036"/>
      </w:r>
    </w:p>
    <w:p w14:paraId="2B74CEC4" w14:textId="77777777" w:rsidR="005D0340" w:rsidRPr="00AD2F44" w:rsidRDefault="00F42107">
      <w:pPr>
        <w:pStyle w:val="10ATextWithIndent"/>
      </w:pPr>
      <w:r w:rsidRPr="00AD2F44">
        <w:t>Some courts, however, have held that in some circumstances the FLSA preempts related state law claims</w:t>
      </w:r>
      <w:r>
        <w:rPr>
          <w:vertAlign w:val="superscript"/>
        </w:rPr>
        <w:footnoteReference w:id="1037"/>
      </w:r>
      <w:r w:rsidRPr="00AD2F44">
        <w:t xml:space="preserve"> or have adopted incompatibility as a basis for limiting the scope of supplemental jurisdiction, declining to exercise such jurisdiction, or refusing to certify a state law class action under Rule 23. Some of the decisions seem to suggest that at least some types of hybrid actions are essentially barred by law. These decisions are reviewed in Sections XI.D.2 [Hybrid FLSA/State Law Class Actions; Federal Jurisdiction Over State Law Claims in Hybrid Actions; Supplemental Jurisdiction Under 28 U.S.C. §1367] and XI.F [Hybrid FLSA/State Law Class Actions; Rule 23 Class Certification in Hybrid Actions] of this chapter, addressing supplemental jurisdiction and class certification issues.</w:t>
      </w:r>
    </w:p>
    <w:p w14:paraId="3B2D0A2C" w14:textId="77777777" w:rsidR="005D0340" w:rsidRPr="00AD2F44" w:rsidRDefault="00F42107">
      <w:pPr>
        <w:pStyle w:val="06Third-LevelHead123"/>
      </w:pPr>
      <w:r w:rsidRPr="00AD2F44">
        <w:t>2.</w:t>
      </w:r>
      <w:r w:rsidRPr="00AD2F44">
        <w:tab/>
        <w:t>Rules Enabling Act</w:t>
      </w:r>
    </w:p>
    <w:p w14:paraId="49EC1313" w14:textId="77777777" w:rsidR="005D0340" w:rsidRPr="00AD2F44" w:rsidRDefault="00F42107">
      <w:pPr>
        <w:pStyle w:val="10ATextWithIndent"/>
      </w:pPr>
      <w:r w:rsidRPr="00AD2F44">
        <w:t>Some employers have argued that the use of Rule 23 to certify an opt-out class for state law claims in the same action with an FLSA opt-in class is a violation of the federal Rules Enabling Act,</w:t>
      </w:r>
      <w:r>
        <w:rPr>
          <w:vertAlign w:val="superscript"/>
        </w:rPr>
        <w:footnoteReference w:id="1038"/>
      </w:r>
      <w:r w:rsidRPr="00AD2F44">
        <w:t xml:space="preserve"> which provides in pertinent part:</w:t>
      </w:r>
    </w:p>
    <w:p w14:paraId="00A4989F" w14:textId="77777777" w:rsidR="005D0340" w:rsidRPr="00AD2F44" w:rsidRDefault="00F42107">
      <w:pPr>
        <w:pStyle w:val="09BBlockQuoteWithoutIndent"/>
      </w:pPr>
      <w:r w:rsidRPr="00AD2F44">
        <w:t>(a) The Supreme Court shall have the power to prescribe general rules of practice and procedure and rules of evidence for cases in the United States district courts (including proceedings before magistrate judges thereof) and courts of appeals.</w:t>
      </w:r>
    </w:p>
    <w:p w14:paraId="457FC1A3" w14:textId="77777777" w:rsidR="005D0340" w:rsidRPr="00AD2F44" w:rsidRDefault="00F42107">
      <w:pPr>
        <w:pStyle w:val="09BBlockQuoteWithoutIndent"/>
      </w:pPr>
      <w:r w:rsidRPr="00AD2F44">
        <w:t>(b) Such rules shall not abridge, enlarge or modify any substantive right. All laws in conflict with such rules shall be of no further force or effect after such rules have taken effect.</w:t>
      </w:r>
      <w:r>
        <w:rPr>
          <w:vertAlign w:val="superscript"/>
        </w:rPr>
        <w:footnoteReference w:id="1039"/>
      </w:r>
    </w:p>
    <w:p w14:paraId="513454B2" w14:textId="77777777" w:rsidR="005D0340" w:rsidRPr="00AD2F44" w:rsidRDefault="00F42107">
      <w:pPr>
        <w:pStyle w:val="10ATextWithIndent"/>
      </w:pPr>
      <w:r w:rsidRPr="00AD2F44">
        <w:t xml:space="preserve">The issue is whether the use of Rule 23 to certify an opt-out state law class abridges a substantive right of employees not to have their FLSA claims adjudicated in a collective action unless they opt in, or a substantive right of employers to limit the FLSA litigation to those who </w:t>
      </w:r>
      <w:r w:rsidRPr="00AD2F44">
        <w:lastRenderedPageBreak/>
        <w:t>have opted in. Usually a Rules Enabling Act challenge is based on the assumption that litigation of the state law claims of employees who do not join the FLSA collective action will nevertheless be determinative of their rights under the FLSA (due to some form of issue or claim preclusion).</w:t>
      </w:r>
    </w:p>
    <w:p w14:paraId="5FA204BB" w14:textId="77777777" w:rsidR="005D0340" w:rsidRPr="00AD2F44" w:rsidRDefault="00F42107">
      <w:pPr>
        <w:pStyle w:val="10ATextWithIndent"/>
      </w:pPr>
      <w:r w:rsidRPr="00AD2F44">
        <w:t>Most courts have rejected the Rules Enabling Act challenge to hybrid actions.</w:t>
      </w:r>
      <w:r>
        <w:rPr>
          <w:vertAlign w:val="superscript"/>
        </w:rPr>
        <w:footnoteReference w:id="1040"/>
      </w:r>
      <w:r w:rsidRPr="00AD2F44">
        <w:t xml:space="preserve"> For example, one district court rejected the argument that adjudication of the state law claims of employees who did not opt in to the FLSA class might operate as “res judicata” with respect to their FLSA claims, thereby abridging their right to have their FLSA claims litigated only with their express written consent.</w:t>
      </w:r>
      <w:r>
        <w:rPr>
          <w:vertAlign w:val="superscript"/>
        </w:rPr>
        <w:footnoteReference w:id="1041"/>
      </w:r>
      <w:r w:rsidRPr="00AD2F44">
        <w:t xml:space="preserve"> The court similarly rejected the argument that such a result might abridge the right of employers “to be free … of the burden of representative actions.”</w:t>
      </w:r>
      <w:r>
        <w:rPr>
          <w:vertAlign w:val="superscript"/>
        </w:rPr>
        <w:footnoteReference w:id="1042"/>
      </w:r>
      <w:r w:rsidRPr="00AD2F44">
        <w:t xml:space="preserve"> The court reasoned that the FLSA’s opt-in provision is best viewed as a procedural mechanism for vindicating the substantive rights provided by the FLSA.</w:t>
      </w:r>
      <w:r>
        <w:rPr>
          <w:vertAlign w:val="superscript"/>
        </w:rPr>
        <w:footnoteReference w:id="1043"/>
      </w:r>
      <w:r w:rsidRPr="00AD2F44">
        <w:t xml:space="preserve"> Even if the opt-in provision were substantive, the relative right would be the right not to be a party to an FLSA action without written consent, and not a right to have FLSA claims litigated only with written consent.</w:t>
      </w:r>
      <w:r>
        <w:rPr>
          <w:vertAlign w:val="superscript"/>
        </w:rPr>
        <w:footnoteReference w:id="1044"/>
      </w:r>
      <w:r w:rsidRPr="00AD2F44">
        <w:t xml:space="preserve"> “Since the certification of a [state law] class does not affect an employee’s ability to opt in or not </w:t>
      </w:r>
      <w:r w:rsidRPr="00AD2F44">
        <w:lastRenderedPageBreak/>
        <w:t>to an FLSA collective action, such certification does not ‘abridge, enlarge or modify’ the rights conferred by the FLSA, whether those rights are substantive or procedural.”</w:t>
      </w:r>
      <w:r>
        <w:rPr>
          <w:vertAlign w:val="superscript"/>
        </w:rPr>
        <w:footnoteReference w:id="1045"/>
      </w:r>
      <w:r w:rsidRPr="00AD2F44">
        <w:t xml:space="preserve"> Additionally, </w:t>
      </w:r>
    </w:p>
    <w:p w14:paraId="659C727E" w14:textId="77777777" w:rsidR="005D0340" w:rsidRPr="00AD2F44" w:rsidRDefault="00F42107">
      <w:pPr>
        <w:pStyle w:val="09BBlockQuoteWithoutIndent"/>
      </w:pPr>
      <w:r w:rsidRPr="00AD2F44">
        <w:t>the right conferred on an employer by the opt-in requirement is not the expansive right to be “free … of the burden of representative actions” generally, but rather the right to be free of the burden of representative actions specifically for violations of the FLSA. Since plaintiffs seek certification of a class for violations of the [New York Labor Law] and not the FLSA, such certification also does not “abridge, enlarge or modify” that right.</w:t>
      </w:r>
      <w:r>
        <w:rPr>
          <w:vertAlign w:val="superscript"/>
        </w:rPr>
        <w:footnoteReference w:id="1046"/>
      </w:r>
    </w:p>
    <w:p w14:paraId="3DE12F94" w14:textId="77777777" w:rsidR="005D0340" w:rsidRPr="00AD2F44" w:rsidRDefault="00F42107">
      <w:pPr>
        <w:pStyle w:val="05Second-LevelHeadABC"/>
      </w:pPr>
      <w:r w:rsidRPr="00AD2F44">
        <w:t>D.</w:t>
      </w:r>
      <w:r w:rsidRPr="00AD2F44">
        <w:tab/>
        <w:t>Federal Jurisdiction Over State Law Claims in Hybrid Actions</w:t>
      </w:r>
    </w:p>
    <w:p w14:paraId="02EB1883" w14:textId="77777777" w:rsidR="005D0340" w:rsidRPr="00AD2F44" w:rsidRDefault="00F42107">
      <w:pPr>
        <w:pStyle w:val="06Third-LevelHead123"/>
      </w:pPr>
      <w:r w:rsidRPr="00AD2F44">
        <w:t>1.</w:t>
      </w:r>
      <w:r w:rsidRPr="00AD2F44">
        <w:tab/>
        <w:t>Diversity Jurisdiction Under the Class Action Fairness Act</w:t>
      </w:r>
    </w:p>
    <w:p w14:paraId="1018019B" w14:textId="77777777" w:rsidR="005D0340" w:rsidRPr="00AD2F44" w:rsidRDefault="00F42107">
      <w:pPr>
        <w:pStyle w:val="10ATextWithIndent"/>
      </w:pPr>
      <w:r w:rsidRPr="00AD2F44">
        <w:t>The Class Action Fairness Act of 2005 (CAFA)</w:t>
      </w:r>
      <w:r>
        <w:rPr>
          <w:vertAlign w:val="superscript"/>
        </w:rPr>
        <w:footnoteReference w:id="1047"/>
      </w:r>
      <w:r w:rsidRPr="00AD2F44">
        <w:t xml:space="preserve"> established federal court diversity jurisdiction over certain state law class actions filed under Rule 23 of the Federal Rules of Civil Procedure or a “similar State statute.”</w:t>
      </w:r>
      <w:r>
        <w:rPr>
          <w:vertAlign w:val="superscript"/>
        </w:rPr>
        <w:footnoteReference w:id="1048"/>
      </w:r>
      <w:r w:rsidRPr="00AD2F44">
        <w:t xml:space="preserve"> Generally, and subject to certain exceptions under which the district court may, or must, decline to exercise jurisdiction, CAFA jurisdiction exists where the amount in controversy exceeds $5 million exclusive of interest and costs, any member of a class of plaintiffs is a citizen of a state different from any defendant, and the number of members of all proposed classes in the aggregate is 100 or greater.</w:t>
      </w:r>
      <w:r>
        <w:rPr>
          <w:vertAlign w:val="superscript"/>
        </w:rPr>
        <w:footnoteReference w:id="1049"/>
      </w:r>
    </w:p>
    <w:p w14:paraId="04024AA4" w14:textId="77777777" w:rsidR="005D0340" w:rsidRPr="00AD2F44" w:rsidRDefault="00F42107">
      <w:pPr>
        <w:pStyle w:val="10ATextWithIndent"/>
      </w:pPr>
      <w:r w:rsidRPr="00AD2F44">
        <w:t>On its face, CAFA jurisdiction extends to state law class actions in hybrid actions no less than any other type of state law class action. Thus, assuming the statutory criteria are satisfied, CAFA jurisdiction allows a plaintiff to file a hybrid action in federal court and also allows a defendant to remove to federal court a hybrid action that the plaintiff filed in state court.</w:t>
      </w:r>
    </w:p>
    <w:p w14:paraId="66F629F3" w14:textId="77777777" w:rsidR="005D0340" w:rsidRPr="00AD2F44" w:rsidRDefault="00F42107">
      <w:pPr>
        <w:pStyle w:val="10ATextWithIndent"/>
      </w:pPr>
      <w:r w:rsidRPr="00AD2F44">
        <w:t>To date, challenges to the maintenance of hybrid actions where one of the jurisdictional bases is CAFA have been unsuccessful and essentially limited to the incompatibility and Rules Enabling Act arguments discussed above.</w:t>
      </w:r>
      <w:r>
        <w:rPr>
          <w:vertAlign w:val="superscript"/>
        </w:rPr>
        <w:footnoteReference w:id="1050"/>
      </w:r>
      <w:r w:rsidRPr="00AD2F44">
        <w:t xml:space="preserve"> Even when FLSA claims are dismissed, leaving </w:t>
      </w:r>
      <w:r w:rsidRPr="00AD2F44">
        <w:lastRenderedPageBreak/>
        <w:t>only state law claims, district courts may retain jurisdiction if the CAFA requirements are met.</w:t>
      </w:r>
      <w:r>
        <w:rPr>
          <w:vertAlign w:val="superscript"/>
        </w:rPr>
        <w:footnoteReference w:id="1051"/>
      </w:r>
    </w:p>
    <w:p w14:paraId="0CB44E36" w14:textId="77777777" w:rsidR="005D0340" w:rsidRPr="00AD2F44" w:rsidRDefault="00F42107">
      <w:pPr>
        <w:pStyle w:val="06Third-LevelHead123"/>
      </w:pPr>
      <w:r w:rsidRPr="00AD2F44">
        <w:t>2.</w:t>
      </w:r>
      <w:r w:rsidRPr="00AD2F44">
        <w:tab/>
        <w:t>Supplemental Jurisdiction Under 28 U.S.C. §1367</w:t>
      </w:r>
    </w:p>
    <w:p w14:paraId="7C29158D" w14:textId="77777777" w:rsidR="005D0340" w:rsidRPr="00AD2F44" w:rsidRDefault="00F42107">
      <w:pPr>
        <w:pStyle w:val="10ATextWithIndent"/>
      </w:pPr>
      <w:r w:rsidRPr="00AD2F44">
        <w:t>In many hybrid actions, the asserted basis for jurisdiction over the state law claims has been supplemental jurisdiction under 28 U.S.C. §1367. Issues that have been repeatedly litigated in such actions are whether supplemental jurisdiction is authorized over the state law claims, and, if it is, whether the court should decline to exercise it. The advent of CAFA establishing independent federal diversity jurisdiction for many state law class actions has reduced the number of actions in which these issues are pertinent. But issues pertaining to supplemental jurisdiction will continue to arise where CAFA jurisdiction is not present—e.g., where the amount in controversy does not exceed $5 million or the requisite diversity is lacking.</w:t>
      </w:r>
    </w:p>
    <w:p w14:paraId="4F2CBB4E" w14:textId="77777777" w:rsidR="005D0340" w:rsidRPr="00AD2F44" w:rsidRDefault="00F42107">
      <w:pPr>
        <w:pStyle w:val="10ATextWithIndent"/>
      </w:pPr>
      <w:r w:rsidRPr="00AD2F44">
        <w:t xml:space="preserve">This section reviews the issues that have confronted courts in hybrid actions where the basis for federal jurisdiction over the state law claims is supplemental jurisdiction. These issues include </w:t>
      </w:r>
    </w:p>
    <w:p w14:paraId="021A8D8F" w14:textId="77777777" w:rsidR="005D0340" w:rsidRPr="00AD2F44" w:rsidRDefault="00F42107" w:rsidP="00F1752E">
      <w:pPr>
        <w:pStyle w:val="13AFirst-LevelBulletedList"/>
      </w:pPr>
      <w:r w:rsidRPr="00AD2F44">
        <w:t xml:space="preserve">whether any federal statute “expressly provides” that the federal courts will not have supplemental jurisdiction over the state law claims in hybrid actions; </w:t>
      </w:r>
    </w:p>
    <w:p w14:paraId="4FB561D8" w14:textId="77777777" w:rsidR="005D0340" w:rsidRPr="00AD2F44" w:rsidRDefault="00F42107" w:rsidP="00F1752E">
      <w:pPr>
        <w:pStyle w:val="13AFirst-LevelBulletedList"/>
      </w:pPr>
      <w:r w:rsidRPr="00AD2F44">
        <w:t xml:space="preserve">whether there is supplemental jurisdiction over the state law claims of class members who, because they do not opt in to the FLSA litigation, do not have federal claims in the hybrid action; </w:t>
      </w:r>
    </w:p>
    <w:p w14:paraId="7C776C77" w14:textId="77777777" w:rsidR="005D0340" w:rsidRPr="00AD2F44" w:rsidRDefault="00F42107" w:rsidP="00F1752E">
      <w:pPr>
        <w:pStyle w:val="13AFirst-LevelBulletedList"/>
      </w:pPr>
      <w:r w:rsidRPr="00AD2F44">
        <w:lastRenderedPageBreak/>
        <w:t xml:space="preserve">whether the FLSA and state law claims are sufficiently related that they form part of the same Article III case or controversy; </w:t>
      </w:r>
    </w:p>
    <w:p w14:paraId="0C890FA3" w14:textId="77777777" w:rsidR="005D0340" w:rsidRPr="00AD2F44" w:rsidRDefault="00F42107" w:rsidP="00F1752E">
      <w:pPr>
        <w:pStyle w:val="13AFirst-LevelBulletedList"/>
      </w:pPr>
      <w:r w:rsidRPr="00AD2F44">
        <w:t xml:space="preserve">whether the court should decline to exercise supplemental jurisdiction over the state law claims because they raise a novel or complex issue of state law; </w:t>
      </w:r>
    </w:p>
    <w:p w14:paraId="0129A42E" w14:textId="77777777" w:rsidR="005D0340" w:rsidRPr="00AD2F44" w:rsidRDefault="00F42107" w:rsidP="00F1752E">
      <w:pPr>
        <w:pStyle w:val="13AFirst-LevelBulletedList"/>
      </w:pPr>
      <w:r w:rsidRPr="00AD2F44">
        <w:t xml:space="preserve">whether the court should decline to exercise supplemental jurisdiction over the state law claims because they substantially predominate over the FLSA claims; </w:t>
      </w:r>
    </w:p>
    <w:p w14:paraId="358C2286" w14:textId="77777777" w:rsidR="005D0340" w:rsidRPr="00AD2F44" w:rsidRDefault="00F42107" w:rsidP="00F1752E">
      <w:pPr>
        <w:pStyle w:val="13AFirst-LevelBulletedList"/>
      </w:pPr>
      <w:r w:rsidRPr="00AD2F44">
        <w:t xml:space="preserve">whether the court should decline to exercise supplemental jurisdiction over the state law claims because the court has dismissed the FLSA claims that provided the basis for the court’s original jurisdiction; and </w:t>
      </w:r>
    </w:p>
    <w:p w14:paraId="5C152FCB" w14:textId="77777777" w:rsidR="005D0340" w:rsidRPr="00AD2F44" w:rsidRDefault="00F42107" w:rsidP="00F1752E">
      <w:pPr>
        <w:pStyle w:val="13AFirst-LevelBulletedList"/>
      </w:pPr>
      <w:r w:rsidRPr="00AD2F44">
        <w:t>whether the court should decline to exercise supplemental jurisdiction because the action presents the court with exceptional circumstances in which there are compelling reasons for declining jurisdiction.</w:t>
      </w:r>
    </w:p>
    <w:p w14:paraId="33D75E22" w14:textId="77777777" w:rsidR="005D0340" w:rsidRPr="00AD2F44" w:rsidRDefault="00F42107">
      <w:pPr>
        <w:pStyle w:val="07Fourth-LevelHeadabc"/>
      </w:pPr>
      <w:r w:rsidRPr="00AD2F44">
        <w:t>a.</w:t>
      </w:r>
      <w:r w:rsidRPr="00AD2F44">
        <w:tab/>
        <w:t>The Supplemental Jurisdiction Statute</w:t>
      </w:r>
    </w:p>
    <w:p w14:paraId="6842FA97" w14:textId="77777777" w:rsidR="005D0340" w:rsidRPr="00AD2F44" w:rsidRDefault="00F42107">
      <w:pPr>
        <w:pStyle w:val="10ATextWithIndent"/>
      </w:pPr>
      <w:r w:rsidRPr="00AD2F44">
        <w:t>The supplemental jurisdiction statute, 28 U.S.C. §1367, provides in pertinent part that</w:t>
      </w:r>
    </w:p>
    <w:p w14:paraId="6C94748E" w14:textId="77777777" w:rsidR="005D0340" w:rsidRPr="00AD2F44" w:rsidRDefault="00F42107">
      <w:pPr>
        <w:pStyle w:val="09BBlockQuoteWithoutIndent"/>
      </w:pPr>
      <w:r w:rsidRPr="00AD2F44">
        <w:t>(a) Except as provided in subsections (b) and (c) or as expressly provided otherwise by Federal statute, in any civil action of which the district courts have original jurisdiction, the district courts shall have supplemental jurisdiction over all other claims that are so related to claims in the action within such original jurisdiction that they form part of the same case or controversy under Article III of the United States Constitution. Such supplemental jurisdiction shall include claims that involve the joinder or intervention of additional parties.</w:t>
      </w:r>
    </w:p>
    <w:p w14:paraId="1648558A" w14:textId="77777777" w:rsidR="005D0340" w:rsidRPr="00AD2F44" w:rsidRDefault="00F42107">
      <w:pPr>
        <w:pStyle w:val="09BBlockQuoteWithoutIndent"/>
      </w:pPr>
      <w:r w:rsidRPr="00AD2F44">
        <w:t>(b) …</w:t>
      </w:r>
    </w:p>
    <w:p w14:paraId="70063C9D" w14:textId="77777777" w:rsidR="005D0340" w:rsidRPr="00AD2F44" w:rsidRDefault="00F42107">
      <w:pPr>
        <w:pStyle w:val="09BBlockQuoteWithoutIndent"/>
        <w:rPr>
          <w:spacing w:val="-1"/>
        </w:rPr>
      </w:pPr>
      <w:r w:rsidRPr="00AD2F44">
        <w:rPr>
          <w:spacing w:val="-1"/>
        </w:rPr>
        <w:t>(c) The district courts may decline to exercise supplemental jurisdiction under subsection (a) if—(1) the claim raises a novel or complex issue of State law, (2) the claim substantially predominates over the claim or claims over which the district court has original jurisdiction, (3) the district court has dismissed all claims over which it has original jurisdiction, or (4) in exceptional circumstances, there are other compelling reasons for declining jurisdiction.</w:t>
      </w:r>
      <w:r>
        <w:rPr>
          <w:spacing w:val="-1"/>
          <w:vertAlign w:val="superscript"/>
        </w:rPr>
        <w:footnoteReference w:id="1052"/>
      </w:r>
    </w:p>
    <w:p w14:paraId="3A5036B1" w14:textId="77777777" w:rsidR="005D0340" w:rsidRPr="00AD2F44" w:rsidRDefault="00F42107">
      <w:pPr>
        <w:pStyle w:val="07Fourth-LevelHeadabc"/>
      </w:pPr>
      <w:r w:rsidRPr="00AD2F44">
        <w:t>b.</w:t>
      </w:r>
      <w:r w:rsidRPr="00AD2F44">
        <w:tab/>
        <w:t>Whether Supplemental Jurisdiction Is Authorized</w:t>
      </w:r>
    </w:p>
    <w:p w14:paraId="324EEE42" w14:textId="77777777" w:rsidR="005D0340" w:rsidRPr="00AD2F44" w:rsidRDefault="00F42107">
      <w:pPr>
        <w:pStyle w:val="08Fifth-LevelHeadi"/>
      </w:pPr>
      <w:r w:rsidRPr="00AD2F44">
        <w:t>(i.)</w:t>
      </w:r>
      <w:r w:rsidRPr="00AD2F44">
        <w:tab/>
        <w:t>No Federal Statute “Expressly” Precludes Jurisdiction</w:t>
      </w:r>
    </w:p>
    <w:p w14:paraId="1917182B" w14:textId="77777777" w:rsidR="005D0340" w:rsidRPr="00AD2F44" w:rsidRDefault="00F42107">
      <w:pPr>
        <w:pStyle w:val="10ATextWithIndent"/>
      </w:pPr>
      <w:r w:rsidRPr="00AD2F44">
        <w:t>The federal supplemental jurisdiction statute provides district courts with supplemental jurisdiction over state law claims unless a federal statute “expressly provide[s]” that there is no jurisdiction.</w:t>
      </w:r>
      <w:r>
        <w:rPr>
          <w:vertAlign w:val="superscript"/>
        </w:rPr>
        <w:footnoteReference w:id="1053"/>
      </w:r>
      <w:r w:rsidRPr="00AD2F44">
        <w:t xml:space="preserve"> There is no statute that “expressly” provides that federal courts may not exercise supplemental jurisdiction over state law wage and hour claims.</w:t>
      </w:r>
    </w:p>
    <w:p w14:paraId="2606FA52" w14:textId="77777777" w:rsidR="005D0340" w:rsidRPr="00AD2F44" w:rsidRDefault="00F42107">
      <w:pPr>
        <w:pStyle w:val="10ATextWithIndent"/>
      </w:pPr>
      <w:r w:rsidRPr="00AD2F44">
        <w:t xml:space="preserve">Three circuit courts and various district courts have held that neither the FLSA nor any other federal statute prohibits supplemental jurisdiction over state wage and hour or related </w:t>
      </w:r>
      <w:r w:rsidRPr="00AD2F44">
        <w:lastRenderedPageBreak/>
        <w:t>claims.</w:t>
      </w:r>
      <w:r>
        <w:rPr>
          <w:vertAlign w:val="superscript"/>
        </w:rPr>
        <w:footnoteReference w:id="1054"/>
      </w:r>
      <w:r w:rsidRPr="00AD2F44">
        <w:t xml:space="preserve"> The District of Columbia Circuit ruled that the language of Section 216(b) “does not meet section 1367(a)’s requirement of an ‘express[]’ prohibition.”</w:t>
      </w:r>
      <w:r>
        <w:rPr>
          <w:vertAlign w:val="superscript"/>
        </w:rPr>
        <w:footnoteReference w:id="1055"/>
      </w:r>
      <w:r w:rsidRPr="00AD2F44">
        <w:t xml:space="preserve"> The FLSA does not expressly prohibit the exercise of supplemental jurisdiction over the state law claims of opt-out class members and does not even mention supplemental jurisdiction at all.</w:t>
      </w:r>
      <w:r>
        <w:rPr>
          <w:vertAlign w:val="superscript"/>
        </w:rPr>
        <w:footnoteReference w:id="1056"/>
      </w:r>
      <w:r w:rsidRPr="00AD2F44">
        <w:t xml:space="preserve"> The court contrasted the FLSA with other legislation in which Congress has by express terms prohibited federal courts from exercising supplemental jurisdiction over certain state law claims.</w:t>
      </w:r>
      <w:r>
        <w:rPr>
          <w:vertAlign w:val="superscript"/>
        </w:rPr>
        <w:footnoteReference w:id="1057"/>
      </w:r>
      <w:r w:rsidRPr="00AD2F44">
        <w:t xml:space="preserve"> The court also invoked Supreme Court precedent relating to an analogous provision in the federal removal statute, 28 U.S.C. §1441(a), in which the Supreme Court admonished courts not to read the term “expressly” out of the phrase “[e]xcept as otherwise expressly provided by Act of Congress.”</w:t>
      </w:r>
      <w:r>
        <w:rPr>
          <w:vertAlign w:val="superscript"/>
        </w:rPr>
        <w:footnoteReference w:id="1058"/>
      </w:r>
    </w:p>
    <w:p w14:paraId="74BDE750" w14:textId="77777777" w:rsidR="005D0340" w:rsidRPr="00AD2F44" w:rsidRDefault="00F42107">
      <w:pPr>
        <w:pStyle w:val="10ATextWithIndent"/>
      </w:pPr>
      <w:r w:rsidRPr="00AD2F44">
        <w:t>District courts have reached similar conclusions.</w:t>
      </w:r>
      <w:r>
        <w:rPr>
          <w:vertAlign w:val="superscript"/>
        </w:rPr>
        <w:footnoteReference w:id="1059"/>
      </w:r>
    </w:p>
    <w:p w14:paraId="345FEBDD" w14:textId="77777777" w:rsidR="005D0340" w:rsidRPr="00AD2F44" w:rsidRDefault="00F42107">
      <w:pPr>
        <w:pStyle w:val="08Fifth-LevelHeadi"/>
        <w:ind w:left="2160" w:hanging="720"/>
      </w:pPr>
      <w:r w:rsidRPr="00AD2F44">
        <w:t>(ii.)</w:t>
      </w:r>
      <w:r w:rsidRPr="00AD2F44">
        <w:tab/>
        <w:t>Whether the State Law Claims Are So Related to the FLSA Claims That They Form Part of the “Same Case or Controversy”</w:t>
      </w:r>
    </w:p>
    <w:p w14:paraId="5EE8443E" w14:textId="77777777" w:rsidR="005D0340" w:rsidRPr="00AD2F44" w:rsidRDefault="00F42107">
      <w:pPr>
        <w:pStyle w:val="10ATextWithIndent"/>
      </w:pPr>
      <w:r w:rsidRPr="00AD2F44">
        <w:t>In order for the district court to have supplemental jurisdiction over the state law claims in a hybrid action, the state law claims must be “so related to” the FLSA claims “that they form part of the same case or controversy under Article III of the United States Constitution.”</w:t>
      </w:r>
      <w:r>
        <w:rPr>
          <w:vertAlign w:val="superscript"/>
        </w:rPr>
        <w:footnoteReference w:id="1060"/>
      </w:r>
      <w:r w:rsidRPr="00AD2F44">
        <w:t xml:space="preserve"> This is generally a case-specific determination.</w:t>
      </w:r>
    </w:p>
    <w:p w14:paraId="0F8ED8E4" w14:textId="77777777" w:rsidR="005D0340" w:rsidRPr="00AD2F44" w:rsidRDefault="00F42107">
      <w:pPr>
        <w:pStyle w:val="10ATextWithIndent"/>
      </w:pPr>
      <w:r w:rsidRPr="00AD2F44">
        <w:t xml:space="preserve">In </w:t>
      </w:r>
      <w:r w:rsidRPr="00AD2F44">
        <w:rPr>
          <w:i/>
          <w:iCs/>
        </w:rPr>
        <w:t>De Asencio v. Tyson Foods, Inc.</w:t>
      </w:r>
      <w:r w:rsidRPr="00AD2F44">
        <w:t>,</w:t>
      </w:r>
      <w:r>
        <w:rPr>
          <w:vertAlign w:val="superscript"/>
        </w:rPr>
        <w:footnoteReference w:id="1061"/>
      </w:r>
      <w:r w:rsidRPr="00AD2F44">
        <w:t xml:space="preserve"> the Third Circuit upheld the district court’s finding that the state and federal claims in a hybrid action were so related as to form part of the same case or controversy.</w:t>
      </w:r>
      <w:r>
        <w:rPr>
          <w:vertAlign w:val="superscript"/>
        </w:rPr>
        <w:footnoteReference w:id="1062"/>
      </w:r>
      <w:r w:rsidRPr="00AD2F44">
        <w:t xml:space="preserve"> The employees complained that they were not paid for time spent performing donning, doffing, and sanitizing activities, alleging that the time was compensable </w:t>
      </w:r>
      <w:r w:rsidRPr="00AD2F44">
        <w:lastRenderedPageBreak/>
        <w:t>under both the FLSA and the Pennsylvania Wage Payment and Collection Law (PWPCL). The Third Circuit applied the established rule that federal and state claims are sufficiently related for purposes of the supplemental jurisdiction statute where the claims derive from a “‘common nucleus of operative fact.’”</w:t>
      </w:r>
      <w:r>
        <w:rPr>
          <w:vertAlign w:val="superscript"/>
        </w:rPr>
        <w:footnoteReference w:id="1063"/>
      </w:r>
      <w:r w:rsidRPr="00AD2F44">
        <w:t xml:space="preserve"> Since the same work activities were alleged to be compensable work time under parallel federal and state laws, the court concluded that the standard was met: “The FLSA and PWPCL are parallel federal and state laws and the independent actions both address whether Tyson’s employees should be paid for donning and doffing time, sufficiently demonstrating a common nucleus of operative fact.”</w:t>
      </w:r>
      <w:r>
        <w:rPr>
          <w:vertAlign w:val="superscript"/>
        </w:rPr>
        <w:footnoteReference w:id="1064"/>
      </w:r>
    </w:p>
    <w:p w14:paraId="7623588C" w14:textId="77777777" w:rsidR="005D0340" w:rsidRPr="00AD2F44" w:rsidRDefault="00F42107">
      <w:pPr>
        <w:pStyle w:val="10ATextWithIndent"/>
      </w:pPr>
      <w:r w:rsidRPr="00AD2F44">
        <w:t xml:space="preserve">In </w:t>
      </w:r>
      <w:r w:rsidRPr="00AD2F44">
        <w:rPr>
          <w:i/>
          <w:iCs/>
        </w:rPr>
        <w:t>Lindsay v. Government Employees Insurance Co.</w:t>
      </w:r>
      <w:r w:rsidRPr="00AD2F44">
        <w:t>,</w:t>
      </w:r>
      <w:r>
        <w:rPr>
          <w:vertAlign w:val="superscript"/>
        </w:rPr>
        <w:footnoteReference w:id="1065"/>
      </w:r>
      <w:r w:rsidRPr="00AD2F44">
        <w:t xml:space="preserve"> the District of Columbia Circuit addressed whether employees were exempt from overtime under either the FLSA or the New York Minimum Wage Act or both and held that state law claims satisfied the “common nucleus of operative fact” requirement, explaining:</w:t>
      </w:r>
    </w:p>
    <w:p w14:paraId="4508FC21" w14:textId="77777777" w:rsidR="005D0340" w:rsidRPr="00AD2F44" w:rsidRDefault="00F42107">
      <w:pPr>
        <w:pStyle w:val="09BBlockQuoteWithoutIndent"/>
      </w:pPr>
      <w:r w:rsidRPr="00AD2F44">
        <w:t>Here, the complaint alleged that members of both classes performed the same type of work for the same employer and were deprived of overtime compensation as a result of the same action taken by their employer. It is clear to us that the two claims derive from a common nucleus of operative fact and thus form part of the same Article III case or controversy.</w:t>
      </w:r>
      <w:r>
        <w:rPr>
          <w:vertAlign w:val="superscript"/>
        </w:rPr>
        <w:footnoteReference w:id="1066"/>
      </w:r>
    </w:p>
    <w:p w14:paraId="04BD4ED7" w14:textId="77777777" w:rsidR="005D0340" w:rsidRPr="00AD2F44" w:rsidRDefault="00F42107">
      <w:pPr>
        <w:pStyle w:val="10ATextWithIndent"/>
      </w:pPr>
      <w:r w:rsidRPr="00AD2F44">
        <w:t>District courts have found the “same case or controversy” requirement to be satisfied in a variety of hybrid actions.</w:t>
      </w:r>
      <w:r>
        <w:rPr>
          <w:vertAlign w:val="superscript"/>
        </w:rPr>
        <w:footnoteReference w:id="1067"/>
      </w:r>
      <w:r w:rsidRPr="00AD2F44">
        <w:t xml:space="preserve"> </w:t>
      </w:r>
    </w:p>
    <w:p w14:paraId="6D864134" w14:textId="77777777" w:rsidR="005D0340" w:rsidRPr="00AD2F44" w:rsidRDefault="00F42107">
      <w:pPr>
        <w:pStyle w:val="08Fifth-LevelHeadi"/>
        <w:ind w:left="2160" w:hanging="720"/>
      </w:pPr>
      <w:r w:rsidRPr="00AD2F44">
        <w:lastRenderedPageBreak/>
        <w:t>(iii.)</w:t>
      </w:r>
      <w:r w:rsidRPr="00AD2F44">
        <w:tab/>
        <w:t>Whether Supplemental Jurisdiction Extends to Individuals Who Do Not Opt In to the FLSA Action</w:t>
      </w:r>
    </w:p>
    <w:p w14:paraId="52806372" w14:textId="77777777" w:rsidR="005D0340" w:rsidRPr="00AD2F44" w:rsidRDefault="00F42107">
      <w:pPr>
        <w:pStyle w:val="10ATextWithIndent"/>
      </w:pPr>
      <w:r w:rsidRPr="00AD2F44">
        <w:t>Three circuits courts have agreed that supplemental jurisdiction extends to state law claims of individuals who do not opt in to the FLSA action.</w:t>
      </w:r>
      <w:r>
        <w:rPr>
          <w:vertAlign w:val="superscript"/>
        </w:rPr>
        <w:footnoteReference w:id="1068"/>
      </w:r>
      <w:r w:rsidRPr="00AD2F44">
        <w:t xml:space="preserve"> In </w:t>
      </w:r>
      <w:r w:rsidRPr="00AD2F44">
        <w:rPr>
          <w:i/>
          <w:iCs/>
        </w:rPr>
        <w:t>Lindsay v. Government Employees Insurance Co.</w:t>
      </w:r>
      <w:r w:rsidRPr="00AD2F44">
        <w:t>,</w:t>
      </w:r>
      <w:r>
        <w:rPr>
          <w:vertAlign w:val="superscript"/>
        </w:rPr>
        <w:footnoteReference w:id="1069"/>
      </w:r>
      <w:r w:rsidRPr="00AD2F44">
        <w:t xml:space="preserve"> the issue arose when the employer argued that the state law claims of class members who did not opt in to the FLSA action could not be considered part of the same </w:t>
      </w:r>
      <w:r w:rsidRPr="00AD2F44">
        <w:lastRenderedPageBreak/>
        <w:t xml:space="preserve">case or controversy as the FLSA claims and that supplemental jurisdiction was therefore not authorized over those claims. The District of Columbia Circuit ruled that the supplemental jurisdiction statute </w:t>
      </w:r>
      <w:r w:rsidRPr="00AD2F44">
        <w:rPr>
          <w:i/>
          <w:iCs/>
        </w:rPr>
        <w:t>does</w:t>
      </w:r>
      <w:r w:rsidRPr="00AD2F44">
        <w:t xml:space="preserve"> authorize jurisdiction over the state law claims of employees who do not opt in to the FLSA action.</w:t>
      </w:r>
      <w:r>
        <w:rPr>
          <w:vertAlign w:val="superscript"/>
        </w:rPr>
        <w:footnoteReference w:id="1070"/>
      </w:r>
      <w:r w:rsidRPr="00AD2F44">
        <w:t xml:space="preserve"> The court relied heavily on the Supreme Court’s decision in </w:t>
      </w:r>
      <w:r w:rsidRPr="00AD2F44">
        <w:rPr>
          <w:i/>
          <w:iCs/>
        </w:rPr>
        <w:t>Exxon Mobil Corp. v. Allapattah Services, Inc.</w:t>
      </w:r>
      <w:r>
        <w:rPr>
          <w:vertAlign w:val="superscript"/>
        </w:rPr>
        <w:footnoteReference w:id="1071"/>
      </w:r>
      <w:r w:rsidRPr="00AD2F44">
        <w:t xml:space="preserve"> In </w:t>
      </w:r>
      <w:r w:rsidRPr="00AD2F44">
        <w:rPr>
          <w:i/>
          <w:iCs/>
        </w:rPr>
        <w:t>Exxon Mobil</w:t>
      </w:r>
      <w:r w:rsidRPr="00AD2F44">
        <w:t>, the basis for original federal jurisdiction was diversity jurisdiction, and the question was whether 28 U.S.C. §1367(a) permits a court to exercise supplemental jurisdiction over plaintiffs whose own individual claims do not satisfy the minimum amount-in-controversy requirement for diversity jurisdiction.</w:t>
      </w:r>
      <w:r>
        <w:rPr>
          <w:vertAlign w:val="superscript"/>
        </w:rPr>
        <w:footnoteReference w:id="1072"/>
      </w:r>
      <w:r w:rsidRPr="00AD2F44">
        <w:t xml:space="preserve"> The Supreme Court held that, provided that the other jurisdictional elements are satisfied and at least one named plaintiff in the action satisfies the amount-in-controversy requirement, Section 1367 authorizes supplemental jurisdiction over other plaintiffs, even if their claims are for less than the amount required for diversity jurisdiction.</w:t>
      </w:r>
      <w:r>
        <w:rPr>
          <w:vertAlign w:val="superscript"/>
        </w:rPr>
        <w:footnoteReference w:id="1073"/>
      </w:r>
      <w:r w:rsidRPr="00AD2F44">
        <w:t xml:space="preserve"> The Supreme Court reasoned, in part, that Section 1367 draws no distinction between pendent-claim and pendent-party actions.</w:t>
      </w:r>
      <w:r>
        <w:rPr>
          <w:vertAlign w:val="superscript"/>
        </w:rPr>
        <w:footnoteReference w:id="1074"/>
      </w:r>
      <w:r w:rsidRPr="00AD2F44">
        <w:t xml:space="preserve"> Thus, once a court determines that it has original jurisdiction over the action, it can turn to the question of whether it has a constitutional and statutory basis for exercising supplemental jurisdiction over the other claims asserted in the complaint.</w:t>
      </w:r>
      <w:r>
        <w:rPr>
          <w:vertAlign w:val="superscript"/>
        </w:rPr>
        <w:footnoteReference w:id="1075"/>
      </w:r>
      <w:r w:rsidRPr="00AD2F44">
        <w:t xml:space="preserve"> Referring to this reasoning, the District of Columbia Circuit explained, “[w]e interpret this language to mean that so long as the district court has original jurisdiction over a single claim, it may exercise supplemental jurisdiction over any additional claim that forms part of the same Article III case or controversy.”</w:t>
      </w:r>
      <w:r>
        <w:rPr>
          <w:vertAlign w:val="superscript"/>
        </w:rPr>
        <w:footnoteReference w:id="1076"/>
      </w:r>
      <w:r w:rsidRPr="00AD2F44">
        <w:t xml:space="preserve"> Because the FLSA claim and the state law claims of all potential state law class members derived from a common nucleus of operative fact, the District of Columbia Circuit concluded that all of the claims were part of the same case or controversy and that supplemental jurisdiction was therefore authorized as to the state law claims of individuals who did not opt in to the FLSA action.</w:t>
      </w:r>
      <w:r>
        <w:rPr>
          <w:vertAlign w:val="superscript"/>
        </w:rPr>
        <w:footnoteReference w:id="1077"/>
      </w:r>
    </w:p>
    <w:p w14:paraId="2273FA7C" w14:textId="77777777" w:rsidR="005D0340" w:rsidRPr="00AD2F44" w:rsidRDefault="00F42107">
      <w:pPr>
        <w:pStyle w:val="10ATextWithIndent"/>
      </w:pPr>
      <w:r w:rsidRPr="00AD2F44">
        <w:t xml:space="preserve">Similarly, in </w:t>
      </w:r>
      <w:r w:rsidRPr="00AD2F44">
        <w:rPr>
          <w:i/>
          <w:iCs/>
        </w:rPr>
        <w:t>De Asencio v. Tyson Foods, Inc.,</w:t>
      </w:r>
      <w:r>
        <w:rPr>
          <w:vertAlign w:val="superscript"/>
        </w:rPr>
        <w:footnoteReference w:id="1078"/>
      </w:r>
      <w:r w:rsidRPr="00AD2F44">
        <w:t xml:space="preserve"> the Third Circuit affirmed a district court’s ruling that the FLSA and state law claims—including the state law claims of individuals who did not opt in to the FLSA action—were part of the same case or controversy.</w:t>
      </w:r>
      <w:r>
        <w:rPr>
          <w:vertAlign w:val="superscript"/>
        </w:rPr>
        <w:footnoteReference w:id="1079"/>
      </w:r>
      <w:r w:rsidRPr="00AD2F44">
        <w:t xml:space="preserve"> Because the claims arose from a common nucleus of operative fact,</w:t>
      </w:r>
      <w:r>
        <w:rPr>
          <w:vertAlign w:val="superscript"/>
        </w:rPr>
        <w:footnoteReference w:id="1080"/>
      </w:r>
      <w:r w:rsidRPr="00AD2F44">
        <w:t xml:space="preserve"> there was a basis for supplemental </w:t>
      </w:r>
      <w:r w:rsidRPr="00AD2F44">
        <w:lastRenderedPageBreak/>
        <w:t>jurisdiction over the state law claims of the non-opt-in plaintiffs.</w:t>
      </w:r>
      <w:r>
        <w:rPr>
          <w:vertAlign w:val="superscript"/>
        </w:rPr>
        <w:footnoteReference w:id="1081"/>
      </w:r>
      <w:r w:rsidRPr="00AD2F44">
        <w:t xml:space="preserve"> In </w:t>
      </w:r>
      <w:r w:rsidRPr="00AD2F44">
        <w:rPr>
          <w:i/>
          <w:iCs/>
        </w:rPr>
        <w:t>Ervin v. OS Restaurant Services, Inc.</w:t>
      </w:r>
      <w:r w:rsidRPr="00AD2F44">
        <w:t>,</w:t>
      </w:r>
      <w:r>
        <w:rPr>
          <w:vertAlign w:val="superscript"/>
        </w:rPr>
        <w:footnoteReference w:id="1082"/>
      </w:r>
      <w:r w:rsidRPr="00AD2F44">
        <w:t xml:space="preserve"> the Seventh Circuit held that “the opt-in procedures in the FLSA do not operate to limit—expressly or impliedly—a district court’s supplemental jurisdiction to only those state law claims that also involve opt-in procedures” and acknowledged that there would be many more members related to state claims than to the FLSA claims.</w:t>
      </w:r>
      <w:r>
        <w:rPr>
          <w:vertAlign w:val="superscript"/>
        </w:rPr>
        <w:footnoteReference w:id="1083"/>
      </w:r>
    </w:p>
    <w:p w14:paraId="565D3A5E" w14:textId="77777777" w:rsidR="005D0340" w:rsidRPr="00AD2F44" w:rsidRDefault="00F42107">
      <w:pPr>
        <w:pStyle w:val="10ATextWithIndent"/>
      </w:pPr>
      <w:r w:rsidRPr="00AD2F44">
        <w:t>A number of district courts outside of the Third and Seventh Circuits have addressed whether the supplemental jurisdiction statute authorizes jurisdiction over the state law claims of proposed class members who do not opt in to the FLSA action. Most of these courts have concluded that supplemental jurisdiction is authorized.</w:t>
      </w:r>
      <w:r>
        <w:rPr>
          <w:vertAlign w:val="superscript"/>
        </w:rPr>
        <w:footnoteReference w:id="1084"/>
      </w:r>
      <w:r w:rsidRPr="00AD2F44">
        <w:t xml:space="preserve"> A few district courts have held, or </w:t>
      </w:r>
      <w:r w:rsidRPr="00AD2F44">
        <w:lastRenderedPageBreak/>
        <w:t>have seemed inclined to hold, that supplemental jurisdiction does not extend to the claims of individuals who do not opt in to the FLSA action.</w:t>
      </w:r>
      <w:r>
        <w:rPr>
          <w:vertAlign w:val="superscript"/>
        </w:rPr>
        <w:footnoteReference w:id="1085"/>
      </w:r>
      <w:r w:rsidRPr="00AD2F44">
        <w:t xml:space="preserve"> However, with one exception, all these decisions were issued before the Supreme Court’s decision in </w:t>
      </w:r>
      <w:r w:rsidRPr="00AD2F44">
        <w:rPr>
          <w:i/>
          <w:iCs/>
        </w:rPr>
        <w:t>Exxon Mobil</w:t>
      </w:r>
      <w:r w:rsidRPr="00AD2F44">
        <w:t xml:space="preserve"> and the District of Columbia Circuit’s decision in </w:t>
      </w:r>
      <w:r w:rsidRPr="00AD2F44">
        <w:rPr>
          <w:i/>
          <w:iCs/>
        </w:rPr>
        <w:t>Lindsay</w:t>
      </w:r>
      <w:r w:rsidRPr="00AD2F44">
        <w:t xml:space="preserve">, and several were also decided before the Third Circuit’s </w:t>
      </w:r>
      <w:r w:rsidRPr="00AD2F44">
        <w:rPr>
          <w:i/>
          <w:iCs/>
        </w:rPr>
        <w:t xml:space="preserve">De Asencio </w:t>
      </w:r>
      <w:r w:rsidRPr="00AD2F44">
        <w:t>decision.</w:t>
      </w:r>
      <w:r>
        <w:rPr>
          <w:vertAlign w:val="superscript"/>
        </w:rPr>
        <w:footnoteReference w:id="1086"/>
      </w:r>
    </w:p>
    <w:p w14:paraId="51950163" w14:textId="77777777" w:rsidR="005D0340" w:rsidRPr="00AD2F44" w:rsidRDefault="00F42107">
      <w:pPr>
        <w:pStyle w:val="07Fourth-LevelHeadabc"/>
      </w:pPr>
      <w:r w:rsidRPr="00AD2F44">
        <w:t>c.</w:t>
      </w:r>
      <w:r w:rsidRPr="00AD2F44">
        <w:tab/>
        <w:t>Whether the Court Should Decline to Exercise Supplemental Jurisdiction</w:t>
      </w:r>
    </w:p>
    <w:p w14:paraId="5C63199D" w14:textId="77777777" w:rsidR="005D0340" w:rsidRPr="00AD2F44" w:rsidRDefault="00F42107">
      <w:pPr>
        <w:pStyle w:val="10ATextWithIndent"/>
      </w:pPr>
      <w:r w:rsidRPr="00AD2F44">
        <w:t>Once it has been determined that supplemental jurisdiction is authorized in a hybrid action, the court still has discretion to decline to exercise supplemental jurisdiction where (1) a state law claim raises a “novel or complex issue of State law”;</w:t>
      </w:r>
      <w:r>
        <w:rPr>
          <w:vertAlign w:val="superscript"/>
        </w:rPr>
        <w:footnoteReference w:id="1087"/>
      </w:r>
      <w:r w:rsidRPr="00AD2F44">
        <w:t xml:space="preserve"> (2) the state law claim substantially predominates over the claim or claims over which the court has original jurisdiction;</w:t>
      </w:r>
      <w:r>
        <w:rPr>
          <w:vertAlign w:val="superscript"/>
        </w:rPr>
        <w:footnoteReference w:id="1088"/>
      </w:r>
      <w:r w:rsidRPr="00AD2F44">
        <w:t xml:space="preserve"> (3) the court has dismissed all claims over which it has original jurisdiction;</w:t>
      </w:r>
      <w:r>
        <w:rPr>
          <w:vertAlign w:val="superscript"/>
        </w:rPr>
        <w:footnoteReference w:id="1089"/>
      </w:r>
      <w:r w:rsidRPr="00AD2F44">
        <w:t xml:space="preserve"> or (4) “in exceptional circumstances, there are other compelling reasons for declining jurisdiction.”</w:t>
      </w:r>
      <w:r>
        <w:rPr>
          <w:vertAlign w:val="superscript"/>
        </w:rPr>
        <w:footnoteReference w:id="1090"/>
      </w:r>
    </w:p>
    <w:p w14:paraId="60DA9664" w14:textId="77777777" w:rsidR="005D0340" w:rsidRPr="00AD2F44" w:rsidRDefault="00F42107">
      <w:pPr>
        <w:pStyle w:val="10ATextWithIndent"/>
      </w:pPr>
      <w:r w:rsidRPr="00AD2F44">
        <w:lastRenderedPageBreak/>
        <w:t>Where one or more of these circumstances are present, the court’s decision whether to decline supplemental jurisdiction remains discretionary.</w:t>
      </w:r>
      <w:r>
        <w:rPr>
          <w:vertAlign w:val="superscript"/>
        </w:rPr>
        <w:footnoteReference w:id="1091"/>
      </w:r>
      <w:r w:rsidRPr="00AD2F44">
        <w:t xml:space="preserve"> In deciding whether to decline or retain jurisdiction, the district court is required to consider the values of judicial economy, convenience, fairness, and comity.</w:t>
      </w:r>
      <w:r>
        <w:rPr>
          <w:vertAlign w:val="superscript"/>
        </w:rPr>
        <w:footnoteReference w:id="1092"/>
      </w:r>
      <w:r w:rsidRPr="00AD2F44">
        <w:t xml:space="preserve"> The court’s decision must encompass “the circumstances of the particular case, the nature of the state law claims, the character of the governing state law, and the relationship between the state and federal claims.”</w:t>
      </w:r>
      <w:r>
        <w:rPr>
          <w:vertAlign w:val="superscript"/>
        </w:rPr>
        <w:footnoteReference w:id="1093"/>
      </w:r>
    </w:p>
    <w:p w14:paraId="3CC86BEC" w14:textId="77777777" w:rsidR="005D0340" w:rsidRPr="00AD2F44" w:rsidRDefault="00F42107">
      <w:pPr>
        <w:pStyle w:val="10ATextWithIndent"/>
      </w:pPr>
      <w:r w:rsidRPr="00AD2F44">
        <w:t>There is some doctrinal disagreement among courts that have applied Section 1367(c) in hybrid actions. Some courts have been chiefly concerned about a “conflict” with congressional intent (or “incompatibility”) that they perceive to arise when a Rule 23 opt-out state law class action is joined in the same action with an FLSA opt-in action, particularly where having a Rule 23 action would result in a significant number of absent class members coming into federal court who have only state law claims because they did not opt in to the FLSA action. In contrast, other courts have been more focused on the interests of economy, efficiency, convenience, or fairness that may be advanced by hybrid actions and have not had the same concerns about congressional intent, or at least have not viewed such concerns as being entitled to significant weight. As one court has summarized:</w:t>
      </w:r>
    </w:p>
    <w:p w14:paraId="6FE0FE4B" w14:textId="77777777" w:rsidR="005D0340" w:rsidRPr="00AD2F44" w:rsidRDefault="00F42107">
      <w:pPr>
        <w:pStyle w:val="09BBlockQuoteWithoutIndent"/>
      </w:pPr>
      <w:r w:rsidRPr="00AD2F44">
        <w:t>Some FLSA cases have declined supplemental jurisdiction over Rule 23 class actions involving exclusively state-law claims on the view that the exercise of such jurisdiction would subvert congressional intent with respect to 29 U.S.C. §216(b) by utilizing the very provision that Congress created to preclude opt-out class actions under the FLSA as the original jurisdictional predicate to supplemental jurisdiction over an opt-out class action. … Cases that exercise supplemental jurisdiction, by contrast, downplay the issue of congressional intent and emphasize that factors such as judicial economy and efficiency strongly favor the exercise of jurisdiction over Rule 23 class actions that involve identical facts and highly similar legal theories.</w:t>
      </w:r>
      <w:r>
        <w:rPr>
          <w:vertAlign w:val="superscript"/>
        </w:rPr>
        <w:footnoteReference w:id="1094"/>
      </w:r>
    </w:p>
    <w:p w14:paraId="258880FA" w14:textId="77777777" w:rsidR="005D0340" w:rsidRPr="00AD2F44" w:rsidRDefault="00F42107" w:rsidP="00EA6174">
      <w:pPr>
        <w:pStyle w:val="10BTextWithoutIndent"/>
      </w:pPr>
      <w:r w:rsidRPr="00AD2F44">
        <w:t>This difference in approach can be seen in many of the decisions discussed below.</w:t>
      </w:r>
    </w:p>
    <w:p w14:paraId="00C8C8DF" w14:textId="77777777" w:rsidR="005D0340" w:rsidRPr="00AD2F44" w:rsidRDefault="00F42107">
      <w:pPr>
        <w:pStyle w:val="08Fifth-LevelHeadi"/>
      </w:pPr>
      <w:r w:rsidRPr="00AD2F44">
        <w:lastRenderedPageBreak/>
        <w:t>(i.)</w:t>
      </w:r>
      <w:r w:rsidRPr="00AD2F44">
        <w:tab/>
        <w:t>Novel or Complex Issues of State Law</w:t>
      </w:r>
    </w:p>
    <w:p w14:paraId="31CEC284" w14:textId="77777777" w:rsidR="005D0340" w:rsidRPr="00AD2F44" w:rsidRDefault="00F42107">
      <w:pPr>
        <w:pStyle w:val="10ATextWithIndent"/>
      </w:pPr>
      <w:r w:rsidRPr="00AD2F44">
        <w:t>One circumstance in which the district court may decline to exercise supplemental jurisdiction is where a state law claim raises a “novel or complex issue of State law.”</w:t>
      </w:r>
      <w:r>
        <w:rPr>
          <w:vertAlign w:val="superscript"/>
        </w:rPr>
        <w:footnoteReference w:id="1095"/>
      </w:r>
      <w:r w:rsidRPr="00AD2F44">
        <w:t xml:space="preserve"> Normally one of the other justifications for declining jurisdiction—e.g., substantial predominance of the state law claims—must be present before the court will decline jurisdiction because of the presence of a novel or complex state law issue.</w:t>
      </w:r>
    </w:p>
    <w:p w14:paraId="640921F0" w14:textId="77777777" w:rsidR="005D0340" w:rsidRPr="00AD2F44" w:rsidRDefault="00F42107">
      <w:pPr>
        <w:pStyle w:val="10ATextWithIndent"/>
      </w:pPr>
      <w:r w:rsidRPr="00AD2F44">
        <w:t>Some courts have found that the state law claim in a hybrid action raises a novel or complex issue of state law where the plaintiff seeks to have a state law applied in a way that raises potentially complicated issues that have not been addressed by the state courts.</w:t>
      </w:r>
      <w:r>
        <w:rPr>
          <w:vertAlign w:val="superscript"/>
        </w:rPr>
        <w:footnoteReference w:id="1096"/>
      </w:r>
      <w:r w:rsidRPr="00AD2F44">
        <w:t xml:space="preserve"> Some courts have also found that a state law claim raises a novel or complex issue of state law where the state statute at issue has not yet been construed and its interpretation by the district court could have an impact on how other state laws operate and also on a large number of employers and employees.</w:t>
      </w:r>
      <w:r>
        <w:rPr>
          <w:vertAlign w:val="superscript"/>
        </w:rPr>
        <w:footnoteReference w:id="1097"/>
      </w:r>
      <w:r w:rsidRPr="00AD2F44">
        <w:t xml:space="preserve"> Some courts have concluded that the issue of whether or not the state would </w:t>
      </w:r>
      <w:r w:rsidRPr="00AD2F44">
        <w:lastRenderedPageBreak/>
        <w:t>allow plaintiffs to obtain an injunction to enforce the state law at issue is a novel or complex issue of state law.</w:t>
      </w:r>
      <w:r>
        <w:rPr>
          <w:vertAlign w:val="superscript"/>
        </w:rPr>
        <w:footnoteReference w:id="1098"/>
      </w:r>
    </w:p>
    <w:p w14:paraId="4D67CD50" w14:textId="77777777" w:rsidR="005D0340" w:rsidRPr="00AD2F44" w:rsidRDefault="00F42107">
      <w:pPr>
        <w:pStyle w:val="10ATextWithIndent"/>
      </w:pPr>
      <w:r w:rsidRPr="00AD2F44">
        <w:t>In hybrid actions where plaintiffs plead claims under a large number of different states’ laws, courts have relied on a prediction that there will be novel or complex issues of state law without actually analyzing the statutes and claims at issue.</w:t>
      </w:r>
      <w:r>
        <w:rPr>
          <w:vertAlign w:val="superscript"/>
        </w:rPr>
        <w:footnoteReference w:id="1099"/>
      </w:r>
    </w:p>
    <w:p w14:paraId="223C6568" w14:textId="77777777" w:rsidR="005D0340" w:rsidRPr="00AD2F44" w:rsidRDefault="00F42107">
      <w:pPr>
        <w:pStyle w:val="10ATextWithIndent"/>
      </w:pPr>
      <w:r w:rsidRPr="00AD2F44">
        <w:t>On the other hand, courts have found that there are no novel or complex issues of state law that would justify declining jurisdiction where the issues that will have to be resolved under both the state law and the FLSA are substantially similar, including where the state law statute is patterned after the FLSA to a substantial degree.</w:t>
      </w:r>
      <w:r>
        <w:rPr>
          <w:vertAlign w:val="superscript"/>
        </w:rPr>
        <w:footnoteReference w:id="1100"/>
      </w:r>
    </w:p>
    <w:p w14:paraId="020B1D7A" w14:textId="77777777" w:rsidR="005D0340" w:rsidRPr="00AD2F44" w:rsidRDefault="00F42107">
      <w:pPr>
        <w:pStyle w:val="10ATextWithIndent"/>
      </w:pPr>
      <w:r w:rsidRPr="00AD2F44">
        <w:t>In hybrid actions seeking to recover for unpaid minimum wages and overtime under both state law and the FLSA, including actions that raise the question of whether or not certain activities are compensable (e.g., donning and doffing), numerous decisions have concluded that the state law claims do not raise any novel or complex issues of state law.</w:t>
      </w:r>
      <w:r>
        <w:rPr>
          <w:vertAlign w:val="superscript"/>
        </w:rPr>
        <w:footnoteReference w:id="1101"/>
      </w:r>
    </w:p>
    <w:p w14:paraId="7F768ADD" w14:textId="77777777" w:rsidR="005D0340" w:rsidRPr="00AD2F44" w:rsidRDefault="00F42107">
      <w:pPr>
        <w:pStyle w:val="08Fifth-LevelHeadi"/>
      </w:pPr>
      <w:r w:rsidRPr="00AD2F44">
        <w:lastRenderedPageBreak/>
        <w:t>(ii.)</w:t>
      </w:r>
      <w:r w:rsidRPr="00AD2F44">
        <w:tab/>
        <w:t>Substantial Predominance of State Law Claims</w:t>
      </w:r>
    </w:p>
    <w:p w14:paraId="01BA2D50" w14:textId="77777777" w:rsidR="005D0340" w:rsidRPr="00AD2F44" w:rsidRDefault="00F42107">
      <w:pPr>
        <w:pStyle w:val="10ATextWithIndent"/>
      </w:pPr>
      <w:r w:rsidRPr="00AD2F44">
        <w:t>A second circumstance that permits the district court in its discretion to decline to exercise supplemental jurisdiction is where the state law claim substantially predominates over the claim or claims over which the court has original jurisdiction.</w:t>
      </w:r>
      <w:r>
        <w:rPr>
          <w:vertAlign w:val="superscript"/>
        </w:rPr>
        <w:footnoteReference w:id="1102"/>
      </w:r>
      <w:r w:rsidRPr="00AD2F44">
        <w:t xml:space="preserve"> The inquiry is focused on whether the state law claims will substantially predominate over the federal claims in terms of the proofs required, the scope of the issues raised, or the comprehensiveness of the remedies sought.</w:t>
      </w:r>
      <w:r>
        <w:rPr>
          <w:vertAlign w:val="superscript"/>
        </w:rPr>
        <w:footnoteReference w:id="1103"/>
      </w:r>
    </w:p>
    <w:p w14:paraId="5E690531" w14:textId="77777777" w:rsidR="005D0340" w:rsidRPr="00AD2F44" w:rsidRDefault="00F42107">
      <w:pPr>
        <w:pStyle w:val="10ATextWithIndent"/>
      </w:pPr>
      <w:r w:rsidRPr="00AD2F44">
        <w:t>The substantial predominance inquiry is inherently “case-specific,” as the Third Circuit has explained:</w:t>
      </w:r>
    </w:p>
    <w:p w14:paraId="7DF90C4E" w14:textId="77777777" w:rsidR="005D0340" w:rsidRPr="00AD2F44" w:rsidRDefault="00F42107">
      <w:pPr>
        <w:pStyle w:val="09BBlockQuoteWithoutIndent"/>
      </w:pPr>
      <w:r w:rsidRPr="00AD2F44">
        <w:t>[A] court must examine the scope of the state and federal issues, the terms of proof required by each type of claim, the comprehensiveness of the remedies, and the ability to dismiss the state claims without prejudice to determine whether the state claim constitutes the real body of the case. This necessarily is a case-specific analysis.</w:t>
      </w:r>
      <w:r>
        <w:rPr>
          <w:vertAlign w:val="superscript"/>
        </w:rPr>
        <w:footnoteReference w:id="1104"/>
      </w:r>
    </w:p>
    <w:p w14:paraId="565A0592" w14:textId="77777777" w:rsidR="005D0340" w:rsidRPr="00AD2F44" w:rsidRDefault="00F42107">
      <w:pPr>
        <w:pStyle w:val="10ATextWithIndent"/>
      </w:pPr>
      <w:r w:rsidRPr="00AD2F44">
        <w:lastRenderedPageBreak/>
        <w:t>Courts have differed in their willingness to address the substantial predominance issue before the record has been sufficiently developed. Some courts have been reluctant to determine the substantial predominance issue at the motion to dismiss stage, or when the number of FLSA opt-in plaintiffs is not yet known, or when the plaintiffs have not yet moved for Rule 23 class certification.</w:t>
      </w:r>
      <w:r>
        <w:rPr>
          <w:vertAlign w:val="superscript"/>
        </w:rPr>
        <w:footnoteReference w:id="1105"/>
      </w:r>
    </w:p>
    <w:p w14:paraId="569487FB" w14:textId="77777777" w:rsidR="005D0340" w:rsidRPr="00AD2F44" w:rsidRDefault="00F42107">
      <w:pPr>
        <w:pStyle w:val="10ATextWithIndent"/>
      </w:pPr>
      <w:r w:rsidRPr="00AD2F44">
        <w:t>Some courts have declined to exercise jurisdiction based on a case-specific analysis that looks at various factors in combination, including the difference in size between the state law class and the FLSA class, whether the state law claims present issues that the FLSA claims do not, the scope of the remedies sought, whether the state law claims raise a novel or complex issue of state law, and other case-specific factors.</w:t>
      </w:r>
      <w:r>
        <w:rPr>
          <w:vertAlign w:val="superscript"/>
        </w:rPr>
        <w:footnoteReference w:id="1106"/>
      </w:r>
      <w:r w:rsidRPr="00AD2F44">
        <w:t xml:space="preserve"> Such courts may also factor in a concern for </w:t>
      </w:r>
      <w:r w:rsidRPr="00AD2F44">
        <w:lastRenderedPageBreak/>
        <w:t>Congress’ expressed preference to have FLSA collective actions limited to individuals who affirmatively opt in to the action.</w:t>
      </w:r>
    </w:p>
    <w:p w14:paraId="1B318F23" w14:textId="77777777" w:rsidR="005D0340" w:rsidRPr="00AD2F44" w:rsidRDefault="00F42107">
      <w:pPr>
        <w:pStyle w:val="10ATextWithIndent"/>
      </w:pPr>
      <w:r w:rsidRPr="00CA6DD8">
        <w:rPr>
          <w:i/>
          <w:iCs/>
        </w:rPr>
        <w:t>De Asencio v. Tyson Foods, Inc.</w:t>
      </w:r>
      <w:r>
        <w:rPr>
          <w:vertAlign w:val="superscript"/>
        </w:rPr>
        <w:footnoteReference w:id="1107"/>
      </w:r>
      <w:r w:rsidRPr="00CA6DD8">
        <w:t xml:space="preserve"> </w:t>
      </w:r>
      <w:r w:rsidRPr="00AD2F44">
        <w:t xml:space="preserve">is a leading example of this holistic approach. The plaintiffs in </w:t>
      </w:r>
      <w:r w:rsidRPr="00AD2F44">
        <w:rPr>
          <w:i/>
          <w:iCs/>
        </w:rPr>
        <w:t>De Asencio</w:t>
      </w:r>
      <w:r w:rsidRPr="00AD2F44">
        <w:t xml:space="preserve"> brought claims for unpaid overtime under the FLSA and claims for unpaid overtime and non-overtime under the Pennsylvania Wage Payment and Collection Law (PWPCL). Five hundred and two employees joined a certified FLSA collective action. Subsequently, the plaintiffs moved for certification of a Rule 23 state law class of approximately 4,100 employees. The district court certified the state law class.</w:t>
      </w:r>
    </w:p>
    <w:p w14:paraId="574CFB38" w14:textId="77777777" w:rsidR="005D0340" w:rsidRPr="00AD2F44" w:rsidRDefault="00F42107">
      <w:pPr>
        <w:pStyle w:val="10ATextWithIndent"/>
      </w:pPr>
      <w:r w:rsidRPr="00AD2F44">
        <w:t>On appeal, the Third Circuit held that the district court had abused its discretion. The court described the substantial predominance inquiry as “center[ing] on the terms of proof and the scope of the issues raised in the FLSA and [P]WPCL actions.”</w:t>
      </w:r>
      <w:r>
        <w:rPr>
          <w:vertAlign w:val="superscript"/>
        </w:rPr>
        <w:footnoteReference w:id="1108"/>
      </w:r>
      <w:r w:rsidRPr="00AD2F44">
        <w:t xml:space="preserve"> The court explained that the PWPCL does not create a right to compensation, but rather provides a statutory remedy when an employer breaches a contractual obligation to pay earned wages. This factor might cause state law issues to predominate:</w:t>
      </w:r>
    </w:p>
    <w:p w14:paraId="3F4E7474" w14:textId="77777777" w:rsidR="005D0340" w:rsidRPr="00AD2F44" w:rsidRDefault="00F42107">
      <w:pPr>
        <w:pStyle w:val="09BBlockQuoteWithoutIndent"/>
      </w:pPr>
      <w:r w:rsidRPr="00AD2F44">
        <w:t xml:space="preserve">Because Tyson’s employees do not work under an employment contract or a collective bargaining agreement, plaintiffs will have to establish the formation of an implied oral contract between Tyson and its employees. Even then, whether an implied contract may give rise to a claim under the WPCL has never been addressed by the Pennsylvania state courts and will require additional testimony and proof to substantiate beyond that required for the FLSA action. Given the importance of the wage-protection legal </w:t>
      </w:r>
      <w:r w:rsidRPr="00AD2F44">
        <w:lastRenderedPageBreak/>
        <w:t>scheme in Pennsylvania, the scope of the state issues may substantially predominate over the more straightforward federal scheme.</w:t>
      </w:r>
      <w:r>
        <w:rPr>
          <w:vertAlign w:val="superscript"/>
        </w:rPr>
        <w:footnoteReference w:id="1109"/>
      </w:r>
    </w:p>
    <w:p w14:paraId="3FD64934" w14:textId="77777777" w:rsidR="005D0340" w:rsidRPr="00AD2F44" w:rsidRDefault="00F42107">
      <w:pPr>
        <w:pStyle w:val="10BTextWithoutIndent"/>
      </w:pPr>
      <w:r w:rsidRPr="00AD2F44">
        <w:t>The Third Circuit also observed countervailing interests at play in a hybrid action. On the one hand, Congress has chosen to limit the scope of representative actions under the FLSA, which can have significant substantive consequences for the course of the litigation in terms of discovery, trial, negotiation, and settlement.</w:t>
      </w:r>
      <w:r>
        <w:rPr>
          <w:vertAlign w:val="superscript"/>
        </w:rPr>
        <w:footnoteReference w:id="1110"/>
      </w:r>
      <w:r w:rsidRPr="00AD2F44">
        <w:t xml:space="preserve"> “[M]andating an opt-in class or an opt-out class is a crucial policy decision” Congress has made.</w:t>
      </w:r>
      <w:r>
        <w:rPr>
          <w:vertAlign w:val="superscript"/>
        </w:rPr>
        <w:footnoteReference w:id="1111"/>
      </w:r>
    </w:p>
    <w:p w14:paraId="1AC3192C" w14:textId="77777777" w:rsidR="005D0340" w:rsidRPr="00AD2F44" w:rsidRDefault="00F42107">
      <w:pPr>
        <w:pStyle w:val="09BBlockQuoteWithoutIndent"/>
      </w:pPr>
      <w:r w:rsidRPr="00AD2F44">
        <w:t>On the other hand, the interest in joining these actions is strong as well. As noted, the actions share a common nucleus of operative fact and they arise from the same case or controversy. Moreover, joinder would permit the District Court to efficiently manage the overall litigation. Were supplemental jurisdiction not to obtain, and assuming the statute of limitations has not run, plaintiffs could file the [P]WPCL action in state court and request an opt-out class on behalf of themselves and other employees similarly situated.</w:t>
      </w:r>
      <w:r>
        <w:rPr>
          <w:vertAlign w:val="superscript"/>
        </w:rPr>
        <w:footnoteReference w:id="1112"/>
      </w:r>
    </w:p>
    <w:p w14:paraId="49A97930" w14:textId="77777777" w:rsidR="005D0340" w:rsidRPr="00AD2F44" w:rsidRDefault="00F42107">
      <w:pPr>
        <w:pStyle w:val="10BTextWithoutIndent"/>
      </w:pPr>
      <w:r w:rsidRPr="00AD2F44">
        <w:t>Further, excluding a large number of potential claimants would create the potential for more individual suits and a lesser likelihood of the action achieving “global peace.”</w:t>
      </w:r>
      <w:r>
        <w:rPr>
          <w:vertAlign w:val="superscript"/>
        </w:rPr>
        <w:footnoteReference w:id="1113"/>
      </w:r>
    </w:p>
    <w:p w14:paraId="059AF5DE" w14:textId="77777777" w:rsidR="005D0340" w:rsidRPr="00AD2F44" w:rsidRDefault="00F42107">
      <w:pPr>
        <w:pStyle w:val="10ATextWithIndent"/>
      </w:pPr>
      <w:r w:rsidRPr="00AD2F44">
        <w:t>Because of the different levels of proof required for the federal and state claims, and the relevant federal and state interests, the Third Circuit explained, “the disparity in numbers here gives us pause. In terms of the number of plaintiffs, the sheer difference in numbers between the two prospective classes, 447 as opposed to 4,100, may constitute substantial predomination by the state [P]WPCL action under section 1367.”</w:t>
      </w:r>
      <w:r>
        <w:rPr>
          <w:vertAlign w:val="superscript"/>
        </w:rPr>
        <w:footnoteReference w:id="1114"/>
      </w:r>
      <w:r w:rsidRPr="00AD2F44">
        <w:t xml:space="preserve"> The Third Circuit stated:</w:t>
      </w:r>
    </w:p>
    <w:p w14:paraId="24D6E771" w14:textId="77777777" w:rsidR="005D0340" w:rsidRPr="00AD2F44" w:rsidRDefault="00F42107">
      <w:pPr>
        <w:pStyle w:val="09BBlockQuoteWithoutIndent"/>
      </w:pPr>
      <w:r w:rsidRPr="00AD2F44">
        <w:t>Predomination under section 1367 generally goes to the type of claim, not the number of parties involved. But the disparity in numbers of similarly situated plaintiffs may be so great that it becomes dispositive by transforming the action to a substantial degree, by causing the federal tail represented by a comparatively small number of plaintiffs to wag what is in substance a state dog.</w:t>
      </w:r>
      <w:r>
        <w:rPr>
          <w:vertAlign w:val="superscript"/>
        </w:rPr>
        <w:footnoteReference w:id="1115"/>
      </w:r>
    </w:p>
    <w:p w14:paraId="6379B0D1" w14:textId="77777777" w:rsidR="005D0340" w:rsidRPr="00AD2F44" w:rsidRDefault="00F42107">
      <w:pPr>
        <w:pStyle w:val="10ATextWithIndent"/>
      </w:pPr>
      <w:r w:rsidRPr="00AD2F44">
        <w:t>The court emphasized that “a necessarily case-specific analysis” is required to determine “whether the state claim constitutes the real body of the case.”</w:t>
      </w:r>
      <w:r>
        <w:rPr>
          <w:vertAlign w:val="superscript"/>
        </w:rPr>
        <w:footnoteReference w:id="1116"/>
      </w:r>
      <w:r w:rsidRPr="00AD2F44">
        <w:t xml:space="preserve"> Thus, the court discussed the following factors that weighed in favor of a finding that the FLSA claim had become an appendage to a more comprehensive state law action: the novelty of the state law claims, the different terms of proof required for the state law claims, and the procedural history, under which the plaintiffs had not even identified their implied contract theory and moved for Rule 23 class certification until long after the FLSA opt-in period had closed and discovery had ended.</w:t>
      </w:r>
      <w:r>
        <w:rPr>
          <w:vertAlign w:val="superscript"/>
        </w:rPr>
        <w:footnoteReference w:id="1117"/>
      </w:r>
      <w:r w:rsidRPr="00AD2F44">
        <w:t xml:space="preserve"> In </w:t>
      </w:r>
      <w:r w:rsidRPr="00AD2F44">
        <w:lastRenderedPageBreak/>
        <w:t>view of all these factors, the Third Circuit ruled that the district court had not exercised sound discretion in asserting jurisdiction over the PWPCL claims.</w:t>
      </w:r>
      <w:r>
        <w:rPr>
          <w:vertAlign w:val="superscript"/>
        </w:rPr>
        <w:footnoteReference w:id="1118"/>
      </w:r>
    </w:p>
    <w:p w14:paraId="4E8128CD" w14:textId="77777777" w:rsidR="005D0340" w:rsidRPr="00AD2F44" w:rsidRDefault="00F42107">
      <w:pPr>
        <w:pStyle w:val="10ATextWithIndent"/>
      </w:pPr>
      <w:r w:rsidRPr="00AD2F44">
        <w:t>In contrast to this balancing approach, some courts have focused more narrowly on the fact that the state law class will be substantially larger than the FLSA class.</w:t>
      </w:r>
      <w:r>
        <w:rPr>
          <w:vertAlign w:val="superscript"/>
        </w:rPr>
        <w:footnoteReference w:id="1119"/>
      </w:r>
      <w:r w:rsidRPr="00AD2F44">
        <w:t xml:space="preserve"> In that circumstance, some courts may still permit the state law claims to proceed, but only as to those individuals who opt in to the FLSA action.</w:t>
      </w:r>
      <w:r>
        <w:rPr>
          <w:vertAlign w:val="superscript"/>
        </w:rPr>
        <w:footnoteReference w:id="1120"/>
      </w:r>
      <w:r w:rsidRPr="00AD2F44">
        <w:t xml:space="preserve"> Where plaintiffs have brought claims under a large number of different states’ laws, some courts have simply inferred that the state law claims will substantially predominate.</w:t>
      </w:r>
      <w:r>
        <w:rPr>
          <w:vertAlign w:val="superscript"/>
        </w:rPr>
        <w:footnoteReference w:id="1121"/>
      </w:r>
    </w:p>
    <w:p w14:paraId="4C07295F" w14:textId="77777777" w:rsidR="005D0340" w:rsidRPr="00AD2F44" w:rsidRDefault="00F42107">
      <w:pPr>
        <w:pStyle w:val="10ATextWithIndent"/>
        <w:rPr>
          <w:vertAlign w:val="superscript"/>
        </w:rPr>
      </w:pPr>
      <w:r w:rsidRPr="00AD2F44">
        <w:t>Courts considering the substantial predominance issue and deciding to retain jurisdiction have typically relied on some combination of the following factors: the similarities and overlap between the state and federal claims; the interests of economy, efficiency, and fairness; case-specific factors; and, in a smaller number of actions, the absence of any gross numerical disparity between the classes.</w:t>
      </w:r>
      <w:r>
        <w:rPr>
          <w:vertAlign w:val="superscript"/>
        </w:rPr>
        <w:footnoteReference w:id="1122"/>
      </w:r>
      <w:r w:rsidRPr="00AD2F44">
        <w:t xml:space="preserve"> Other courts have simply concluded, with little analysis, that the state </w:t>
      </w:r>
      <w:r w:rsidRPr="00AD2F44">
        <w:lastRenderedPageBreak/>
        <w:t>law claims will not substantially predominate.</w:t>
      </w:r>
      <w:r>
        <w:rPr>
          <w:vertAlign w:val="superscript"/>
        </w:rPr>
        <w:footnoteReference w:id="1123"/>
      </w:r>
      <w:r w:rsidRPr="00AD2F44">
        <w:t xml:space="preserve"> </w:t>
      </w:r>
      <w:sdt>
        <w:sdtPr>
          <w:tag w:val="goog_rdk_4"/>
          <w:id w:val="-424957497"/>
        </w:sdtPr>
        <w:sdtEndPr/>
        <w:sdtContent/>
      </w:sdt>
      <w:r w:rsidRPr="00AD2F44">
        <w:t>At least one court retaining jurisdiction ordered that FLSA and state law claims be bifurcated so that the FLSA claim could be litigated first.</w:t>
      </w:r>
      <w:r>
        <w:rPr>
          <w:vertAlign w:val="superscript"/>
        </w:rPr>
        <w:footnoteReference w:id="1124"/>
      </w:r>
    </w:p>
    <w:p w14:paraId="49CB06BD" w14:textId="77777777" w:rsidR="005D0340" w:rsidRPr="00AD2F44" w:rsidRDefault="00F42107">
      <w:pPr>
        <w:pStyle w:val="10ATextWithIndent"/>
      </w:pPr>
      <w:r w:rsidRPr="00AD2F44">
        <w:lastRenderedPageBreak/>
        <w:t>While some courts have relied on the size disparity between the state law class and the FLSA class in concluding that the state law claims will substantially predominate, numerous other courts have rejected a disparity in class sizes as being a relevant or dispositive factor.</w:t>
      </w:r>
      <w:r>
        <w:rPr>
          <w:vertAlign w:val="superscript"/>
        </w:rPr>
        <w:footnoteReference w:id="1125"/>
      </w:r>
    </w:p>
    <w:p w14:paraId="0CCE69B7" w14:textId="77777777" w:rsidR="005D0340" w:rsidRPr="00AD2F44" w:rsidRDefault="00F42107">
      <w:pPr>
        <w:pStyle w:val="10ATextWithIndent"/>
      </w:pPr>
      <w:r w:rsidRPr="00AD2F44">
        <w:t xml:space="preserve">In </w:t>
      </w:r>
      <w:r w:rsidRPr="00AD2F44">
        <w:rPr>
          <w:i/>
          <w:iCs/>
        </w:rPr>
        <w:t>Ervin v</w:t>
      </w:r>
      <w:r w:rsidRPr="00AD2F44">
        <w:t>.</w:t>
      </w:r>
      <w:r w:rsidRPr="00AD2F44">
        <w:rPr>
          <w:i/>
          <w:iCs/>
        </w:rPr>
        <w:t xml:space="preserve"> OS Restaurant Services, Inc</w:t>
      </w:r>
      <w:r w:rsidRPr="00AD2F44">
        <w:t>.,</w:t>
      </w:r>
      <w:r>
        <w:rPr>
          <w:vertAlign w:val="superscript"/>
        </w:rPr>
        <w:footnoteReference w:id="1126"/>
      </w:r>
      <w:r w:rsidRPr="00AD2F44">
        <w:t xml:space="preserve"> the Seventh Circuit held that </w:t>
      </w:r>
    </w:p>
    <w:p w14:paraId="65BA37EB" w14:textId="77777777" w:rsidR="005D0340" w:rsidRPr="00AD2F44" w:rsidRDefault="00F42107">
      <w:pPr>
        <w:pStyle w:val="09BBlockQuoteWithoutIndent"/>
      </w:pPr>
      <w:r w:rsidRPr="00AD2F44">
        <w:lastRenderedPageBreak/>
        <w:t>simple disparity in numbers should not lead a court to the conclusion that a state claim “substantially predominates” over the FLSA action, as Section 1367(c) uses that phrase. … As long as the claims are similar between the state plaintiffs and the federal action, it makes no real difference whether the numbers vary.</w:t>
      </w:r>
      <w:r>
        <w:rPr>
          <w:vertAlign w:val="superscript"/>
        </w:rPr>
        <w:footnoteReference w:id="1127"/>
      </w:r>
      <w:r w:rsidRPr="00AD2F44">
        <w:t xml:space="preserve"> </w:t>
      </w:r>
    </w:p>
    <w:p w14:paraId="3400132E" w14:textId="77777777" w:rsidR="005D0340" w:rsidRPr="00AD2F44" w:rsidRDefault="00F42107">
      <w:pPr>
        <w:pStyle w:val="10BTextWithoutIndent"/>
      </w:pPr>
      <w:r w:rsidRPr="00AD2F44">
        <w:t>While expressly declining to take a position as to whether the state law class could ever so dwarf the FLSA class as to affect the propriety of exercising supplemental jurisdiction, the court of appeals reasoned that “[i]n the majority of cases, it would undermine the efficiency rationale of supplemental jurisdiction if two separate forums were required to adjudicate precisely the same issues because there was a different number of plaintiffs participating in each claim.”</w:t>
      </w:r>
      <w:r>
        <w:rPr>
          <w:vertAlign w:val="superscript"/>
        </w:rPr>
        <w:footnoteReference w:id="1128"/>
      </w:r>
      <w:r w:rsidRPr="00AD2F44">
        <w:t xml:space="preserve"> The court did not find the disparity in class sizes—approximately 30 FLSA opt-ins versus 180 to 250 people falling within the Rule 23 classes—to be a basis for declining supplemental jurisdiction.</w:t>
      </w:r>
      <w:r>
        <w:rPr>
          <w:vertAlign w:val="superscript"/>
        </w:rPr>
        <w:footnoteReference w:id="1129"/>
      </w:r>
      <w:r w:rsidRPr="00AD2F44">
        <w:t xml:space="preserve"> The court concluded:</w:t>
      </w:r>
    </w:p>
    <w:p w14:paraId="01EC9944" w14:textId="77777777" w:rsidR="005D0340" w:rsidRPr="00AD2F44" w:rsidRDefault="00F42107">
      <w:pPr>
        <w:pStyle w:val="09BBlockQuoteWithoutIndent"/>
      </w:pPr>
      <w:r w:rsidRPr="00AD2F44">
        <w:t>[T]he record reflects no reason to doubt that it is sensible to litigate all theories in a single federal proceeding. The identity of the issues, the convenience to both plaintiffs and defendants of not having to litigate in multiple forums, and the economy of resolving all claims at once suggests that an exercise of supplemental jurisdiction will normally be appropriate. In all but the most unusual cases, there will be little cause for concern about fairness or comity.</w:t>
      </w:r>
      <w:r>
        <w:rPr>
          <w:vertAlign w:val="superscript"/>
        </w:rPr>
        <w:footnoteReference w:id="1130"/>
      </w:r>
    </w:p>
    <w:p w14:paraId="6CC0791A" w14:textId="77777777" w:rsidR="005D0340" w:rsidRPr="00AD2F44" w:rsidRDefault="00F42107">
      <w:pPr>
        <w:pStyle w:val="08Fifth-LevelHeadi"/>
      </w:pPr>
      <w:r w:rsidRPr="00AD2F44">
        <w:t>(iii.)</w:t>
      </w:r>
      <w:r w:rsidRPr="00AD2F44">
        <w:tab/>
        <w:t>Dismissal of the FLSA Claims</w:t>
      </w:r>
    </w:p>
    <w:p w14:paraId="2EF2CB84" w14:textId="06167B65" w:rsidR="005D0340" w:rsidRPr="00AD2F44" w:rsidRDefault="00F42107">
      <w:pPr>
        <w:pStyle w:val="10ATextWithIndent"/>
      </w:pPr>
      <w:r w:rsidRPr="00AD2F44">
        <w:t>Courts have addressed whether supplemental jurisdiction may be declined where the court has dismissed all claims over which the court had original jurisdiction as provided in 28 U.S.C. §1367(c)(3).</w:t>
      </w:r>
      <w:r>
        <w:rPr>
          <w:vertAlign w:val="superscript"/>
        </w:rPr>
        <w:footnoteReference w:id="1131"/>
      </w:r>
      <w:r w:rsidRPr="00AD2F44">
        <w:t xml:space="preserve"> The Second Circuit exercised supplemental jurisdiction over state law claims after dismissing all FLSA claims, but only to rule that the state law claims were governed by the same standards and should be dismissed for the same reasons as the FLSA claims.</w:t>
      </w:r>
      <w:r>
        <w:rPr>
          <w:vertAlign w:val="superscript"/>
        </w:rPr>
        <w:footnoteReference w:id="1132"/>
      </w:r>
      <w:r w:rsidRPr="00AD2F44">
        <w:t xml:space="preserve"> In a district court action where employees dismissed their FLSA claims after an employer removed the state court action to federal court, the district court agreed that it would not exercise supplemental jurisdiction as the remaining claims were based solely on substantive state law for which no discovery had yet occurred and the district court’s involvement was only to address the employees’ motion to dismiss the FLSA claims.</w:t>
      </w:r>
      <w:r>
        <w:rPr>
          <w:vertAlign w:val="superscript"/>
        </w:rPr>
        <w:footnoteReference w:id="1133"/>
      </w:r>
      <w:r w:rsidRPr="00AD2F44">
        <w:t xml:space="preserve"> </w:t>
      </w:r>
      <w:r w:rsidR="00E438BF" w:rsidRPr="00AD2F44">
        <w:t xml:space="preserve">Other </w:t>
      </w:r>
      <w:r w:rsidRPr="00AD2F44">
        <w:t>district court</w:t>
      </w:r>
      <w:r w:rsidR="00E438BF" w:rsidRPr="00AD2F44">
        <w:t>s</w:t>
      </w:r>
      <w:r w:rsidRPr="00AD2F44">
        <w:t xml:space="preserve"> decline to exercise </w:t>
      </w:r>
      <w:r w:rsidR="00E438BF" w:rsidRPr="00AD2F44">
        <w:t xml:space="preserve">supplemental </w:t>
      </w:r>
      <w:r w:rsidRPr="00AD2F44">
        <w:t xml:space="preserve">jurisdiction over remaining state </w:t>
      </w:r>
      <w:r w:rsidR="00E438BF" w:rsidRPr="00AD2F44">
        <w:t xml:space="preserve">wage </w:t>
      </w:r>
      <w:r w:rsidRPr="00AD2F44">
        <w:t>claims after dismissing FLSA claims.</w:t>
      </w:r>
      <w:r>
        <w:rPr>
          <w:vertAlign w:val="superscript"/>
        </w:rPr>
        <w:footnoteReference w:id="1134"/>
      </w:r>
      <w:r w:rsidRPr="00AD2F44">
        <w:t xml:space="preserve"> </w:t>
      </w:r>
      <w:r w:rsidR="00E438BF" w:rsidRPr="00AD2F44">
        <w:lastRenderedPageBreak/>
        <w:t xml:space="preserve">For example, in </w:t>
      </w:r>
      <w:r w:rsidR="00E438BF" w:rsidRPr="00AD2F44">
        <w:rPr>
          <w:i/>
          <w:iCs/>
        </w:rPr>
        <w:t>Musarra v. Digital Dish,</w:t>
      </w:r>
      <w:r>
        <w:rPr>
          <w:rStyle w:val="FootnoteReference"/>
        </w:rPr>
        <w:footnoteReference w:id="1135"/>
      </w:r>
      <w:r w:rsidR="00E438BF" w:rsidRPr="00AD2F44">
        <w:t xml:space="preserve"> </w:t>
      </w:r>
      <w:r w:rsidR="00F96083" w:rsidRPr="00AD2F44">
        <w:t xml:space="preserve">after dismissing the federal claims, </w:t>
      </w:r>
      <w:r w:rsidRPr="00AD2F44">
        <w:t xml:space="preserve">the court </w:t>
      </w:r>
      <w:r w:rsidR="00F96083" w:rsidRPr="00AD2F44">
        <w:t xml:space="preserve">found </w:t>
      </w:r>
      <w:r w:rsidRPr="00AD2F44">
        <w:t>that judicial economy did not weigh in favor of exercising supplemental jurisdiction with respect to the state law claims. In addition, the state law claims presented “sufficiently novel state law questions,” which also weighed against retaining jurisdiction.</w:t>
      </w:r>
      <w:r>
        <w:rPr>
          <w:vertAlign w:val="superscript"/>
        </w:rPr>
        <w:footnoteReference w:id="1136"/>
      </w:r>
    </w:p>
    <w:p w14:paraId="3376551B" w14:textId="77777777" w:rsidR="005D0340" w:rsidRPr="00AD2F44" w:rsidRDefault="00F42107">
      <w:pPr>
        <w:pStyle w:val="10ATextWithIndent"/>
      </w:pPr>
      <w:r w:rsidRPr="00AD2F44">
        <w:rPr>
          <w:lang w:eastAsia="pt-PT"/>
        </w:rPr>
        <w:t>In contrast, the Third Circuit affirmed a lower court’s denial of the defendant’s motion to dismiss for lack of subject matter jurisdiction because although the parties settled their FLSA claims, the remaining state law claims substantially overlapped with the federal claims and “considerations of judicial economy, convenience, and fairness to the parties provide[d] an affirmative justification for” exercising jurisdiction.</w:t>
      </w:r>
      <w:r>
        <w:rPr>
          <w:vertAlign w:val="superscript"/>
          <w:lang w:eastAsia="pt-PT"/>
        </w:rPr>
        <w:footnoteReference w:id="1137"/>
      </w:r>
    </w:p>
    <w:p w14:paraId="5DABB197" w14:textId="77777777" w:rsidR="005D0340" w:rsidRPr="00AD2F44" w:rsidRDefault="00F42107">
      <w:pPr>
        <w:pStyle w:val="08Fifth-LevelHeadi"/>
      </w:pPr>
      <w:r w:rsidRPr="00AD2F44">
        <w:t>(iv.)</w:t>
      </w:r>
      <w:r w:rsidRPr="00AD2F44">
        <w:tab/>
        <w:t>“Exceptional Circumstances”/“Compelling Reasons”</w:t>
      </w:r>
    </w:p>
    <w:p w14:paraId="1EC8E452" w14:textId="77777777" w:rsidR="005D0340" w:rsidRPr="00AD2F44" w:rsidRDefault="00F42107">
      <w:pPr>
        <w:pStyle w:val="10ATextWithIndent"/>
      </w:pPr>
      <w:r w:rsidRPr="00AD2F44">
        <w:t>The fourth situation in which the district court has discretion to decline supplemental jurisdiction over state law claims in a hybrid action is where, “in exceptional circumstances, there are other compelling reasons for declining jurisdiction.”</w:t>
      </w:r>
      <w:r>
        <w:rPr>
          <w:vertAlign w:val="superscript"/>
        </w:rPr>
        <w:footnoteReference w:id="1138"/>
      </w:r>
      <w:r w:rsidRPr="00AD2F44">
        <w:t xml:space="preserve"> The decisions in this area have focused principally on one or more of the following three contentions: first, there is a “conflict” with congressional intent that arises when state law opt-out claims are allowed to proceed in the same action with opt-in FLSA claims; second, a hybrid action would be too difficult to manage; and third, class members will be confused by receiving notice of both opt-in rights and opt-out rights.</w:t>
      </w:r>
    </w:p>
    <w:p w14:paraId="1BEBD7F0" w14:textId="77777777" w:rsidR="005D0340" w:rsidRPr="00AD2F44" w:rsidRDefault="00F42107">
      <w:pPr>
        <w:pStyle w:val="10ATextWithIndent"/>
      </w:pPr>
      <w:r w:rsidRPr="00AD2F44">
        <w:t>First, some employers and courts have argued that hybrid actions present “exceptional</w:t>
      </w:r>
      <w:r w:rsidRPr="00AD2F44">
        <w:rPr>
          <w:b/>
          <w:bCs/>
        </w:rPr>
        <w:t xml:space="preserve"> </w:t>
      </w:r>
      <w:r w:rsidRPr="00AD2F44">
        <w:t>circumstances” in which there are “compelling reasons” for declining jurisdiction over the state law claims because it would conflict with congressional intent to exercise jurisdiction over the state law claims of individuals who do not opt in to the FLSA claim.</w:t>
      </w:r>
      <w:r>
        <w:rPr>
          <w:vertAlign w:val="superscript"/>
        </w:rPr>
        <w:footnoteReference w:id="1139"/>
      </w:r>
      <w:r w:rsidRPr="00AD2F44">
        <w:t xml:space="preserve"> Circuit courts appear to have rejected this argument, concluding that “[w]e do not view the difference between the opt-in procedure provided by section 216(b) for FLSA claims and the opt-out procedure for state law claims provided by Rule 23 as fitting the ‘exceptional circumstances’/‘other compelling reasons’ language of the supplemental jurisdiction statute, section 1367(c)(4).”</w:t>
      </w:r>
      <w:r>
        <w:rPr>
          <w:vertAlign w:val="superscript"/>
        </w:rPr>
        <w:footnoteReference w:id="1140"/>
      </w:r>
      <w:r w:rsidRPr="00AD2F44">
        <w:t xml:space="preserve"> Nevertheless, some </w:t>
      </w:r>
      <w:r w:rsidRPr="00AD2F44">
        <w:lastRenderedPageBreak/>
        <w:t xml:space="preserve">district courts have accepted the argument that hybrid actions give rise to a conflict with the congressional intent to limit FLSA claims to opt-in actions and that this conflict fits the </w:t>
      </w:r>
      <w:r w:rsidRPr="00AD2F44">
        <w:lastRenderedPageBreak/>
        <w:t>exceptional circumstances/compelling reasons language of Section 1367(c)(4).</w:t>
      </w:r>
      <w:r>
        <w:rPr>
          <w:vertAlign w:val="superscript"/>
        </w:rPr>
        <w:footnoteReference w:id="1141"/>
      </w:r>
      <w:r w:rsidRPr="00AD2F44">
        <w:t xml:space="preserve"> But other district courts have rejected the argument.</w:t>
      </w:r>
      <w:r>
        <w:rPr>
          <w:vertAlign w:val="superscript"/>
        </w:rPr>
        <w:footnoteReference w:id="1142"/>
      </w:r>
    </w:p>
    <w:p w14:paraId="41C7C3DD" w14:textId="77777777" w:rsidR="005D0340" w:rsidRPr="00AD2F44" w:rsidRDefault="00F42107">
      <w:pPr>
        <w:pStyle w:val="10ATextWithIndent"/>
      </w:pPr>
      <w:r w:rsidRPr="00AD2F44">
        <w:lastRenderedPageBreak/>
        <w:t>Second, in some hybrid actions, courts have concluded that case management challenges (or “manageability” issues) arising from having an FLSA opt-in class and Rule 23 opt-out class qualify as an exceptional circumstance in which there are compelling reasons for declining jurisdiction.</w:t>
      </w:r>
      <w:r>
        <w:rPr>
          <w:vertAlign w:val="superscript"/>
        </w:rPr>
        <w:footnoteReference w:id="1143"/>
      </w:r>
      <w:r w:rsidRPr="00AD2F44">
        <w:t xml:space="preserve"> Other courts have rejected case management challenges as a proffered basis for declining jurisdiction under Section 1367(c)(4).</w:t>
      </w:r>
      <w:r>
        <w:rPr>
          <w:vertAlign w:val="superscript"/>
        </w:rPr>
        <w:footnoteReference w:id="1144"/>
      </w:r>
    </w:p>
    <w:p w14:paraId="27B1DF89" w14:textId="77777777" w:rsidR="005D0340" w:rsidRPr="00AD2F44" w:rsidRDefault="00F42107">
      <w:pPr>
        <w:pStyle w:val="10ATextWithIndent"/>
      </w:pPr>
      <w:r w:rsidRPr="00AD2F44">
        <w:lastRenderedPageBreak/>
        <w:t>Third, courts have acknowledged the potential for confusion by class members receiving notice of both opt-in and opt-out rights in the same action, but most have found such confusion insufficient to decline exercising supplemental jurisdiction.</w:t>
      </w:r>
      <w:r>
        <w:rPr>
          <w:vertAlign w:val="superscript"/>
        </w:rPr>
        <w:footnoteReference w:id="1145"/>
      </w:r>
      <w:r w:rsidRPr="00AD2F44">
        <w:t xml:space="preserve"> Courts have recognized that the same confusion exists whether all claims remain in federal court or are split between federal and state court as class members will receive both opt-in and opt-out notices under either scenario.</w:t>
      </w:r>
      <w:r>
        <w:rPr>
          <w:vertAlign w:val="superscript"/>
        </w:rPr>
        <w:footnoteReference w:id="1146"/>
      </w:r>
      <w:r w:rsidRPr="00AD2F44">
        <w:t xml:space="preserve"> </w:t>
      </w:r>
    </w:p>
    <w:p w14:paraId="6DD953F9" w14:textId="77777777" w:rsidR="005D0340" w:rsidRPr="00AD2F44" w:rsidRDefault="00F42107">
      <w:pPr>
        <w:pStyle w:val="10ATextWithIndent"/>
      </w:pPr>
      <w:r w:rsidRPr="00AD2F44">
        <w:lastRenderedPageBreak/>
        <w:t>Circuit courts have rejected the argument that a combined action could not be maintained because of the difference between the FLSA collective action notice class members would receive and Rule 23 notice requirements:</w:t>
      </w:r>
    </w:p>
    <w:p w14:paraId="4577630E" w14:textId="77777777" w:rsidR="005D0340" w:rsidRPr="00AD2F44" w:rsidRDefault="00F42107">
      <w:pPr>
        <w:pStyle w:val="09BBlockQuoteWithoutIndent"/>
      </w:pPr>
      <w:r w:rsidRPr="00AD2F44">
        <w:t>It does not seem like too much to require potential participants to make two binary choices: (1) decide whether to opt in and participate in the federal action; (2) decide whether to opt out and not participate in the state law claims. Other courts in this circuit appear to have had little trouble working out an adequate notice in this type of case. … When we asked at oral argument whether Outback’s lawyers could provide any concrete examples of confusion resulting from this type of notification, they were unable to point to a single instance. Finally, if these actions were to proceed separately—the FLSA in federal court and the state law class action in state court—an entirely different and potentially worse problem of confusion would arise, with uncoordinated notices from separate courts peppering the employees. As a general rule, it will usually be preferable if the notice comes from a single court, in a unified proceeding, where the court and lawyers alike are paying close attention to the overall message the participants will receive.</w:t>
      </w:r>
      <w:r>
        <w:rPr>
          <w:vertAlign w:val="superscript"/>
        </w:rPr>
        <w:footnoteReference w:id="1147"/>
      </w:r>
    </w:p>
    <w:p w14:paraId="101FE3A2" w14:textId="77777777" w:rsidR="005D0340" w:rsidRPr="00AD2F44" w:rsidRDefault="00F42107">
      <w:pPr>
        <w:pStyle w:val="10BTextWithoutIndent"/>
      </w:pPr>
      <w:r w:rsidRPr="00AD2F44">
        <w:t>Nevertheless, some district courts have declined to exercise supplemental jurisdiction, finding that potential confusion between the two notices satisfies the exceptional circumstances/compelling reasons language of Section 1367(c)(4).</w:t>
      </w:r>
      <w:r>
        <w:rPr>
          <w:vertAlign w:val="superscript"/>
        </w:rPr>
        <w:footnoteReference w:id="1148"/>
      </w:r>
    </w:p>
    <w:p w14:paraId="326C85A2" w14:textId="77777777" w:rsidR="005D0340" w:rsidRPr="00AD2F44" w:rsidRDefault="00F42107">
      <w:pPr>
        <w:pStyle w:val="05Second-LevelHeadABC"/>
      </w:pPr>
      <w:r w:rsidRPr="00AD2F44">
        <w:t>E.</w:t>
      </w:r>
      <w:r w:rsidRPr="00AD2F44">
        <w:tab/>
        <w:t>Standing to Prosecute the State Law Claims in Hybrid Actions</w:t>
      </w:r>
    </w:p>
    <w:p w14:paraId="084F7225" w14:textId="77777777" w:rsidR="005D0340" w:rsidRPr="00AD2F44" w:rsidRDefault="00F42107">
      <w:pPr>
        <w:pStyle w:val="10ATextWithIndent"/>
      </w:pPr>
      <w:r w:rsidRPr="00AD2F44">
        <w:t xml:space="preserve">Plaintiffs in some hybrid actions have pleaded state law claims that they themselves do not have because they did not work in the state at issue—e.g., a plaintiff who was employed by the defendant in Pennsylvania pleads a class action claim under New York and Pennsylvania law. Defendants have successfully moved to dismiss such claims on standing grounds in a </w:t>
      </w:r>
      <w:r w:rsidRPr="00AD2F44">
        <w:lastRenderedPageBreak/>
        <w:t>number of actions.</w:t>
      </w:r>
      <w:r>
        <w:rPr>
          <w:vertAlign w:val="superscript"/>
        </w:rPr>
        <w:footnoteReference w:id="1149"/>
      </w:r>
      <w:r w:rsidRPr="00AD2F44">
        <w:t xml:space="preserve"> A smaller number of courts have denied such motions, however, reasoning that the standing issue would be better addressed at the class certification stage.</w:t>
      </w:r>
      <w:r>
        <w:rPr>
          <w:vertAlign w:val="superscript"/>
        </w:rPr>
        <w:footnoteReference w:id="1150"/>
      </w:r>
    </w:p>
    <w:p w14:paraId="6ADAA432" w14:textId="77777777" w:rsidR="005D0340" w:rsidRPr="00AD2F44" w:rsidRDefault="00F42107">
      <w:pPr>
        <w:pStyle w:val="10ATextWithIndent"/>
      </w:pPr>
      <w:r w:rsidRPr="00AD2F44">
        <w:t>A dismissal of the state law claims for lack of standing at the pleadings stage does not mean that the state law claim cannot be added to the action at a later time. If plaintiffs identify an individual who is willing to serve as a representative plaintiff for the state law claims at issue, plaintiffs can seek leave to amend the complaint to add that person as a named plaintiff and plead the state law claims.</w:t>
      </w:r>
      <w:r>
        <w:rPr>
          <w:vertAlign w:val="superscript"/>
        </w:rPr>
        <w:footnoteReference w:id="1151"/>
      </w:r>
      <w:r w:rsidRPr="00AD2F44">
        <w:t xml:space="preserve"> This possibility has particular salience in the context of hybrid actions. Once the FLSA claim is conditionally certified as a collective action, notice of the action will be sent to all potential class members, and some number of them will opt in, including individuals who worked in different states from the original named plaintiffs. Thus, the opt-in procedure may bring into the action new plaintiffs who are willing to serve as representative plaintiffs for state law class action claims that the original named plaintiffs might not have been able to prosecute themselves.</w:t>
      </w:r>
    </w:p>
    <w:p w14:paraId="60D9F930" w14:textId="77777777" w:rsidR="005D0340" w:rsidRPr="00AD2F44" w:rsidRDefault="00F42107">
      <w:pPr>
        <w:pStyle w:val="05Second-LevelHeadABC"/>
      </w:pPr>
      <w:r w:rsidRPr="00AD2F44">
        <w:lastRenderedPageBreak/>
        <w:t>F.</w:t>
      </w:r>
      <w:r w:rsidRPr="00AD2F44">
        <w:tab/>
        <w:t>Rule 23 Class Certification in Hybrid Actions</w:t>
      </w:r>
    </w:p>
    <w:p w14:paraId="25399D5A" w14:textId="77777777" w:rsidR="005D0340" w:rsidRPr="00AD2F44" w:rsidRDefault="00F42107">
      <w:pPr>
        <w:pStyle w:val="10ATextWithIndent"/>
      </w:pPr>
      <w:r w:rsidRPr="00AD2F44">
        <w:t>As in any other proposed Rule 23 class action, plaintiffs proposing to proceed with a state law Rule 23 class action for damages in a hybrid action have the burden to show that the criteria for maintenance of a class action set forth in Rule 23(a) and (b)(3) of the Federal Rules of Civil Procedure are satisfied.</w:t>
      </w:r>
      <w:r>
        <w:rPr>
          <w:spacing w:val="-5"/>
          <w:vertAlign w:val="superscript"/>
        </w:rPr>
        <w:footnoteReference w:id="1152"/>
      </w:r>
      <w:r w:rsidRPr="00AD2F44">
        <w:t xml:space="preserve"> In applying these criteria in hybrid actions, courts have considered several issues that are specific to such actions.</w:t>
      </w:r>
    </w:p>
    <w:p w14:paraId="2E56434A" w14:textId="77777777" w:rsidR="005D0340" w:rsidRPr="00AD2F44" w:rsidRDefault="00F42107">
      <w:pPr>
        <w:pStyle w:val="06Third-LevelHead123"/>
      </w:pPr>
      <w:r w:rsidRPr="00AD2F44">
        <w:t>1.</w:t>
      </w:r>
      <w:r w:rsidRPr="00AD2F44">
        <w:tab/>
        <w:t>Numerosity/Impracticability of Joinder</w:t>
      </w:r>
    </w:p>
    <w:p w14:paraId="3E602D33" w14:textId="77777777" w:rsidR="005D0340" w:rsidRPr="00AD2F44" w:rsidRDefault="00F42107">
      <w:pPr>
        <w:pStyle w:val="10ATextWithIndent"/>
      </w:pPr>
      <w:r w:rsidRPr="00AD2F44">
        <w:t>One of the prerequisites for certification of a class action under Rule 23 is that the proposed class must be “so numerous that joinder of all members is impracticable.”</w:t>
      </w:r>
      <w:r>
        <w:rPr>
          <w:vertAlign w:val="superscript"/>
        </w:rPr>
        <w:footnoteReference w:id="1153"/>
      </w:r>
      <w:r w:rsidRPr="00AD2F44">
        <w:t xml:space="preserve"> Some employers have argued that the numerosity/impracticability requirement cannot be satisfied if the FLSA opt-in process has already been completed and only a relatively small number of individuals have opted in. Courts have generally rejected this argument.</w:t>
      </w:r>
      <w:r>
        <w:rPr>
          <w:vertAlign w:val="superscript"/>
        </w:rPr>
        <w:footnoteReference w:id="1154"/>
      </w:r>
      <w:r w:rsidRPr="00AD2F44">
        <w:t xml:space="preserve"> The numerosity inquiry looks to the size of the potential Rule 23 class. The number of FLSA opt-ins is not a reliable indicator of how large the Rule 23 state law class will be because individuals who did not opt in to the FLSA class may also not opt out of the state law class, rendering the latter class larger than the former.</w:t>
      </w:r>
      <w:r>
        <w:rPr>
          <w:vertAlign w:val="superscript"/>
        </w:rPr>
        <w:footnoteReference w:id="1155"/>
      </w:r>
      <w:r w:rsidRPr="00AD2F44">
        <w:t xml:space="preserve"> In addition, if the certified class ends up being too small because a large number of individuals opt out, the court has the option to decertify the class.</w:t>
      </w:r>
    </w:p>
    <w:p w14:paraId="0AB2C3AA" w14:textId="31BFE183" w:rsidR="005D0340" w:rsidRPr="00AD2F44" w:rsidRDefault="00F42107">
      <w:pPr>
        <w:pStyle w:val="10ATextWithIndent"/>
      </w:pPr>
      <w:r w:rsidRPr="00AD2F44">
        <w:lastRenderedPageBreak/>
        <w:t>Similarly, in a Rule 23 context, courts have evaluated whether a class is ascertainable—namely, whether class members can be identified.</w:t>
      </w:r>
      <w:r>
        <w:rPr>
          <w:rStyle w:val="FootnoteReference"/>
        </w:rPr>
        <w:footnoteReference w:id="1156"/>
      </w:r>
      <w:r w:rsidRPr="00AD2F44">
        <w:t xml:space="preserve"> In the FLSA context, the Third Circuit has held that if a defendant fails to keep adequate records of </w:t>
      </w:r>
      <w:r w:rsidR="00650637" w:rsidRPr="00AD2F44">
        <w:t>its</w:t>
      </w:r>
      <w:r w:rsidRPr="00AD2F44">
        <w:t xml:space="preserve"> workers, such a failure cannot be used to support a defense to class certification based on lack of an ascertainable class.</w:t>
      </w:r>
      <w:r>
        <w:rPr>
          <w:rStyle w:val="FootnoteReference"/>
        </w:rPr>
        <w:footnoteReference w:id="1157"/>
      </w:r>
      <w:r w:rsidRPr="00AD2F44">
        <w:t xml:space="preserve"> </w:t>
      </w:r>
    </w:p>
    <w:p w14:paraId="070904D6" w14:textId="77777777" w:rsidR="005D0340" w:rsidRPr="00AD2F44" w:rsidRDefault="00F42107">
      <w:pPr>
        <w:pStyle w:val="06Third-LevelHead123"/>
      </w:pPr>
      <w:r w:rsidRPr="00AD2F44">
        <w:t>2.</w:t>
      </w:r>
      <w:r w:rsidRPr="00AD2F44">
        <w:tab/>
        <w:t>Superiority</w:t>
      </w:r>
    </w:p>
    <w:p w14:paraId="000B4270" w14:textId="77777777" w:rsidR="005D0340" w:rsidRPr="00AD2F44" w:rsidRDefault="00F42107">
      <w:pPr>
        <w:pStyle w:val="10ATextWithIndent"/>
      </w:pPr>
      <w:r w:rsidRPr="00AD2F44">
        <w:t>Plaintiffs seeking to certify a Rule 23 class for damages also must show that the class action procedure is “superior to other available methods for fairly and efficiently adjudicating the controversy.”</w:t>
      </w:r>
      <w:r>
        <w:rPr>
          <w:vertAlign w:val="superscript"/>
        </w:rPr>
        <w:footnoteReference w:id="1158"/>
      </w:r>
      <w:r w:rsidRPr="00AD2F44">
        <w:t xml:space="preserve"> Employers have challenged “superiority” using a variety of case-specific theories.</w:t>
      </w:r>
    </w:p>
    <w:p w14:paraId="4B007B1C" w14:textId="77777777" w:rsidR="005D0340" w:rsidRPr="00AD2F44" w:rsidRDefault="00F42107">
      <w:pPr>
        <w:pStyle w:val="07Fourth-LevelHeadabc"/>
      </w:pPr>
      <w:r w:rsidRPr="00AD2F44">
        <w:t>a.</w:t>
      </w:r>
      <w:r w:rsidRPr="00AD2F44">
        <w:tab/>
        <w:t>Availability of an Opt-In Action for the FLSA Claims</w:t>
      </w:r>
    </w:p>
    <w:p w14:paraId="6C7FB265" w14:textId="77777777" w:rsidR="005D0340" w:rsidRPr="00AD2F44" w:rsidRDefault="00F42107">
      <w:pPr>
        <w:pStyle w:val="10ATextWithIndent"/>
      </w:pPr>
      <w:r w:rsidRPr="00AD2F44">
        <w:t xml:space="preserve">Employers have argued that a Rule 23 class in a hybrid action cannot be superior because class members have the ability to join the FLSA collective action by opting in (and, according to the argument in some cases, those who have opted in to the FLSA action can have their state law claims heard alongside their FLSA claims in the same case). A corollary argument is that a class action would not be superior because the state law class will include individuals who did not opt </w:t>
      </w:r>
      <w:r w:rsidRPr="00AD2F44">
        <w:lastRenderedPageBreak/>
        <w:t>in to the FLSA action.</w:t>
      </w:r>
      <w:r>
        <w:rPr>
          <w:vertAlign w:val="superscript"/>
        </w:rPr>
        <w:footnoteReference w:id="1159"/>
      </w:r>
      <w:r w:rsidRPr="00AD2F44">
        <w:t xml:space="preserve"> Courts rejecting this argument have reasoned that, whatever procedure has been adopted for FLSA claims, the opt-out class action procedure remains the superior mechanism for adjudicating the state law claims that are common to all potential class members (including because many individuals fail to opt in to FLSA actions for reasons other than any affirmative desire not to have their claims adjudicated).</w:t>
      </w:r>
      <w:r>
        <w:rPr>
          <w:vertAlign w:val="superscript"/>
        </w:rPr>
        <w:footnoteReference w:id="1160"/>
      </w:r>
    </w:p>
    <w:p w14:paraId="79EBB045" w14:textId="77777777" w:rsidR="005D0340" w:rsidRPr="00AD2F44" w:rsidRDefault="00F42107">
      <w:pPr>
        <w:pStyle w:val="10ATextWithIndent"/>
      </w:pPr>
      <w:r w:rsidRPr="00AD2F44">
        <w:lastRenderedPageBreak/>
        <w:t xml:space="preserve">In </w:t>
      </w:r>
      <w:r w:rsidRPr="00AD2F44">
        <w:rPr>
          <w:i/>
          <w:iCs/>
        </w:rPr>
        <w:t>Ervin v</w:t>
      </w:r>
      <w:r w:rsidRPr="00AD2F44">
        <w:t>.</w:t>
      </w:r>
      <w:r w:rsidRPr="00AD2F44">
        <w:rPr>
          <w:i/>
          <w:iCs/>
        </w:rPr>
        <w:t xml:space="preserve"> OS Restaurant Services, Inc</w:t>
      </w:r>
      <w:r w:rsidRPr="00AD2F44">
        <w:t>.,</w:t>
      </w:r>
      <w:r>
        <w:rPr>
          <w:vertAlign w:val="superscript"/>
        </w:rPr>
        <w:footnoteReference w:id="1161"/>
      </w:r>
      <w:r w:rsidRPr="00AD2F44">
        <w:t xml:space="preserve"> the Seventh Circuit rejected the district court’s conclusion that the difference between the FLSA opt-in procedure and the Rule 23 opt-out procedure “automatically meant that the class action device was not a superior mechanism for resolving the plaintiffs’ state law claims.”</w:t>
      </w:r>
      <w:r>
        <w:rPr>
          <w:vertAlign w:val="superscript"/>
        </w:rPr>
        <w:footnoteReference w:id="1162"/>
      </w:r>
      <w:r w:rsidRPr="00AD2F44">
        <w:t xml:space="preserve"> After explaining its conclusion that there is no legal bar to hybrid actions that arises from the different procedures for forming the classes under the FLSA and Rule 23, or from the different notices class members may receive,</w:t>
      </w:r>
      <w:r>
        <w:rPr>
          <w:vertAlign w:val="superscript"/>
        </w:rPr>
        <w:footnoteReference w:id="1163"/>
      </w:r>
      <w:r w:rsidRPr="00AD2F44">
        <w:t xml:space="preserve"> the court remanded with instructions to conduct a case-specific superiority analysis under Rule 23:</w:t>
      </w:r>
    </w:p>
    <w:p w14:paraId="61D63057" w14:textId="77777777" w:rsidR="005D0340" w:rsidRPr="00AD2F44" w:rsidRDefault="00F42107">
      <w:pPr>
        <w:pStyle w:val="09BBlockQuoteWithoutIndent"/>
        <w:rPr>
          <w:spacing w:val="2"/>
        </w:rPr>
      </w:pPr>
      <w:r w:rsidRPr="00AD2F44">
        <w:t>Because the district court ruled as a matter of law that these two actions could not proceed simultaneously, there is little in the record that throws light on whether there is anything about this particular case that would stand in the way of the combined actions the plaintiffs are seeking to pursue. Rather than addressing that here, we think it best to allow the district court to take the first look at the superiority issue from that perspective, taking into account the usual requirements spelled out in Rule 23(b)(3).</w:t>
      </w:r>
      <w:r>
        <w:rPr>
          <w:spacing w:val="2"/>
          <w:vertAlign w:val="superscript"/>
        </w:rPr>
        <w:footnoteReference w:id="1164"/>
      </w:r>
    </w:p>
    <w:p w14:paraId="71095B62" w14:textId="77777777" w:rsidR="005D0340" w:rsidRPr="00AD2F44" w:rsidRDefault="00F42107">
      <w:pPr>
        <w:pStyle w:val="10BTextWithoutIndent"/>
      </w:pPr>
      <w:r w:rsidRPr="00AD2F44">
        <w:t xml:space="preserve">Similarly, a number of courts have reasoned that the superiority inquiry requires consideration of alternative procedures available to adjudicate </w:t>
      </w:r>
      <w:r w:rsidRPr="00AD2F44">
        <w:rPr>
          <w:i/>
          <w:iCs/>
        </w:rPr>
        <w:t>state law</w:t>
      </w:r>
      <w:r w:rsidRPr="00AD2F44">
        <w:t xml:space="preserve"> claims, not the FLSA claims, and have therefore rejected arguments relying on the FLSA’s opt-in procedure.</w:t>
      </w:r>
      <w:r>
        <w:rPr>
          <w:vertAlign w:val="superscript"/>
        </w:rPr>
        <w:footnoteReference w:id="1165"/>
      </w:r>
    </w:p>
    <w:p w14:paraId="0F03C061" w14:textId="77777777" w:rsidR="005D0340" w:rsidRPr="00AD2F44" w:rsidRDefault="00F42107">
      <w:pPr>
        <w:pStyle w:val="10ATextWithIndent"/>
      </w:pPr>
      <w:r w:rsidRPr="00AD2F44">
        <w:lastRenderedPageBreak/>
        <w:t>Some courts, however, have reasoned that a class action would not be a superior means of resolving the state law claims because those individuals who wanted to adjudicate their state law claims could opt in to the FLSA claim and then pursue their state law claims alongside their FLSA claims.</w:t>
      </w:r>
      <w:r>
        <w:rPr>
          <w:vertAlign w:val="superscript"/>
        </w:rPr>
        <w:footnoteReference w:id="1166"/>
      </w:r>
    </w:p>
    <w:p w14:paraId="1DF813CB" w14:textId="77777777" w:rsidR="005D0340" w:rsidRPr="00AD2F44" w:rsidRDefault="00F42107">
      <w:pPr>
        <w:pStyle w:val="07Fourth-LevelHeadabc"/>
      </w:pPr>
      <w:r w:rsidRPr="00AD2F44">
        <w:t>b.</w:t>
      </w:r>
      <w:r w:rsidRPr="00AD2F44">
        <w:tab/>
        <w:t>Considerations Relating to Supplemental Jurisdiction and Congressional Intent</w:t>
      </w:r>
    </w:p>
    <w:p w14:paraId="511C2252" w14:textId="77777777" w:rsidR="005D0340" w:rsidRPr="00AD2F44" w:rsidRDefault="00F42107">
      <w:pPr>
        <w:pStyle w:val="10ATextWithIndent"/>
      </w:pPr>
      <w:r w:rsidRPr="00AD2F44">
        <w:t xml:space="preserve">As discussed above, a few courts have expressed concerns about exercising supplemental jurisdiction over the state law claims if the state law class will be substantially larger than the FLSA class. Some of these courts have folded these concerns into their discussions of Rule 23’s superiority requirement. Thus, if a court is of the view that state law claims will predominate over the FLSA claims if a certified Rule 23 class would be much larger than the FLSA class, and </w:t>
      </w:r>
      <w:r w:rsidRPr="00AD2F44">
        <w:lastRenderedPageBreak/>
        <w:t>the court would be inclined to decline jurisdiction on that basis, the court’s conclusion regarding superiority may be that it is preferable to limit the plaintiffs in the action to those individuals who opt in to the FLSA claims and to allow those individuals to pursue their state law claims alongside their FLSA claims.</w:t>
      </w:r>
      <w:r>
        <w:rPr>
          <w:vertAlign w:val="superscript"/>
        </w:rPr>
        <w:footnoteReference w:id="1167"/>
      </w:r>
      <w:r w:rsidRPr="00AD2F44">
        <w:t xml:space="preserve"> However, with the weight of authority moving toward rejecting incompatibility and conflict issues between opt-in and opt-out procedures as a basis for declining supplemental jurisdiction, courts are not likely to rely on substantial predominance or congressional intent in analyzing the superiority requirement.</w:t>
      </w:r>
      <w:r>
        <w:rPr>
          <w:vertAlign w:val="superscript"/>
        </w:rPr>
        <w:footnoteReference w:id="1168"/>
      </w:r>
      <w:r w:rsidRPr="00AD2F44">
        <w:t xml:space="preserve"> Also, these arguments should not result in dismissal if there is independent jurisdiction under CAFA.</w:t>
      </w:r>
      <w:r>
        <w:rPr>
          <w:vertAlign w:val="superscript"/>
        </w:rPr>
        <w:footnoteReference w:id="1169"/>
      </w:r>
    </w:p>
    <w:p w14:paraId="3F5D79E2" w14:textId="77777777" w:rsidR="005D0340" w:rsidRPr="00AD2F44" w:rsidRDefault="00F42107">
      <w:pPr>
        <w:pStyle w:val="07Fourth-LevelHeadabc"/>
      </w:pPr>
      <w:r w:rsidRPr="00AD2F44">
        <w:t>c.</w:t>
      </w:r>
      <w:r w:rsidRPr="00AD2F44">
        <w:tab/>
        <w:t>Class Member Confusion</w:t>
      </w:r>
    </w:p>
    <w:p w14:paraId="0019A1A1" w14:textId="77777777" w:rsidR="005D0340" w:rsidRPr="00AD2F44" w:rsidRDefault="00F42107">
      <w:pPr>
        <w:pStyle w:val="10ATextWithIndent"/>
        <w:rPr>
          <w:spacing w:val="2"/>
        </w:rPr>
      </w:pPr>
      <w:r w:rsidRPr="00AD2F44">
        <w:t>Employers have challenged superiority on the ground that it could be confusing for class members to receive notice of their right to opt out of state law claims in the same action in which they receive notice of their right to opt in to an FLSA collective action. As discussed above, however, most courts are now holding that confusion is limited by having only one rather than two courts issue these conflicting notices. Additionally, many courts have found that notices can be written so as to minimize confusion.</w:t>
      </w:r>
      <w:r>
        <w:rPr>
          <w:spacing w:val="2"/>
          <w:vertAlign w:val="superscript"/>
        </w:rPr>
        <w:footnoteReference w:id="1170"/>
      </w:r>
      <w:r w:rsidRPr="00AD2F44">
        <w:t xml:space="preserve"> In this regard, at least one court denied Rule 23 </w:t>
      </w:r>
      <w:r w:rsidRPr="00AD2F44">
        <w:lastRenderedPageBreak/>
        <w:t>certification to permit the collective action to proceed to determine how many of the members would opt in before sending a Rule 23 opt-out notice.</w:t>
      </w:r>
      <w:r>
        <w:rPr>
          <w:spacing w:val="2"/>
          <w:vertAlign w:val="superscript"/>
        </w:rPr>
        <w:footnoteReference w:id="1171"/>
      </w:r>
      <w:r w:rsidRPr="00AD2F44">
        <w:t xml:space="preserve"> Other decisions have rejected the confusion argument on the ground that the FLSA opt-in notice process already had been completed and that class members would simply be receiving an opt-out notice for the state law class.</w:t>
      </w:r>
      <w:r>
        <w:rPr>
          <w:spacing w:val="2"/>
          <w:vertAlign w:val="superscript"/>
        </w:rPr>
        <w:footnoteReference w:id="1172"/>
      </w:r>
      <w:r w:rsidRPr="00AD2F44">
        <w:t xml:space="preserve"> Other courts have concluded that confusion among class members as a result of receiving both opt-in and opt-out notices is not a basis for denying Rule 23 certification if a class action would otherwise be the superior procedure for resolving the state law claims.</w:t>
      </w:r>
      <w:r>
        <w:rPr>
          <w:spacing w:val="2"/>
          <w:vertAlign w:val="superscript"/>
        </w:rPr>
        <w:footnoteReference w:id="1173"/>
      </w:r>
      <w:r w:rsidRPr="00AD2F44">
        <w:t xml:space="preserve"> Some courts, however, have cited the potential for class member confusion as being a consideration that weighs in favor of finding that a class action would not be superior.</w:t>
      </w:r>
      <w:r>
        <w:rPr>
          <w:spacing w:val="2"/>
          <w:vertAlign w:val="superscript"/>
        </w:rPr>
        <w:footnoteReference w:id="1174"/>
      </w:r>
    </w:p>
    <w:p w14:paraId="725A5EC0" w14:textId="77777777" w:rsidR="005D0340" w:rsidRPr="00AD2F44" w:rsidRDefault="00F42107">
      <w:pPr>
        <w:pStyle w:val="07Fourth-LevelHeadabc"/>
      </w:pPr>
      <w:r w:rsidRPr="00AD2F44">
        <w:lastRenderedPageBreak/>
        <w:t>d.</w:t>
      </w:r>
      <w:r w:rsidRPr="00AD2F44">
        <w:tab/>
        <w:t>Manageability</w:t>
      </w:r>
    </w:p>
    <w:p w14:paraId="0FF1CD9C" w14:textId="77777777" w:rsidR="005D0340" w:rsidRPr="00AD2F44" w:rsidRDefault="00F42107">
      <w:pPr>
        <w:pStyle w:val="10ATextWithIndent"/>
        <w:rPr>
          <w:vertAlign w:val="superscript"/>
        </w:rPr>
      </w:pPr>
      <w:r w:rsidRPr="00AD2F44">
        <w:t>Manageability is one of the superiority factors.</w:t>
      </w:r>
      <w:r>
        <w:rPr>
          <w:vertAlign w:val="superscript"/>
        </w:rPr>
        <w:footnoteReference w:id="1175"/>
      </w:r>
      <w:r w:rsidRPr="00AD2F44">
        <w:t xml:space="preserve"> One court in the Seventh Circuit has denied class certification of a hybrid action on this basis, finding that adjudicating in one action both an FLSA claim and a state law claim “would be logistical chaos” because of the FLSA opt-in and Rule 23 opt-out procedures.</w:t>
      </w:r>
      <w:r>
        <w:rPr>
          <w:vertAlign w:val="superscript"/>
        </w:rPr>
        <w:footnoteReference w:id="1176"/>
      </w:r>
      <w:r w:rsidRPr="00AD2F44">
        <w:t xml:space="preserve"> However, given the Seventh Circuit’s ruling in </w:t>
      </w:r>
      <w:r w:rsidRPr="00AD2F44">
        <w:rPr>
          <w:i/>
          <w:iCs/>
        </w:rPr>
        <w:t>Ervin v. OS Restaurant Services, Inc.</w:t>
      </w:r>
      <w:r w:rsidRPr="00AD2F44">
        <w:t>,</w:t>
      </w:r>
      <w:r>
        <w:rPr>
          <w:vertAlign w:val="superscript"/>
        </w:rPr>
        <w:footnoteReference w:id="1177"/>
      </w:r>
      <w:r w:rsidRPr="00AD2F44">
        <w:t xml:space="preserve"> this argument is no longer likely to prevail.</w:t>
      </w:r>
      <w:r>
        <w:rPr>
          <w:vertAlign w:val="superscript"/>
        </w:rPr>
        <w:footnoteReference w:id="1178"/>
      </w:r>
      <w:r w:rsidRPr="00AD2F44">
        <w:t xml:space="preserve"> At least one court outside the Seventh Circuit has nonetheless concluded that manageability concerns may justify denying Rule 23(b)(3) certification in a hybrid action.</w:t>
      </w:r>
      <w:r>
        <w:rPr>
          <w:vertAlign w:val="superscript"/>
        </w:rPr>
        <w:footnoteReference w:id="1179"/>
      </w:r>
    </w:p>
    <w:bookmarkStart w:id="1" w:name="_iDocIDField_EOD"/>
    <w:p w14:paraId="25107389" w14:textId="77777777" w:rsidR="00FF2454" w:rsidRDefault="00F42107">
      <w:pPr>
        <w:pStyle w:val="DocID"/>
      </w:pPr>
      <w:r>
        <w:fldChar w:fldCharType="begin"/>
      </w:r>
      <w:r>
        <w:instrText xml:space="preserve">  DOCPROPERTY "CUS_DocIDChunk0" </w:instrText>
      </w:r>
      <w:r>
        <w:fldChar w:fldCharType="separate"/>
      </w:r>
      <w:r>
        <w:t>1\240\4876-8542-5381.v1</w:t>
      </w:r>
      <w:r>
        <w:fldChar w:fldCharType="end"/>
      </w:r>
      <w:bookmarkEnd w:id="1"/>
    </w:p>
    <w:sectPr w:rsidR="00FF2454">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4BACF" w14:textId="77777777" w:rsidR="008A50AA" w:rsidRDefault="008A50AA">
      <w:pPr>
        <w:spacing w:after="0" w:line="240" w:lineRule="auto"/>
      </w:pPr>
      <w:r>
        <w:separator/>
      </w:r>
    </w:p>
  </w:endnote>
  <w:endnote w:type="continuationSeparator" w:id="0">
    <w:p w14:paraId="40074CB7" w14:textId="77777777" w:rsidR="008A50AA" w:rsidRDefault="008A5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C New Baskerville Std">
    <w:panose1 w:val="02020602060506020304"/>
    <w:charset w:val="00"/>
    <w:family w:val="roman"/>
    <w:notTrueType/>
    <w:pitch w:val="variable"/>
    <w:sig w:usb0="800000AF" w:usb1="5000204A" w:usb2="00000000" w:usb3="00000000" w:csb0="00000001" w:csb1="00000000"/>
  </w:font>
  <w:font w:name="Times LT Std">
    <w:altName w:val="Times New Roman"/>
    <w:panose1 w:val="00000000000000000000"/>
    <w:charset w:val="00"/>
    <w:family w:val="auto"/>
    <w:notTrueType/>
    <w:pitch w:val="variable"/>
    <w:sig w:usb0="E00002FF" w:usb1="5000205A" w:usb2="00000000" w:usb3="00000000" w:csb0="0000019F" w:csb1="00000000"/>
  </w:font>
  <w:font w:name="Times New Roman Bold">
    <w:altName w:val="Times New Roman"/>
    <w:panose1 w:val="02020803070505020304"/>
    <w:charset w:val="00"/>
    <w:family w:val="roman"/>
    <w:notTrueType/>
    <w:pitch w:val="default"/>
  </w:font>
  <w:font w:name="Times SC">
    <w:panose1 w:val="00000000000000000000"/>
    <w:charset w:val="00"/>
    <w:family w:val="auto"/>
    <w:notTrueType/>
    <w:pitch w:val="variable"/>
    <w:sig w:usb0="E00002FF" w:usb1="5000205A" w:usb2="00000000" w:usb3="00000000" w:csb0="0000019F" w:csb1="00000000"/>
  </w:font>
  <w:font w:name="NewCenturySchlbk">
    <w:altName w:val="Cambria"/>
    <w:panose1 w:val="00000000000000000000"/>
    <w:charset w:val="00"/>
    <w:family w:val="roman"/>
    <w:notTrueType/>
    <w:pitch w:val="variable"/>
    <w:sig w:usb0="00000003" w:usb1="00000000" w:usb2="00000000" w:usb3="00000000" w:csb0="00000001" w:csb1="00000000"/>
  </w:font>
  <w:font w:name="NewCenturySchlbk LT Std">
    <w:panose1 w:val="00000000000000000000"/>
    <w:charset w:val="00"/>
    <w:family w:val="roman"/>
    <w:notTrueType/>
    <w:pitch w:val="variable"/>
    <w:sig w:usb0="800000AF" w:usb1="4000204A"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auto"/>
    <w:notTrueType/>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EA4D" w14:textId="77777777" w:rsidR="000B6C5F" w:rsidRDefault="000B6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4C80" w14:textId="77777777" w:rsidR="00721CCF" w:rsidRDefault="00721CCF">
    <w:pPr>
      <w:pStyle w:val="Footer"/>
      <w:jc w:val="center"/>
      <w:rPr>
        <w:rFonts w:ascii="Times New Roman" w:hAnsi="Times New Roman" w:cs="Times New Roman"/>
      </w:rPr>
    </w:pPr>
  </w:p>
  <w:sdt>
    <w:sdtPr>
      <w:rPr>
        <w:rFonts w:ascii="Times New Roman" w:hAnsi="Times New Roman" w:cs="Times New Roman"/>
      </w:rPr>
      <w:id w:val="-1237317117"/>
      <w:docPartObj>
        <w:docPartGallery w:val="Page Numbers (Bottom of Page)"/>
        <w:docPartUnique/>
      </w:docPartObj>
    </w:sdtPr>
    <w:sdtEndPr>
      <w:rPr>
        <w:noProof/>
      </w:rPr>
    </w:sdtEndPr>
    <w:sdtContent>
      <w:p w14:paraId="02688699" w14:textId="6F4588E0" w:rsidR="00721CCF" w:rsidRDefault="00F42107">
        <w:pPr>
          <w:pStyle w:val="Footer"/>
          <w:jc w:val="center"/>
          <w:rPr>
            <w:rFonts w:ascii="Times New Roman" w:hAnsi="Times New Roman" w:cs="Times New Roman"/>
          </w:rPr>
        </w:pPr>
        <w:r>
          <w:rPr>
            <w:rFonts w:ascii="Times New Roman" w:hAnsi="Times New Roman" w:cs="Times New Roman"/>
          </w:rPr>
          <w:t>17-</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p w14:paraId="7F00429E" w14:textId="77777777" w:rsidR="00721CCF" w:rsidRDefault="00721C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419B" w14:textId="77777777" w:rsidR="000B6C5F" w:rsidRDefault="000B6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7FBA" w14:textId="77777777" w:rsidR="008A50AA" w:rsidRDefault="008A50AA">
      <w:pPr>
        <w:spacing w:after="0" w:line="240" w:lineRule="auto"/>
      </w:pPr>
      <w:r>
        <w:separator/>
      </w:r>
    </w:p>
  </w:footnote>
  <w:footnote w:type="continuationSeparator" w:id="0">
    <w:p w14:paraId="29D021C3" w14:textId="77777777" w:rsidR="008A50AA" w:rsidRDefault="008A50AA">
      <w:pPr>
        <w:spacing w:after="0" w:line="240" w:lineRule="auto"/>
      </w:pPr>
      <w:r>
        <w:continuationSeparator/>
      </w:r>
    </w:p>
  </w:footnote>
  <w:footnote w:type="continuationNotice" w:id="1">
    <w:p w14:paraId="53EDD75D" w14:textId="77777777" w:rsidR="008A50AA" w:rsidRDefault="008A50AA">
      <w:pPr>
        <w:spacing w:after="0" w:line="240" w:lineRule="auto"/>
      </w:pPr>
    </w:p>
  </w:footnote>
  <w:footnote w:id="2">
    <w:p w14:paraId="4C48D567" w14:textId="77777777" w:rsidR="00721CCF" w:rsidRPr="00AD2F44" w:rsidRDefault="00F42107">
      <w:pPr>
        <w:pStyle w:val="14Footnote"/>
      </w:pPr>
      <w:r w:rsidRPr="00AD2F44">
        <w:rPr>
          <w:vertAlign w:val="superscript"/>
        </w:rPr>
        <w:footnoteRef/>
      </w:r>
      <w:r w:rsidRPr="00AD2F44">
        <w:t>Hoffmann-La Roche, Inc. v. Sperling, 493 U.S. 165, 173 (1989).</w:t>
      </w:r>
    </w:p>
  </w:footnote>
  <w:footnote w:id="3">
    <w:p w14:paraId="212FA204"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4">
    <w:p w14:paraId="3B6745E0"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5">
    <w:p w14:paraId="03F074BA" w14:textId="77777777" w:rsidR="00721CCF" w:rsidRPr="00AD2F44" w:rsidRDefault="00F42107">
      <w:pPr>
        <w:pStyle w:val="14Footnote"/>
      </w:pPr>
      <w:r w:rsidRPr="00AD2F44">
        <w:rPr>
          <w:vertAlign w:val="superscript"/>
        </w:rPr>
        <w:footnoteRef/>
      </w:r>
      <w:r w:rsidRPr="00AD2F44">
        <w:t xml:space="preserve">Pub. L. No. 80-49, </w:t>
      </w:r>
      <w:r w:rsidRPr="00AD2F44">
        <w:t>ch. 52, §5(a), 61 Stat. 84, 87 (1947).</w:t>
      </w:r>
    </w:p>
  </w:footnote>
  <w:footnote w:id="6">
    <w:p w14:paraId="3ABAA896" w14:textId="77777777" w:rsidR="00721CCF" w:rsidRPr="00AD2F44" w:rsidRDefault="00F42107">
      <w:pPr>
        <w:pStyle w:val="14Footnote"/>
      </w:pPr>
      <w:r w:rsidRPr="00AD2F44">
        <w:rPr>
          <w:vertAlign w:val="superscript"/>
        </w:rPr>
        <w:footnoteRef/>
      </w:r>
      <w:r w:rsidRPr="00AD2F44">
        <w:rPr>
          <w:i/>
          <w:iCs/>
        </w:rPr>
        <w:t>Hoffmann-La Roche</w:t>
      </w:r>
      <w:r w:rsidRPr="00AD2F44">
        <w:t>, 493 U.S. at 173.</w:t>
      </w:r>
    </w:p>
  </w:footnote>
  <w:footnote w:id="7">
    <w:p w14:paraId="25E251FE"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8">
    <w:p w14:paraId="76704C65"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9">
    <w:p w14:paraId="4D2FB7B3" w14:textId="77777777" w:rsidR="00721CCF" w:rsidRPr="00AD2F44" w:rsidRDefault="00F42107">
      <w:pPr>
        <w:pStyle w:val="14Footnote"/>
      </w:pPr>
      <w:r w:rsidRPr="00AD2F44">
        <w:rPr>
          <w:vertAlign w:val="superscript"/>
        </w:rPr>
        <w:footnoteRef/>
      </w:r>
      <w:r w:rsidRPr="00AD2F44">
        <w:rPr>
          <w:i/>
        </w:rPr>
        <w:t>See, e.g.,</w:t>
      </w:r>
    </w:p>
    <w:p w14:paraId="3AA7355B" w14:textId="77777777" w:rsidR="00721CCF" w:rsidRPr="00AD2F44" w:rsidRDefault="00F42107">
      <w:pPr>
        <w:pStyle w:val="14Footnote"/>
      </w:pPr>
      <w:r w:rsidRPr="00AD2F44">
        <w:rPr>
          <w:i/>
          <w:iCs/>
        </w:rPr>
        <w:t>Eighth Circuit:</w:t>
      </w:r>
      <w:r w:rsidRPr="00AD2F44">
        <w:t xml:space="preserve"> Schmidt v. Fuller Brush Co., 527 F.2d 532, 536 (8th Cir. 1975) (deeming FLSA collective action procedure irreconcilable with that of Rule 23 of the Federal Rules of Civil Procedure).</w:t>
      </w:r>
    </w:p>
    <w:p w14:paraId="3BB6AA0B" w14:textId="77777777" w:rsidR="00721CCF" w:rsidRPr="00AD2F44" w:rsidRDefault="00F42107">
      <w:pPr>
        <w:pStyle w:val="14Footnote"/>
      </w:pPr>
      <w:r w:rsidRPr="00AD2F44">
        <w:rPr>
          <w:i/>
          <w:iCs/>
        </w:rPr>
        <w:t>Eleventh Circuit:</w:t>
      </w:r>
      <w:r w:rsidRPr="00AD2F44">
        <w:t xml:space="preserve"> Hipp v. Liberty </w:t>
      </w:r>
      <w:r w:rsidRPr="00AD2F44">
        <w:t>Nat’l Life Ins. Co., 252 F.3d 1208, 1216 (11th Cir. 2001) (stating, in ADEA case, that “[p]laintiffs wishing to sue as a class under [Age Discrimination in Employment Act (ADEA)] [or FLSA] must utilize the opt-in class mechanism provided in 29 U.S.C. §216(b) instead of the opt-out class procedure provided in [Rule 23 of the Federal Rules of Civil Procedure]”).</w:t>
      </w:r>
    </w:p>
    <w:p w14:paraId="69A6347F" w14:textId="63E912BA" w:rsidR="00721CCF" w:rsidRPr="00AD2F44" w:rsidRDefault="00F42107">
      <w:pPr>
        <w:pStyle w:val="14Footnote"/>
      </w:pPr>
      <w:r w:rsidRPr="00AD2F44">
        <w:rPr>
          <w:i/>
          <w:iCs/>
        </w:rPr>
        <w:t>Federal Circuit:</w:t>
      </w:r>
      <w:r w:rsidRPr="00AD2F44">
        <w:t xml:space="preserve"> United States v. Cook, 795 F.2d 987 (Fed. Cir. 1986) (providing legislative history of §216(b)).</w:t>
      </w:r>
    </w:p>
  </w:footnote>
  <w:footnote w:id="10">
    <w:p w14:paraId="2838D770" w14:textId="77777777" w:rsidR="00721CCF" w:rsidRPr="00AD2F44" w:rsidRDefault="00F42107">
      <w:pPr>
        <w:pStyle w:val="14Footnote"/>
      </w:pPr>
      <w:r w:rsidRPr="00AD2F44">
        <w:rPr>
          <w:vertAlign w:val="superscript"/>
        </w:rPr>
        <w:footnoteRef/>
      </w:r>
      <w:r w:rsidRPr="00AD2F44">
        <w:t>29 U.S.C. §216(b).</w:t>
      </w:r>
    </w:p>
  </w:footnote>
  <w:footnote w:id="11">
    <w:p w14:paraId="27AD9B5C" w14:textId="77777777" w:rsidR="00721CCF" w:rsidRPr="00AD2F44" w:rsidRDefault="00F42107">
      <w:pPr>
        <w:pStyle w:val="14Footnote"/>
      </w:pPr>
      <w:r w:rsidRPr="00AD2F44">
        <w:rPr>
          <w:vertAlign w:val="superscript"/>
        </w:rPr>
        <w:footnoteRef/>
      </w:r>
      <w:r w:rsidRPr="00AD2F44">
        <w:t>493 U.S. 165 (1989).</w:t>
      </w:r>
    </w:p>
  </w:footnote>
  <w:footnote w:id="12">
    <w:p w14:paraId="4A2DF0B0" w14:textId="77777777" w:rsidR="00721CCF" w:rsidRPr="00AD2F44" w:rsidRDefault="00F42107">
      <w:pPr>
        <w:pStyle w:val="14Footnote"/>
      </w:pPr>
      <w:r w:rsidRPr="00AD2F44">
        <w:rPr>
          <w:vertAlign w:val="superscript"/>
        </w:rPr>
        <w:footnoteRef/>
      </w:r>
      <w:r w:rsidRPr="00AD2F44">
        <w:rPr>
          <w:i/>
          <w:iCs/>
        </w:rPr>
        <w:t>Id</w:t>
      </w:r>
      <w:r w:rsidRPr="00AD2F44">
        <w:t>. at 170.</w:t>
      </w:r>
    </w:p>
  </w:footnote>
  <w:footnote w:id="13">
    <w:p w14:paraId="5F7768BA"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14">
    <w:p w14:paraId="02F98AC8"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15">
    <w:p w14:paraId="3A4DBAA7" w14:textId="77777777" w:rsidR="00721CCF" w:rsidRPr="00AD2F44" w:rsidRDefault="00F42107">
      <w:pPr>
        <w:pStyle w:val="14Footnote"/>
      </w:pPr>
      <w:r w:rsidRPr="00AD2F44">
        <w:rPr>
          <w:vertAlign w:val="superscript"/>
        </w:rPr>
        <w:footnoteRef/>
      </w:r>
      <w:r w:rsidRPr="00AD2F44">
        <w:rPr>
          <w:i/>
          <w:iCs/>
        </w:rPr>
        <w:t>Id</w:t>
      </w:r>
      <w:r w:rsidRPr="00AD2F44">
        <w:t>. at 171.</w:t>
      </w:r>
    </w:p>
  </w:footnote>
  <w:footnote w:id="16">
    <w:p w14:paraId="52FE61A6" w14:textId="77777777" w:rsidR="00721CCF" w:rsidRPr="00AD2F44" w:rsidRDefault="00F42107">
      <w:pPr>
        <w:pStyle w:val="14Footnote"/>
      </w:pPr>
      <w:r w:rsidRPr="00AD2F44">
        <w:rPr>
          <w:vertAlign w:val="superscript"/>
        </w:rPr>
        <w:footnoteRef/>
      </w:r>
      <w:r w:rsidRPr="00AD2F44">
        <w:t>See §II [Procedural Requirements of Section 216(b)] of this chapter.</w:t>
      </w:r>
    </w:p>
  </w:footnote>
  <w:footnote w:id="17">
    <w:p w14:paraId="03F50B01" w14:textId="77777777" w:rsidR="00721CCF" w:rsidRPr="00AD2F44" w:rsidRDefault="00F42107">
      <w:pPr>
        <w:pStyle w:val="14Footnote"/>
      </w:pPr>
      <w:r w:rsidRPr="00AD2F44">
        <w:rPr>
          <w:vertAlign w:val="superscript"/>
        </w:rPr>
        <w:footnoteRef/>
      </w:r>
      <w:r w:rsidRPr="00AD2F44">
        <w:t>See §III.A–C [The Two-Stage Process Used to Determine if a Collective Action May Proceed to Trial; Overview; Stage I: Standard for Determining Whether Conditional Certification Should Be Granted; Stage II: The Standard for Deciding Motions to Decertify Collective Actions] of this chapter.</w:t>
      </w:r>
    </w:p>
  </w:footnote>
  <w:footnote w:id="18">
    <w:p w14:paraId="6AB3D5D7" w14:textId="77777777" w:rsidR="00721CCF" w:rsidRPr="00AD2F44" w:rsidRDefault="00F42107">
      <w:pPr>
        <w:pStyle w:val="14Footnote"/>
      </w:pPr>
      <w:r w:rsidRPr="00AD2F44">
        <w:rPr>
          <w:vertAlign w:val="superscript"/>
        </w:rPr>
        <w:footnoteRef/>
      </w:r>
      <w:r w:rsidRPr="00AD2F44">
        <w:t>See §III.B.7 [The Two-Stage Process Used to Determine if a Collective Action May Proceed to Trial; Stage I: Standard for Determining Whether Conditional Certification Should Be Granted; Communication About the Collective Action] of this chapter.</w:t>
      </w:r>
    </w:p>
  </w:footnote>
  <w:footnote w:id="19">
    <w:p w14:paraId="101F86F4" w14:textId="77777777" w:rsidR="00721CCF" w:rsidRPr="00AD2F44" w:rsidRDefault="00F42107">
      <w:pPr>
        <w:pStyle w:val="14Footnote"/>
      </w:pPr>
      <w:r w:rsidRPr="00AD2F44">
        <w:rPr>
          <w:vertAlign w:val="superscript"/>
        </w:rPr>
        <w:footnoteRef/>
      </w:r>
      <w:r w:rsidRPr="00AD2F44">
        <w:t>See §§V [Case Management Issues], VI [Management of Multiple Collective Actions], and VII [Pretrial Disposition of Cases] of this chapter.</w:t>
      </w:r>
    </w:p>
  </w:footnote>
  <w:footnote w:id="20">
    <w:p w14:paraId="2488FD0F" w14:textId="77777777" w:rsidR="00721CCF" w:rsidRPr="00AD2F44" w:rsidRDefault="00F42107">
      <w:pPr>
        <w:pStyle w:val="14Footnote"/>
      </w:pPr>
      <w:r w:rsidRPr="00AD2F44">
        <w:rPr>
          <w:vertAlign w:val="superscript"/>
        </w:rPr>
        <w:footnoteRef/>
      </w:r>
      <w:r w:rsidRPr="00AD2F44">
        <w:t>See §§IV [Treatment of Opt-Ins Following Denial of Notice or Grant of Decertification], VIII [Trial], and IX [Appellate Issues for Collective Actions] of this chapter.</w:t>
      </w:r>
    </w:p>
  </w:footnote>
  <w:footnote w:id="21">
    <w:p w14:paraId="3660E7B1" w14:textId="77777777" w:rsidR="00721CCF" w:rsidRPr="00AD2F44" w:rsidRDefault="00F42107">
      <w:pPr>
        <w:pStyle w:val="14Footnote"/>
      </w:pPr>
      <w:r w:rsidRPr="00AD2F44">
        <w:rPr>
          <w:vertAlign w:val="superscript"/>
        </w:rPr>
        <w:footnoteRef/>
      </w:r>
      <w:r w:rsidRPr="00AD2F44">
        <w:t>See §X [The Collective Action Mechanism in Arbitration] of this chapter.</w:t>
      </w:r>
    </w:p>
  </w:footnote>
  <w:footnote w:id="22">
    <w:p w14:paraId="3EA53077" w14:textId="77777777" w:rsidR="00721CCF" w:rsidRPr="00AD2F44" w:rsidRDefault="00F42107">
      <w:pPr>
        <w:pStyle w:val="14Footnote"/>
      </w:pPr>
      <w:r w:rsidRPr="00AD2F44">
        <w:rPr>
          <w:vertAlign w:val="superscript"/>
        </w:rPr>
        <w:footnoteRef/>
      </w:r>
      <w:r w:rsidRPr="00AD2F44">
        <w:t>See §XI [Hybrid FLSA/State Law Class Actions] of this chapter.</w:t>
      </w:r>
    </w:p>
  </w:footnote>
  <w:footnote w:id="23">
    <w:p w14:paraId="624123CA" w14:textId="77777777" w:rsidR="00721CCF" w:rsidRPr="00AD2F44" w:rsidRDefault="00F42107">
      <w:pPr>
        <w:pStyle w:val="14Footnote"/>
      </w:pPr>
      <w:r w:rsidRPr="00AD2F44">
        <w:rPr>
          <w:vertAlign w:val="superscript"/>
        </w:rPr>
        <w:footnoteRef/>
      </w:r>
      <w:r w:rsidRPr="00AD2F44">
        <w:t>29 U.S.C. §216(b).</w:t>
      </w:r>
    </w:p>
  </w:footnote>
  <w:footnote w:id="24">
    <w:p w14:paraId="7806DF0F" w14:textId="77777777" w:rsidR="00721CCF" w:rsidRPr="00AD2F44" w:rsidRDefault="00F42107">
      <w:pPr>
        <w:pStyle w:val="14Footnote"/>
      </w:pPr>
      <w:r w:rsidRPr="00AD2F44">
        <w:rPr>
          <w:vertAlign w:val="superscript"/>
        </w:rPr>
        <w:footnoteRef/>
      </w:r>
      <w:r w:rsidRPr="00AD2F44">
        <w:rPr>
          <w:i/>
          <w:iCs/>
        </w:rPr>
        <w:t>See id</w:t>
      </w:r>
      <w:r w:rsidRPr="00AD2F44">
        <w:t>. Wage and hour claims under state law may be susceptible to litigation on an opt-out basis as discussed in §XI [Hybrid FLSA/State Law Class Actions] of this chapter.</w:t>
      </w:r>
    </w:p>
  </w:footnote>
  <w:footnote w:id="25">
    <w:p w14:paraId="3AA84B1E" w14:textId="77777777" w:rsidR="00721CCF" w:rsidRPr="00AD2F44" w:rsidRDefault="00F42107">
      <w:pPr>
        <w:pStyle w:val="14Footnote"/>
      </w:pPr>
      <w:r w:rsidRPr="00AD2F44">
        <w:rPr>
          <w:vertAlign w:val="superscript"/>
        </w:rPr>
        <w:footnoteRef/>
      </w:r>
      <w:r w:rsidRPr="00AD2F44">
        <w:t>Camesi v. University of Pittsburgh Med. Ctr., 729 F.3d 239, 242–43 (3d Cir. 2013) (reviewing the difference between class actions and collective actions); Woods v. New York Life Ins. Co., 686 F.2d 578, 580 (7th Cir. 1982) (stating that difference between a Rule 23 class action and a §216(b) collective action is that “in the latter the class member must opt in to be bound, while in the former he must opt out not to be bound”). See §II.B [Procedural Requirements of Section 216(b); The Consent Requirement] of this chapter.</w:t>
      </w:r>
    </w:p>
  </w:footnote>
  <w:footnote w:id="26">
    <w:p w14:paraId="6556A3B9" w14:textId="77777777" w:rsidR="00721CCF" w:rsidRPr="00AD2F44" w:rsidRDefault="00F42107">
      <w:pPr>
        <w:pStyle w:val="14Footnote"/>
      </w:pPr>
      <w:r w:rsidRPr="00AD2F44">
        <w:rPr>
          <w:vertAlign w:val="superscript"/>
        </w:rPr>
        <w:footnoteRef/>
      </w:r>
      <w:r w:rsidRPr="00AD2F44">
        <w:rPr>
          <w:smallCaps/>
        </w:rPr>
        <w:t>Fed. R. Civ. P.</w:t>
      </w:r>
      <w:r w:rsidRPr="00AD2F44">
        <w:t xml:space="preserve"> 23(c)(2)(B).</w:t>
      </w:r>
    </w:p>
  </w:footnote>
  <w:footnote w:id="27">
    <w:p w14:paraId="47D3EAA4" w14:textId="77777777" w:rsidR="00721CCF" w:rsidRPr="00AD2F44" w:rsidRDefault="00F42107">
      <w:pPr>
        <w:pStyle w:val="14Footnote"/>
      </w:pPr>
      <w:r w:rsidRPr="00AD2F44">
        <w:rPr>
          <w:vertAlign w:val="superscript"/>
        </w:rPr>
        <w:footnoteRef/>
      </w:r>
      <w:r w:rsidRPr="00AD2F44">
        <w:rPr>
          <w:i/>
          <w:iCs/>
        </w:rPr>
        <w:t>See</w:t>
      </w:r>
      <w:r w:rsidRPr="00AD2F44">
        <w:t xml:space="preserve"> Grayson v. K Mart Corp., 79 F.3d 1086, 1106 (11th Cir. 1996); LaChappelle v. Owens-Illinois, Inc., 513 F.2d 286, 288 (5th Cir. 1975).</w:t>
      </w:r>
    </w:p>
  </w:footnote>
  <w:footnote w:id="28">
    <w:p w14:paraId="27DD67C7" w14:textId="77777777" w:rsidR="00721CCF" w:rsidRPr="00AD2F44" w:rsidRDefault="00F42107">
      <w:pPr>
        <w:pStyle w:val="14Footnote"/>
      </w:pPr>
      <w:r w:rsidRPr="00AD2F44">
        <w:rPr>
          <w:vertAlign w:val="superscript"/>
        </w:rPr>
        <w:footnoteRef/>
      </w:r>
      <w:r w:rsidRPr="00AD2F44">
        <w:rPr>
          <w:i/>
          <w:iCs/>
        </w:rPr>
        <w:t>See</w:t>
      </w:r>
      <w:r w:rsidRPr="00AD2F44">
        <w:t xml:space="preserve"> 29 U.S.C. §216(b); </w:t>
      </w:r>
      <w:r w:rsidRPr="00AD2F44">
        <w:rPr>
          <w:i/>
          <w:iCs/>
        </w:rPr>
        <w:t>id</w:t>
      </w:r>
      <w:r w:rsidRPr="00AD2F44">
        <w:t xml:space="preserve">. §256(a) (providing that an action is considered to be commenced “on the date when the complaint is filed, if [the claimant] is specifically named as a party plaintiff in the complaint and his written consent to become a party plaintiff is filed on such date in the court in which the action is brought”). </w:t>
      </w:r>
    </w:p>
    <w:p w14:paraId="73E2FABB" w14:textId="77777777" w:rsidR="00721CCF" w:rsidRPr="00AD2F44" w:rsidRDefault="00F42107">
      <w:pPr>
        <w:pStyle w:val="14Footnote"/>
      </w:pPr>
      <w:r w:rsidRPr="00AD2F44">
        <w:rPr>
          <w:i/>
        </w:rPr>
        <w:t xml:space="preserve">See, e.g., </w:t>
      </w:r>
    </w:p>
    <w:p w14:paraId="65B9D609" w14:textId="77777777" w:rsidR="00721CCF" w:rsidRPr="00AD2F44" w:rsidRDefault="00F42107">
      <w:pPr>
        <w:pStyle w:val="14Footnote"/>
      </w:pPr>
      <w:r w:rsidRPr="00AD2F44">
        <w:rPr>
          <w:i/>
          <w:iCs/>
        </w:rPr>
        <w:t>First Circuit:</w:t>
      </w:r>
      <w:r w:rsidRPr="00AD2F44">
        <w:t xml:space="preserve"> Pike v. New Generation Donuts, LLC, 2016 WL 707361 (D. Mass Feb. 20, 2016) (refusing to grant conditional certification when plaintiffs failed to timely file written consents); McLaughlin v. Boston Harbor Cruises, Inc., 2006 WL 1998629, at *4 (D. Mass. July 17, 2006) (holding that plaintiff in collective action who failed to file consent to join until three years after filing her complaint failed to toll the statute for purposes of collective action resulting from failure to file consent to join, but permitting claimant to continue suit in her individual capacity that was considered tolled for plaintiff upon filing of complaint).</w:t>
      </w:r>
    </w:p>
    <w:p w14:paraId="495E1D74" w14:textId="569D3C0F" w:rsidR="00721CCF" w:rsidRPr="00AD2F44" w:rsidRDefault="00F42107">
      <w:pPr>
        <w:pStyle w:val="14Footnote"/>
      </w:pPr>
      <w:r w:rsidRPr="00AD2F44">
        <w:rPr>
          <w:i/>
          <w:iCs/>
        </w:rPr>
        <w:t>Second Circuit:</w:t>
      </w:r>
      <w:r w:rsidRPr="00AD2F44">
        <w:t xml:space="preserve"> Morales v. Construction Directions LLC, 2021 BL 522428, 2021 WL 8317096 (E.D.N.Y. Aug. 27, 2021) (recognizing statute of limitations continues to run for each plaintiff until that plaintiff files written consent form with court; holding that because named plaintiffs never filed written consent forms, they never commenced collective action for statute of limitations purposes, and therefore their claims were time-barred). </w:t>
      </w:r>
    </w:p>
    <w:p w14:paraId="25550C16" w14:textId="17C1E5A9" w:rsidR="00721CCF" w:rsidRPr="00AD2F44" w:rsidRDefault="00F42107">
      <w:pPr>
        <w:pStyle w:val="14Footnote"/>
      </w:pPr>
      <w:r w:rsidRPr="00AD2F44">
        <w:rPr>
          <w:i/>
          <w:iCs/>
        </w:rPr>
        <w:t>Third Circuit:</w:t>
      </w:r>
      <w:r w:rsidRPr="00AD2F44">
        <w:t xml:space="preserve"> </w:t>
      </w:r>
      <w:r w:rsidRPr="00AD2F44">
        <w:rPr>
          <w:i/>
          <w:iCs/>
        </w:rPr>
        <w:t>Camesi</w:t>
      </w:r>
      <w:r w:rsidRPr="00AD2F44">
        <w:t>, 729 F.3d at 242–43 (“In order to become parties to a collective action under §16(b), employees must affirmatively opt-in by filing written consents with the court. 29 U.S.C. §216(b).”)</w:t>
      </w:r>
      <w:r>
        <w:t xml:space="preserve">; </w:t>
      </w:r>
      <w:r w:rsidRPr="004B7584">
        <w:t>Carts v. Wings Over Happy Valley MDF, LLC</w:t>
      </w:r>
      <w:r>
        <w:t xml:space="preserve">, </w:t>
      </w:r>
      <w:r w:rsidR="003D45AE" w:rsidRPr="003D45AE">
        <w:t>2023 BL 22829</w:t>
      </w:r>
      <w:r w:rsidR="003D45AE">
        <w:t xml:space="preserve">, </w:t>
      </w:r>
      <w:r w:rsidRPr="00EC386F">
        <w:t xml:space="preserve">2023 WL 373175 </w:t>
      </w:r>
      <w:r w:rsidRPr="004B7584">
        <w:t>(M.D. Pa. Jan. 24, 2023)</w:t>
      </w:r>
      <w:r>
        <w:t xml:space="preserve"> (granting defendant summary judgment, </w:t>
      </w:r>
      <w:r w:rsidRPr="004B7584">
        <w:t xml:space="preserve">holding that named plaintiffs </w:t>
      </w:r>
      <w:r>
        <w:t>who did not</w:t>
      </w:r>
      <w:r w:rsidRPr="004B7584">
        <w:t xml:space="preserve"> file a written consent to join the action failed to provide notice they clearly intended to proceed in both individual and representative capacities</w:t>
      </w:r>
      <w:r>
        <w:t>)</w:t>
      </w:r>
      <w:r w:rsidRPr="00AD2F44">
        <w:t>.</w:t>
      </w:r>
    </w:p>
    <w:p w14:paraId="4ABD6249" w14:textId="77777777" w:rsidR="00721CCF" w:rsidRPr="00AD2F44" w:rsidRDefault="00F42107">
      <w:pPr>
        <w:pStyle w:val="14Footnote"/>
      </w:pPr>
      <w:r w:rsidRPr="00AD2F44">
        <w:rPr>
          <w:i/>
          <w:iCs/>
        </w:rPr>
        <w:t xml:space="preserve">Fourth Circuit: </w:t>
      </w:r>
      <w:r w:rsidRPr="00AD2F44">
        <w:t>Gordon v. TBC Retail Grp., Inc., 2016 WL 4247738, at *13 (D.S.C. Aug. 11, 2016).</w:t>
      </w:r>
    </w:p>
    <w:p w14:paraId="5E70707F" w14:textId="77777777" w:rsidR="00721CCF" w:rsidRPr="00AD2F44" w:rsidRDefault="00F42107">
      <w:pPr>
        <w:pStyle w:val="14Footnote"/>
      </w:pPr>
      <w:r w:rsidRPr="00AD2F44">
        <w:rPr>
          <w:i/>
          <w:iCs/>
        </w:rPr>
        <w:t>Fifth Circuit:</w:t>
      </w:r>
      <w:r w:rsidRPr="00AD2F44">
        <w:t xml:space="preserve"> Montalvo v. Tower Life Bldg., 426 F.2d 1135, 1148–49 (5th Cir. 1970); Ecoquij-Tzep v. Le Arlington, Inc., 2018 WL 1702376, at *5 (N.D. Tex. Apr. 6, 2018) (holding that no collective action existed even after court conditionally certified collective action, where named plaintiff failed to file written consent and no other plaintiffs joined suit).</w:t>
      </w:r>
    </w:p>
    <w:p w14:paraId="1A989A25" w14:textId="77777777" w:rsidR="00721CCF" w:rsidRPr="00AD2F44" w:rsidRDefault="00F42107">
      <w:pPr>
        <w:pStyle w:val="14Footnote"/>
      </w:pPr>
      <w:r w:rsidRPr="00AD2F44">
        <w:rPr>
          <w:i/>
          <w:iCs/>
        </w:rPr>
        <w:t xml:space="preserve">Sixth Circuit: </w:t>
      </w:r>
      <w:r w:rsidRPr="00AD2F44">
        <w:t>Frye v. Baptist Mem’l Hosp., Inc., 495 F. App’x 669, 675–76 (6th Cir. 2012) (affirming district court’s dismissal of named plaintiff’s claims as time-barred, holding that written consent filed outside of statute of limitations does not relate back to filing of complaint because §256 specifically states that commencement of action begins from filing of written consent).</w:t>
      </w:r>
    </w:p>
    <w:p w14:paraId="6B5E4765" w14:textId="77777777" w:rsidR="00721CCF" w:rsidRPr="00AD2F44" w:rsidRDefault="00F42107">
      <w:pPr>
        <w:pStyle w:val="14Footnote"/>
      </w:pPr>
      <w:r w:rsidRPr="00AD2F44">
        <w:rPr>
          <w:i/>
          <w:iCs/>
        </w:rPr>
        <w:t xml:space="preserve">Seventh Circuit: </w:t>
      </w:r>
      <w:r w:rsidRPr="00AD2F44">
        <w:t>Harkins v. Riverboat Servs., 385 F.3d 1099, 1102 (7th Cir. 2004) (stating that requirement in §216(b) for plaintiff to file written consent to join suit is unambiguous).</w:t>
      </w:r>
    </w:p>
    <w:p w14:paraId="1AE5D23F" w14:textId="77777777" w:rsidR="00721CCF" w:rsidRPr="00AD2F44" w:rsidRDefault="00F42107">
      <w:pPr>
        <w:pStyle w:val="14Footnote"/>
      </w:pPr>
      <w:r w:rsidRPr="00AD2F44">
        <w:rPr>
          <w:i/>
          <w:iCs/>
        </w:rPr>
        <w:t>Eighth Circuit:</w:t>
      </w:r>
      <w:r w:rsidRPr="00AD2F44">
        <w:t xml:space="preserve"> Gomez v. Tyson Foods, Inc., 799 F.3d 1192 (8th Cir. 2015) (case cannot proceed as collective action without named plaintiff filing consent); Acosta v. Tyson Foods, Inc., 800 F.3d 468 (8th Cir. 2015) (same).</w:t>
      </w:r>
    </w:p>
    <w:p w14:paraId="7DBF8BBB" w14:textId="77777777" w:rsidR="00721CCF" w:rsidRPr="00AD2F44" w:rsidRDefault="00F42107">
      <w:pPr>
        <w:pStyle w:val="14Footnote"/>
      </w:pPr>
      <w:r w:rsidRPr="00AD2F44">
        <w:rPr>
          <w:i/>
          <w:iCs/>
        </w:rPr>
        <w:t>Ninth Circuit:</w:t>
      </w:r>
      <w:r w:rsidRPr="00AD2F44">
        <w:t xml:space="preserve"> Real v. Driscoll Strawberry Assocs., Inc., 603 F.2d 748, 756 n.19 (9th Cir. 1979) (modifying order on summary judgment dismissing claims of named plaintiffs for failure to file consent forms to dismissal without prejudice and directing that plaintiffs will have to file consent forms when case is remanded in order to remain party plaintiffs); Cancilla v. Ecolab, Inc., 2013 WL 1365939, at *2–3 (N.D. Cal. Apr. 3, 2013) (dismissing named plaintiff’s claims as time-barred where he did not file consent to join lawsuit until several months after he filed lawsuit and finding statute of limitations is tolled from date consent form was filed); Gessele v. Jack in the Box, Inc., 2016 WL 1056976 (D. Or. Mar. 10, 2016) (same).</w:t>
      </w:r>
    </w:p>
    <w:p w14:paraId="386084C3" w14:textId="77777777" w:rsidR="00721CCF" w:rsidRPr="00AD2F44" w:rsidRDefault="00F42107">
      <w:pPr>
        <w:pStyle w:val="14Footnote"/>
      </w:pPr>
      <w:r w:rsidRPr="00AD2F44">
        <w:rPr>
          <w:i/>
          <w:iCs/>
        </w:rPr>
        <w:t>Tenth Circuit:</w:t>
      </w:r>
      <w:r w:rsidRPr="00AD2F44">
        <w:t xml:space="preserve"> Kaiser v. At The Beach, Inc., 2009 WL 4506152 (N.D. Okla. Nov. 24, 2009) (holding that the named plaintiffs must file consents in order to remain plaintiffs in the event that the case proceeds as a collective action).</w:t>
      </w:r>
    </w:p>
    <w:p w14:paraId="69D2022E" w14:textId="77777777" w:rsidR="00721CCF" w:rsidRPr="00AD2F44" w:rsidRDefault="00F42107">
      <w:pPr>
        <w:pStyle w:val="14Footnote"/>
      </w:pPr>
      <w:r w:rsidRPr="00AD2F44">
        <w:rPr>
          <w:i/>
          <w:iCs/>
        </w:rPr>
        <w:t xml:space="preserve">Eleventh Circuit: </w:t>
      </w:r>
      <w:r w:rsidRPr="00AD2F44">
        <w:t>Albritton v. Cagles, Inc., 508 F.3d 1012 (11th Cir. 2007) (affirming district court’s dismissal of two lawsuits because named plaintiffs failed to comply with §216(b) written-consent-to-join requirement)</w:t>
      </w:r>
    </w:p>
  </w:footnote>
  <w:footnote w:id="29">
    <w:p w14:paraId="38AA9AA5" w14:textId="77777777" w:rsidR="00721CCF" w:rsidRPr="00AD2F44" w:rsidRDefault="00F42107">
      <w:pPr>
        <w:pStyle w:val="14Footnote"/>
      </w:pPr>
      <w:r w:rsidRPr="00AD2F44">
        <w:rPr>
          <w:vertAlign w:val="superscript"/>
        </w:rPr>
        <w:footnoteRef/>
      </w:r>
      <w:r w:rsidRPr="00AD2F44">
        <w:rPr>
          <w:i/>
          <w:iCs/>
        </w:rPr>
        <w:t>See</w:t>
      </w:r>
      <w:r w:rsidRPr="00AD2F44">
        <w:t xml:space="preserve"> 29 U.S.C. §256(a). </w:t>
      </w:r>
    </w:p>
    <w:p w14:paraId="03FB700E" w14:textId="77777777" w:rsidR="00721CCF" w:rsidRPr="00AD2F44" w:rsidRDefault="00F42107">
      <w:pPr>
        <w:pStyle w:val="14Footnote"/>
      </w:pPr>
      <w:r w:rsidRPr="00AD2F44">
        <w:rPr>
          <w:i/>
        </w:rPr>
        <w:t xml:space="preserve">See, e.g., </w:t>
      </w:r>
    </w:p>
    <w:p w14:paraId="600680D5" w14:textId="77777777" w:rsidR="00721CCF" w:rsidRPr="00AD2F44" w:rsidRDefault="00F42107">
      <w:pPr>
        <w:pStyle w:val="14Footnote"/>
      </w:pPr>
      <w:r w:rsidRPr="00AD2F44">
        <w:rPr>
          <w:i/>
          <w:iCs/>
        </w:rPr>
        <w:t>First Circuit: Pike,</w:t>
      </w:r>
      <w:r w:rsidRPr="00AD2F44">
        <w:t xml:space="preserve"> 2016 WL 707361 (refusing to grant conditional certification when plaintiffs failed to file written consents until 30 months after statute of limitations ran).</w:t>
      </w:r>
    </w:p>
    <w:p w14:paraId="74894A9C" w14:textId="77777777" w:rsidR="00721CCF" w:rsidRPr="00AD2F44" w:rsidRDefault="00F42107">
      <w:pPr>
        <w:pStyle w:val="14Footnote"/>
      </w:pPr>
      <w:r w:rsidRPr="00AD2F44">
        <w:rPr>
          <w:i/>
          <w:iCs/>
        </w:rPr>
        <w:t>Second Circuit:</w:t>
      </w:r>
      <w:r w:rsidRPr="00AD2F44">
        <w:t xml:space="preserve"> Hoffman v. Sbarro, 982 F. Supp. 249, 260 (S.D.N.Y. 1997) (noting employees’ claims “die daily” until the employee opts into the action).</w:t>
      </w:r>
    </w:p>
    <w:p w14:paraId="52003DB4" w14:textId="77777777" w:rsidR="00721CCF" w:rsidRPr="00AD2F44" w:rsidRDefault="00F42107">
      <w:pPr>
        <w:pStyle w:val="14Footnote"/>
      </w:pPr>
      <w:r w:rsidRPr="00AD2F44">
        <w:rPr>
          <w:i/>
          <w:iCs/>
        </w:rPr>
        <w:t xml:space="preserve">Fourth Circuit: </w:t>
      </w:r>
      <w:r w:rsidRPr="00AD2F44">
        <w:t>Lee v. Vance Exec. Prot., Inc., 2001 WL 108760 (4th Cir. Feb. 8, 2001) (holding that FLSA action commences for limitations purposes for opt-in plaintiffs on date consent-to-join is filed).</w:t>
      </w:r>
    </w:p>
    <w:p w14:paraId="6E4C061E" w14:textId="77777777" w:rsidR="00721CCF" w:rsidRPr="00AD2F44" w:rsidRDefault="00F42107">
      <w:pPr>
        <w:pStyle w:val="14Footnote"/>
      </w:pPr>
      <w:r w:rsidRPr="00AD2F44">
        <w:rPr>
          <w:i/>
          <w:iCs/>
        </w:rPr>
        <w:t>Fifth Circuit:</w:t>
      </w:r>
      <w:r w:rsidRPr="00AD2F44">
        <w:t xml:space="preserve"> </w:t>
      </w:r>
      <w:r w:rsidRPr="00AD2F44">
        <w:rPr>
          <w:i/>
          <w:iCs/>
        </w:rPr>
        <w:t>Ecoquij-Tzep</w:t>
      </w:r>
      <w:r w:rsidRPr="00AD2F44">
        <w:t>, 2018 WL 1702376, at *3 (“Section 256(b) states that if a party plaintiff named in the complaint does not file his written consent on the date when the action was brought, the action is considered commenced as to that plaintiff on the date he or she does file written consent.”) (citing Songer v. Advanced Bldg. Servs., LLC, 2015 WL 5147579 (S.D. Tex. Sept. 2, 2015)).</w:t>
      </w:r>
    </w:p>
    <w:p w14:paraId="7593A408" w14:textId="77777777" w:rsidR="00721CCF" w:rsidRPr="00AD2F44" w:rsidRDefault="00F42107">
      <w:pPr>
        <w:pStyle w:val="14Footnote"/>
      </w:pPr>
      <w:r w:rsidRPr="00AD2F44">
        <w:rPr>
          <w:i/>
          <w:iCs/>
        </w:rPr>
        <w:t>Sixth Circuit:</w:t>
      </w:r>
      <w:r w:rsidRPr="00AD2F44">
        <w:t xml:space="preserve"> Whipkey v. R.R. Donnelley &amp; Sons Co., 2006 WL 840371 (N.D. Ohio Mar. 28, 2006) (holding that acceptance of notice of filing 68 consent-to-join forms put defendant on notice and thus was effective to toll statute of limitations where actual consent-to-join forms were subsequently filed).</w:t>
      </w:r>
    </w:p>
    <w:p w14:paraId="3C08BFEA" w14:textId="77777777" w:rsidR="00721CCF" w:rsidRPr="00AD2F44" w:rsidRDefault="00F42107">
      <w:pPr>
        <w:pStyle w:val="14Footnote"/>
      </w:pPr>
      <w:r w:rsidRPr="00A674E3">
        <w:rPr>
          <w:i/>
          <w:iCs/>
        </w:rPr>
        <w:t>Seventh Circuit: Harkins,</w:t>
      </w:r>
      <w:r w:rsidRPr="00AD2F44">
        <w:t xml:space="preserve"> 385 F.3d at 1101.</w:t>
      </w:r>
    </w:p>
    <w:p w14:paraId="36B75B56" w14:textId="77777777" w:rsidR="00721CCF" w:rsidRPr="00AD2F44" w:rsidRDefault="00F42107">
      <w:pPr>
        <w:pStyle w:val="14Footnote"/>
      </w:pPr>
      <w:r w:rsidRPr="00AD2F44">
        <w:rPr>
          <w:i/>
          <w:iCs/>
        </w:rPr>
        <w:t>Ninth Circuit:</w:t>
      </w:r>
      <w:r w:rsidRPr="00AD2F44">
        <w:t xml:space="preserve"> Wilson v. Decibels of Or., Inc., 2019 WL 407404 (D. Or. Jan. 21, 2019) (ruling that plaintiff’s individual claims were calculated as of plaintiff’s complaint; however, the collective action was not initiated until plaintiff filed his consent six months later); Gessele v. Jack in the Box, Inc., 6 F. Supp. 3d 1141 (D. Or. 2014) (ruling claims of opt-ins untimely where opt-ins failed to file required written consent with court within statute of limitations); </w:t>
      </w:r>
      <w:r w:rsidRPr="00AD2F44">
        <w:rPr>
          <w:i/>
          <w:iCs/>
        </w:rPr>
        <w:t>Cancilla</w:t>
      </w:r>
      <w:r w:rsidRPr="00AD2F44">
        <w:t>, 2013 WL 1365939 (holding that the named plaintiff’s claims were time-barred because he failed to file a written consent until more than three years after he stopped working for the defendant, and failed to prove willfulness).</w:t>
      </w:r>
    </w:p>
    <w:p w14:paraId="3337B83A" w14:textId="77777777" w:rsidR="00721CCF" w:rsidRPr="00AD2F44" w:rsidRDefault="00F42107">
      <w:pPr>
        <w:pStyle w:val="14Footnote"/>
      </w:pPr>
      <w:r w:rsidRPr="00AD2F44">
        <w:rPr>
          <w:i/>
          <w:iCs/>
        </w:rPr>
        <w:t>Eleventh Circuit: Grayson</w:t>
      </w:r>
      <w:r w:rsidRPr="00AD2F44">
        <w:t>, 79 F.3d at 1106 (explaining that Congress, in rejecting the Rule 23 class action procedure, also rejected concomitant complaint-tolling rule of Rule 23).</w:t>
      </w:r>
    </w:p>
    <w:p w14:paraId="7BA35592" w14:textId="77777777" w:rsidR="00721CCF" w:rsidRPr="00AD2F44" w:rsidRDefault="00F42107">
      <w:pPr>
        <w:pStyle w:val="14Footnote"/>
      </w:pPr>
      <w:r w:rsidRPr="00AD2F44">
        <w:rPr>
          <w:i/>
          <w:iCs/>
        </w:rPr>
        <w:t xml:space="preserve">D.C. Circuit: </w:t>
      </w:r>
      <w:r w:rsidRPr="00AD2F44">
        <w:t>Robinson-Smith v. Government Emps. Ins. Co., 424 F. Supp. 2d 117, 119 (D.D.C. 2006) (permitting plaintiffs to file consents after court-authorized filing period, where plaintiffs’ counsels’ clerical error resulted in failure to timely file consents, but determining that limitations period was not equitably tolled).</w:t>
      </w:r>
    </w:p>
    <w:p w14:paraId="4416AD56" w14:textId="77777777" w:rsidR="00721CCF" w:rsidRPr="00AD2F44" w:rsidRDefault="00F42107">
      <w:pPr>
        <w:pStyle w:val="14Footnote"/>
      </w:pPr>
      <w:r w:rsidRPr="00AD2F44">
        <w:rPr>
          <w:i/>
          <w:iCs/>
        </w:rPr>
        <w:t xml:space="preserve">See also </w:t>
      </w:r>
      <w:r w:rsidRPr="00AD2F44">
        <w:t>Mendez v. Radec Corp., 260 F.R.D. 38, 52 (W.D.N.Y. 2009) (holding that named plaintiff’s signed declaration in support of motion for collective action notice and Rule 23 certification was sufficient to satisfy written consent requirement of §216(b) where no formal consent was filed)</w:t>
      </w:r>
    </w:p>
  </w:footnote>
  <w:footnote w:id="30">
    <w:p w14:paraId="35049A47" w14:textId="77777777" w:rsidR="00721CCF" w:rsidRPr="00AD2F44" w:rsidRDefault="00F42107">
      <w:pPr>
        <w:pStyle w:val="14Footnote"/>
      </w:pPr>
      <w:r w:rsidRPr="00AD2F44">
        <w:rPr>
          <w:vertAlign w:val="superscript"/>
        </w:rPr>
        <w:footnoteRef/>
      </w:r>
      <w:r w:rsidRPr="00AD2F44">
        <w:rPr>
          <w:i/>
          <w:iCs/>
        </w:rPr>
        <w:t>See, e.g., In re</w:t>
      </w:r>
      <w:r w:rsidRPr="00AD2F44">
        <w:t xml:space="preserve"> Tyson Foods, Inc., 2008 WL 4613654, at *15–16 (M.D. Ga. Oct. 15, 2008). See §III.C [The Two-Stage Process Used to Determine if a Collective Action May Proceed to Trial; Stage II: The Standard for Deciding Motions to Decertify Collective Actions] of this chapter.</w:t>
      </w:r>
    </w:p>
  </w:footnote>
  <w:footnote w:id="31">
    <w:p w14:paraId="0C9F6E10" w14:textId="77777777" w:rsidR="00721CCF" w:rsidRPr="00AD2F44" w:rsidRDefault="00F42107">
      <w:pPr>
        <w:pStyle w:val="14Footnote"/>
      </w:pPr>
      <w:r w:rsidRPr="00AD2F44">
        <w:rPr>
          <w:vertAlign w:val="superscript"/>
        </w:rPr>
        <w:footnoteRef/>
      </w:r>
      <w:r w:rsidRPr="00AD2F44">
        <w:rPr>
          <w:i/>
          <w:iCs/>
        </w:rPr>
        <w:t>See</w:t>
      </w:r>
      <w:r w:rsidRPr="00AD2F44">
        <w:t xml:space="preserve"> </w:t>
      </w:r>
      <w:r w:rsidRPr="00AD2F44">
        <w:rPr>
          <w:i/>
          <w:iCs/>
        </w:rPr>
        <w:t>Ecoquij-Tzep</w:t>
      </w:r>
      <w:r w:rsidRPr="00AD2F44">
        <w:t xml:space="preserve">, 2018 WL 1702376, at *5 (holding that statute of limitations for named plaintiff commenced with original filing of action where court granted motion for conditional certification and neither named plaintiff nor any putative opt-ins filed consents); Espinosa v. Stevens Tanker Div., LLC, 2017 WL 6021861, at *7–8 (W.D. Tex. Dec. 5, 2017) (finding that named plaintiff could pursue individual claim based on original action filing date even though court granted conditional certification and named plaintiff filed consent after opt-in period closed; according to court, “[a]lthough he is not a member of the class, [named plaintiff] Espinosa can still bring an individual claim”); Trevino v. RDL Energy Servs., L.P., 2017 WL 4950090, at *3 (S.D. Tex. Nov. 1, 2017) (finding that named plaintiffs may maintain individual claims without having filed written consents where they initiated action as collective action but court denied motion for conditional certification); </w:t>
      </w:r>
      <w:r w:rsidRPr="00AD2F44">
        <w:rPr>
          <w:i/>
          <w:iCs/>
        </w:rPr>
        <w:t>Gordon</w:t>
      </w:r>
      <w:r w:rsidRPr="00AD2F44">
        <w:t>, 2016 WL 4247738, at *13 (“a plaintiff bringing a collective action will always need to file some form of written consent,” but may proceed without one on individual claims if the plaintiff clearly indicates intent to proceed in a “dual capacity”); Burke v. Wackenhut Corp., 2007 WL 694302, at *2 (M.D. Pa. Mar. 5, 2007) (finding that written consent was not required where caption listed individual plaintiff names, there was no language purporting to bring suit “on behalf of others similarly situated,” and plaintiffs had not sought certification); Perella v. Colonial Transp., Inc., 148 F.R.D. 147, 149 (W.D. Pa. 1991) (“The statutory language makes clear that the filing of the consent may come after the filing of the complaint, but that a claim is not asserted, for purposes of the statute of limitations, until both the complaint and the claimant’s individual written consent are filed. … However, the court concludes that Ms. Perella can proceed with her claim as an individual action because it was timely commenced in accordance with §256 which provides that an action ‘shall be considered to be commenced on the date when the complaint is filed.’”).</w:t>
      </w:r>
    </w:p>
  </w:footnote>
  <w:footnote w:id="32">
    <w:p w14:paraId="5B4E0E3D" w14:textId="6AD716C4" w:rsidR="00721CCF" w:rsidRPr="00AD2F44" w:rsidRDefault="00F42107">
      <w:pPr>
        <w:pStyle w:val="14Footnote"/>
      </w:pPr>
      <w:r w:rsidRPr="00AD2F44">
        <w:rPr>
          <w:vertAlign w:val="superscript"/>
        </w:rPr>
        <w:footnoteRef/>
      </w:r>
      <w:r w:rsidRPr="00AD2F44">
        <w:t xml:space="preserve">Smith v. Professional Transp., Inc., 5 F.4th 700 (7th Cir. 2021) (vacating lower court’s dismissal of named plaintiff’s individual claims for failure to file consent to join form; leaving open issue of whether collective action can proceed without named plaintiff filing consent form); Smith v. Central Sec. Bureau, Inc., 231 F. Supp. 2d 455, 461 (W.D. Va. 2002) (permitting plaintiff who filed collective action but failed to file consent to join to proceed with his individual claim because the record revealed an intent to proceed in a dual capacity); </w:t>
      </w:r>
      <w:r w:rsidRPr="00AD2F44">
        <w:rPr>
          <w:i/>
          <w:iCs/>
        </w:rPr>
        <w:t>Gordon,</w:t>
      </w:r>
      <w:r w:rsidRPr="00AD2F44">
        <w:t xml:space="preserve"> 2016 WL 4247738 (applying </w:t>
      </w:r>
      <w:r w:rsidRPr="00AD2F44">
        <w:rPr>
          <w:i/>
          <w:iCs/>
        </w:rPr>
        <w:t>Smith</w:t>
      </w:r>
      <w:r w:rsidRPr="00AD2F44">
        <w:t xml:space="preserve"> analysis to determine whether plaintiffs brought their action in dual capacities).</w:t>
      </w:r>
    </w:p>
  </w:footnote>
  <w:footnote w:id="33">
    <w:p w14:paraId="5C851D5D" w14:textId="77777777" w:rsidR="00721CCF" w:rsidRPr="00AD2F44" w:rsidRDefault="00F42107">
      <w:pPr>
        <w:pStyle w:val="14Footnote"/>
      </w:pPr>
      <w:r w:rsidRPr="00AD2F44">
        <w:rPr>
          <w:vertAlign w:val="superscript"/>
        </w:rPr>
        <w:footnoteRef/>
      </w:r>
      <w:r w:rsidRPr="00AD2F44">
        <w:t>724 F.2d 1131 (5th Cir. 1984).</w:t>
      </w:r>
    </w:p>
  </w:footnote>
  <w:footnote w:id="34">
    <w:p w14:paraId="79C46581" w14:textId="77777777" w:rsidR="00721CCF" w:rsidRPr="00AD2F44" w:rsidRDefault="00F42107">
      <w:pPr>
        <w:pStyle w:val="14Footnote"/>
      </w:pPr>
      <w:r w:rsidRPr="00AD2F44">
        <w:rPr>
          <w:vertAlign w:val="superscript"/>
        </w:rPr>
        <w:footnoteRef/>
      </w:r>
      <w:r w:rsidRPr="00AD2F44">
        <w:rPr>
          <w:i/>
          <w:iCs/>
        </w:rPr>
        <w:t>Id.</w:t>
      </w:r>
      <w:r w:rsidRPr="00AD2F44">
        <w:t xml:space="preserve"> at 1135.</w:t>
      </w:r>
    </w:p>
  </w:footnote>
  <w:footnote w:id="35">
    <w:p w14:paraId="7E76F534" w14:textId="77777777" w:rsidR="00721CCF" w:rsidRPr="00AD2F44" w:rsidRDefault="00F42107">
      <w:pPr>
        <w:pStyle w:val="14Footnote"/>
      </w:pPr>
      <w:r w:rsidRPr="00AD2F44">
        <w:rPr>
          <w:vertAlign w:val="superscript"/>
        </w:rPr>
        <w:footnoteRef/>
      </w:r>
      <w:r w:rsidRPr="00AD2F44">
        <w:rPr>
          <w:i/>
          <w:iCs/>
        </w:rPr>
        <w:t>Id.</w:t>
      </w:r>
      <w:r w:rsidRPr="00AD2F44">
        <w:t xml:space="preserve">; </w:t>
      </w:r>
      <w:r w:rsidRPr="00AD2F44">
        <w:rPr>
          <w:i/>
          <w:iCs/>
        </w:rPr>
        <w:t xml:space="preserve">see also </w:t>
      </w:r>
      <w:r w:rsidRPr="00AD2F44">
        <w:t>Alfonso v. Straight Line Installations, LLC, 2010 WL 519851 (M.D. Fla. Feb. 10, 2010) (where two opt-in plaintiffs filed consent forms, but the plaintiffs never moved for class certification, the court granted a motion to amend the complaint to add the opt-ins as party plaintiffs).</w:t>
      </w:r>
    </w:p>
  </w:footnote>
  <w:footnote w:id="36">
    <w:p w14:paraId="34A9C919" w14:textId="77777777" w:rsidR="00721CCF" w:rsidRPr="00AD2F44" w:rsidRDefault="00F42107">
      <w:pPr>
        <w:pStyle w:val="14Footnote"/>
      </w:pPr>
      <w:r w:rsidRPr="00AD2F44">
        <w:rPr>
          <w:vertAlign w:val="superscript"/>
        </w:rPr>
        <w:footnoteRef/>
      </w:r>
      <w:r w:rsidRPr="00AD2F44">
        <w:rPr>
          <w:i/>
        </w:rPr>
        <w:t>See, e.g.,</w:t>
      </w:r>
    </w:p>
    <w:p w14:paraId="70948BA3" w14:textId="77777777" w:rsidR="00721CCF" w:rsidRPr="00AD2F44" w:rsidRDefault="00F42107">
      <w:pPr>
        <w:pStyle w:val="14Footnote"/>
      </w:pPr>
      <w:r w:rsidRPr="00AD2F44">
        <w:rPr>
          <w:i/>
          <w:iCs/>
        </w:rPr>
        <w:t xml:space="preserve">Third Circuit: </w:t>
      </w:r>
      <w:r w:rsidRPr="00AD2F44">
        <w:t xml:space="preserve">Sperling v. Hoffman-La Roche, Inc., 862 F.2d 439, 440 (3d Cir. 1988) (declining to disturb district court’s denial of defendant’s request to invalidate 400 consents that were obtained and filed without court approval), </w:t>
      </w:r>
      <w:r w:rsidRPr="00AD2F44">
        <w:rPr>
          <w:i/>
          <w:iCs/>
        </w:rPr>
        <w:t>aff’d</w:t>
      </w:r>
      <w:r w:rsidRPr="00AD2F44">
        <w:t>, 493 U.S. 165, 169 (1989).</w:t>
      </w:r>
    </w:p>
    <w:p w14:paraId="0DBDD7F7" w14:textId="77777777" w:rsidR="00721CCF" w:rsidRPr="00AD2F44" w:rsidRDefault="00F42107">
      <w:pPr>
        <w:pStyle w:val="14Footnote"/>
      </w:pPr>
      <w:r w:rsidRPr="00AD2F44">
        <w:rPr>
          <w:i/>
          <w:iCs/>
        </w:rPr>
        <w:t>Seventh Circuit:</w:t>
      </w:r>
      <w:r w:rsidRPr="00AD2F44">
        <w:t xml:space="preserve"> Threatt v. Residential CRF, Inc., 2005 WL 2648665, at *1–4 (N.D. Ind. Oct. 17, 2005) (denying defendants’ motion to strike consent forms filed by plaintiffs prior to obtaining leave of court and finding that there is no statutory requirement that leave of court be obtained prior to sending out notice).</w:t>
      </w:r>
    </w:p>
    <w:p w14:paraId="4712DA00" w14:textId="30495DC9" w:rsidR="00721CCF" w:rsidRPr="00AD2F44" w:rsidRDefault="00F42107">
      <w:pPr>
        <w:pStyle w:val="14Footnote"/>
      </w:pPr>
      <w:r w:rsidRPr="00AD2F44">
        <w:rPr>
          <w:i/>
          <w:iCs/>
        </w:rPr>
        <w:t xml:space="preserve">Ninth Circuit: </w:t>
      </w:r>
      <w:r w:rsidRPr="00AD2F44">
        <w:t xml:space="preserve">Flores v. Metro Painting Corp., 2008 WL 4541416, at *4 n.4 (D. Ariz. Oct. 7, 2008) (declining to strike consent to join filed prior to court’s approval of form for notice and affirming that FLSA does not prohibit employees from signing consents to join prior to entry of order facilitating notice); Piper v. RGIS Inventory Specialists, Inc., 2007 WL 1690887, at *24–26 (N.D. Cal. June 11, 2007) (holding that putative opt-in plaintiffs can file consents to join prior to conditional certification), </w:t>
      </w:r>
      <w:r w:rsidRPr="00AD2F44">
        <w:rPr>
          <w:i/>
          <w:iCs/>
        </w:rPr>
        <w:t>modified on other grounds by</w:t>
      </w:r>
      <w:r w:rsidRPr="00AD2F44">
        <w:t xml:space="preserve"> Wren v. RGIS Inventory Specialists, 2009 WL 301819 (N.D. Cal. Feb. 6, 2009).</w:t>
      </w:r>
    </w:p>
  </w:footnote>
  <w:footnote w:id="37">
    <w:p w14:paraId="3941FF7A" w14:textId="77777777" w:rsidR="00721CCF" w:rsidRPr="00AD2F44" w:rsidRDefault="00F42107">
      <w:pPr>
        <w:pStyle w:val="14Footnote"/>
      </w:pPr>
      <w:r w:rsidRPr="00AD2F44">
        <w:rPr>
          <w:vertAlign w:val="superscript"/>
        </w:rPr>
        <w:footnoteRef/>
      </w:r>
      <w:r w:rsidRPr="00AD2F44">
        <w:rPr>
          <w:i/>
        </w:rPr>
        <w:t xml:space="preserve">See, e.g., </w:t>
      </w:r>
    </w:p>
    <w:p w14:paraId="33F2BE1E" w14:textId="77777777" w:rsidR="00721CCF" w:rsidRPr="00AD2F44" w:rsidRDefault="00F42107">
      <w:pPr>
        <w:pStyle w:val="14Footnote"/>
      </w:pPr>
      <w:r w:rsidRPr="00AD2F44">
        <w:rPr>
          <w:i/>
          <w:iCs/>
        </w:rPr>
        <w:t>First Circuit:</w:t>
      </w:r>
      <w:r w:rsidRPr="00AD2F44">
        <w:t xml:space="preserve"> Melendez Cintron v. Hershey P.R., Inc., 363 F. Supp. 2d 10, 17 (D.P.R. 2005) (striking consent to join filed prior to seeking authority from court to issue notice, but emphasizing that “there are no specific requirements concerning the time when a notice of consent should be filed under Section 16(b) of the FLSA”).</w:t>
      </w:r>
    </w:p>
    <w:p w14:paraId="027453BA" w14:textId="77777777" w:rsidR="00721CCF" w:rsidRPr="00AD2F44" w:rsidRDefault="00F42107">
      <w:pPr>
        <w:pStyle w:val="14Footnote"/>
      </w:pPr>
      <w:r w:rsidRPr="00AD2F44">
        <w:rPr>
          <w:i/>
          <w:iCs/>
        </w:rPr>
        <w:t xml:space="preserve">Fifth Circuit: </w:t>
      </w:r>
      <w:r w:rsidRPr="00AD2F44">
        <w:t>Camp v. Progressive Corp., 2004 WL 2149079, at *15 n.7 (E.D. La. Sept. 23, 2004) (declining to permit filing of consent-to-join forms until case is certified as collective action but acknowledging need if certified to address issues of equitable tolling).</w:t>
      </w:r>
    </w:p>
    <w:p w14:paraId="43BCBD58" w14:textId="77777777" w:rsidR="00721CCF" w:rsidRPr="00AD2F44" w:rsidRDefault="00F42107">
      <w:pPr>
        <w:pStyle w:val="14Footnote"/>
      </w:pPr>
      <w:r w:rsidRPr="00AD2F44">
        <w:rPr>
          <w:i/>
          <w:iCs/>
        </w:rPr>
        <w:t xml:space="preserve">Seventh Circuit: </w:t>
      </w:r>
      <w:r w:rsidRPr="00AD2F44">
        <w:t>Heitmann v. City of Chi., 2004 WL 1718420 (N.D. Ill. July 30, 2004) (stating that there is no prohibition against filing consent-to-join forms and disseminating notice without obtaining court-authorized notice, but granting defendants’ motion to strike consent forms obtained prior to plaintiffs giving defendant notice of their distribution of notice and consent forms).</w:t>
      </w:r>
    </w:p>
    <w:p w14:paraId="3AB8AA58" w14:textId="77777777" w:rsidR="00721CCF" w:rsidRPr="00AD2F44" w:rsidRDefault="00F42107">
      <w:pPr>
        <w:pStyle w:val="14Footnote"/>
      </w:pPr>
      <w:r w:rsidRPr="00AD2F44">
        <w:rPr>
          <w:i/>
          <w:iCs/>
        </w:rPr>
        <w:t xml:space="preserve">Tenth Circuit: </w:t>
      </w:r>
      <w:r w:rsidRPr="00AD2F44">
        <w:t>Self v. Teleperformance USA, Inc., 2008 WL 4372928 (D. Utah Sept. 19, 2008) (denying defendant’s motion to strike consent-to-join forms filed by plaintiffs’ counsel prior to issuance of court notice, but requiring plaintiff’s counsel to send curative letter to individuals who opted in based on potentially misleading information on plaintiffs’ website prior to issuance of court-authorized notice and to obtain and file new consent-to-join form).</w:t>
      </w:r>
    </w:p>
    <w:p w14:paraId="596BC67D" w14:textId="77777777" w:rsidR="00721CCF" w:rsidRPr="00AD2F44" w:rsidRDefault="00F42107">
      <w:pPr>
        <w:pStyle w:val="14Footnote"/>
      </w:pPr>
      <w:r w:rsidRPr="00AD2F44">
        <w:t>See §III.B.7 [The Two-Stage Process Used to Determine if a Collective Action May Proceed to Trial; Stage I: Standard for Determining Whether Conditional Certification Should Be Granted; Communication About the Collective Action] of this chapter for a discussion of precertification communication with putative collective action members.</w:t>
      </w:r>
    </w:p>
  </w:footnote>
  <w:footnote w:id="38">
    <w:p w14:paraId="16AA7F0E" w14:textId="77777777" w:rsidR="00721CCF" w:rsidRPr="00AD2F44" w:rsidRDefault="00F42107">
      <w:pPr>
        <w:pStyle w:val="14Footnote"/>
      </w:pPr>
      <w:r w:rsidRPr="00AD2F44">
        <w:rPr>
          <w:vertAlign w:val="superscript"/>
        </w:rPr>
        <w:footnoteRef/>
      </w:r>
      <w:r w:rsidRPr="00AD2F44">
        <w:t xml:space="preserve">Montes v. Janitorial Partners, Inc., 859 F.3d 1079, 1084 (D.C. Cir. 2017). </w:t>
      </w:r>
    </w:p>
  </w:footnote>
  <w:footnote w:id="39">
    <w:p w14:paraId="25D9072A" w14:textId="77777777" w:rsidR="00721CCF" w:rsidRPr="00AD2F44" w:rsidRDefault="00F42107">
      <w:pPr>
        <w:pStyle w:val="14Footnote"/>
      </w:pPr>
      <w:r w:rsidRPr="00AD2F44">
        <w:rPr>
          <w:vertAlign w:val="superscript"/>
        </w:rPr>
        <w:footnoteRef/>
      </w:r>
      <w:r w:rsidRPr="00AD2F44">
        <w:t xml:space="preserve">Albritton v. </w:t>
      </w:r>
      <w:r w:rsidRPr="00AD2F44">
        <w:t>Cagles, Inc., 508 F.3d 1012, 1018 (11th Cir. 2007).</w:t>
      </w:r>
    </w:p>
  </w:footnote>
  <w:footnote w:id="40">
    <w:p w14:paraId="11F4B040" w14:textId="77777777" w:rsidR="00721CCF" w:rsidRPr="00AD2F44" w:rsidRDefault="00F42107">
      <w:pPr>
        <w:pStyle w:val="14Footnote"/>
      </w:pPr>
      <w:r w:rsidRPr="00AD2F44">
        <w:rPr>
          <w:vertAlign w:val="superscript"/>
        </w:rPr>
        <w:footnoteRef/>
      </w:r>
      <w:r w:rsidRPr="00AD2F44">
        <w:t>349 F.3d 1294 (11th Cir. 2003).</w:t>
      </w:r>
    </w:p>
  </w:footnote>
  <w:footnote w:id="41">
    <w:p w14:paraId="731A407E" w14:textId="77777777" w:rsidR="00721CCF" w:rsidRPr="00AD2F44" w:rsidRDefault="00F42107">
      <w:pPr>
        <w:pStyle w:val="14Footnote"/>
      </w:pPr>
      <w:r w:rsidRPr="00AD2F44">
        <w:rPr>
          <w:vertAlign w:val="superscript"/>
        </w:rPr>
        <w:footnoteRef/>
      </w:r>
      <w:r w:rsidRPr="00AD2F44">
        <w:rPr>
          <w:i/>
          <w:iCs/>
        </w:rPr>
        <w:t xml:space="preserve">Id. </w:t>
      </w:r>
      <w:r w:rsidRPr="00AD2F44">
        <w:t>at 1297.</w:t>
      </w:r>
    </w:p>
  </w:footnote>
  <w:footnote w:id="42">
    <w:p w14:paraId="51291949" w14:textId="77777777" w:rsidR="00721CCF" w:rsidRPr="00AD2F44" w:rsidRDefault="00F42107">
      <w:pPr>
        <w:pStyle w:val="14Footnote"/>
      </w:pPr>
      <w:r w:rsidRPr="00AD2F44">
        <w:rPr>
          <w:vertAlign w:val="superscript"/>
        </w:rPr>
        <w:footnoteRef/>
      </w:r>
      <w:r w:rsidRPr="00AD2F44">
        <w:rPr>
          <w:i/>
          <w:iCs/>
        </w:rPr>
        <w:t>Id</w:t>
      </w:r>
      <w:r w:rsidRPr="00AD2F44">
        <w:t xml:space="preserve">.; </w:t>
      </w:r>
      <w:r w:rsidRPr="00AD2F44">
        <w:rPr>
          <w:i/>
          <w:iCs/>
        </w:rPr>
        <w:t>see also</w:t>
      </w:r>
      <w:r w:rsidRPr="00AD2F44">
        <w:t xml:space="preserve"> Wright v. Waste Pro USA, Inc., 2019 WL 5896516, at *3 (D.S.C. Nov. 12, 2019) (rejecting argument that plaintiffs’ consent forms were insufficient where they referenced only one defendant that had been dismissed from suit; noting that “FLSA opt-in plaintiffs do not consent to join specific claims of a collective action, but rather, consent to ‘join the action as a whole’”) (citations omitted); Turner v. BFI Waste Servs., LLC, 292 F. Supp. 3d 650, 651 (D.S.C. 2017) (denying defendant’s request to limit collective action notice to regular rate claim because “conditional certification operates as to the FLSA action as a whole,” and not just as to one claim analyzed by court); Fengler v. Crouse Health Sys., Inc., 634 F. Supp. 2d 257, 262 (N.D.N.Y. 2009) (holding that the magistrate judge had clearly erred by limiting the opt-in plaintiffs’ participation in the action to a single FLSA claim rather than to all claims in the case).</w:t>
      </w:r>
    </w:p>
  </w:footnote>
  <w:footnote w:id="43">
    <w:p w14:paraId="30BBD492" w14:textId="77777777" w:rsidR="00721CCF" w:rsidRPr="00AD2F44" w:rsidRDefault="00F42107">
      <w:pPr>
        <w:pStyle w:val="14Footnote"/>
      </w:pPr>
      <w:r w:rsidRPr="00AD2F44">
        <w:rPr>
          <w:vertAlign w:val="superscript"/>
        </w:rPr>
        <w:footnoteRef/>
      </w:r>
      <w:r w:rsidRPr="00AD2F44">
        <w:rPr>
          <w:i/>
          <w:iCs/>
        </w:rPr>
        <w:t xml:space="preserve">See </w:t>
      </w:r>
      <w:r w:rsidRPr="00AD2F44">
        <w:t>Hicks v. T.L. Cannon Corp., 35 F. Supp. 3d 329, 337–39 (W.D.N.Y. 2014) (holding that opt-in plaintiffs could seek summary judgment as to their New York state wage and hour claims by virtue of having opted into the action as a whole).</w:t>
      </w:r>
    </w:p>
  </w:footnote>
  <w:footnote w:id="44">
    <w:p w14:paraId="30D6B0B8" w14:textId="77777777" w:rsidR="00721CCF" w:rsidRPr="00AD2F44" w:rsidRDefault="00F42107">
      <w:pPr>
        <w:pStyle w:val="14Footnote"/>
      </w:pPr>
      <w:r w:rsidRPr="00AD2F44">
        <w:rPr>
          <w:vertAlign w:val="superscript"/>
        </w:rPr>
        <w:footnoteRef/>
      </w:r>
      <w:r w:rsidRPr="00AD2F44">
        <w:t>508 F.3d 1012 (11th Cir. 2007).</w:t>
      </w:r>
    </w:p>
  </w:footnote>
  <w:footnote w:id="45">
    <w:p w14:paraId="374647DB" w14:textId="4D8CFFEA" w:rsidR="00721CCF" w:rsidRPr="00AD2F44" w:rsidRDefault="00F42107">
      <w:pPr>
        <w:pStyle w:val="14Footnote"/>
      </w:pPr>
      <w:r w:rsidRPr="00AD2F44">
        <w:rPr>
          <w:vertAlign w:val="superscript"/>
        </w:rPr>
        <w:footnoteRef/>
      </w:r>
      <w:r w:rsidRPr="00AD2F44">
        <w:rPr>
          <w:i/>
          <w:iCs/>
        </w:rPr>
        <w:t>Id.</w:t>
      </w:r>
      <w:r w:rsidRPr="00AD2F44">
        <w:t xml:space="preserve">; </w:t>
      </w:r>
      <w:r w:rsidRPr="00AD2F44">
        <w:rPr>
          <w:i/>
          <w:iCs/>
        </w:rPr>
        <w:t>see also</w:t>
      </w:r>
      <w:r w:rsidRPr="00AD2F44">
        <w:t xml:space="preserve"> Sanders v. Service Corp. Int’l, 771 F. Supp. 2d 1132, 1136–37 (D. Ariz. 2011) (finding that consent forms “recycled” from prior lawsuit involving same defendants could not be used in subsequent suit, but that proper remedy was to allow submission of new consent forms, not dismissal; collecting cases in support).</w:t>
      </w:r>
      <w:r w:rsidRPr="00FC78B9">
        <w:t xml:space="preserve"> </w:t>
      </w:r>
      <w:r w:rsidRPr="00AD2F44">
        <w:t>).</w:t>
      </w:r>
      <w:r>
        <w:t xml:space="preserve"> </w:t>
      </w:r>
      <w:r>
        <w:rPr>
          <w:i/>
          <w:iCs/>
        </w:rPr>
        <w:t xml:space="preserve">Cf. </w:t>
      </w:r>
      <w:r>
        <w:t xml:space="preserve">Weinmann v. Cont. Land Staff, LLC, </w:t>
      </w:r>
      <w:r w:rsidR="003D45AE" w:rsidRPr="003D45AE">
        <w:t>2023 BL 200591</w:t>
      </w:r>
      <w:r w:rsidR="003D45AE">
        <w:t xml:space="preserve">, </w:t>
      </w:r>
      <w:r w:rsidR="00535A54" w:rsidRPr="00535A54">
        <w:t>2023 WL 3881394</w:t>
      </w:r>
      <w:r w:rsidR="00535A54">
        <w:t xml:space="preserve">, at *7 </w:t>
      </w:r>
      <w:r>
        <w:t xml:space="preserve">(W.D. Pa. June 8, 2023) (striking language from proposed notice that stated “I authorize the Plaintiff’s lawyers to use this consent to re-file my claim in a separate suit or arbitration,” reasoning the </w:t>
      </w:r>
      <w:r w:rsidR="000B6C5F">
        <w:t>court</w:t>
      </w:r>
      <w:r>
        <w:t xml:space="preserve"> authorized </w:t>
      </w:r>
      <w:r w:rsidR="000B6C5F">
        <w:t xml:space="preserve">notice </w:t>
      </w:r>
      <w:r>
        <w:t>was for participation only in the instant case).</w:t>
      </w:r>
    </w:p>
  </w:footnote>
  <w:footnote w:id="46">
    <w:p w14:paraId="1E3F5B33" w14:textId="77777777" w:rsidR="00721CCF" w:rsidRPr="00AD2F44" w:rsidRDefault="00F42107">
      <w:pPr>
        <w:pStyle w:val="14Footnote"/>
      </w:pPr>
      <w:r w:rsidRPr="00AD2F44">
        <w:rPr>
          <w:vertAlign w:val="superscript"/>
        </w:rPr>
        <w:footnoteRef/>
      </w:r>
      <w:r w:rsidRPr="00AD2F44">
        <w:rPr>
          <w:i/>
          <w:iCs/>
        </w:rPr>
        <w:t>See</w:t>
      </w:r>
      <w:r w:rsidRPr="00AD2F44">
        <w:t xml:space="preserve"> Davis v. </w:t>
      </w:r>
      <w:r w:rsidRPr="00AD2F44">
        <w:t xml:space="preserve">Novastar Mortg., 2005 WL 3662438 (W.D. Mo. Dec. 13, 2005) (attaching notice and consent form to court order); </w:t>
      </w:r>
      <w:r w:rsidRPr="00AD2F44">
        <w:rPr>
          <w:i/>
          <w:iCs/>
        </w:rPr>
        <w:t>see also</w:t>
      </w:r>
      <w:r w:rsidRPr="00AD2F44">
        <w:t xml:space="preserve"> LaFleur v. Dollar Tree Stores, Inc.</w:t>
      </w:r>
      <w:r w:rsidRPr="00AD2F44">
        <w:rPr>
          <w:i/>
          <w:iCs/>
        </w:rPr>
        <w:t xml:space="preserve">, </w:t>
      </w:r>
      <w:r w:rsidRPr="00AD2F44">
        <w:t>2014 WL 37662 (E.D. Va. Jan. 3, 2014) (holding that although the named plaintiff had not filed a formal consent, she had filed multiple written documents that evidenced her intent to participate and had therefore fulfilled the written consent requirement).</w:t>
      </w:r>
    </w:p>
  </w:footnote>
  <w:footnote w:id="47">
    <w:p w14:paraId="7F9A87AB" w14:textId="77777777" w:rsidR="00721CCF" w:rsidRPr="00AD2F44" w:rsidRDefault="00F42107">
      <w:pPr>
        <w:pStyle w:val="14Footnote"/>
        <w:rPr>
          <w:i/>
          <w:iCs/>
        </w:rPr>
      </w:pPr>
      <w:r w:rsidRPr="00AD2F44">
        <w:rPr>
          <w:vertAlign w:val="superscript"/>
        </w:rPr>
        <w:footnoteRef/>
      </w:r>
      <w:r w:rsidRPr="00AD2F44">
        <w:t xml:space="preserve">Melendez Citron v. Hershey P.R. Inc., Inc., 363 F. Supp. 2d 10, 16 (D.P.R. 2005). </w:t>
      </w:r>
      <w:r w:rsidRPr="00AD2F44">
        <w:rPr>
          <w:i/>
          <w:iCs/>
        </w:rPr>
        <w:t>See also</w:t>
      </w:r>
    </w:p>
    <w:p w14:paraId="6653AAA6" w14:textId="3C5E84D0" w:rsidR="00721CCF" w:rsidRPr="00AD2F44" w:rsidRDefault="00F42107">
      <w:pPr>
        <w:pStyle w:val="14Footnote"/>
      </w:pPr>
      <w:r w:rsidRPr="00AD2F44">
        <w:rPr>
          <w:i/>
          <w:iCs/>
        </w:rPr>
        <w:t>Second Circuit:</w:t>
      </w:r>
      <w:r w:rsidRPr="00AD2F44">
        <w:t xml:space="preserve"> Mikityuk v. Cision US Inc., 2021 BL 165012, 2021 WL 1750370, at *9–10 (S.D.N.Y. May 4, 2021) (granting plaintiffs’ proposed consent to join form, finding form’s language regarding scope of representation sufficient where it indicated that plaintiffs’ counsel will “represent persons who opt in and do not have their own counsel without singling out any particular aspects of the representation,” but striking language that plaintiffs’ counsel would represent opt ins in “any separate or subsequent actions” and rejecting defendants’ request that consent form require opt-ins to attest that they were eligible to join lawsuit and had worked unpaid overtime); Contrera v. Langer, 290 F. Supp. 3d 269, 278–79 (S.D.N.Y. 2018) (finding that plaintiff’s declaration filed in support of conditional certification motion stating that he was named plaintiff met written consent requirement); Mendez v. </w:t>
      </w:r>
      <w:r w:rsidRPr="00AD2F44">
        <w:t>Radec Corp., 260 F.R.D. 38, 52 (W.D.N.Y. 2009) (noting that FLSA does not require particular form of consent, and holding that named plaintiff’s signed declaration in support of collective action notice and Rule 23 certification was sufficient to satisfy written consent requirement of §216(b) where no formal consent was filed).</w:t>
      </w:r>
    </w:p>
    <w:p w14:paraId="32C68224" w14:textId="77777777" w:rsidR="00721CCF" w:rsidRPr="00AD2F44" w:rsidRDefault="00F42107">
      <w:pPr>
        <w:pStyle w:val="14Footnote"/>
      </w:pPr>
      <w:r w:rsidRPr="00AD2F44">
        <w:rPr>
          <w:i/>
          <w:iCs/>
        </w:rPr>
        <w:t xml:space="preserve">Fourth Circuit: </w:t>
      </w:r>
      <w:r w:rsidRPr="00AD2F44">
        <w:t>Gordon v. TBC Retail Grp., Inc., 2016 WL 4247738, at *14 (D.S.C. Aug. 11, 2016) (holding that declarations filed by named plaintiffs in support of conditional certification were sufficient to satisfy written consent requirement in absence of formal consent).</w:t>
      </w:r>
    </w:p>
    <w:p w14:paraId="047B5EC5" w14:textId="77777777" w:rsidR="00721CCF" w:rsidRPr="00AD2F44" w:rsidRDefault="00F42107">
      <w:pPr>
        <w:pStyle w:val="14Footnote"/>
      </w:pPr>
      <w:r w:rsidRPr="00AD2F44">
        <w:rPr>
          <w:i/>
          <w:iCs/>
        </w:rPr>
        <w:t>Fifth Circuit:</w:t>
      </w:r>
      <w:r w:rsidRPr="00AD2F44">
        <w:t xml:space="preserve"> Songer v. Advanced Bldg. Servs. LLC, 2015 WL 5147579 (S.D. Tex. Sept. 2, 2015) (denying motion to dismiss where incorrect consent form was replaced by correct form seven months later because FLSA specifically contemplates that plaintiff may file FLSA complaint and then file written consent to join at later time).</w:t>
      </w:r>
    </w:p>
    <w:p w14:paraId="0BEF6E2E" w14:textId="77777777" w:rsidR="00721CCF" w:rsidRPr="00AD2F44" w:rsidRDefault="00F42107">
      <w:pPr>
        <w:pStyle w:val="14Footnote"/>
      </w:pPr>
      <w:r w:rsidRPr="00AD2F44">
        <w:rPr>
          <w:i/>
          <w:iCs/>
        </w:rPr>
        <w:t xml:space="preserve">Eighth Circuit: Compare </w:t>
      </w:r>
      <w:r w:rsidRPr="00AD2F44">
        <w:t xml:space="preserve">Davenport v. Charter Commc’ns, 2017 WL 878029, at *10 (E.D. Mo. Mar. 6, 2017) (holding that named plaintiff’s declaration in support of conditional certification was sufficient to satisfy consent requirement and declining to dismiss her from case after decertification where declaration “clearly declares that she is a party plaintiff in this case, and further describes the basis for her overtime claim”), </w:t>
      </w:r>
      <w:r w:rsidRPr="00AD2F44">
        <w:rPr>
          <w:i/>
          <w:iCs/>
        </w:rPr>
        <w:t>with</w:t>
      </w:r>
      <w:r w:rsidRPr="00AD2F44">
        <w:t xml:space="preserve"> Liebesman v. Competitor Grp., 2016 WL 204461, at *3 (E.D. Mo. Jan. 15, 2016) (finding that plaintiff’s interrogatory responses and declaration failed to satisfy consent requirement because they did not “express[] her consent to become a party plaintiff,” and dismissing her claims as time-barred) (collecting cases).</w:t>
      </w:r>
    </w:p>
    <w:p w14:paraId="7B62A08A" w14:textId="454D83EC" w:rsidR="00721CCF" w:rsidRPr="00AD2F44" w:rsidRDefault="00F42107">
      <w:pPr>
        <w:pStyle w:val="14Footnote"/>
      </w:pPr>
      <w:r w:rsidRPr="00AD2F44">
        <w:rPr>
          <w:i/>
          <w:iCs/>
        </w:rPr>
        <w:t>Ninth Circuit:</w:t>
      </w:r>
      <w:r w:rsidRPr="00AD2F44">
        <w:t xml:space="preserve"> Wren v. RGIS Inventory Specialists,</w:t>
      </w:r>
      <w:r w:rsidRPr="00AD2F44">
        <w:rPr>
          <w:i/>
          <w:iCs/>
        </w:rPr>
        <w:t xml:space="preserve"> </w:t>
      </w:r>
      <w:r w:rsidRPr="00AD2F44">
        <w:t>2009 U.S. Dist. LEXIS 52040 (N.D. Cal. June 19, 2009) (finding precertification version of consent form valid even though different from consent form approved by court).</w:t>
      </w:r>
    </w:p>
  </w:footnote>
  <w:footnote w:id="48">
    <w:p w14:paraId="11B5D96D" w14:textId="77777777" w:rsidR="00721CCF" w:rsidRPr="00AD2F44" w:rsidRDefault="00F42107">
      <w:pPr>
        <w:pStyle w:val="14Footnote"/>
      </w:pPr>
      <w:r w:rsidRPr="00AD2F44">
        <w:rPr>
          <w:vertAlign w:val="superscript"/>
        </w:rPr>
        <w:footnoteRef/>
      </w:r>
      <w:r w:rsidRPr="00AD2F44">
        <w:rPr>
          <w:i/>
          <w:iCs/>
        </w:rPr>
        <w:t>E.g.</w:t>
      </w:r>
      <w:r w:rsidRPr="00AD2F44">
        <w:t>, Brown v. Dunbar &amp; Sullivan Dredging Co., 189 F.2d 871, 874 (2d Cir. 1951) (deeming language authorizing counsel to prosecute the plaintiffs’ “claim[s] for overtime wages and liquidated damages under the [FLSA]” to be sufficiently specific).</w:t>
      </w:r>
    </w:p>
  </w:footnote>
  <w:footnote w:id="49">
    <w:p w14:paraId="0862F7DA" w14:textId="77777777" w:rsidR="00721CCF" w:rsidRPr="00AD2F44" w:rsidRDefault="00F42107">
      <w:pPr>
        <w:pStyle w:val="14Footnote"/>
      </w:pPr>
      <w:r w:rsidRPr="00AD2F44">
        <w:rPr>
          <w:vertAlign w:val="superscript"/>
        </w:rPr>
        <w:footnoteRef/>
      </w:r>
      <w:r w:rsidRPr="00AD2F44">
        <w:t>2005 WL 3662438 (W.D. Mo. Dec. 13, 2005).</w:t>
      </w:r>
    </w:p>
  </w:footnote>
  <w:footnote w:id="50">
    <w:p w14:paraId="57CB2416" w14:textId="77777777" w:rsidR="00721CCF" w:rsidRPr="00AD2F44" w:rsidRDefault="00F42107">
      <w:pPr>
        <w:pStyle w:val="14Footnote"/>
      </w:pPr>
      <w:r w:rsidRPr="00AD2F44">
        <w:rPr>
          <w:vertAlign w:val="superscript"/>
        </w:rPr>
        <w:footnoteRef/>
      </w:r>
      <w:r w:rsidRPr="00AD2F44">
        <w:t>203 F. Supp. 938 (N.D. Ill. 1962).</w:t>
      </w:r>
    </w:p>
  </w:footnote>
  <w:footnote w:id="51">
    <w:p w14:paraId="27343B2F" w14:textId="77777777" w:rsidR="00721CCF" w:rsidRPr="00AD2F44" w:rsidRDefault="00F42107">
      <w:pPr>
        <w:pStyle w:val="14Footnote"/>
      </w:pPr>
      <w:r w:rsidRPr="00AD2F44">
        <w:rPr>
          <w:vertAlign w:val="superscript"/>
        </w:rPr>
        <w:footnoteRef/>
      </w:r>
      <w:r w:rsidRPr="00AD2F44">
        <w:rPr>
          <w:i/>
          <w:iCs/>
        </w:rPr>
        <w:t>Id.</w:t>
      </w:r>
      <w:r w:rsidRPr="00AD2F44">
        <w:t xml:space="preserve"> at 941. </w:t>
      </w:r>
    </w:p>
  </w:footnote>
  <w:footnote w:id="52">
    <w:p w14:paraId="19CF2FBA" w14:textId="77777777" w:rsidR="00721CCF" w:rsidRPr="00AD2F44" w:rsidRDefault="00F42107">
      <w:pPr>
        <w:pStyle w:val="14Footnote"/>
      </w:pPr>
      <w:r w:rsidRPr="00AD2F44">
        <w:rPr>
          <w:vertAlign w:val="superscript"/>
        </w:rPr>
        <w:footnoteRef/>
      </w:r>
      <w:r w:rsidRPr="00AD2F44">
        <w:t>189 F.2d 871 (2d Cir. 1951).</w:t>
      </w:r>
    </w:p>
  </w:footnote>
  <w:footnote w:id="53">
    <w:p w14:paraId="3C66A825" w14:textId="77777777" w:rsidR="00721CCF" w:rsidRPr="00AD2F44" w:rsidRDefault="00F42107">
      <w:pPr>
        <w:pStyle w:val="14Footnote"/>
      </w:pPr>
      <w:r w:rsidRPr="00AD2F44">
        <w:rPr>
          <w:vertAlign w:val="superscript"/>
        </w:rPr>
        <w:footnoteRef/>
      </w:r>
      <w:r w:rsidRPr="00AD2F44">
        <w:rPr>
          <w:i/>
          <w:iCs/>
        </w:rPr>
        <w:t>Id</w:t>
      </w:r>
      <w:r w:rsidRPr="00AD2F44">
        <w:t>. at 873–74.</w:t>
      </w:r>
    </w:p>
  </w:footnote>
  <w:footnote w:id="54">
    <w:p w14:paraId="2B786353" w14:textId="764893B3" w:rsidR="00721CCF" w:rsidRPr="00AD2F44" w:rsidRDefault="00F42107" w:rsidP="00A84908">
      <w:pPr>
        <w:pStyle w:val="14Footnote"/>
        <w:rPr>
          <w:i/>
          <w:iCs/>
        </w:rPr>
      </w:pPr>
      <w:r w:rsidRPr="00AD2F44">
        <w:rPr>
          <w:vertAlign w:val="superscript"/>
        </w:rPr>
        <w:footnoteRef/>
      </w:r>
      <w:r w:rsidRPr="00AD2F44">
        <w:rPr>
          <w:i/>
          <w:iCs/>
        </w:rPr>
        <w:t>E</w:t>
      </w:r>
      <w:r w:rsidRPr="00AD2F44">
        <w:t>.</w:t>
      </w:r>
      <w:r w:rsidRPr="00AD2F44">
        <w:rPr>
          <w:i/>
          <w:iCs/>
        </w:rPr>
        <w:t>g</w:t>
      </w:r>
      <w:r w:rsidRPr="00AD2F44">
        <w:t xml:space="preserve">., </w:t>
      </w:r>
    </w:p>
    <w:p w14:paraId="50B89D05" w14:textId="36D15C1A" w:rsidR="00721CCF" w:rsidRPr="00AD2F44" w:rsidRDefault="00F42107">
      <w:pPr>
        <w:pStyle w:val="14Footnote"/>
      </w:pPr>
      <w:r w:rsidRPr="00AD2F44">
        <w:rPr>
          <w:i/>
          <w:iCs/>
        </w:rPr>
        <w:t xml:space="preserve">Fifth Circuit: </w:t>
      </w:r>
      <w:r w:rsidRPr="00AD2F44">
        <w:t xml:space="preserve">Alverson v. BL Rest. Operations LLC, 2018 WL 1324952 (W.D. Tex. Mar. 12, 2018) (allowing execution of consent forms by electronic signature); White v. Integrated Elec. Section Techs., Inc., 2013 WL 2903070 (E.D. La. June 13, 2013) (authorizing members to execute electronic consent forms); Jones v. JGC Dall, LLC, 2012 WL 6928101 (N.D. Tex. Nov. 29, 2012) (authorizing submission of consent forms via electronic signature service). </w:t>
      </w:r>
    </w:p>
    <w:p w14:paraId="20BCCAF2" w14:textId="69C9855B" w:rsidR="00721CCF" w:rsidRPr="00AD2F44" w:rsidRDefault="00F42107">
      <w:pPr>
        <w:pStyle w:val="14Footnote"/>
      </w:pPr>
      <w:r w:rsidRPr="00AD2F44">
        <w:rPr>
          <w:i/>
          <w:iCs/>
        </w:rPr>
        <w:t xml:space="preserve">Sixth Circuit: </w:t>
      </w:r>
      <w:r w:rsidRPr="00AD2F44">
        <w:t xml:space="preserve">Brewer v. Alliance Coal, LLC, 2021 BL 317829, 2021 WL 3729297 (E.D. Ky. Aug. 23, 2021) (allowing execution of consent forms by electronic signature via </w:t>
      </w:r>
      <w:r w:rsidRPr="00AD2F44">
        <w:t xml:space="preserve">Docusign). </w:t>
      </w:r>
    </w:p>
    <w:p w14:paraId="494D6869" w14:textId="3E8E8C89" w:rsidR="00721CCF" w:rsidRPr="00AD2F44" w:rsidRDefault="00F42107">
      <w:pPr>
        <w:pStyle w:val="14Footnote"/>
      </w:pPr>
      <w:r w:rsidRPr="00AD2F44">
        <w:rPr>
          <w:i/>
          <w:iCs/>
        </w:rPr>
        <w:t xml:space="preserve">Seventh Circuit: </w:t>
      </w:r>
      <w:r w:rsidRPr="00AD2F44">
        <w:t xml:space="preserve">Kelly v. Bank of Am., N.A., 2011 WL 7718421 (N.D. Ill. Sept. 23, 2011) (authorizing class members to submit consent-to-join form by electronically providing name, date of birth, and last four digits of Social Security number via Internet notice administration website). </w:t>
      </w:r>
    </w:p>
  </w:footnote>
  <w:footnote w:id="55">
    <w:p w14:paraId="39AB5D3C" w14:textId="77777777" w:rsidR="00721CCF" w:rsidRPr="00AD2F44" w:rsidRDefault="00F42107">
      <w:pPr>
        <w:pStyle w:val="14Footnote"/>
      </w:pPr>
      <w:r w:rsidRPr="00AD2F44">
        <w:rPr>
          <w:vertAlign w:val="superscript"/>
        </w:rPr>
        <w:footnoteRef/>
      </w:r>
      <w:r w:rsidRPr="00AD2F44">
        <w:t xml:space="preserve">Jane Roes 1-2 v. SFBSC Mgmt., LLC, 77 F. Supp. 3d 990, 997 (N.D. Cal. 2015). </w:t>
      </w:r>
    </w:p>
  </w:footnote>
  <w:footnote w:id="56">
    <w:p w14:paraId="7E249F82" w14:textId="77777777" w:rsidR="00721CCF" w:rsidRPr="00AD2F44" w:rsidRDefault="00F42107">
      <w:pPr>
        <w:pStyle w:val="14Footnote"/>
      </w:pPr>
      <w:r w:rsidRPr="00AD2F44">
        <w:rPr>
          <w:vertAlign w:val="superscript"/>
        </w:rPr>
        <w:footnoteRef/>
      </w:r>
      <w:r w:rsidRPr="00AD2F44">
        <w:t>29 U.S.C. §216(c). See Chapters 15, Department of Labor Enforcement and Remedies, §V [Department of Labor Actions for Back Wages], and 16, Litigation Issues, for a discussion of related topics.</w:t>
      </w:r>
    </w:p>
  </w:footnote>
  <w:footnote w:id="57">
    <w:p w14:paraId="5E0840D3" w14:textId="77777777" w:rsidR="00721CCF" w:rsidRPr="00AD2F44" w:rsidRDefault="00F42107">
      <w:pPr>
        <w:pStyle w:val="14Footnote"/>
      </w:pPr>
      <w:r w:rsidRPr="00AD2F44">
        <w:rPr>
          <w:vertAlign w:val="superscript"/>
        </w:rPr>
        <w:footnoteRef/>
      </w:r>
      <w:r w:rsidRPr="00AD2F44">
        <w:t xml:space="preserve">29 U.S.C. §216(b), (c). </w:t>
      </w:r>
    </w:p>
    <w:p w14:paraId="7DABCF91" w14:textId="77777777" w:rsidR="00721CCF" w:rsidRPr="00AD2F44" w:rsidRDefault="00F42107">
      <w:pPr>
        <w:pStyle w:val="14Footnote"/>
      </w:pPr>
      <w:r w:rsidRPr="00AD2F44">
        <w:rPr>
          <w:i/>
        </w:rPr>
        <w:t xml:space="preserve">See, e.g., </w:t>
      </w:r>
    </w:p>
    <w:p w14:paraId="4346E39D" w14:textId="1414C734" w:rsidR="00721CCF" w:rsidRPr="00AD2F44" w:rsidRDefault="00F42107">
      <w:pPr>
        <w:pStyle w:val="14Footnote"/>
      </w:pPr>
      <w:r w:rsidRPr="00AD2F44">
        <w:rPr>
          <w:i/>
          <w:iCs/>
        </w:rPr>
        <w:t>First Circuit:</w:t>
      </w:r>
      <w:r w:rsidRPr="00AD2F44">
        <w:t xml:space="preserve"> Sanchez-Rosa v. Municipality of San Juan, 2020 BL 375080, 2020 WL 5821063 (D.P.R. Sept. 30, 2020) (dismissing suit by 37 of 58 plaintiffs and opt-in plaintiffs who signed releases and received payments in settlement of separate DOL overtime investigation but denying summary judgment as to remaining plaintiffs and opt-in plaintiffs who did not sign the release, who noted on their release that they did not waive their claims, or who noted that they signed against their will; finding question of material fact as to whether those releases constituted a bona fide waiver of FLSA claims). </w:t>
      </w:r>
    </w:p>
    <w:p w14:paraId="1196D448" w14:textId="77777777" w:rsidR="00721CCF" w:rsidRPr="00AD2F44" w:rsidRDefault="00F42107">
      <w:pPr>
        <w:pStyle w:val="14Footnote"/>
      </w:pPr>
      <w:r w:rsidRPr="00AD2F44">
        <w:rPr>
          <w:i/>
          <w:iCs/>
        </w:rPr>
        <w:t>Fourth Circuit:</w:t>
      </w:r>
      <w:r w:rsidRPr="00AD2F44">
        <w:t xml:space="preserve"> Jones v. American Window Cleaning Corp., 210 F. Supp. 921, 923, 15 WH Cases 639 (E.D. Va. 1962) (holding individual private cause of action barred by previously filed §217 injunction suit of Secretary naming him in complaint even though liquidated damages and attorneys’ fees sought by private plaintiff could not be awarded in Secretary’s suit).</w:t>
      </w:r>
    </w:p>
    <w:p w14:paraId="625A8441" w14:textId="77777777" w:rsidR="00721CCF" w:rsidRPr="00AD2F44" w:rsidRDefault="00F42107">
      <w:pPr>
        <w:pStyle w:val="14Footnote"/>
      </w:pPr>
      <w:r w:rsidRPr="00AD2F44">
        <w:rPr>
          <w:i/>
          <w:iCs/>
        </w:rPr>
        <w:t>Fifth Circuit:</w:t>
      </w:r>
      <w:r w:rsidRPr="00AD2F44">
        <w:t xml:space="preserve"> Donovan v. University of Tex. at El Paso, 643 F.2d 1201, 1207 (5th Cir. 1981); Reeves v. International Tel. &amp; Tel., 616 F.2d 342, 24 WH Cases 735 (5th Cir. 1980) (deeming intervention by Secretary six years after filing of private suit not untimely because substantial litigation of issues had not commenced).</w:t>
      </w:r>
    </w:p>
    <w:p w14:paraId="459090FF" w14:textId="77777777" w:rsidR="00721CCF" w:rsidRPr="00AD2F44" w:rsidRDefault="00F42107">
      <w:pPr>
        <w:pStyle w:val="14Footnote"/>
      </w:pPr>
      <w:r w:rsidRPr="00AD2F44">
        <w:rPr>
          <w:i/>
          <w:iCs/>
        </w:rPr>
        <w:t>Eighth Circuit:</w:t>
      </w:r>
      <w:r w:rsidRPr="00AD2F44">
        <w:t xml:space="preserve"> Barrentine v. Arkansas-Best Freight Sys., 750 F.2d 47, 51, 26 WH </w:t>
      </w:r>
      <w:r w:rsidRPr="00AD2F44">
        <w:rPr>
          <w:spacing w:val="-2"/>
        </w:rPr>
        <w:t>Cases 1663 (8th Cir. 1984) (explaining that only Secretary, not employees, may obtain prospective</w:t>
      </w:r>
      <w:r w:rsidRPr="00AD2F44">
        <w:t xml:space="preserve"> injunction against minimum wage or overtime violations in §216(b) suit, and even that authority terminates when Secretary files suit under §217).</w:t>
      </w:r>
    </w:p>
    <w:p w14:paraId="5617693E" w14:textId="77777777" w:rsidR="00721CCF" w:rsidRPr="00AD2F44" w:rsidRDefault="00F42107">
      <w:pPr>
        <w:pStyle w:val="14Footnote"/>
      </w:pPr>
      <w:r w:rsidRPr="00AD2F44">
        <w:rPr>
          <w:i/>
          <w:iCs/>
        </w:rPr>
        <w:t>Ninth Circuit:</w:t>
      </w:r>
      <w:r w:rsidRPr="00AD2F44">
        <w:t xml:space="preserve"> Dent v. Cox Commc’ns Las Vegas, Inc., 502 F.3d 1141, 1147 (9th Cir. 2007) (“Notably, while the filing of a suit by the Secretary of Labor under 29 U.S.C. §216(c) (permitting actions to recover unpaid minimum wages or overtime compensation and liquidated damages by the Secretary) or §217 (permitting injunctions) automatically terminates an employee’s right to sue, the Secretary’s approval of a payment amount does not.”).</w:t>
      </w:r>
    </w:p>
    <w:p w14:paraId="5B2D4ADC" w14:textId="77777777" w:rsidR="00721CCF" w:rsidRPr="00AD2F44" w:rsidRDefault="00F42107">
      <w:pPr>
        <w:pStyle w:val="14Footnote"/>
      </w:pPr>
      <w:r w:rsidRPr="00AD2F44">
        <w:rPr>
          <w:i/>
          <w:iCs/>
        </w:rPr>
        <w:t>Eleventh Circuit:</w:t>
      </w:r>
      <w:r w:rsidRPr="00AD2F44">
        <w:t xml:space="preserve"> Reynolds v. Mark Inns, 1982 WL 1984, 25 WH Cases 1021, 1022 (N.D. Ga. Mar. 25, 1982) (determining that Secretary’s suit and judgment entered before filing of private plaintiff’s suit covering same time period as Secretary’s suit extinguished private plaintiff’s claim, even though private plaintiff was not included among employees identified as entitled to recover in judgment and affidavit from Solicitor of Labor’s representative who handled previous suit indicated omission was not deliberate).</w:t>
      </w:r>
    </w:p>
  </w:footnote>
  <w:footnote w:id="58">
    <w:p w14:paraId="739DC3DE" w14:textId="77777777" w:rsidR="00721CCF" w:rsidRPr="00AD2F44" w:rsidRDefault="00F42107">
      <w:pPr>
        <w:pStyle w:val="14Footnote"/>
      </w:pPr>
      <w:r w:rsidRPr="00AD2F44">
        <w:rPr>
          <w:vertAlign w:val="superscript"/>
        </w:rPr>
        <w:footnoteRef/>
      </w:r>
      <w:r w:rsidRPr="00AD2F44">
        <w:t xml:space="preserve">29 U.S.C. §216(b) requires that, in order for the suit to be barred, the previous suit by the Secretary must have been for unpaid wages or overtime “owing to such employee for such unpaid wages or overtime” for which the employer is liable. Suits for claims involving a time or an employer location not covered by the previous lawsuit are not barred. </w:t>
      </w:r>
      <w:r w:rsidRPr="00AD2F44">
        <w:rPr>
          <w:i/>
          <w:iCs/>
        </w:rPr>
        <w:t xml:space="preserve">See, e.g., </w:t>
      </w:r>
      <w:r w:rsidRPr="00AD2F44">
        <w:t xml:space="preserve">Padgett v. Kentucky Utils., 1978 WL 1614, at *3, 23 WH Cases 777, 779–80 (W.D. Ky. Jan. 25, 1978) (holding suit by individual employed in one office of employer not barred by previously settled suit for injunction covering violations at two other offices within state as evidenced by affidavit of DOL attorney and deposition of compliance officer involved; “It is doubtful that [§216(b)] contemplates that one suit brought by the Secretary to remedy a violation of the Act in a specific geographic area or for a designated class of employees would bar all employees in all geographic areas.”); Hyland v. Hudson Oil, 1983 WL 2117 (D. Or. Nov. 18, 1983) (permitting suit to proceed as to one-year period not covered by previous suit of Secretary). </w:t>
      </w:r>
      <w:r w:rsidRPr="00AD2F44">
        <w:rPr>
          <w:i/>
          <w:iCs/>
        </w:rPr>
        <w:t>But cf</w:t>
      </w:r>
      <w:r w:rsidRPr="00AD2F44">
        <w:t>. Reynolds v. Mark Inns, 1982 WL 1984, 25 WH Cases 1021, 1022 (N.D. Ga. 1982) (barring suit by individual within group covered by previous suit by Secretary despite apparent inadvertent omission from group for which wages were recovered).</w:t>
      </w:r>
    </w:p>
  </w:footnote>
  <w:footnote w:id="59">
    <w:p w14:paraId="067015B6" w14:textId="77777777" w:rsidR="00721CCF" w:rsidRPr="00AD2F44" w:rsidRDefault="00F42107">
      <w:pPr>
        <w:pStyle w:val="14Footnote"/>
      </w:pPr>
      <w:r w:rsidRPr="00AD2F44">
        <w:rPr>
          <w:vertAlign w:val="superscript"/>
        </w:rPr>
        <w:footnoteRef/>
      </w:r>
      <w:r w:rsidRPr="00AD2F44">
        <w:rPr>
          <w:i/>
        </w:rPr>
        <w:t>See, e.g.,</w:t>
      </w:r>
    </w:p>
    <w:p w14:paraId="14FD968D" w14:textId="77777777" w:rsidR="00721CCF" w:rsidRPr="00AD2F44" w:rsidRDefault="00F42107">
      <w:pPr>
        <w:pStyle w:val="14Footnote"/>
      </w:pPr>
      <w:r w:rsidRPr="00A674E3">
        <w:rPr>
          <w:i/>
          <w:iCs/>
        </w:rPr>
        <w:t>Fifth Circuit: University of Texas,</w:t>
      </w:r>
      <w:r w:rsidRPr="00AD2F44">
        <w:t xml:space="preserve"> 643 F.2d at 1207.</w:t>
      </w:r>
    </w:p>
    <w:p w14:paraId="5F8551DF" w14:textId="77777777" w:rsidR="00721CCF" w:rsidRPr="00AD2F44" w:rsidRDefault="00F42107">
      <w:pPr>
        <w:pStyle w:val="14Footnote"/>
      </w:pPr>
      <w:r w:rsidRPr="00AD2F44">
        <w:rPr>
          <w:i/>
          <w:iCs/>
        </w:rPr>
        <w:t>Sixth Circuit:</w:t>
      </w:r>
      <w:r w:rsidRPr="00AD2F44">
        <w:t xml:space="preserve"> Pritchard v. Dent Wizard Int’l Corp., 210 F.R.D. 591 (S.D. Ohio 2002).</w:t>
      </w:r>
    </w:p>
    <w:p w14:paraId="18A2D020" w14:textId="77777777" w:rsidR="00721CCF" w:rsidRPr="00AD2F44" w:rsidRDefault="00F42107">
      <w:pPr>
        <w:pStyle w:val="14Footnote"/>
      </w:pPr>
      <w:r w:rsidRPr="00AD2F44">
        <w:rPr>
          <w:i/>
          <w:iCs/>
        </w:rPr>
        <w:t>Seventh Circuit:</w:t>
      </w:r>
      <w:r w:rsidRPr="00AD2F44">
        <w:t xml:space="preserve"> Harrison v. Big Ridge, Inc., 2008 WL 3009884 (S.D. Ill. Aug. 4, 2008)</w:t>
      </w:r>
    </w:p>
  </w:footnote>
  <w:footnote w:id="60">
    <w:p w14:paraId="3917159F" w14:textId="77777777" w:rsidR="00721CCF" w:rsidRPr="00AD2F44" w:rsidRDefault="00F42107">
      <w:pPr>
        <w:pStyle w:val="14Footnote"/>
      </w:pPr>
      <w:r w:rsidRPr="00AD2F44">
        <w:rPr>
          <w:vertAlign w:val="superscript"/>
        </w:rPr>
        <w:footnoteRef/>
      </w:r>
      <w:r w:rsidRPr="00AD2F44">
        <w:rPr>
          <w:i/>
          <w:iCs/>
        </w:rPr>
        <w:t>See</w:t>
      </w:r>
      <w:r w:rsidRPr="00AD2F44">
        <w:t xml:space="preserve"> Bechtel Petroleum v. Webster, 636 F. Supp. 486, 495 n.2, 27 WH Cases 1292 (N.D. Cal. 1984), </w:t>
      </w:r>
      <w:r w:rsidRPr="00AD2F44">
        <w:rPr>
          <w:i/>
          <w:iCs/>
        </w:rPr>
        <w:t>aff’d</w:t>
      </w:r>
      <w:r w:rsidRPr="00AD2F44">
        <w:t xml:space="preserve">, 796 F.2d 252, 27 WH Cases 1305 (9th Cir. 1986), </w:t>
      </w:r>
      <w:r w:rsidRPr="00AD2F44">
        <w:rPr>
          <w:i/>
          <w:iCs/>
        </w:rPr>
        <w:t>cert. dismissed</w:t>
      </w:r>
      <w:r w:rsidRPr="00AD2F44">
        <w:t xml:space="preserve">, 481 U.S. 1065 (1987) (refusing to enjoin litigation brought for alleged violations of state wage hour law even though employer had settled all FLSA claims with the Secretary of Labor in a separate matter that was filed after the state litigation had commenced). </w:t>
      </w:r>
    </w:p>
  </w:footnote>
  <w:footnote w:id="61">
    <w:p w14:paraId="45A53EDE" w14:textId="77777777" w:rsidR="00721CCF" w:rsidRPr="00AD2F44" w:rsidRDefault="00F42107">
      <w:pPr>
        <w:pStyle w:val="14Footnote"/>
      </w:pPr>
      <w:r w:rsidRPr="00AD2F44">
        <w:rPr>
          <w:vertAlign w:val="superscript"/>
        </w:rPr>
        <w:footnoteRef/>
      </w:r>
      <w:r w:rsidRPr="00AD2F44">
        <w:rPr>
          <w:i/>
        </w:rPr>
        <w:t>See, e.g.,</w:t>
      </w:r>
    </w:p>
    <w:p w14:paraId="6F6996C6" w14:textId="77777777" w:rsidR="00721CCF" w:rsidRPr="00AD2F44" w:rsidRDefault="00F42107">
      <w:pPr>
        <w:pStyle w:val="14Footnote"/>
      </w:pPr>
      <w:r w:rsidRPr="00AD2F44">
        <w:rPr>
          <w:i/>
          <w:iCs/>
        </w:rPr>
        <w:t>First Circuit:</w:t>
      </w:r>
      <w:r w:rsidRPr="00AD2F44">
        <w:t xml:space="preserve"> Poreda v. Boise Cascade, LLC, 532 F. Supp. 2d 234, 238–39 (D. Mass. 2008); Trezvant v. Fidelity Emp. Servs. Corp., 434 F. Supp. 2d 40, 43 (D. Mass. 2006) (explaining that majority of courts addressing this issue in First Circuit have adopted “two-tier” approach).</w:t>
      </w:r>
    </w:p>
    <w:p w14:paraId="40CA18C0" w14:textId="77777777" w:rsidR="00721CCF" w:rsidRPr="00AD2F44" w:rsidRDefault="00F42107">
      <w:pPr>
        <w:pStyle w:val="14Footnote"/>
      </w:pPr>
      <w:r w:rsidRPr="00AD2F44">
        <w:rPr>
          <w:i/>
          <w:iCs/>
        </w:rPr>
        <w:t>Second Circuit:</w:t>
      </w:r>
      <w:r w:rsidRPr="00AD2F44">
        <w:t xml:space="preserve"> Myers v. Hertz Corp., 624 F.3d 537, 554–55 (2d Cir. 2010).</w:t>
      </w:r>
    </w:p>
    <w:p w14:paraId="24244A1B" w14:textId="77777777" w:rsidR="00721CCF" w:rsidRPr="00AD2F44" w:rsidRDefault="00F42107">
      <w:pPr>
        <w:pStyle w:val="14Footnote"/>
      </w:pPr>
      <w:r w:rsidRPr="00AD2F44">
        <w:rPr>
          <w:i/>
          <w:iCs/>
        </w:rPr>
        <w:t>Third Circuit:</w:t>
      </w:r>
      <w:r w:rsidRPr="00AD2F44">
        <w:t xml:space="preserve"> Zavala v. Wal-Mart Stores Inc., 691 F.3d 527 535–37 (3d Cir. 2012).</w:t>
      </w:r>
    </w:p>
    <w:p w14:paraId="1F3BA4CF" w14:textId="77777777" w:rsidR="00721CCF" w:rsidRPr="00AD2F44" w:rsidRDefault="00F42107">
      <w:pPr>
        <w:pStyle w:val="14Footnote"/>
      </w:pPr>
      <w:r w:rsidRPr="00AD2F44">
        <w:rPr>
          <w:i/>
          <w:iCs/>
        </w:rPr>
        <w:t>Fourth Circuit:</w:t>
      </w:r>
      <w:r w:rsidRPr="00AD2F44">
        <w:t xml:space="preserve"> Nolan v. Reliant Equity </w:t>
      </w:r>
      <w:r w:rsidRPr="00AD2F44">
        <w:t>Inv’rs, LLC, 2009 WL 2461008, at *7 (N.D. W. Va. Aug. 10, 2009) (applying “two-step approach” used by many courts to evaluate certification); Choimbol v. Fairfield Resorts, Inc., 475 F. Supp. 2d 557, 562 (E.D. Va. 2006) (stating “federal precedent has developed a two-stage analysis”).</w:t>
      </w:r>
    </w:p>
    <w:p w14:paraId="4E2E591D" w14:textId="77777777" w:rsidR="00721CCF" w:rsidRPr="00AD2F44" w:rsidRDefault="00F42107">
      <w:pPr>
        <w:pStyle w:val="14Footnote"/>
      </w:pPr>
      <w:r w:rsidRPr="00AD2F44">
        <w:rPr>
          <w:i/>
          <w:iCs/>
        </w:rPr>
        <w:t>Sixth Circuit:</w:t>
      </w:r>
      <w:r w:rsidRPr="00AD2F44">
        <w:t xml:space="preserve"> Comer v. Wal-Mart Stores, Inc., 454 F.3d 544, 546–47 (6th Cir. 2006) (explaining courts typically use two-phase approach).</w:t>
      </w:r>
    </w:p>
    <w:p w14:paraId="631D850D" w14:textId="77777777" w:rsidR="00721CCF" w:rsidRPr="00AD2F44" w:rsidRDefault="00F42107">
      <w:pPr>
        <w:pStyle w:val="14Footnote"/>
      </w:pPr>
      <w:r w:rsidRPr="00AD2F44">
        <w:rPr>
          <w:i/>
          <w:iCs/>
        </w:rPr>
        <w:t>Seventh Circuit:</w:t>
      </w:r>
      <w:r w:rsidRPr="00AD2F44">
        <w:t xml:space="preserve"> Heckler v. DK Funding, LLC, 502 F. Supp. 2d 777, 779 (N.D. Ill. 2007); Persin v. CareerBuilder, LLC, 2005 U.S. Dist. LEXIS 29727, at *4 (N.D. Ill. Nov. 23, 2005); Mielke v. Laidlaw Transit, Inc., 313 F. Supp. 2d 759, 762 (N.D. Ill. 2004) (explaining that majority of courts use two-stage method).</w:t>
      </w:r>
    </w:p>
    <w:p w14:paraId="7E86238D" w14:textId="77777777" w:rsidR="00721CCF" w:rsidRPr="00AD2F44" w:rsidRDefault="00F42107">
      <w:pPr>
        <w:pStyle w:val="14Footnote"/>
      </w:pPr>
      <w:r w:rsidRPr="00AD2F44">
        <w:rPr>
          <w:i/>
          <w:iCs/>
        </w:rPr>
        <w:t>Eighth Circuit:</w:t>
      </w:r>
      <w:r w:rsidRPr="00AD2F44">
        <w:t xml:space="preserve"> Getchman v. Pyramid Consulting, Inc., 2017 WL 713034, at *4 (E.D. Mo. Feb. 23, 2017) (relying on two-stage approach in evaluating conditional certification motion) (collecting cases);</w:t>
      </w:r>
      <w:r w:rsidRPr="00AD2F44">
        <w:rPr>
          <w:i/>
          <w:iCs/>
        </w:rPr>
        <w:t xml:space="preserve"> </w:t>
      </w:r>
      <w:r w:rsidRPr="00AD2F44">
        <w:t>Trogdon v. Kleenco Maint. &amp; Constr., Inc., 2015 WL 2345590, at *1–2 (W.D. Ark. May 15, 2015) (applying two-stage approach, collecting district court cases in Eighth Circuit that had done same); Salazar v. Agriprocessors, Inc., 2008 U.S. Dist. LEXIS 40363, at *13–14 (N.D. Iowa Mar. 17, 2008) (noting that although Eighth Circuit has not ruled on issue, no district court in Eighth Circuit had applied Rule 23 instead of two-stage approach).</w:t>
      </w:r>
    </w:p>
    <w:p w14:paraId="7B0EE4A3" w14:textId="77777777" w:rsidR="00721CCF" w:rsidRPr="00AD2F44" w:rsidRDefault="00F42107">
      <w:pPr>
        <w:pStyle w:val="14Footnote"/>
      </w:pPr>
      <w:r w:rsidRPr="00AD2F44">
        <w:rPr>
          <w:i/>
          <w:iCs/>
        </w:rPr>
        <w:t>Ninth Circuit:</w:t>
      </w:r>
      <w:r w:rsidRPr="00AD2F44">
        <w:t xml:space="preserve"> Romero v. Producers Dairy Foods, Inc., 235 F.R.D. 474, 481–82 (E.D. Cal. 2006) (explaining majority of courts to address issue have adopted two-stage approach); Leuthold v. Destination Am., Inc., 224 F.R.D. 462, 466 (N.D. Cal. 2004) (same).</w:t>
      </w:r>
    </w:p>
    <w:p w14:paraId="05662A58" w14:textId="77777777" w:rsidR="00721CCF" w:rsidRPr="00AD2F44" w:rsidRDefault="00F42107">
      <w:pPr>
        <w:pStyle w:val="14Footnote"/>
      </w:pPr>
      <w:r w:rsidRPr="00AD2F44">
        <w:rPr>
          <w:i/>
          <w:iCs/>
        </w:rPr>
        <w:t>Tenth Circuit:</w:t>
      </w:r>
      <w:r w:rsidRPr="00AD2F44">
        <w:t xml:space="preserve"> Thiessen v. GE Capital Corp., 267 F.3d 1095, 1104 (10th Cir. 2001) (approving the two-stage collective approach in the ADEA context); Renfro v. Spartan Computer Servs., 243 F.R.D. 431, 432 (D. Kan. 2007) (applying </w:t>
      </w:r>
      <w:r w:rsidRPr="00AD2F44">
        <w:rPr>
          <w:i/>
          <w:iCs/>
        </w:rPr>
        <w:t xml:space="preserve">Thiessen </w:t>
      </w:r>
      <w:r w:rsidRPr="00AD2F44">
        <w:t>in the FLSA context).</w:t>
      </w:r>
    </w:p>
    <w:p w14:paraId="3B731F73" w14:textId="77777777" w:rsidR="00721CCF" w:rsidRPr="00AD2F44" w:rsidRDefault="00F42107">
      <w:pPr>
        <w:pStyle w:val="14Footnote"/>
      </w:pPr>
      <w:r w:rsidRPr="00AD2F44">
        <w:rPr>
          <w:i/>
          <w:iCs/>
        </w:rPr>
        <w:t>Eleventh Circuit:</w:t>
      </w:r>
      <w:r w:rsidRPr="00AD2F44">
        <w:t xml:space="preserve"> Morgan v. Family Dollar Stores, Inc., 551 F.3d 1233 (11th Cir. 2008); Hipp v. Liberty Mut. Nat’l Ins. Co., 252 F.3d 1208, 1219 (11th Cir. 2001).</w:t>
      </w:r>
    </w:p>
    <w:p w14:paraId="4A8A626F" w14:textId="77777777" w:rsidR="00721CCF" w:rsidRPr="00AD2F44" w:rsidRDefault="00F42107">
      <w:pPr>
        <w:pStyle w:val="14Footnote"/>
      </w:pPr>
      <w:r w:rsidRPr="00AD2F44">
        <w:rPr>
          <w:i/>
          <w:iCs/>
        </w:rPr>
        <w:t>D.C. Circuit:</w:t>
      </w:r>
      <w:r w:rsidRPr="00AD2F44">
        <w:t xml:space="preserve"> Stephens v. Farmers Rest. Grp., 291 F. Supp. 3d 95, 105 (D.D.C. 2018) (“In the absence of guidance from our Court of Appeals, courts in this Circuit have followed the lead of other federal courts in adopting a ‘two-stage inquiry for determining when a collective action is appropriate.’”) (citation omitted); Castillo v. P &amp; R Enters., Inc., 517 F. Supp. 2d 440, 445 (D.D.C. 2007) (explaining that courts generally proceed in two steps)</w:t>
      </w:r>
    </w:p>
  </w:footnote>
  <w:footnote w:id="62">
    <w:p w14:paraId="39EF0621" w14:textId="77777777" w:rsidR="00721CCF" w:rsidRPr="00AD2F44" w:rsidRDefault="00F42107">
      <w:pPr>
        <w:pStyle w:val="14Footnote"/>
      </w:pPr>
      <w:r w:rsidRPr="00AD2F44">
        <w:rPr>
          <w:vertAlign w:val="superscript"/>
        </w:rPr>
        <w:footnoteRef/>
      </w:r>
      <w:r w:rsidRPr="00AD2F44">
        <w:rPr>
          <w:i/>
        </w:rPr>
        <w:t>See, e.g.,</w:t>
      </w:r>
    </w:p>
    <w:p w14:paraId="21CAF69C" w14:textId="77777777" w:rsidR="00721CCF" w:rsidRPr="00AD2F44" w:rsidRDefault="00F42107">
      <w:pPr>
        <w:pStyle w:val="14Footnote"/>
      </w:pPr>
      <w:r w:rsidRPr="00AD2F44">
        <w:rPr>
          <w:i/>
          <w:iCs/>
        </w:rPr>
        <w:t>First Circuit:</w:t>
      </w:r>
      <w:r w:rsidRPr="00AD2F44">
        <w:t xml:space="preserve"> </w:t>
      </w:r>
      <w:r w:rsidRPr="00AD2F44">
        <w:rPr>
          <w:i/>
          <w:iCs/>
        </w:rPr>
        <w:t>Trezvant</w:t>
      </w:r>
      <w:r w:rsidRPr="00AD2F44">
        <w:t>, 434 F. Supp. 2d at 42–43.</w:t>
      </w:r>
    </w:p>
    <w:p w14:paraId="02637141" w14:textId="77777777" w:rsidR="00721CCF" w:rsidRPr="00AD2F44" w:rsidRDefault="00F42107">
      <w:pPr>
        <w:pStyle w:val="14Footnote"/>
      </w:pPr>
      <w:r w:rsidRPr="00AD2F44">
        <w:rPr>
          <w:i/>
          <w:iCs/>
        </w:rPr>
        <w:t>Second Circuit:</w:t>
      </w:r>
      <w:r w:rsidRPr="00AD2F44">
        <w:t xml:space="preserve"> </w:t>
      </w:r>
      <w:r w:rsidRPr="00AD2F44">
        <w:rPr>
          <w:i/>
          <w:iCs/>
        </w:rPr>
        <w:t>Myers</w:t>
      </w:r>
      <w:r w:rsidRPr="00AD2F44">
        <w:t>, 624 F.3d at 554–55 (noting that the FLSA does not require the two-step process).</w:t>
      </w:r>
    </w:p>
    <w:p w14:paraId="3BFC6F07" w14:textId="77777777" w:rsidR="00721CCF" w:rsidRPr="00AD2F44" w:rsidRDefault="00F42107">
      <w:pPr>
        <w:pStyle w:val="14Footnote"/>
      </w:pPr>
      <w:r w:rsidRPr="00AD2F44">
        <w:rPr>
          <w:i/>
          <w:iCs/>
        </w:rPr>
        <w:t>Third Circuit:</w:t>
      </w:r>
      <w:r w:rsidRPr="00AD2F44">
        <w:t xml:space="preserve"> </w:t>
      </w:r>
      <w:r w:rsidRPr="00AD2F44">
        <w:rPr>
          <w:i/>
          <w:iCs/>
        </w:rPr>
        <w:t>Zavala</w:t>
      </w:r>
      <w:r w:rsidRPr="00AD2F44">
        <w:t>, 691 F.3d at 535–37.</w:t>
      </w:r>
    </w:p>
    <w:p w14:paraId="5E3C4406" w14:textId="77777777" w:rsidR="00721CCF" w:rsidRPr="00AD2F44" w:rsidRDefault="00F42107">
      <w:pPr>
        <w:pStyle w:val="14Footnote"/>
      </w:pPr>
      <w:r w:rsidRPr="00AD2F44">
        <w:rPr>
          <w:i/>
          <w:iCs/>
        </w:rPr>
        <w:t>Ninth Circuit:</w:t>
      </w:r>
      <w:r w:rsidRPr="00AD2F44">
        <w:t xml:space="preserve"> </w:t>
      </w:r>
      <w:r w:rsidRPr="00AD2F44">
        <w:rPr>
          <w:i/>
          <w:iCs/>
        </w:rPr>
        <w:t>Romero</w:t>
      </w:r>
      <w:r w:rsidRPr="00AD2F44">
        <w:t>, 235 F.R.D. at 481.</w:t>
      </w:r>
    </w:p>
    <w:p w14:paraId="490A7AE9" w14:textId="182A9424" w:rsidR="00721CCF" w:rsidRPr="00A674E3" w:rsidRDefault="00F42107">
      <w:pPr>
        <w:pStyle w:val="14Footnote"/>
        <w:rPr>
          <w:i/>
          <w:iCs/>
        </w:rPr>
      </w:pPr>
      <w:r w:rsidRPr="00AD2F44">
        <w:rPr>
          <w:i/>
          <w:iCs/>
        </w:rPr>
        <w:t>Tenth Circuit:</w:t>
      </w:r>
      <w:r w:rsidRPr="00AD2F44">
        <w:t xml:space="preserve"> Turner v. Chipotle Mexican Grill, Inc.,</w:t>
      </w:r>
      <w:r w:rsidRPr="00AD2F44">
        <w:rPr>
          <w:i/>
          <w:iCs/>
        </w:rPr>
        <w:t xml:space="preserve"> </w:t>
      </w:r>
      <w:r w:rsidRPr="00AD2F44">
        <w:t xml:space="preserve">123 F. Supp. 3d 1300, 1302 (D. Colo. 2015) (holding that “a proper reading of the FLSA at this stage of collective action proceedings requires little more than the permissive joinder of putative class members” and </w:t>
      </w:r>
      <w:r w:rsidRPr="00AD2F44">
        <w:t>“reject[ing] the premise that collective action certification under 29 U.S.C. §216(b) must hew to the formalities of a two-step ‘certification’”),</w:t>
      </w:r>
      <w:r w:rsidRPr="00AD2F44">
        <w:rPr>
          <w:i/>
          <w:iCs/>
        </w:rPr>
        <w:t xml:space="preserve"> aff’d on mandamus</w:t>
      </w:r>
      <w:r w:rsidRPr="00AD2F44">
        <w:t xml:space="preserve">, </w:t>
      </w:r>
      <w:r w:rsidRPr="00AD2F44">
        <w:rPr>
          <w:i/>
          <w:iCs/>
        </w:rPr>
        <w:t>In re</w:t>
      </w:r>
      <w:r w:rsidRPr="00AD2F44">
        <w:t xml:space="preserve"> Chipotle Mexican Grill, Inc., 2017 WL 4054144, at *2 (10th Cir. Mar. 27, 2017) (“nothing in </w:t>
      </w:r>
      <w:r w:rsidRPr="00AD2F44">
        <w:rPr>
          <w:i/>
          <w:iCs/>
        </w:rPr>
        <w:t>Thiessen</w:t>
      </w:r>
      <w:r w:rsidRPr="00AD2F44">
        <w:t xml:space="preserve">[, 267 F.3d 1095,] proscribes the district court from following the spurious approach consistent with §216(b), leaving Chipotle without a ‘clear and indisputable’ right on which to base its request for mandamus relief”). </w:t>
      </w:r>
      <w:r w:rsidRPr="00AD2F44">
        <w:rPr>
          <w:i/>
          <w:iCs/>
        </w:rPr>
        <w:t xml:space="preserve">But cf. </w:t>
      </w:r>
      <w:r w:rsidRPr="00AD2F44">
        <w:t xml:space="preserve">Quint v. Vail Resorts, Inc., 2022 BL 248850, 2022 WL 2753637, at *4 (D. Colo. Feb. 21, 2022) (rejecting argument that “this District” had “dispensed with conditional certification,” noting that it was not bound by </w:t>
      </w:r>
      <w:r w:rsidRPr="00AD2F44">
        <w:rPr>
          <w:i/>
          <w:iCs/>
        </w:rPr>
        <w:t>Turner</w:t>
      </w:r>
      <w:r w:rsidRPr="00AD2F44">
        <w:t xml:space="preserve">, other district cases had disagreed with </w:t>
      </w:r>
      <w:r w:rsidRPr="00AD2F44">
        <w:rPr>
          <w:i/>
          <w:iCs/>
        </w:rPr>
        <w:t xml:space="preserve">Turner, </w:t>
      </w:r>
      <w:r w:rsidRPr="00AD2F44">
        <w:t xml:space="preserve">and following the two-step approach “endorsed by </w:t>
      </w:r>
      <w:r w:rsidRPr="00AD2F44">
        <w:rPr>
          <w:i/>
          <w:iCs/>
        </w:rPr>
        <w:t>Thiessen</w:t>
      </w:r>
      <w:r w:rsidRPr="00AD2F44">
        <w:t xml:space="preserve">”). </w:t>
      </w:r>
    </w:p>
    <w:p w14:paraId="321A2997" w14:textId="7A293C2C" w:rsidR="00721CCF" w:rsidRPr="00AD2F44" w:rsidRDefault="00F42107">
      <w:pPr>
        <w:pStyle w:val="14Footnote"/>
      </w:pPr>
      <w:r w:rsidRPr="00A674E3">
        <w:rPr>
          <w:i/>
          <w:iCs/>
        </w:rPr>
        <w:t>Eleventh Circuit:</w:t>
      </w:r>
      <w:r w:rsidRPr="00AD2F44">
        <w:t xml:space="preserve"> Hipp, 252 F.3d at 1219.</w:t>
      </w:r>
    </w:p>
  </w:footnote>
  <w:footnote w:id="63">
    <w:p w14:paraId="30BA63BE" w14:textId="77777777" w:rsidR="00721CCF" w:rsidRPr="00AD2F44" w:rsidRDefault="00F42107">
      <w:pPr>
        <w:pStyle w:val="14Footnote"/>
      </w:pPr>
      <w:r w:rsidRPr="00AD2F44">
        <w:rPr>
          <w:vertAlign w:val="superscript"/>
        </w:rPr>
        <w:footnoteRef/>
      </w:r>
      <w:r w:rsidRPr="00AD2F44">
        <w:rPr>
          <w:i/>
        </w:rPr>
        <w:t xml:space="preserve">See, e.g., </w:t>
      </w:r>
    </w:p>
    <w:p w14:paraId="79913A59" w14:textId="77777777" w:rsidR="00721CCF" w:rsidRPr="00AD2F44" w:rsidRDefault="00F42107">
      <w:pPr>
        <w:pStyle w:val="14Footnote"/>
      </w:pPr>
      <w:r w:rsidRPr="00AD2F44">
        <w:rPr>
          <w:i/>
          <w:iCs/>
        </w:rPr>
        <w:t>First Circuit:</w:t>
      </w:r>
      <w:r w:rsidRPr="00AD2F44">
        <w:t xml:space="preserve"> Kane v. Gage Merch. Servs., Inc., 138 F. Supp. 2d 212, 214 (D. Mass. 2001).</w:t>
      </w:r>
    </w:p>
    <w:p w14:paraId="53786FBA" w14:textId="77777777" w:rsidR="00721CCF" w:rsidRPr="00AD2F44" w:rsidRDefault="00F42107">
      <w:pPr>
        <w:pStyle w:val="14Footnote"/>
      </w:pPr>
      <w:r w:rsidRPr="00AD2F44">
        <w:rPr>
          <w:i/>
          <w:iCs/>
        </w:rPr>
        <w:t>Second Circuit:</w:t>
      </w:r>
      <w:r w:rsidRPr="00AD2F44">
        <w:t xml:space="preserve"> Guzman v. VLM, Inc., 2007 WL 2994278 (E.D.N.Y. Oct. 11, 2007).</w:t>
      </w:r>
    </w:p>
    <w:p w14:paraId="4E63151A" w14:textId="77777777" w:rsidR="00721CCF" w:rsidRPr="00AD2F44" w:rsidRDefault="00F42107">
      <w:pPr>
        <w:pStyle w:val="14Footnote"/>
      </w:pPr>
      <w:r w:rsidRPr="00AD2F44">
        <w:rPr>
          <w:i/>
          <w:iCs/>
        </w:rPr>
        <w:t>Fourth Circuit:</w:t>
      </w:r>
      <w:r w:rsidRPr="00AD2F44">
        <w:t xml:space="preserve"> </w:t>
      </w:r>
      <w:r w:rsidRPr="00AD2F44">
        <w:rPr>
          <w:i/>
          <w:iCs/>
        </w:rPr>
        <w:t>Choimbol</w:t>
      </w:r>
      <w:r w:rsidRPr="00AD2F44">
        <w:t>, 475 F. Supp. 2d at 562.</w:t>
      </w:r>
    </w:p>
    <w:p w14:paraId="4A2D5AD0" w14:textId="77777777" w:rsidR="00721CCF" w:rsidRPr="00AD2F44" w:rsidRDefault="00F42107">
      <w:pPr>
        <w:pStyle w:val="14Footnote"/>
      </w:pPr>
      <w:r w:rsidRPr="00AD2F44">
        <w:rPr>
          <w:i/>
          <w:iCs/>
        </w:rPr>
        <w:t>Eighth Circuit:</w:t>
      </w:r>
      <w:r w:rsidRPr="00AD2F44">
        <w:t xml:space="preserve"> </w:t>
      </w:r>
      <w:r w:rsidRPr="00AD2F44">
        <w:rPr>
          <w:i/>
          <w:iCs/>
        </w:rPr>
        <w:t>Getchman</w:t>
      </w:r>
      <w:r w:rsidRPr="00AD2F44">
        <w:t>, 2017 WL 713034, at *4.</w:t>
      </w:r>
    </w:p>
    <w:p w14:paraId="4901CBA2" w14:textId="77777777" w:rsidR="00721CCF" w:rsidRPr="00AD2F44" w:rsidRDefault="00F42107">
      <w:pPr>
        <w:pStyle w:val="14Footnote"/>
      </w:pPr>
      <w:r w:rsidRPr="00AD2F44">
        <w:rPr>
          <w:i/>
          <w:iCs/>
        </w:rPr>
        <w:t>Ninth Circuit:</w:t>
      </w:r>
      <w:r w:rsidRPr="00AD2F44">
        <w:t xml:space="preserve"> Morden v. T-Mobile USA, Inc., 2006 U.S. Dist. LEXIS 68696, at *6 (W.D. Wash. Sept. 12, 2006); Gerlach v. Wells Fargo &amp; Co., 2006 U.S. Dist. LEXIS 24823, at *6 (N.D. Cal. Mar. 28, 2006).</w:t>
      </w:r>
    </w:p>
    <w:p w14:paraId="64EDD92B" w14:textId="77777777" w:rsidR="00721CCF" w:rsidRPr="00AD2F44" w:rsidRDefault="00F42107">
      <w:pPr>
        <w:pStyle w:val="14Footnote"/>
      </w:pPr>
      <w:r w:rsidRPr="00A674E3">
        <w:rPr>
          <w:i/>
          <w:iCs/>
        </w:rPr>
        <w:t>Tenth Circuit: Thiessen,</w:t>
      </w:r>
      <w:r w:rsidRPr="00AD2F44">
        <w:t xml:space="preserve"> 267 F.3d at 1102.</w:t>
      </w:r>
    </w:p>
    <w:p w14:paraId="13B1463A" w14:textId="77777777" w:rsidR="00721CCF" w:rsidRPr="00AD2F44" w:rsidRDefault="00F42107">
      <w:pPr>
        <w:pStyle w:val="14Footnote"/>
      </w:pPr>
      <w:r w:rsidRPr="00AD2F44">
        <w:rPr>
          <w:i/>
          <w:iCs/>
        </w:rPr>
        <w:t>Eleventh Circuit:</w:t>
      </w:r>
      <w:r w:rsidRPr="00AD2F44">
        <w:t xml:space="preserve"> Cameron-Grant v. Maxim Healthcare Serv., Inc., 347 F.3d 1240, 1243 (11th Cir. 2003); </w:t>
      </w:r>
      <w:r w:rsidRPr="00AD2F44">
        <w:rPr>
          <w:i/>
          <w:iCs/>
        </w:rPr>
        <w:t>Hipp</w:t>
      </w:r>
      <w:r w:rsidRPr="00AD2F44">
        <w:t>, 252 F.3d at 1218.</w:t>
      </w:r>
    </w:p>
    <w:p w14:paraId="12DFDF5D" w14:textId="4643802A" w:rsidR="00721CCF" w:rsidRPr="00AD2F44" w:rsidRDefault="00F42107">
      <w:pPr>
        <w:pStyle w:val="14Footnote"/>
      </w:pPr>
      <w:r w:rsidRPr="00AD2F44">
        <w:rPr>
          <w:i/>
          <w:iCs/>
        </w:rPr>
        <w:t>D.C. Circuit:</w:t>
      </w:r>
      <w:r w:rsidRPr="00AD2F44">
        <w:t xml:space="preserve"> </w:t>
      </w:r>
      <w:r w:rsidRPr="00AD2F44">
        <w:rPr>
          <w:i/>
          <w:iCs/>
        </w:rPr>
        <w:t>Castillo</w:t>
      </w:r>
      <w:r w:rsidRPr="00AD2F44">
        <w:t>, 517 F. Supp. 2d at 445 (explaining that courts generally proceed in two steps, but District of Columbia Circuit has not opined regarding proper procedure for certifying collective action under §216(b)).</w:t>
      </w:r>
    </w:p>
  </w:footnote>
  <w:footnote w:id="64">
    <w:p w14:paraId="3188A06B" w14:textId="77777777" w:rsidR="00721CCF" w:rsidRPr="00AD2F44" w:rsidRDefault="00F42107">
      <w:pPr>
        <w:pStyle w:val="14Footnote"/>
      </w:pPr>
      <w:r w:rsidRPr="00AD2F44">
        <w:rPr>
          <w:vertAlign w:val="superscript"/>
        </w:rPr>
        <w:footnoteRef/>
      </w:r>
      <w:r w:rsidRPr="00AD2F44">
        <w:rPr>
          <w:i/>
        </w:rPr>
        <w:t xml:space="preserve">See, e.g., </w:t>
      </w:r>
    </w:p>
    <w:p w14:paraId="617EF419" w14:textId="77777777" w:rsidR="00721CCF" w:rsidRPr="00AD2F44" w:rsidRDefault="00F42107">
      <w:pPr>
        <w:pStyle w:val="14Footnote"/>
      </w:pPr>
      <w:r w:rsidRPr="00AD2F44">
        <w:rPr>
          <w:i/>
          <w:iCs/>
        </w:rPr>
        <w:t>Second Circuit:</w:t>
      </w:r>
      <w:r w:rsidRPr="00AD2F44">
        <w:t xml:space="preserve"> Guzman v. VLM, Inc., 2008 WL 597186 (E.D.N.Y. Mar. 2, 2008).</w:t>
      </w:r>
    </w:p>
    <w:p w14:paraId="5E674B02" w14:textId="77777777" w:rsidR="00721CCF" w:rsidRPr="00AD2F44" w:rsidRDefault="00F42107">
      <w:pPr>
        <w:pStyle w:val="14Footnote"/>
      </w:pPr>
      <w:r w:rsidRPr="00AD2F44">
        <w:rPr>
          <w:i/>
          <w:iCs/>
        </w:rPr>
        <w:t>Fourth Circuit:</w:t>
      </w:r>
      <w:r w:rsidRPr="00AD2F44">
        <w:t xml:space="preserve"> Quinteros v. Sparkle Cleaning, Inc., 532 F. Supp. 2d 762, 772 n.5 (D. Md. 2008).</w:t>
      </w:r>
    </w:p>
    <w:p w14:paraId="3BB56318" w14:textId="77777777" w:rsidR="00721CCF" w:rsidRPr="00AD2F44" w:rsidRDefault="00F42107">
      <w:pPr>
        <w:pStyle w:val="14Footnote"/>
      </w:pPr>
      <w:r w:rsidRPr="00AD2F44">
        <w:rPr>
          <w:i/>
          <w:iCs/>
        </w:rPr>
        <w:t>Sixth Circuit:</w:t>
      </w:r>
      <w:r w:rsidRPr="00AD2F44">
        <w:t xml:space="preserve"> Crawford v. Lexington-Fayette Urban </w:t>
      </w:r>
      <w:r w:rsidRPr="00AD2F44">
        <w:t>Cnty. Gov’t, 2007 U.S. Dist. LEXIS 6711, at *14 (E.D. Ky. Jan. 26, 2007); Harrison v. McDonald’s Corp., 411 F. Supp. 2d 862, 865 (S.D. Ohio 2005).</w:t>
      </w:r>
    </w:p>
    <w:p w14:paraId="38A7619E" w14:textId="77777777" w:rsidR="00721CCF" w:rsidRPr="00AD2F44" w:rsidRDefault="00F42107">
      <w:pPr>
        <w:pStyle w:val="14Footnote"/>
      </w:pPr>
      <w:r w:rsidRPr="00AD2F44">
        <w:rPr>
          <w:i/>
          <w:iCs/>
        </w:rPr>
        <w:t>Seventh Circuit:</w:t>
      </w:r>
      <w:r w:rsidRPr="00AD2F44">
        <w:t xml:space="preserve"> Persin v. CareerBuilder, LLC, 2005 U.S. Dist. LEXIS 29727, at *4 (N.D. Ill. Nov. 23, 2005).</w:t>
      </w:r>
    </w:p>
    <w:p w14:paraId="0858B255" w14:textId="77777777" w:rsidR="00721CCF" w:rsidRPr="00AD2F44" w:rsidRDefault="00F42107">
      <w:pPr>
        <w:pStyle w:val="14Footnote"/>
      </w:pPr>
      <w:r w:rsidRPr="00AD2F44">
        <w:rPr>
          <w:i/>
          <w:iCs/>
        </w:rPr>
        <w:t>Eighth Circuit:</w:t>
      </w:r>
      <w:r w:rsidRPr="00AD2F44">
        <w:t xml:space="preserve"> </w:t>
      </w:r>
      <w:r w:rsidRPr="00AD2F44">
        <w:rPr>
          <w:i/>
          <w:iCs/>
        </w:rPr>
        <w:t>Getchman</w:t>
      </w:r>
      <w:r w:rsidRPr="00AD2F44">
        <w:t>, 2017 WL 713034, at *4.</w:t>
      </w:r>
    </w:p>
    <w:p w14:paraId="4DBE28BE" w14:textId="77777777" w:rsidR="00721CCF" w:rsidRPr="00AD2F44" w:rsidRDefault="00F42107">
      <w:pPr>
        <w:pStyle w:val="14Footnote"/>
      </w:pPr>
      <w:r w:rsidRPr="00AD2F44">
        <w:rPr>
          <w:i/>
          <w:iCs/>
        </w:rPr>
        <w:t>Ninth Circuit:</w:t>
      </w:r>
      <w:r w:rsidRPr="00AD2F44">
        <w:t xml:space="preserve"> Edwards v. City of Long Beach, 467 F. Supp. 2d 986, 990 (C.D. Cal. 2006).</w:t>
      </w:r>
    </w:p>
    <w:p w14:paraId="132DCDE7" w14:textId="147913D7" w:rsidR="00721CCF" w:rsidRPr="00AD2F44" w:rsidRDefault="00F42107">
      <w:pPr>
        <w:pStyle w:val="14Footnote"/>
      </w:pPr>
      <w:r w:rsidRPr="00AD2F44">
        <w:rPr>
          <w:i/>
          <w:iCs/>
        </w:rPr>
        <w:t>Eleventh Circuit:</w:t>
      </w:r>
      <w:r w:rsidRPr="00AD2F44">
        <w:t xml:space="preserve"> Simpkins v. Pulte Home Corp., 2008 U.S. Dist. LEXIS 64270, at *27 (M.D. Fla. Aug. 21, 2008); Reed v. Mobile Cnty. Sch. Sys., 246 F. Supp. 2d 1227, 1231 n.6 (S.D. Ala. 2003). </w:t>
      </w:r>
    </w:p>
  </w:footnote>
  <w:footnote w:id="65">
    <w:p w14:paraId="5F40D854" w14:textId="77777777" w:rsidR="00721CCF" w:rsidRPr="00AD2F44" w:rsidRDefault="00F42107">
      <w:pPr>
        <w:pStyle w:val="14Footnote"/>
      </w:pPr>
      <w:r w:rsidRPr="00AD2F44">
        <w:rPr>
          <w:vertAlign w:val="superscript"/>
        </w:rPr>
        <w:footnoteRef/>
      </w:r>
      <w:r w:rsidRPr="00AD2F44">
        <w:rPr>
          <w:i/>
        </w:rPr>
        <w:t>See, e.g.,</w:t>
      </w:r>
    </w:p>
    <w:p w14:paraId="55B7FE4F" w14:textId="77777777" w:rsidR="00721CCF" w:rsidRPr="00AD2F44" w:rsidRDefault="00F42107">
      <w:pPr>
        <w:pStyle w:val="14Footnote"/>
      </w:pPr>
      <w:r w:rsidRPr="00AD2F44">
        <w:rPr>
          <w:i/>
          <w:iCs/>
        </w:rPr>
        <w:t>First Circuit:</w:t>
      </w:r>
      <w:r w:rsidRPr="00AD2F44">
        <w:t xml:space="preserve"> </w:t>
      </w:r>
      <w:r w:rsidRPr="00AD2F44">
        <w:rPr>
          <w:i/>
          <w:iCs/>
        </w:rPr>
        <w:t>Trezvant</w:t>
      </w:r>
      <w:r w:rsidRPr="00AD2F44">
        <w:t>, 434 F. Supp. 2d at 43.</w:t>
      </w:r>
    </w:p>
    <w:p w14:paraId="0EA3F6D7" w14:textId="77777777" w:rsidR="00721CCF" w:rsidRPr="00AD2F44" w:rsidRDefault="00F42107">
      <w:pPr>
        <w:pStyle w:val="14Footnote"/>
        <w:rPr>
          <w:lang w:val="fr-FR"/>
        </w:rPr>
      </w:pPr>
      <w:r w:rsidRPr="00AD2F44">
        <w:rPr>
          <w:i/>
          <w:iCs/>
          <w:lang w:val="fr-FR"/>
        </w:rPr>
        <w:t>Second Circuit:</w:t>
      </w:r>
      <w:r w:rsidRPr="00AD2F44">
        <w:rPr>
          <w:lang w:val="fr-FR"/>
        </w:rPr>
        <w:t xml:space="preserve"> Laroque v. </w:t>
      </w:r>
      <w:r w:rsidRPr="00AD2F44">
        <w:rPr>
          <w:lang w:val="fr-FR"/>
        </w:rPr>
        <w:t>Domino’s Pizza, LLC, 557 F. Supp. 2d 346, 352 (E.D.N.Y. 2008).</w:t>
      </w:r>
    </w:p>
    <w:p w14:paraId="43415D4A" w14:textId="77777777" w:rsidR="00721CCF" w:rsidRPr="00AD2F44" w:rsidRDefault="00F42107">
      <w:pPr>
        <w:pStyle w:val="14Footnote"/>
      </w:pPr>
      <w:r w:rsidRPr="00AD2F44">
        <w:rPr>
          <w:i/>
          <w:iCs/>
        </w:rPr>
        <w:t>Third Circuit:</w:t>
      </w:r>
      <w:r w:rsidRPr="00AD2F44">
        <w:t xml:space="preserve"> De Asencio v. Tyson Foods, Inc., 130 F. Supp. 2d 660, 662–63 (E.D. Pa. 2001), </w:t>
      </w:r>
      <w:r w:rsidRPr="00AD2F44">
        <w:rPr>
          <w:i/>
          <w:iCs/>
        </w:rPr>
        <w:t>rev’d on other grounds</w:t>
      </w:r>
      <w:r w:rsidRPr="00AD2F44">
        <w:t>, 342 F.3d 301 (3d Cir. 2003).</w:t>
      </w:r>
    </w:p>
    <w:p w14:paraId="3DA4A8CA" w14:textId="77777777" w:rsidR="00721CCF" w:rsidRPr="00AD2F44" w:rsidRDefault="00F42107">
      <w:pPr>
        <w:pStyle w:val="14Footnote"/>
      </w:pPr>
      <w:r w:rsidRPr="00AD2F44">
        <w:rPr>
          <w:i/>
          <w:iCs/>
        </w:rPr>
        <w:t>Sixth Circuit:</w:t>
      </w:r>
      <w:r w:rsidRPr="00AD2F44">
        <w:t xml:space="preserve"> White v. MPW Indus. Serv., Inc., 236 F.R.D. 363, 366 (E.D. Tenn. 2006).</w:t>
      </w:r>
    </w:p>
    <w:p w14:paraId="70EC1D1B" w14:textId="77777777" w:rsidR="00721CCF" w:rsidRPr="00AD2F44" w:rsidRDefault="00F42107">
      <w:pPr>
        <w:pStyle w:val="14Footnote"/>
      </w:pPr>
      <w:r w:rsidRPr="00AD2F44">
        <w:rPr>
          <w:i/>
          <w:iCs/>
        </w:rPr>
        <w:t>Eighth Circuit:</w:t>
      </w:r>
      <w:r w:rsidRPr="00AD2F44">
        <w:t xml:space="preserve"> </w:t>
      </w:r>
      <w:r w:rsidRPr="00AD2F44">
        <w:rPr>
          <w:i/>
          <w:iCs/>
        </w:rPr>
        <w:t>Getchman</w:t>
      </w:r>
      <w:r w:rsidRPr="00AD2F44">
        <w:t xml:space="preserve">, 2017 WL 713034, at *4. </w:t>
      </w:r>
    </w:p>
    <w:p w14:paraId="2D2578D7" w14:textId="77777777" w:rsidR="00721CCF" w:rsidRPr="00AD2F44" w:rsidRDefault="00F42107">
      <w:pPr>
        <w:pStyle w:val="14Footnote"/>
      </w:pPr>
      <w:r w:rsidRPr="00AD2F44">
        <w:rPr>
          <w:i/>
          <w:iCs/>
        </w:rPr>
        <w:t>Ninth Circuit:</w:t>
      </w:r>
      <w:r w:rsidRPr="00AD2F44">
        <w:t xml:space="preserve"> </w:t>
      </w:r>
      <w:r w:rsidRPr="00AD2F44">
        <w:rPr>
          <w:i/>
          <w:iCs/>
        </w:rPr>
        <w:t>Edwards</w:t>
      </w:r>
      <w:r w:rsidRPr="00AD2F44">
        <w:t>, 467 F. Supp. 2d at 990; Gerlach v. Wells Fargo &amp; Co., 2006 U.S. Dist. LEXIS 24823, at *6 (N.D. Cal. Mar. 28, 2006).</w:t>
      </w:r>
    </w:p>
    <w:p w14:paraId="11999677" w14:textId="296934CA" w:rsidR="00721CCF" w:rsidRPr="00AD2F44" w:rsidRDefault="00F42107">
      <w:pPr>
        <w:pStyle w:val="14Footnote"/>
      </w:pPr>
      <w:r w:rsidRPr="00AD2F44">
        <w:rPr>
          <w:i/>
          <w:iCs/>
        </w:rPr>
        <w:t>Eleventh Circuit:</w:t>
      </w:r>
      <w:r w:rsidRPr="00AD2F44">
        <w:t xml:space="preserve"> </w:t>
      </w:r>
      <w:r w:rsidRPr="00AD2F44">
        <w:rPr>
          <w:i/>
          <w:iCs/>
        </w:rPr>
        <w:t>Cameron-Grant</w:t>
      </w:r>
      <w:r w:rsidRPr="00AD2F44">
        <w:t xml:space="preserve">, 347 F.3d at 1243; </w:t>
      </w:r>
      <w:r w:rsidRPr="00AD2F44">
        <w:rPr>
          <w:i/>
          <w:iCs/>
        </w:rPr>
        <w:t>Hipp</w:t>
      </w:r>
      <w:r w:rsidRPr="00AD2F44">
        <w:t>, 252 F.3d at 1218.</w:t>
      </w:r>
    </w:p>
  </w:footnote>
  <w:footnote w:id="66">
    <w:p w14:paraId="4C2E1C36" w14:textId="77777777" w:rsidR="00721CCF" w:rsidRPr="00AD2F44" w:rsidRDefault="00F42107">
      <w:pPr>
        <w:pStyle w:val="14Footnote"/>
      </w:pPr>
      <w:r w:rsidRPr="00AD2F44">
        <w:rPr>
          <w:vertAlign w:val="superscript"/>
        </w:rPr>
        <w:footnoteRef/>
      </w:r>
      <w:r w:rsidRPr="00AD2F44">
        <w:rPr>
          <w:i/>
          <w:iCs/>
        </w:rPr>
        <w:t>First Circuit:</w:t>
      </w:r>
      <w:r w:rsidRPr="00AD2F44">
        <w:t xml:space="preserve"> </w:t>
      </w:r>
      <w:r w:rsidRPr="00AD2F44">
        <w:rPr>
          <w:i/>
          <w:iCs/>
        </w:rPr>
        <w:t>Trezvant</w:t>
      </w:r>
      <w:r w:rsidRPr="00AD2F44">
        <w:t>, 434 F. Supp. 2d at 43.</w:t>
      </w:r>
    </w:p>
    <w:p w14:paraId="1FFD1A50" w14:textId="77777777" w:rsidR="00721CCF" w:rsidRPr="00AD2F44" w:rsidRDefault="00F42107">
      <w:pPr>
        <w:pStyle w:val="14Footnote"/>
      </w:pPr>
      <w:r w:rsidRPr="00AD2F44">
        <w:rPr>
          <w:i/>
          <w:iCs/>
        </w:rPr>
        <w:t>Second Circuit:</w:t>
      </w:r>
      <w:r w:rsidRPr="00AD2F44">
        <w:t xml:space="preserve"> Masson v. Ecolab, Inc., 2005 U.S. Dist. LEXIS 18022, at *38 (S.D.N.Y. Aug. 17, 2005).</w:t>
      </w:r>
    </w:p>
    <w:p w14:paraId="4BE7289B" w14:textId="77777777" w:rsidR="00721CCF" w:rsidRPr="00AD2F44" w:rsidRDefault="00F42107">
      <w:pPr>
        <w:pStyle w:val="14Footnote"/>
      </w:pPr>
      <w:r w:rsidRPr="00AD2F44">
        <w:rPr>
          <w:i/>
          <w:iCs/>
        </w:rPr>
        <w:t>Third Circuit:</w:t>
      </w:r>
      <w:r w:rsidRPr="00AD2F44">
        <w:t xml:space="preserve"> </w:t>
      </w:r>
      <w:r w:rsidRPr="00AD2F44">
        <w:rPr>
          <w:i/>
          <w:iCs/>
        </w:rPr>
        <w:t>De Asencio</w:t>
      </w:r>
      <w:r w:rsidRPr="00AD2F44">
        <w:t>, 130 F. Supp. 2d at 663.</w:t>
      </w:r>
    </w:p>
    <w:p w14:paraId="7E0DAF53" w14:textId="04C097F7" w:rsidR="00721CCF" w:rsidRPr="00AD2F44" w:rsidRDefault="00F42107">
      <w:pPr>
        <w:pStyle w:val="14Footnote"/>
      </w:pPr>
      <w:r w:rsidRPr="00AD2F44">
        <w:rPr>
          <w:i/>
          <w:iCs/>
        </w:rPr>
        <w:t>Eleventh Circuit:</w:t>
      </w:r>
      <w:r w:rsidRPr="00AD2F44">
        <w:t xml:space="preserve"> </w:t>
      </w:r>
      <w:r w:rsidRPr="00AD2F44">
        <w:rPr>
          <w:i/>
          <w:iCs/>
        </w:rPr>
        <w:t>Cameron-Grant</w:t>
      </w:r>
      <w:r w:rsidRPr="00AD2F44">
        <w:t xml:space="preserve">, 347 F.3d at 1243; </w:t>
      </w:r>
      <w:r w:rsidRPr="00AD2F44">
        <w:rPr>
          <w:i/>
          <w:iCs/>
        </w:rPr>
        <w:t>Hipp</w:t>
      </w:r>
      <w:r w:rsidRPr="00AD2F44">
        <w:t>, 252 F.3d at 1218.</w:t>
      </w:r>
    </w:p>
  </w:footnote>
  <w:footnote w:id="67">
    <w:p w14:paraId="6E0C0E5E" w14:textId="77777777" w:rsidR="00721CCF" w:rsidRPr="00AD2F44" w:rsidRDefault="00F42107">
      <w:pPr>
        <w:pStyle w:val="14Footnote"/>
      </w:pPr>
      <w:r w:rsidRPr="00AD2F44">
        <w:rPr>
          <w:vertAlign w:val="superscript"/>
        </w:rPr>
        <w:footnoteRef/>
      </w:r>
      <w:r w:rsidRPr="00AD2F44">
        <w:rPr>
          <w:i/>
        </w:rPr>
        <w:t xml:space="preserve">See, e.g., </w:t>
      </w:r>
    </w:p>
    <w:p w14:paraId="5F9018DE" w14:textId="77777777" w:rsidR="00721CCF" w:rsidRPr="00AD2F44" w:rsidRDefault="00F42107">
      <w:pPr>
        <w:pStyle w:val="14Footnote"/>
      </w:pPr>
      <w:r w:rsidRPr="00AD2F44">
        <w:rPr>
          <w:i/>
          <w:iCs/>
        </w:rPr>
        <w:t>First Circuit:</w:t>
      </w:r>
      <w:r w:rsidRPr="00AD2F44">
        <w:t xml:space="preserve"> Trezvant v. Fidelity Emp. Servs. Corp., 434 F. Supp. 2d 40, 45 (D. Mass. 2006).</w:t>
      </w:r>
    </w:p>
    <w:p w14:paraId="3616EC11" w14:textId="77777777" w:rsidR="00721CCF" w:rsidRPr="00AD2F44" w:rsidRDefault="00F42107">
      <w:pPr>
        <w:pStyle w:val="14Footnote"/>
      </w:pPr>
      <w:r w:rsidRPr="00AD2F44">
        <w:rPr>
          <w:i/>
          <w:iCs/>
        </w:rPr>
        <w:t>Second Circuit:</w:t>
      </w:r>
      <w:r w:rsidRPr="00AD2F44">
        <w:t xml:space="preserve"> </w:t>
      </w:r>
      <w:r w:rsidRPr="00AD2F44">
        <w:rPr>
          <w:i/>
          <w:iCs/>
        </w:rPr>
        <w:t>Laroque</w:t>
      </w:r>
      <w:r w:rsidRPr="00AD2F44">
        <w:t>, 557 F. Supp. 2d at 352.</w:t>
      </w:r>
    </w:p>
    <w:p w14:paraId="286B25D7" w14:textId="77777777" w:rsidR="00721CCF" w:rsidRPr="00AD2F44" w:rsidRDefault="00F42107">
      <w:pPr>
        <w:pStyle w:val="14Footnote"/>
      </w:pPr>
      <w:r w:rsidRPr="00AD2F44">
        <w:rPr>
          <w:i/>
          <w:iCs/>
        </w:rPr>
        <w:t>Third Circuit:</w:t>
      </w:r>
      <w:r w:rsidRPr="00AD2F44">
        <w:t xml:space="preserve"> Herring v. Hewitt Assocs., 2007 WL 2121693 (D.N.J. July 24, 2007); Chabrier v. Wilmington Fin., Inc., 2006 WL 3742774 (E.D. Pa. Dec. 13, 2006).</w:t>
      </w:r>
    </w:p>
    <w:p w14:paraId="31975E88" w14:textId="77777777" w:rsidR="00721CCF" w:rsidRPr="00AD2F44" w:rsidRDefault="00F42107">
      <w:pPr>
        <w:pStyle w:val="14Footnote"/>
      </w:pPr>
      <w:r w:rsidRPr="00AD2F44">
        <w:rPr>
          <w:i/>
          <w:iCs/>
        </w:rPr>
        <w:t>Fourth Circuit:</w:t>
      </w:r>
      <w:r w:rsidRPr="00AD2F44">
        <w:t xml:space="preserve"> Quinteros v. Sparkle Cleaning, Inc., 532 F. Supp. 2d 762, 772 n.6 (D. Md. 2008).</w:t>
      </w:r>
    </w:p>
    <w:p w14:paraId="17124E71" w14:textId="77777777" w:rsidR="00721CCF" w:rsidRPr="00AD2F44" w:rsidRDefault="00F42107">
      <w:pPr>
        <w:pStyle w:val="14Footnote"/>
      </w:pPr>
      <w:r w:rsidRPr="00AD2F44">
        <w:rPr>
          <w:i/>
          <w:iCs/>
        </w:rPr>
        <w:t>Sixth Circuit:</w:t>
      </w:r>
      <w:r w:rsidRPr="00AD2F44">
        <w:t xml:space="preserve"> Thomas v. Speedway </w:t>
      </w:r>
      <w:r w:rsidRPr="00AD2F44">
        <w:t>Superamerica, LLC, 2005 U.S. Dist. LEXIS 45286, at *10 (S.D. Ohio Sept. 13, 2005).</w:t>
      </w:r>
    </w:p>
    <w:p w14:paraId="34580005" w14:textId="77777777" w:rsidR="00721CCF" w:rsidRPr="00AD2F44" w:rsidRDefault="00F42107">
      <w:pPr>
        <w:pStyle w:val="14Footnote"/>
      </w:pPr>
      <w:r w:rsidRPr="00AD2F44">
        <w:rPr>
          <w:i/>
          <w:iCs/>
        </w:rPr>
        <w:t>Seventh Circuit:</w:t>
      </w:r>
      <w:r w:rsidRPr="00AD2F44">
        <w:t xml:space="preserve"> Jones v. Furniture Bargains, LLC, 2009 U.S. Dist. LEXIS 94689, at *6 (N.D. Ill. Oct. 9, 2009); Gambo v. Lucent Techs., Inc., 2005 U.S. Dist. LEXIS 37998, at *15 (N.D. Ill. Dec. 22, 2005).</w:t>
      </w:r>
    </w:p>
    <w:p w14:paraId="2F0597C9" w14:textId="77777777" w:rsidR="00721CCF" w:rsidRPr="00AD2F44" w:rsidRDefault="00F42107">
      <w:pPr>
        <w:pStyle w:val="14Footnote"/>
      </w:pPr>
      <w:r w:rsidRPr="00AD2F44">
        <w:rPr>
          <w:i/>
          <w:iCs/>
        </w:rPr>
        <w:t xml:space="preserve">Eighth Circuit: </w:t>
      </w:r>
      <w:r w:rsidRPr="00AD2F44">
        <w:t xml:space="preserve">Getchman v. Pyramid Consulting, Inc., 2017 WL 713034, at *4 (E.D. Mo. Feb. 23, 2017); </w:t>
      </w:r>
      <w:r w:rsidRPr="00AD2F44">
        <w:rPr>
          <w:i/>
          <w:iCs/>
        </w:rPr>
        <w:t>In re</w:t>
      </w:r>
      <w:r w:rsidRPr="00AD2F44">
        <w:t xml:space="preserve"> Pilgrim’s Pride Fair Labor Stds. Litig., 2008 U.S. Dist. LEXIS 93966, at *9 (W.D. Ark. Mar. 13, 2008).</w:t>
      </w:r>
    </w:p>
    <w:p w14:paraId="049CB6F1" w14:textId="77777777" w:rsidR="00721CCF" w:rsidRPr="00AD2F44" w:rsidRDefault="00F42107">
      <w:pPr>
        <w:pStyle w:val="14Footnote"/>
      </w:pPr>
      <w:r w:rsidRPr="00AD2F44">
        <w:rPr>
          <w:i/>
          <w:iCs/>
        </w:rPr>
        <w:t>Ninth Circuit:</w:t>
      </w:r>
      <w:r w:rsidRPr="00AD2F44">
        <w:t xml:space="preserve"> Adams v. Inter-Con Sec. Sys., 242 F.R.D. 530, 536 (N.D. Cal. 2007).</w:t>
      </w:r>
    </w:p>
    <w:p w14:paraId="0B22E284" w14:textId="77777777" w:rsidR="00721CCF" w:rsidRPr="00AD2F44" w:rsidRDefault="00F42107">
      <w:pPr>
        <w:pStyle w:val="14Footnote"/>
      </w:pPr>
      <w:r w:rsidRPr="00AD2F44">
        <w:rPr>
          <w:i/>
          <w:iCs/>
        </w:rPr>
        <w:t>Eleventh Circuit:</w:t>
      </w:r>
      <w:r w:rsidRPr="00AD2F44">
        <w:t xml:space="preserve"> </w:t>
      </w:r>
      <w:r w:rsidRPr="00AD2F44">
        <w:rPr>
          <w:i/>
          <w:iCs/>
        </w:rPr>
        <w:t>Cameron-Grant</w:t>
      </w:r>
      <w:r w:rsidRPr="00AD2F44">
        <w:t>, 347 F.3d at 1243; Hipp v. Liberty Nat’l Life Ins. Co., 252 F.3d 1208, 1218 (11th Cir. 2001).</w:t>
      </w:r>
    </w:p>
    <w:p w14:paraId="5458A6D0" w14:textId="7F7505CA" w:rsidR="00721CCF" w:rsidRPr="00AD2F44" w:rsidRDefault="00F42107">
      <w:pPr>
        <w:pStyle w:val="14Footnote"/>
      </w:pPr>
      <w:r w:rsidRPr="00AD2F44">
        <w:rPr>
          <w:i/>
          <w:iCs/>
        </w:rPr>
        <w:t>D.C. Circuit:</w:t>
      </w:r>
      <w:r w:rsidRPr="00AD2F44">
        <w:t xml:space="preserve"> McKinney v. United Stor-all Ctrs., Inc., 585 F. Supp. 2d 6, 8 (D.D.C. 2008).</w:t>
      </w:r>
    </w:p>
  </w:footnote>
  <w:footnote w:id="68">
    <w:p w14:paraId="680450A1" w14:textId="77777777" w:rsidR="00721CCF" w:rsidRPr="00AD2F44" w:rsidRDefault="00F42107">
      <w:pPr>
        <w:pStyle w:val="14Footnote"/>
      </w:pPr>
      <w:r w:rsidRPr="00AD2F44">
        <w:rPr>
          <w:vertAlign w:val="superscript"/>
        </w:rPr>
        <w:footnoteRef/>
      </w:r>
      <w:r w:rsidRPr="00AD2F44">
        <w:rPr>
          <w:i/>
          <w:iCs/>
        </w:rPr>
        <w:t>First Circuit:</w:t>
      </w:r>
      <w:r w:rsidRPr="00AD2F44">
        <w:t xml:space="preserve"> </w:t>
      </w:r>
      <w:r w:rsidRPr="00AD2F44">
        <w:rPr>
          <w:i/>
          <w:iCs/>
        </w:rPr>
        <w:t>Trezvant</w:t>
      </w:r>
      <w:r w:rsidRPr="00AD2F44">
        <w:t xml:space="preserve">, 434 F. Supp. 2d at 43; Reeves v. Alliant </w:t>
      </w:r>
      <w:r w:rsidRPr="00AD2F44">
        <w:t>Techsys., Inc., 77 F. Supp. 2d 242, 246 (D.R.I. 1999).</w:t>
      </w:r>
    </w:p>
    <w:p w14:paraId="08960CE1" w14:textId="77777777" w:rsidR="00721CCF" w:rsidRPr="00AD2F44" w:rsidRDefault="00F42107">
      <w:pPr>
        <w:pStyle w:val="14Footnote"/>
      </w:pPr>
      <w:r w:rsidRPr="00AD2F44">
        <w:rPr>
          <w:i/>
          <w:iCs/>
        </w:rPr>
        <w:t>Second Circuit:</w:t>
      </w:r>
      <w:r w:rsidRPr="00AD2F44">
        <w:t xml:space="preserve"> </w:t>
      </w:r>
      <w:r w:rsidRPr="00AD2F44">
        <w:rPr>
          <w:i/>
          <w:iCs/>
        </w:rPr>
        <w:t>Laroque</w:t>
      </w:r>
      <w:r w:rsidRPr="00AD2F44">
        <w:t>, 557 F. Supp. 2d at 353.</w:t>
      </w:r>
    </w:p>
    <w:p w14:paraId="7F78C5C9" w14:textId="77777777" w:rsidR="00721CCF" w:rsidRPr="00AD2F44" w:rsidRDefault="00F42107">
      <w:pPr>
        <w:pStyle w:val="14Footnote"/>
      </w:pPr>
      <w:r w:rsidRPr="00AD2F44">
        <w:rPr>
          <w:i/>
          <w:iCs/>
        </w:rPr>
        <w:t>Third Circuit:</w:t>
      </w:r>
      <w:r w:rsidRPr="00AD2F44">
        <w:t xml:space="preserve"> </w:t>
      </w:r>
      <w:r w:rsidRPr="00AD2F44">
        <w:rPr>
          <w:i/>
          <w:iCs/>
        </w:rPr>
        <w:t>De Asencio</w:t>
      </w:r>
      <w:r w:rsidRPr="00AD2F44">
        <w:t>, 130 F. Supp. 2d at 662.</w:t>
      </w:r>
    </w:p>
    <w:p w14:paraId="5748BD1C" w14:textId="77777777" w:rsidR="00721CCF" w:rsidRPr="00AD2F44" w:rsidRDefault="00F42107">
      <w:pPr>
        <w:pStyle w:val="14Footnote"/>
      </w:pPr>
      <w:r w:rsidRPr="00AD2F44">
        <w:rPr>
          <w:i/>
          <w:iCs/>
        </w:rPr>
        <w:t>Eighth Circuit:</w:t>
      </w:r>
      <w:r w:rsidRPr="00AD2F44">
        <w:t xml:space="preserve"> </w:t>
      </w:r>
      <w:r w:rsidRPr="00AD2F44">
        <w:rPr>
          <w:i/>
          <w:iCs/>
        </w:rPr>
        <w:t>Getchman</w:t>
      </w:r>
      <w:r w:rsidRPr="00AD2F44">
        <w:t>, 2017 WL 713034, at *4.</w:t>
      </w:r>
    </w:p>
    <w:p w14:paraId="1C8BB636" w14:textId="693BAA5B" w:rsidR="00721CCF" w:rsidRPr="00AD2F44" w:rsidRDefault="00F42107">
      <w:pPr>
        <w:pStyle w:val="14Footnote"/>
      </w:pPr>
      <w:r w:rsidRPr="00AD2F44">
        <w:rPr>
          <w:i/>
          <w:iCs/>
        </w:rPr>
        <w:t>Eleventh Circuit:</w:t>
      </w:r>
      <w:r w:rsidRPr="00AD2F44">
        <w:t xml:space="preserve"> </w:t>
      </w:r>
      <w:r w:rsidRPr="00AD2F44">
        <w:rPr>
          <w:i/>
          <w:iCs/>
        </w:rPr>
        <w:t>Cameron-Grant</w:t>
      </w:r>
      <w:r w:rsidRPr="00AD2F44">
        <w:t xml:space="preserve">, 347 F.3d at 1243; </w:t>
      </w:r>
      <w:r w:rsidRPr="00AD2F44">
        <w:rPr>
          <w:i/>
          <w:iCs/>
        </w:rPr>
        <w:t>Hipp</w:t>
      </w:r>
      <w:r w:rsidRPr="00AD2F44">
        <w:t>, 252 F.3d at 1218.</w:t>
      </w:r>
    </w:p>
  </w:footnote>
  <w:footnote w:id="69">
    <w:p w14:paraId="36DA03B1" w14:textId="77777777" w:rsidR="00721CCF" w:rsidRPr="00AD2F44" w:rsidRDefault="00F42107">
      <w:pPr>
        <w:pStyle w:val="14Footnote"/>
      </w:pPr>
      <w:r w:rsidRPr="00AD2F44">
        <w:rPr>
          <w:rStyle w:val="FootnoteReference"/>
        </w:rPr>
        <w:footnoteRef/>
      </w:r>
      <w:r w:rsidRPr="00AD2F44">
        <w:t>985 F.3d 430 (5th Cir. 2021).</w:t>
      </w:r>
    </w:p>
  </w:footnote>
  <w:footnote w:id="70">
    <w:p w14:paraId="64CC817A" w14:textId="77777777" w:rsidR="00721CCF" w:rsidRPr="00AD2F44" w:rsidRDefault="00F42107">
      <w:pPr>
        <w:pStyle w:val="14Footnote"/>
      </w:pPr>
      <w:r w:rsidRPr="00AD2F44">
        <w:rPr>
          <w:rStyle w:val="FootnoteReference"/>
        </w:rPr>
        <w:footnoteRef/>
      </w:r>
      <w:r w:rsidRPr="00AD2F44">
        <w:t xml:space="preserve">Prior to </w:t>
      </w:r>
      <w:r w:rsidRPr="00AD2F44">
        <w:rPr>
          <w:i/>
          <w:iCs/>
        </w:rPr>
        <w:t>Swales</w:t>
      </w:r>
      <w:r w:rsidRPr="00AD2F44">
        <w:t xml:space="preserve">, the Fifth Circuit had been one of the earliest courts to adopt the two-stage process, </w:t>
      </w:r>
      <w:r w:rsidRPr="00AD2F44">
        <w:rPr>
          <w:i/>
          <w:iCs/>
        </w:rPr>
        <w:t xml:space="preserve">see </w:t>
      </w:r>
      <w:r w:rsidRPr="00AD2F44">
        <w:t xml:space="preserve">Mooney v. Aramco Servs. Co., 54 F.3d 1207, 1213–14 (5th Cir. 1995), </w:t>
      </w:r>
      <w:r w:rsidRPr="00AD2F44">
        <w:rPr>
          <w:i/>
          <w:iCs/>
        </w:rPr>
        <w:t>overruled on other grounds by</w:t>
      </w:r>
      <w:r w:rsidRPr="00AD2F44">
        <w:t xml:space="preserve"> Desert Palace, Inc. v. Costa, 539 U.S. 90 (2003), and courts in the Fifth Circuit had generally applied a lenient standard at the first stage by following </w:t>
      </w:r>
      <w:r w:rsidRPr="00AD2F44">
        <w:rPr>
          <w:i/>
          <w:iCs/>
        </w:rPr>
        <w:t>Lusardi v. Xerox Corp.</w:t>
      </w:r>
      <w:r w:rsidRPr="00AD2F44">
        <w:t xml:space="preserve">, 118 F.R.D. 351 (D.N.J. 1987). </w:t>
      </w:r>
    </w:p>
  </w:footnote>
  <w:footnote w:id="71">
    <w:p w14:paraId="14901FE8" w14:textId="0CEC744B" w:rsidR="00721CCF" w:rsidRPr="00AD2F44" w:rsidRDefault="00F42107">
      <w:pPr>
        <w:pStyle w:val="14Footnote"/>
      </w:pPr>
      <w:r w:rsidRPr="00AD2F44">
        <w:rPr>
          <w:rStyle w:val="FootnoteReference"/>
        </w:rPr>
        <w:footnoteRef/>
      </w:r>
      <w:r w:rsidRPr="00AD2F44">
        <w:rPr>
          <w:i/>
          <w:iCs/>
        </w:rPr>
        <w:t>Swales</w:t>
      </w:r>
      <w:r w:rsidRPr="00AD2F44">
        <w:t xml:space="preserve">, 985 F.3d at 434. </w:t>
      </w:r>
    </w:p>
  </w:footnote>
  <w:footnote w:id="72">
    <w:p w14:paraId="240D0DFD" w14:textId="55D5692A" w:rsidR="00721CCF" w:rsidRPr="00AD2F44" w:rsidRDefault="00F42107" w:rsidP="00F23572">
      <w:pPr>
        <w:pStyle w:val="14Footnote"/>
      </w:pPr>
      <w:r w:rsidRPr="00AD2F44">
        <w:rPr>
          <w:rStyle w:val="FootnoteReference"/>
        </w:rPr>
        <w:footnoteRef/>
      </w:r>
      <w:r w:rsidRPr="00AD2F44">
        <w:rPr>
          <w:i/>
          <w:iCs/>
        </w:rPr>
        <w:t xml:space="preserve">See </w:t>
      </w:r>
      <w:r>
        <w:t xml:space="preserve">Williams v. </w:t>
      </w:r>
      <w:r>
        <w:t xml:space="preserve">D’Argent Franchising, LLC, </w:t>
      </w:r>
      <w:r w:rsidR="00C354A8" w:rsidRPr="00C354A8">
        <w:t>2023 BL 136665</w:t>
      </w:r>
      <w:r w:rsidR="00C354A8">
        <w:t xml:space="preserve">, </w:t>
      </w:r>
      <w:r w:rsidR="00535A54" w:rsidRPr="00535A54">
        <w:t xml:space="preserve">2023 WL 3059192 </w:t>
      </w:r>
      <w:r>
        <w:t xml:space="preserve">(W.D. La. Apr. 24, 2023) (following </w:t>
      </w:r>
      <w:r>
        <w:rPr>
          <w:i/>
          <w:iCs/>
        </w:rPr>
        <w:t xml:space="preserve">Swales </w:t>
      </w:r>
      <w:r>
        <w:t xml:space="preserve">and granting motion to certify collective action); </w:t>
      </w:r>
      <w:r w:rsidRPr="002F69CA">
        <w:t>Garcia-Alvarez v. Fogo De Chao Churrascaria (Pittsburgh) LLC</w:t>
      </w:r>
      <w:r>
        <w:t xml:space="preserve">, </w:t>
      </w:r>
      <w:r w:rsidR="002A312D" w:rsidRPr="002A312D">
        <w:t>2022 BL 204304</w:t>
      </w:r>
      <w:r w:rsidR="002A312D">
        <w:t xml:space="preserve">, </w:t>
      </w:r>
      <w:r w:rsidRPr="00EC386F">
        <w:t xml:space="preserve">2022 WL 2119542 </w:t>
      </w:r>
      <w:r w:rsidRPr="007071BD">
        <w:t>(E.D. Tex. June 13, 2022)</w:t>
      </w:r>
      <w:r>
        <w:t xml:space="preserve"> (following </w:t>
      </w:r>
      <w:r>
        <w:rPr>
          <w:i/>
          <w:iCs/>
        </w:rPr>
        <w:t>Swales</w:t>
      </w:r>
      <w:r>
        <w:t xml:space="preserve"> and determining plaintiffs made sufficient factual showing they and other servers were similarly situated for purposes of sending notice);</w:t>
      </w:r>
      <w:r>
        <w:rPr>
          <w:i/>
          <w:iCs/>
        </w:rPr>
        <w:t xml:space="preserve"> </w:t>
      </w:r>
      <w:r w:rsidRPr="00AD2F44">
        <w:t xml:space="preserve">Eltayeb v. Deli Mgmt., Inc., 2021 BL 475929, 2021 WL 5907781 (E.D. Tex. Dec. 14, 2021) (following </w:t>
      </w:r>
      <w:r w:rsidRPr="00AD2F44">
        <w:rPr>
          <w:i/>
          <w:iCs/>
        </w:rPr>
        <w:t>Swales</w:t>
      </w:r>
      <w:r w:rsidRPr="00AD2F44">
        <w:t xml:space="preserve"> and denying motion for notice to putative collective members; holding additional discovery was needed to determine if narrowed putative class of lower-earning delivery drivers were substantially similar); Fuller v. Jumpstar Enters., LLC, 2021 BL 464562, 2021 WL 5771935 (S.D. Tex. Dec. 6, 2021) (following </w:t>
      </w:r>
      <w:r w:rsidRPr="00AD2F44">
        <w:rPr>
          <w:i/>
          <w:iCs/>
        </w:rPr>
        <w:t>Swales</w:t>
      </w:r>
      <w:r w:rsidRPr="00AD2F44">
        <w:t xml:space="preserve"> and denying conditional certification motion, holding plaintiffs failed to satisfy rigorous analysis that putative collective was similarly situated); Rosales v. Industrial Sales &amp; Servs., LLC, 2021 BL 373523, 2021 WL 4480747 (S.D. Tex. Sept. 30, 2021) (following </w:t>
      </w:r>
      <w:r w:rsidRPr="00AD2F44">
        <w:rPr>
          <w:i/>
          <w:iCs/>
        </w:rPr>
        <w:t>Swales</w:t>
      </w:r>
      <w:r w:rsidRPr="00AD2F44">
        <w:t xml:space="preserve"> and denying without prejudice conditional certification motion for failure to demonstrate putative collective was similarly situated, given lack of evidence that plaintiff and putative collective members were similar in job duties that were not exempt under Motor Carrier Act, and that even with some evidence, inquiry into that exemption would devolve into individualized inquiries not suitable for collective treatment); Badon v. Preferred Caregivers &amp; Sitters, LLC, 2021 BL 295549, </w:t>
      </w:r>
      <w:r w:rsidRPr="00535A54">
        <w:rPr>
          <w:lang w:val="fr-FR"/>
        </w:rPr>
        <w:t xml:space="preserve">2021 WL 3418382 (E.D. La. Aug. 5, 2021) (following </w:t>
      </w:r>
      <w:r w:rsidRPr="00535A54">
        <w:rPr>
          <w:i/>
          <w:iCs/>
          <w:lang w:val="fr-FR"/>
        </w:rPr>
        <w:t>Swales</w:t>
      </w:r>
      <w:r w:rsidRPr="00535A54">
        <w:rPr>
          <w:lang w:val="fr-FR"/>
        </w:rPr>
        <w:t xml:space="preserve">’ rejection of </w:t>
      </w:r>
      <w:r w:rsidRPr="00535A54">
        <w:rPr>
          <w:i/>
          <w:iCs/>
          <w:lang w:val="fr-FR"/>
        </w:rPr>
        <w:t>Lusardi</w:t>
      </w:r>
      <w:r w:rsidRPr="00535A54">
        <w:rPr>
          <w:lang w:val="fr-FR"/>
        </w:rPr>
        <w:t xml:space="preserve"> two-step approach, denying certification given change, and directing parties to submit discovery plan for determination of similarly situated issue under </w:t>
      </w:r>
      <w:r w:rsidRPr="00535A54">
        <w:rPr>
          <w:i/>
          <w:iCs/>
          <w:lang w:val="fr-FR"/>
        </w:rPr>
        <w:t>Swales</w:t>
      </w:r>
      <w:r w:rsidRPr="00535A54">
        <w:rPr>
          <w:lang w:val="fr-FR"/>
        </w:rPr>
        <w:t>)</w:t>
      </w:r>
      <w:r w:rsidRPr="00AD2F44">
        <w:t xml:space="preserve">. </w:t>
      </w:r>
    </w:p>
  </w:footnote>
  <w:footnote w:id="73">
    <w:p w14:paraId="1250E7F5" w14:textId="35F370CA" w:rsidR="00721CCF" w:rsidRPr="00AD2F44" w:rsidRDefault="00F42107" w:rsidP="00F23572">
      <w:pPr>
        <w:pStyle w:val="14Footnote"/>
      </w:pPr>
      <w:r w:rsidRPr="00AD2F44">
        <w:rPr>
          <w:rStyle w:val="FootnoteReference"/>
        </w:rPr>
        <w:footnoteRef/>
      </w:r>
      <w:r w:rsidRPr="00AD2F44">
        <w:rPr>
          <w:i/>
          <w:iCs/>
        </w:rPr>
        <w:t xml:space="preserve">See </w:t>
      </w:r>
      <w:r w:rsidRPr="00AD2F44">
        <w:t>Bancroft v. 217 Bourbon, LLC, 2022 BL 492695, 2022 WL 19762095 (E.D. La. Jan. 26, 2022) (granting motion for notice to bartenders where evidence supported they were similarly situated as to defendant’s pay practices; denying without prejudice but allowing additional discovery for other restaurant workers to see if such evidence existed as to them); Hamm v. Acadia Healthcare Co., Inc., 2021 BL 469453, 2021 WL 5749900 (E.D. La. Oct. 19, 2021) (holding additional discovery required to determine if proposed collective was similarly situated because differing job titles and duties in description of proposed notice raised prospect of differing policies and practices regarding each category of employee); Alvarez v. NES Glob. LLC, 2021 BL 304890,</w:t>
      </w:r>
      <w:r w:rsidRPr="00AD2F44">
        <w:rPr>
          <w:rFonts w:ascii="Arial" w:eastAsia="Cambria" w:hAnsi="Arial" w:cs="Arial"/>
          <w:sz w:val="24"/>
        </w:rPr>
        <w:t xml:space="preserve"> </w:t>
      </w:r>
      <w:r w:rsidRPr="00AD2F44">
        <w:t>2021 WL 3571223 (S.D. Tex. Aug. 11, 2021) (granting certification, post-</w:t>
      </w:r>
      <w:r w:rsidRPr="00AD2F44">
        <w:rPr>
          <w:i/>
          <w:iCs/>
        </w:rPr>
        <w:t>Swales</w:t>
      </w:r>
      <w:r w:rsidRPr="00AD2F44">
        <w:t>, determining that salary basis test for highly compensated employees exemption could be determined collectively, and deferring whether duties test could be litigated collectively, rejecting defendant’s arguments that salary-basis inquiry required too many individualized determinations for notice);</w:t>
      </w:r>
      <w:r w:rsidRPr="00AD2F44">
        <w:rPr>
          <w:b/>
          <w:bCs/>
        </w:rPr>
        <w:t xml:space="preserve"> </w:t>
      </w:r>
      <w:r w:rsidRPr="00AD2F44">
        <w:t>Torres v. Chambers Protective Servs., Inc., 2021 BL 295201, 2021 WL 3419705 (N.D. Tex. Aug. 5, 2021) (post-</w:t>
      </w:r>
      <w:r w:rsidRPr="00AD2F44">
        <w:rPr>
          <w:i/>
          <w:iCs/>
        </w:rPr>
        <w:t>Swales</w:t>
      </w:r>
      <w:r w:rsidRPr="00AD2F44">
        <w:t xml:space="preserve">, explaining that courts rely on three factors from second step of </w:t>
      </w:r>
      <w:r w:rsidRPr="00AD2F44">
        <w:rPr>
          <w:i/>
          <w:iCs/>
        </w:rPr>
        <w:t xml:space="preserve">Lusardi </w:t>
      </w:r>
      <w:r w:rsidRPr="00AD2F44">
        <w:t xml:space="preserve">to assess whether workers are similarly situated at outset of case as required by </w:t>
      </w:r>
      <w:r w:rsidRPr="00AD2F44">
        <w:rPr>
          <w:i/>
          <w:iCs/>
        </w:rPr>
        <w:t xml:space="preserve">Swales </w:t>
      </w:r>
      <w:r w:rsidRPr="00AD2F44">
        <w:t xml:space="preserve">for notice to be sent: (1) disparate factual and employment settings of plaintiffs; (2) various defenses available to defendant and whether they are individual to each plaintiff; and (3) fairness and procedural considerations) (collecting cases). </w:t>
      </w:r>
    </w:p>
  </w:footnote>
  <w:footnote w:id="74">
    <w:p w14:paraId="1C04748F" w14:textId="548F272C" w:rsidR="00721CCF" w:rsidRPr="00AD2F44" w:rsidRDefault="00F42107" w:rsidP="000B6C5F">
      <w:pPr>
        <w:pStyle w:val="FootnoteText"/>
      </w:pPr>
      <w:r w:rsidRPr="00AD2F44">
        <w:rPr>
          <w:rStyle w:val="FootnoteReference"/>
        </w:rPr>
        <w:footnoteRef/>
      </w:r>
      <w:r w:rsidRPr="002F69CA">
        <w:rPr>
          <w:i/>
          <w:iCs/>
        </w:rPr>
        <w:t xml:space="preserve">See </w:t>
      </w:r>
    </w:p>
    <w:p w14:paraId="5030BA7C" w14:textId="3F11AE4C" w:rsidR="00721CCF" w:rsidRDefault="00F42107" w:rsidP="00F23572">
      <w:pPr>
        <w:pStyle w:val="14Footnote"/>
      </w:pPr>
      <w:r w:rsidRPr="00AD2F44">
        <w:rPr>
          <w:i/>
          <w:iCs/>
        </w:rPr>
        <w:t>First Circuit:</w:t>
      </w:r>
      <w:r w:rsidRPr="00AD2F44">
        <w:t xml:space="preserve"> Bah v. Enterprise Rent-A-Car Co. of Boston, LLC, 560 F. Supp. 3d 366 (D. Mass. 2021) (recognizing that First Circuit has not addressed appropriateness of two-step approach; rejecting defendants’ argument to abandon two-step process; denying defendants’ request to defer conditional certification in order to engage in limited discovery). </w:t>
      </w:r>
    </w:p>
    <w:p w14:paraId="4816351C" w14:textId="16C1E2C7" w:rsidR="00721CCF" w:rsidRPr="002F69CA" w:rsidRDefault="00F42107" w:rsidP="00F23572">
      <w:pPr>
        <w:pStyle w:val="14Footnote"/>
        <w:rPr>
          <w:rFonts w:ascii="Source Sans Pro" w:hAnsi="Source Sans Pro"/>
          <w:color w:val="3D3D3D"/>
          <w:shd w:val="clear" w:color="auto" w:fill="FFFFFF"/>
        </w:rPr>
      </w:pPr>
      <w:r>
        <w:rPr>
          <w:i/>
          <w:iCs/>
        </w:rPr>
        <w:t>Third Circuit</w:t>
      </w:r>
      <w:r>
        <w:t xml:space="preserve">: </w:t>
      </w:r>
      <w:r w:rsidRPr="009A6132">
        <w:t>Hagans v. Nat</w:t>
      </w:r>
      <w:r w:rsidR="00E118B8">
        <w:t>ional</w:t>
      </w:r>
      <w:r w:rsidRPr="009A6132">
        <w:t xml:space="preserve"> Mentor Healthcare, Inc.,</w:t>
      </w:r>
      <w:r w:rsidRPr="009A6132">
        <w:rPr>
          <w:rFonts w:ascii="Source Sans Pro" w:eastAsiaTheme="minorEastAsia" w:hAnsi="Source Sans Pro" w:cstheme="minorBidi"/>
          <w:color w:val="3D3D3D"/>
          <w:sz w:val="22"/>
          <w:szCs w:val="22"/>
          <w:shd w:val="clear" w:color="auto" w:fill="FFFFFF"/>
        </w:rPr>
        <w:t xml:space="preserve"> </w:t>
      </w:r>
      <w:r w:rsidR="00B3200D" w:rsidRPr="002F69CA">
        <w:rPr>
          <w:color w:val="3D3D3D"/>
          <w:shd w:val="clear" w:color="auto" w:fill="FFFFFF"/>
        </w:rPr>
        <w:t>2024 BL 206980</w:t>
      </w:r>
      <w:r w:rsidR="00B3200D">
        <w:rPr>
          <w:rFonts w:ascii="Source Sans Pro" w:hAnsi="Source Sans Pro"/>
          <w:color w:val="3D3D3D"/>
          <w:shd w:val="clear" w:color="auto" w:fill="FFFFFF"/>
        </w:rPr>
        <w:t xml:space="preserve">, </w:t>
      </w:r>
      <w:r w:rsidRPr="009A6132">
        <w:t>2023 WL 2554159</w:t>
      </w:r>
      <w:r>
        <w:t xml:space="preserve"> (D.N.J. Mar. 17, 2023) (</w:t>
      </w:r>
      <w:r w:rsidRPr="009A6132">
        <w:t>declin</w:t>
      </w:r>
      <w:r>
        <w:t xml:space="preserve">ing to adopt </w:t>
      </w:r>
      <w:r>
        <w:rPr>
          <w:i/>
          <w:iCs/>
        </w:rPr>
        <w:t>Swales</w:t>
      </w:r>
      <w:r>
        <w:t xml:space="preserve"> approach; </w:t>
      </w:r>
      <w:r w:rsidRPr="009A6132">
        <w:t>certif</w:t>
      </w:r>
      <w:r>
        <w:t>ying</w:t>
      </w:r>
      <w:r w:rsidRPr="009A6132">
        <w:t xml:space="preserve"> collective involving </w:t>
      </w:r>
      <w:r>
        <w:t>care p</w:t>
      </w:r>
      <w:r w:rsidRPr="009A6132">
        <w:t xml:space="preserve">roviders allegedly misclassified </w:t>
      </w:r>
      <w:r>
        <w:t>u</w:t>
      </w:r>
      <w:r w:rsidRPr="009A6132">
        <w:t>sing the first step’s lenient burden</w:t>
      </w:r>
      <w:r>
        <w:t xml:space="preserve">). </w:t>
      </w:r>
    </w:p>
    <w:p w14:paraId="2505659D" w14:textId="0D8F63E6" w:rsidR="00721CCF" w:rsidRPr="00535A54" w:rsidRDefault="00F42107" w:rsidP="00F23572">
      <w:pPr>
        <w:pStyle w:val="14Footnote"/>
        <w:rPr>
          <w:lang w:val="es-ES"/>
        </w:rPr>
      </w:pPr>
      <w:r w:rsidRPr="00AD2F44">
        <w:rPr>
          <w:i/>
          <w:iCs/>
        </w:rPr>
        <w:t xml:space="preserve">Fourth Circuit: </w:t>
      </w:r>
      <w:r>
        <w:t xml:space="preserve">Midkiff v. Anthem Co., Inc., </w:t>
      </w:r>
      <w:r w:rsidR="00E62179">
        <w:t xml:space="preserve">640 </w:t>
      </w:r>
      <w:r>
        <w:t xml:space="preserve">F. Supp. 3d. </w:t>
      </w:r>
      <w:r w:rsidR="00E62179">
        <w:t>486</w:t>
      </w:r>
      <w:r>
        <w:t xml:space="preserve"> (E.D. Va. 2022) (refusing to adopt approach from </w:t>
      </w:r>
      <w:r>
        <w:rPr>
          <w:i/>
          <w:iCs/>
        </w:rPr>
        <w:t xml:space="preserve">Swales </w:t>
      </w:r>
      <w:r>
        <w:t xml:space="preserve">over longstanding two-step process used by district courts in the Fourth Circuit); </w:t>
      </w:r>
      <w:r w:rsidRPr="00AD2F44">
        <w:t xml:space="preserve">Santos v. E&amp;R Servs., Inc., 2021 BL 489573, 2021 WL 6073039, at *3–4 (D. Md. Dec. 23, 2021) (rejecting defendants’ argument to apply </w:t>
      </w:r>
      <w:r w:rsidRPr="00AD2F44">
        <w:rPr>
          <w:i/>
          <w:iCs/>
        </w:rPr>
        <w:t>Swales</w:t>
      </w:r>
      <w:r w:rsidRPr="00AD2F44">
        <w:t xml:space="preserve"> “rigorous analysis” standard); Ison v. </w:t>
      </w:r>
      <w:r w:rsidRPr="00AD2F44">
        <w:t xml:space="preserve">Markwest Energy Partners, LP, 2021 BL 482102, </w:t>
      </w:r>
      <w:r w:rsidRPr="00535A54">
        <w:rPr>
          <w:lang w:val="es-ES"/>
        </w:rPr>
        <w:t xml:space="preserve">2021 WL 5989084 (S.D. W. Va. Dec. 17, 2021) (rejecting defendant’s argument to follow </w:t>
      </w:r>
      <w:r w:rsidRPr="00535A54">
        <w:rPr>
          <w:i/>
          <w:iCs/>
          <w:lang w:val="es-ES"/>
        </w:rPr>
        <w:t>Swales</w:t>
      </w:r>
      <w:r w:rsidRPr="00535A54">
        <w:rPr>
          <w:lang w:val="es-ES"/>
        </w:rPr>
        <w:t xml:space="preserve"> in favor of two-step approach; granting plaintiffs’ motion for conditional certification for satisfying modest evidentiary standard).</w:t>
      </w:r>
    </w:p>
    <w:p w14:paraId="2D27763C" w14:textId="50F830A4" w:rsidR="00721CCF" w:rsidRPr="00AD2F44" w:rsidRDefault="00F42107" w:rsidP="00F23572">
      <w:pPr>
        <w:pStyle w:val="14Footnote"/>
      </w:pPr>
      <w:r w:rsidRPr="00535A54">
        <w:rPr>
          <w:i/>
          <w:iCs/>
          <w:lang w:val="es-ES"/>
        </w:rPr>
        <w:t xml:space="preserve">Sixth Circuit: </w:t>
      </w:r>
      <w:r w:rsidRPr="00800B8E">
        <w:t>Cottrell v. Triple J Trucking, Inc.</w:t>
      </w:r>
      <w:r>
        <w:t xml:space="preserve">, </w:t>
      </w:r>
      <w:r w:rsidR="00B3200D" w:rsidRPr="00B3200D">
        <w:t>2023 BL 148488</w:t>
      </w:r>
      <w:r w:rsidR="00B3200D">
        <w:t xml:space="preserve">, </w:t>
      </w:r>
      <w:r w:rsidRPr="0052265E">
        <w:t xml:space="preserve">2023 WL 3216766 </w:t>
      </w:r>
      <w:r w:rsidRPr="00800B8E">
        <w:t>(W.D. Ky. May 2, 2023)</w:t>
      </w:r>
      <w:r>
        <w:t xml:space="preserve"> (refusing</w:t>
      </w:r>
      <w:r w:rsidRPr="00800B8E">
        <w:t xml:space="preserve"> to adopt </w:t>
      </w:r>
      <w:r w:rsidRPr="002F69CA">
        <w:rPr>
          <w:i/>
          <w:iCs/>
        </w:rPr>
        <w:t>Swales</w:t>
      </w:r>
      <w:r w:rsidRPr="00800B8E">
        <w:t xml:space="preserve"> approach</w:t>
      </w:r>
      <w:r>
        <w:t xml:space="preserve">, </w:t>
      </w:r>
      <w:r w:rsidRPr="00800B8E">
        <w:t>follow</w:t>
      </w:r>
      <w:r>
        <w:t>ing</w:t>
      </w:r>
      <w:r w:rsidRPr="00800B8E">
        <w:t xml:space="preserve"> the two-step lenient standard</w:t>
      </w:r>
      <w:r>
        <w:t>; holding</w:t>
      </w:r>
      <w:r w:rsidRPr="00800B8E">
        <w:t xml:space="preserve"> plaintiff’s declaration provided sufficient evidence drivers were similarly situated to authorize notice</w:t>
      </w:r>
      <w:r>
        <w:t xml:space="preserve">); </w:t>
      </w:r>
      <w:r w:rsidRPr="00AD2F44">
        <w:t xml:space="preserve">Branson v. Alliance Coal, LLC, 2021 BL 184875, 2021 WL 1550571, at *3–4 (W.D. Ky. Apr. 20, 2021) (noting that Sixth Circuit permits but does not require use of two-step certification process and that district courts in Sixth Circuit regularly use it; declining to follow </w:t>
      </w:r>
      <w:r w:rsidRPr="00AD2F44">
        <w:rPr>
          <w:i/>
          <w:iCs/>
        </w:rPr>
        <w:t>Swales’</w:t>
      </w:r>
      <w:r w:rsidRPr="00AD2F44">
        <w:t xml:space="preserve"> abandonment of two-step certification process and distinguishing </w:t>
      </w:r>
      <w:r w:rsidRPr="00AD2F44">
        <w:rPr>
          <w:i/>
          <w:iCs/>
        </w:rPr>
        <w:t>Swales,</w:t>
      </w:r>
      <w:r w:rsidRPr="00AD2F44">
        <w:t xml:space="preserve"> noting that “significant discovery” had not yet taken place and similarly situated question was divorced from merits).</w:t>
      </w:r>
    </w:p>
    <w:p w14:paraId="251541FB" w14:textId="0765E149" w:rsidR="00721CCF" w:rsidRPr="00AD2F44" w:rsidRDefault="00F42107" w:rsidP="00F23572">
      <w:pPr>
        <w:pStyle w:val="14Footnote"/>
      </w:pPr>
      <w:r w:rsidRPr="00AD2F44">
        <w:rPr>
          <w:i/>
          <w:iCs/>
        </w:rPr>
        <w:t>Eighth Circuit:</w:t>
      </w:r>
      <w:r w:rsidRPr="00AD2F44">
        <w:t xml:space="preserve"> Clark v. Southwestern Energy Co., 2022 BL 114838, 2022 WL 993755 (E.D. Ark. Mar. 31, 2022) (declining to adopt </w:t>
      </w:r>
      <w:r w:rsidRPr="00AD2F44">
        <w:rPr>
          <w:i/>
          <w:iCs/>
        </w:rPr>
        <w:t>Swales</w:t>
      </w:r>
      <w:r w:rsidRPr="00AD2F44">
        <w:t xml:space="preserve"> approach to abandon two-step framework, denying conditional certification based on one affidavit and vague allegations); Rodriguez v. Cutchall, 2021 BL 440316, 2021 WL 5911322 (D. Neb. Nov. 16, 2021) (declining to adopt </w:t>
      </w:r>
      <w:r w:rsidRPr="00AD2F44">
        <w:rPr>
          <w:i/>
          <w:iCs/>
        </w:rPr>
        <w:t>Swales</w:t>
      </w:r>
      <w:r w:rsidRPr="00AD2F44">
        <w:t xml:space="preserve"> approach, granting conditional certification where plaintiffs provided evidence of single pay policy that governed all delivery drivers). </w:t>
      </w:r>
    </w:p>
    <w:p w14:paraId="478D2044" w14:textId="5C6EE55C" w:rsidR="00721CCF" w:rsidRPr="00AD2F44" w:rsidRDefault="00F42107" w:rsidP="00F23572">
      <w:pPr>
        <w:pStyle w:val="14Footnote"/>
      </w:pPr>
      <w:r w:rsidRPr="00AD2F44">
        <w:rPr>
          <w:i/>
          <w:iCs/>
        </w:rPr>
        <w:t>Tenth Circuit:</w:t>
      </w:r>
      <w:r w:rsidRPr="00AD2F44">
        <w:t xml:space="preserve"> </w:t>
      </w:r>
      <w:r w:rsidRPr="00800B8E">
        <w:t>Spencer v. Mental Health Res., Inc.,</w:t>
      </w:r>
      <w:r>
        <w:t xml:space="preserve"> </w:t>
      </w:r>
      <w:r w:rsidR="00B3200D" w:rsidRPr="00B3200D">
        <w:t>2022 BL 267100</w:t>
      </w:r>
      <w:r w:rsidR="00B3200D">
        <w:t xml:space="preserve">, </w:t>
      </w:r>
      <w:r w:rsidRPr="0052265E">
        <w:t xml:space="preserve">2022 WL 3031839 </w:t>
      </w:r>
      <w:r w:rsidRPr="00800B8E">
        <w:t>(D.N.M. Aug. 1, 2022)</w:t>
      </w:r>
      <w:r>
        <w:t xml:space="preserve"> (granting conditional certification and </w:t>
      </w:r>
      <w:r w:rsidRPr="00800B8E">
        <w:t>reason</w:t>
      </w:r>
      <w:r>
        <w:t>ing</w:t>
      </w:r>
      <w:r w:rsidRPr="00800B8E">
        <w:t xml:space="preserve"> </w:t>
      </w:r>
      <w:r w:rsidRPr="002F69CA">
        <w:rPr>
          <w:i/>
          <w:iCs/>
        </w:rPr>
        <w:t>Swales</w:t>
      </w:r>
      <w:r w:rsidRPr="00800B8E">
        <w:t xml:space="preserve"> was not applicable because the two-step process was favored in the Tenth Circuit</w:t>
      </w:r>
      <w:r>
        <w:t xml:space="preserve">); </w:t>
      </w:r>
      <w:r w:rsidRPr="00AD2F44">
        <w:t xml:space="preserve">Buffington v. Ovintiv USA Inc., 2021 BL 268244, 2021 WL 3021464 (D. Colo. July 16, 2021), </w:t>
      </w:r>
      <w:r w:rsidRPr="00AD2F44">
        <w:rPr>
          <w:i/>
        </w:rPr>
        <w:t>motion to certify appeal denied</w:t>
      </w:r>
      <w:r w:rsidRPr="00AD2F44">
        <w:t xml:space="preserve">, 2021 WL 3726195 (D. Colo. Aug. 23, 2021) (rejecting defendants’ argument to adopt </w:t>
      </w:r>
      <w:r w:rsidRPr="00AD2F44">
        <w:rPr>
          <w:i/>
          <w:iCs/>
        </w:rPr>
        <w:t>Swales</w:t>
      </w:r>
      <w:r w:rsidRPr="00AD2F44">
        <w:t xml:space="preserve"> and abandon two-step framework; granting conditional certification of nationwide collective of safety consultants). </w:t>
      </w:r>
    </w:p>
    <w:p w14:paraId="1687229D" w14:textId="35553D4C" w:rsidR="00721CCF" w:rsidRPr="002F69CA" w:rsidRDefault="00F42107" w:rsidP="00535A54">
      <w:pPr>
        <w:pStyle w:val="14Footnote"/>
      </w:pPr>
      <w:r w:rsidRPr="00535A54">
        <w:rPr>
          <w:i/>
          <w:iCs/>
          <w:lang w:val="es-ES"/>
        </w:rPr>
        <w:t xml:space="preserve">Eleventh Circuit: </w:t>
      </w:r>
      <w:r w:rsidRPr="00AD2F44">
        <w:t xml:space="preserve">Manasco v. Best In Town, Inc., 2022 BL 90790, 2022 WL 816469 (N.D. Ala. Mar. 17, 2022) (relying on two step certification process described in </w:t>
      </w:r>
      <w:r w:rsidRPr="00AD2F44">
        <w:rPr>
          <w:i/>
          <w:iCs/>
        </w:rPr>
        <w:t>Hipp v. Liberty Nat’l Life Ins. Co.,</w:t>
      </w:r>
      <w:r w:rsidRPr="00AD2F44">
        <w:t xml:space="preserve"> 252 F.3d 1208 (11th Cir. 2001) and refusing to adopt </w:t>
      </w:r>
      <w:r w:rsidRPr="00AD2F44">
        <w:rPr>
          <w:i/>
          <w:iCs/>
        </w:rPr>
        <w:t>Swales</w:t>
      </w:r>
      <w:r w:rsidRPr="00AD2F44">
        <w:t xml:space="preserve">). </w:t>
      </w:r>
    </w:p>
  </w:footnote>
  <w:footnote w:id="75">
    <w:p w14:paraId="262DDFF1" w14:textId="5B664D2A" w:rsidR="00535A54" w:rsidRDefault="00F42107" w:rsidP="000B6C5F">
      <w:pPr>
        <w:pStyle w:val="FootnoteText"/>
      </w:pPr>
      <w:r>
        <w:rPr>
          <w:rStyle w:val="FootnoteReference"/>
        </w:rPr>
        <w:footnoteRef/>
      </w:r>
      <w:r w:rsidRPr="00535A54">
        <w:t xml:space="preserve">Mathews v. U.S. Today Sports Media Grp. LLC, </w:t>
      </w:r>
      <w:r w:rsidR="00ED4938" w:rsidRPr="00ED4938">
        <w:t>2023 BL 185900</w:t>
      </w:r>
      <w:r w:rsidR="00ED4938">
        <w:t xml:space="preserve">, </w:t>
      </w:r>
      <w:r w:rsidRPr="00535A54">
        <w:t>2023 WL 3676795 (E.D. Va. Apr</w:t>
      </w:r>
      <w:r w:rsidR="000B6C5F">
        <w:t>.</w:t>
      </w:r>
      <w:r w:rsidRPr="00535A54">
        <w:t xml:space="preserve"> 14, 2023) (applying standard adopted by </w:t>
      </w:r>
      <w:r w:rsidRPr="00535A54">
        <w:rPr>
          <w:i/>
          <w:iCs/>
        </w:rPr>
        <w:t>Swales</w:t>
      </w:r>
      <w:r w:rsidRPr="00535A54">
        <w:t>, reasoning it was the standard authorized by the text of the FLSA; authorizing limited discovery to determine whether others were similarly situated to plaintiff during the relevant time period)</w:t>
      </w:r>
      <w:r>
        <w:t xml:space="preserve">; </w:t>
      </w:r>
      <w:r w:rsidRPr="00535A54">
        <w:t xml:space="preserve">Broome v. CRST Malone, Inc., 2022 BL 20864, 2022 WL 205675, at *5 (N.D. Ala. Jan. 21, 2022) (finding </w:t>
      </w:r>
      <w:r w:rsidRPr="00535A54">
        <w:rPr>
          <w:i/>
          <w:iCs/>
        </w:rPr>
        <w:t xml:space="preserve">Swales </w:t>
      </w:r>
      <w:r w:rsidRPr="00535A54">
        <w:t>“helpful” because its “process promotes efficiency” and relying on it to evaluate whether to issue notice)</w:t>
      </w:r>
      <w:r>
        <w:t>.</w:t>
      </w:r>
    </w:p>
    <w:p w14:paraId="278FBEF3" w14:textId="08F7D187" w:rsidR="00535A54" w:rsidRDefault="00F42107" w:rsidP="000B6C5F">
      <w:pPr>
        <w:pStyle w:val="FootnoteText"/>
      </w:pPr>
      <w:r>
        <w:t xml:space="preserve">  </w:t>
      </w:r>
    </w:p>
  </w:footnote>
  <w:footnote w:id="76">
    <w:p w14:paraId="70B57CEF" w14:textId="43B82382" w:rsidR="00721CCF" w:rsidRPr="00AD2F44" w:rsidRDefault="00F42107" w:rsidP="00F23572">
      <w:pPr>
        <w:pStyle w:val="14Footnote"/>
      </w:pPr>
      <w:r w:rsidRPr="00AD2F44">
        <w:rPr>
          <w:rStyle w:val="FootnoteReference"/>
        </w:rPr>
        <w:footnoteRef/>
      </w:r>
      <w:r w:rsidRPr="00AD2F44">
        <w:rPr>
          <w:i/>
          <w:iCs/>
        </w:rPr>
        <w:t>In re</w:t>
      </w:r>
      <w:r w:rsidRPr="00AD2F44">
        <w:t xml:space="preserve"> New Albertsons, Inc., 2021 BL 338816, 2021 WL 4028428 (7th Cir. Sept. 1, 2021). </w:t>
      </w:r>
    </w:p>
  </w:footnote>
  <w:footnote w:id="77">
    <w:p w14:paraId="2DF7B420" w14:textId="21F187E3" w:rsidR="00721CCF" w:rsidRPr="00AD2F44" w:rsidRDefault="00F42107" w:rsidP="00F23572">
      <w:pPr>
        <w:pStyle w:val="14Footnote"/>
      </w:pPr>
      <w:r w:rsidRPr="00AD2F44">
        <w:rPr>
          <w:rStyle w:val="FootnoteReference"/>
        </w:rPr>
        <w:footnoteRef/>
      </w:r>
      <w:r w:rsidRPr="00AD2F44">
        <w:t xml:space="preserve">68 F.4th 1003 (6th Cir. 2023). </w:t>
      </w:r>
    </w:p>
  </w:footnote>
  <w:footnote w:id="78">
    <w:p w14:paraId="01A44624" w14:textId="5602C174" w:rsidR="00721CCF" w:rsidRPr="00AD2F44" w:rsidRDefault="00F42107" w:rsidP="00F23572">
      <w:pPr>
        <w:pStyle w:val="14Footnote"/>
      </w:pPr>
      <w:r w:rsidRPr="00AD2F44">
        <w:rPr>
          <w:rStyle w:val="FootnoteReference"/>
        </w:rPr>
        <w:footnoteRef/>
      </w:r>
      <w:r w:rsidRPr="00AD2F44">
        <w:rPr>
          <w:i/>
          <w:iCs/>
        </w:rPr>
        <w:t>Id.</w:t>
      </w:r>
      <w:r w:rsidRPr="00AD2F44">
        <w:t xml:space="preserve"> at 1010–11.</w:t>
      </w:r>
    </w:p>
  </w:footnote>
  <w:footnote w:id="79">
    <w:p w14:paraId="771FE4DC" w14:textId="50AB5622" w:rsidR="00721CCF" w:rsidRPr="00AD2F44" w:rsidRDefault="00F42107" w:rsidP="00F23572">
      <w:pPr>
        <w:pStyle w:val="14Footnote"/>
      </w:pPr>
      <w:r w:rsidRPr="00AD2F44">
        <w:rPr>
          <w:rStyle w:val="FootnoteReference"/>
        </w:rPr>
        <w:footnoteRef/>
      </w:r>
      <w:r w:rsidRPr="00AD2F44">
        <w:rPr>
          <w:i/>
          <w:iCs/>
        </w:rPr>
        <w:t>Id.</w:t>
      </w:r>
      <w:r w:rsidRPr="00AD2F44">
        <w:t xml:space="preserve"> at 1011.</w:t>
      </w:r>
    </w:p>
  </w:footnote>
  <w:footnote w:id="80">
    <w:p w14:paraId="636F7277" w14:textId="76CC2864" w:rsidR="00721CCF" w:rsidRPr="00AD2F44" w:rsidRDefault="00F42107" w:rsidP="00F23572">
      <w:pPr>
        <w:pStyle w:val="14Footnote"/>
      </w:pPr>
      <w:r w:rsidRPr="00AD2F44">
        <w:rPr>
          <w:rStyle w:val="FootnoteReference"/>
        </w:rPr>
        <w:footnoteRef/>
      </w:r>
      <w:r w:rsidRPr="00AD2F44">
        <w:rPr>
          <w:i/>
          <w:iCs/>
        </w:rPr>
        <w:t>Id</w:t>
      </w:r>
      <w:r w:rsidRPr="00AD2F44">
        <w:t>.</w:t>
      </w:r>
    </w:p>
  </w:footnote>
  <w:footnote w:id="81">
    <w:p w14:paraId="2A2AE304" w14:textId="55E1F3A4" w:rsidR="00721CCF" w:rsidRPr="00AD2F44" w:rsidRDefault="00F42107" w:rsidP="00F23572">
      <w:pPr>
        <w:pStyle w:val="14Footnote"/>
      </w:pPr>
      <w:r w:rsidRPr="00AD2F44">
        <w:rPr>
          <w:rStyle w:val="FootnoteReference"/>
        </w:rPr>
        <w:footnoteRef/>
      </w:r>
      <w:r w:rsidRPr="00AD2F44">
        <w:rPr>
          <w:i/>
          <w:iCs/>
        </w:rPr>
        <w:t>Id</w:t>
      </w:r>
      <w:r w:rsidRPr="00AD2F44">
        <w:t>.</w:t>
      </w:r>
    </w:p>
  </w:footnote>
  <w:footnote w:id="82">
    <w:p w14:paraId="7824C10C" w14:textId="77777777" w:rsidR="00721CCF" w:rsidRPr="00AD2F44" w:rsidRDefault="00F42107">
      <w:pPr>
        <w:pStyle w:val="14Footnote"/>
      </w:pPr>
      <w:r w:rsidRPr="00AD2F44">
        <w:rPr>
          <w:vertAlign w:val="superscript"/>
        </w:rPr>
        <w:footnoteRef/>
      </w:r>
      <w:r w:rsidRPr="00AD2F44">
        <w:t xml:space="preserve">29 U.S.C. §216(b); </w:t>
      </w:r>
      <w:r w:rsidRPr="00AD2F44">
        <w:rPr>
          <w:i/>
          <w:iCs/>
        </w:rPr>
        <w:t>see, e.g.</w:t>
      </w:r>
      <w:r w:rsidRPr="00AD2F44">
        <w:t>,</w:t>
      </w:r>
    </w:p>
    <w:p w14:paraId="350EEB49" w14:textId="77777777" w:rsidR="00721CCF" w:rsidRPr="00AD2F44" w:rsidRDefault="00F42107">
      <w:pPr>
        <w:pStyle w:val="14Footnote"/>
      </w:pPr>
      <w:r w:rsidRPr="00AD2F44">
        <w:rPr>
          <w:i/>
          <w:iCs/>
        </w:rPr>
        <w:t>First Circuit:</w:t>
      </w:r>
      <w:r w:rsidRPr="00AD2F44">
        <w:t xml:space="preserve"> </w:t>
      </w:r>
      <w:r w:rsidRPr="00AD2F44">
        <w:rPr>
          <w:i/>
          <w:iCs/>
        </w:rPr>
        <w:t>Trezvant</w:t>
      </w:r>
      <w:r w:rsidRPr="00AD2F44">
        <w:t>, 434 F. Supp. 2d at 44.</w:t>
      </w:r>
    </w:p>
    <w:p w14:paraId="1865282A" w14:textId="77777777" w:rsidR="00721CCF" w:rsidRPr="00AD2F44" w:rsidRDefault="00F42107">
      <w:pPr>
        <w:pStyle w:val="14Footnote"/>
      </w:pPr>
      <w:r w:rsidRPr="00AD2F44">
        <w:rPr>
          <w:i/>
          <w:iCs/>
        </w:rPr>
        <w:t>Second Circuit:</w:t>
      </w:r>
      <w:r w:rsidRPr="00AD2F44">
        <w:t xml:space="preserve"> Myers v. Hertz Corp., 624 F.3d 537, 554–55 (2d Cir. 2010).</w:t>
      </w:r>
    </w:p>
    <w:p w14:paraId="7BC28229" w14:textId="77777777" w:rsidR="00721CCF" w:rsidRPr="00AD2F44" w:rsidRDefault="00F42107">
      <w:pPr>
        <w:pStyle w:val="14Footnote"/>
      </w:pPr>
      <w:r w:rsidRPr="00AD2F44">
        <w:rPr>
          <w:i/>
          <w:iCs/>
        </w:rPr>
        <w:t>Third Circuit:</w:t>
      </w:r>
      <w:r w:rsidRPr="00AD2F44">
        <w:t xml:space="preserve"> Zavala v. Wal-Mart Stores Inc., 691 F.3d 527, 535–37 (3d Cir. 2012).</w:t>
      </w:r>
    </w:p>
    <w:p w14:paraId="700853DB" w14:textId="77777777" w:rsidR="00721CCF" w:rsidRPr="00AD2F44" w:rsidRDefault="00F42107">
      <w:pPr>
        <w:pStyle w:val="14Footnote"/>
      </w:pPr>
      <w:r w:rsidRPr="00AD2F44">
        <w:rPr>
          <w:i/>
          <w:iCs/>
        </w:rPr>
        <w:t>Fourth Circuit:</w:t>
      </w:r>
      <w:r w:rsidRPr="00AD2F44">
        <w:t xml:space="preserve"> Quinteros v. Sparkle Cleaning, Inc., 532 F. Supp. 2d 762, 772, n.6 (D. Md. 2008).</w:t>
      </w:r>
    </w:p>
    <w:p w14:paraId="0A85E73B" w14:textId="77777777" w:rsidR="00721CCF" w:rsidRPr="00AD2F44" w:rsidRDefault="00F42107">
      <w:pPr>
        <w:pStyle w:val="14Footnote"/>
      </w:pPr>
      <w:r w:rsidRPr="00AD2F44">
        <w:rPr>
          <w:i/>
          <w:iCs/>
        </w:rPr>
        <w:t>Fifth Circuit:</w:t>
      </w:r>
      <w:r w:rsidRPr="00AD2F44">
        <w:t xml:space="preserve"> </w:t>
      </w:r>
      <w:r w:rsidRPr="00AD2F44">
        <w:rPr>
          <w:i/>
          <w:iCs/>
        </w:rPr>
        <w:t>Mooney</w:t>
      </w:r>
      <w:r w:rsidRPr="00AD2F44">
        <w:t xml:space="preserve">, 54 F.3d at 1214.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4E0480D9" w14:textId="77777777" w:rsidR="00721CCF" w:rsidRPr="00AD2F44" w:rsidRDefault="00F42107">
      <w:pPr>
        <w:pStyle w:val="14Footnote"/>
      </w:pPr>
      <w:r w:rsidRPr="00AD2F44">
        <w:rPr>
          <w:i/>
          <w:iCs/>
        </w:rPr>
        <w:t>Sixth Circuit:</w:t>
      </w:r>
      <w:r w:rsidRPr="00AD2F44">
        <w:t xml:space="preserve"> White v. MPW Indus. Servs., 236 F.R.D. 363, 366 (E.D. Tenn. 2006); Thomas v. Speedway </w:t>
      </w:r>
      <w:r w:rsidRPr="00AD2F44">
        <w:t>Superamerica, LLC, 2005 U.S. Dist. LEXIS 45286, at *7 (S.D. Ohio Sept. 13, 2005).</w:t>
      </w:r>
    </w:p>
    <w:p w14:paraId="1DCFEA70" w14:textId="77777777" w:rsidR="00721CCF" w:rsidRPr="00AD2F44" w:rsidRDefault="00F42107">
      <w:pPr>
        <w:pStyle w:val="14Footnote"/>
      </w:pPr>
      <w:r w:rsidRPr="00AD2F44">
        <w:rPr>
          <w:i/>
          <w:iCs/>
        </w:rPr>
        <w:t>Seventh Circuit:</w:t>
      </w:r>
      <w:r w:rsidRPr="00AD2F44">
        <w:t xml:space="preserve"> Jones v. Furniture Bargains, LLC, 2009 U.S. Dist. LEXIS 94689, at *5 (N.D. Ill. Oct. 9, 2009); DeKeyser v. Thyssenkrupp Waupaca, Inc., 2008 U.S. Dist. LEXIS 102318, at *6 (E.D. Wis. Dec. 18, 2008).</w:t>
      </w:r>
    </w:p>
    <w:p w14:paraId="4C6189DA" w14:textId="77777777" w:rsidR="00721CCF" w:rsidRPr="00AD2F44" w:rsidRDefault="00F42107">
      <w:pPr>
        <w:pStyle w:val="14Footnote"/>
      </w:pPr>
      <w:r w:rsidRPr="00AD2F44">
        <w:rPr>
          <w:i/>
          <w:iCs/>
        </w:rPr>
        <w:t>Eighth Circuit:</w:t>
      </w:r>
      <w:r w:rsidRPr="00AD2F44">
        <w:t xml:space="preserve"> Bouaphakeo v. Tyson Foods, Inc., 765 F.3d 791, 796 (8th Cir. 2014).</w:t>
      </w:r>
    </w:p>
    <w:p w14:paraId="54F24EC1" w14:textId="77777777" w:rsidR="00721CCF" w:rsidRPr="00AD2F44" w:rsidRDefault="00F42107">
      <w:pPr>
        <w:pStyle w:val="14Footnote"/>
      </w:pPr>
      <w:r w:rsidRPr="00AD2F44">
        <w:rPr>
          <w:i/>
          <w:iCs/>
        </w:rPr>
        <w:t>Ninth Circuit:</w:t>
      </w:r>
      <w:r w:rsidRPr="00AD2F44">
        <w:t xml:space="preserve"> Edwards v. City of Long Beach, 467 F. Supp. 2d 986, 990 (C.D. Cal. 2006); Leuthold v. Destination Am., Inc., 224 F.R.D. 462, 466 (N.D. Cal. 2004).</w:t>
      </w:r>
    </w:p>
    <w:p w14:paraId="6EC424CB" w14:textId="58815ECD" w:rsidR="00721CCF" w:rsidRPr="00AD2F44" w:rsidRDefault="00F42107">
      <w:pPr>
        <w:pStyle w:val="14Footnote"/>
      </w:pPr>
      <w:r w:rsidRPr="00AD2F44">
        <w:rPr>
          <w:i/>
          <w:iCs/>
        </w:rPr>
        <w:t>Eleventh Circuit:</w:t>
      </w:r>
      <w:r w:rsidRPr="00AD2F44">
        <w:t xml:space="preserve"> Cameron-Grant v. Maxim Healthcare Serv., Inc., 347 F.3d 1240, 1243 (11th Cir. 2003); </w:t>
      </w:r>
      <w:r w:rsidRPr="00AD2F44">
        <w:rPr>
          <w:i/>
          <w:iCs/>
        </w:rPr>
        <w:t>Hipp</w:t>
      </w:r>
      <w:r w:rsidRPr="00AD2F44">
        <w:t>, 252 F.3d at 1218; Grayson v. K Mart Corp., 79 F.3d 1086, 1097 (11th Cir. 1996).</w:t>
      </w:r>
    </w:p>
  </w:footnote>
  <w:footnote w:id="83">
    <w:p w14:paraId="75C4620D" w14:textId="77777777" w:rsidR="00721CCF" w:rsidRPr="00AD2F44" w:rsidRDefault="00F42107">
      <w:pPr>
        <w:pStyle w:val="14Footnote"/>
      </w:pPr>
      <w:r w:rsidRPr="00AD2F44">
        <w:rPr>
          <w:vertAlign w:val="superscript"/>
        </w:rPr>
        <w:footnoteRef/>
      </w:r>
      <w:r w:rsidRPr="00AD2F44">
        <w:rPr>
          <w:i/>
        </w:rPr>
        <w:t xml:space="preserve">See, e.g., </w:t>
      </w:r>
    </w:p>
    <w:p w14:paraId="09F2728E" w14:textId="77777777" w:rsidR="00721CCF" w:rsidRPr="00AD2F44" w:rsidRDefault="00F42107">
      <w:pPr>
        <w:pStyle w:val="14Footnote"/>
      </w:pPr>
      <w:r w:rsidRPr="00AD2F44">
        <w:rPr>
          <w:i/>
          <w:iCs/>
        </w:rPr>
        <w:t>First Circuit:</w:t>
      </w:r>
      <w:r w:rsidRPr="00AD2F44">
        <w:t xml:space="preserve"> </w:t>
      </w:r>
      <w:r w:rsidRPr="00AD2F44">
        <w:rPr>
          <w:i/>
          <w:iCs/>
        </w:rPr>
        <w:t>Trezvant</w:t>
      </w:r>
      <w:r w:rsidRPr="00AD2F44">
        <w:t>, 434 F. Supp. 2d at 43.</w:t>
      </w:r>
    </w:p>
    <w:p w14:paraId="35215F5E" w14:textId="09BC2812" w:rsidR="00721CCF" w:rsidRPr="00AD2F44" w:rsidRDefault="00F42107">
      <w:pPr>
        <w:pStyle w:val="14Footnote"/>
      </w:pPr>
      <w:r w:rsidRPr="00AD2F44">
        <w:rPr>
          <w:i/>
          <w:iCs/>
        </w:rPr>
        <w:t>Second Circuit:</w:t>
      </w:r>
      <w:r w:rsidRPr="00AD2F44">
        <w:t xml:space="preserve"> Myers v. Hertz Corp., 624 F.3d 537, 555 (2d Cir. 2010); </w:t>
      </w:r>
      <w:r>
        <w:t xml:space="preserve">Zimnicki v. Krysiak Constr. Corp., </w:t>
      </w:r>
      <w:r w:rsidR="00846456" w:rsidRPr="00846456">
        <w:t>2022 BL 459417</w:t>
      </w:r>
      <w:r w:rsidR="00846456">
        <w:t xml:space="preserve">, </w:t>
      </w:r>
      <w:r w:rsidR="004F4D61" w:rsidRPr="004F4D61">
        <w:t>2022 WL 17820139</w:t>
      </w:r>
      <w:r>
        <w:t xml:space="preserve"> (E.D.N.Y. Sept. 27, 2022) (employing modest factual showing standard and noting two declarations was sufficient, even one would be); </w:t>
      </w:r>
      <w:r w:rsidRPr="00AD2F44">
        <w:t>Spack v. Trans World Entm’t Corp., 2019 WL 192344 (N.D.N.Y. Jan 15, 2019) (rejecting employer’s argument for imposition of “modest plus” standard in light of extensive discovery produced); Gauman v. DL Rest. Dev. LLC, 2015 WL 6526440 (S.D.N.Y. Oct. 27, 2015) (rejecting defendant’s argument that plaintiff can never meet conditional certification burden using only plaintiff’s declaration); Aros v. United Rentals, Inc., 269 F.R.D. 176, 179–80 (D. Conn. 2010);</w:t>
      </w:r>
      <w:r w:rsidRPr="00AD2F44">
        <w:rPr>
          <w:b/>
          <w:bCs/>
        </w:rPr>
        <w:t xml:space="preserve"> </w:t>
      </w:r>
      <w:r w:rsidRPr="00AD2F44">
        <w:t>Hoffman v. Sbarro, 982 F. Supp. 249, 261 (S.D.N.Y. 1997).</w:t>
      </w:r>
    </w:p>
    <w:p w14:paraId="5C547250" w14:textId="77777777" w:rsidR="00721CCF" w:rsidRPr="00AD2F44" w:rsidRDefault="00F42107">
      <w:pPr>
        <w:pStyle w:val="14Footnote"/>
      </w:pPr>
      <w:r w:rsidRPr="00AD2F44">
        <w:rPr>
          <w:i/>
          <w:iCs/>
        </w:rPr>
        <w:t xml:space="preserve">Third Circuit: </w:t>
      </w:r>
      <w:r w:rsidRPr="00AD2F44">
        <w:t xml:space="preserve">Symczyk v. Genesis HealthCare Corp., 656 F.3d 189, 193 (3d Cir. 2011) (endorsing the “modest factual showing” standard), </w:t>
      </w:r>
      <w:r w:rsidRPr="00AD2F44">
        <w:rPr>
          <w:i/>
          <w:iCs/>
        </w:rPr>
        <w:t>rev’d on other grounds</w:t>
      </w:r>
      <w:r w:rsidRPr="00AD2F44">
        <w:t>, 569 U.S. 66 (2013).</w:t>
      </w:r>
    </w:p>
    <w:p w14:paraId="2EB246BF" w14:textId="20435329" w:rsidR="00721CCF" w:rsidRPr="00AD2F44" w:rsidRDefault="00F42107">
      <w:pPr>
        <w:pStyle w:val="14Footnote"/>
      </w:pPr>
      <w:r w:rsidRPr="00AD2F44">
        <w:rPr>
          <w:i/>
          <w:iCs/>
        </w:rPr>
        <w:t xml:space="preserve">Fourth Circuit: </w:t>
      </w:r>
      <w:r>
        <w:t xml:space="preserve">Njoroge v. PrimaCare Partners, LLC, </w:t>
      </w:r>
      <w:r w:rsidR="00846456" w:rsidRPr="00846456">
        <w:t>2022 BL 342131</w:t>
      </w:r>
      <w:r w:rsidR="00846456">
        <w:t xml:space="preserve">, </w:t>
      </w:r>
      <w:r w:rsidR="004F4D61" w:rsidRPr="004F4D61">
        <w:t>2022 WL 4465894</w:t>
      </w:r>
      <w:r w:rsidR="004F4D61">
        <w:t>, at *3</w:t>
      </w:r>
      <w:r w:rsidR="004F4D61" w:rsidRPr="004F4D61">
        <w:t xml:space="preserve"> </w:t>
      </w:r>
      <w:r>
        <w:t xml:space="preserve">(D. Md. Sept. 26, 2022) (explaining that the factual showing of a common policy or plan at conditional certification stage is “relatively modest” but must be supported by </w:t>
      </w:r>
      <w:r w:rsidR="004F4D61">
        <w:t>“</w:t>
      </w:r>
      <w:r>
        <w:t xml:space="preserve">affidavits or other means” and be more than “vague allegations”): </w:t>
      </w:r>
      <w:r w:rsidRPr="00AD2F44">
        <w:t>Gregory v. Belfor USA Grp., Inc.</w:t>
      </w:r>
      <w:r w:rsidRPr="00AD2F44">
        <w:rPr>
          <w:i/>
          <w:iCs/>
        </w:rPr>
        <w:t xml:space="preserve">, </w:t>
      </w:r>
      <w:r w:rsidRPr="00AD2F44">
        <w:t>2012 WL 3062696, at *2 (E.D. Va. July 26, 2012) (recognizing “fairly lenient standard” for conditional certification but noting that it is not “invisible” and there “must be sufficient reason to believe that there are issues common to the proposed class that are central to the disposition of the FLSA claims and that such common issues can be substantially adjudicated without consideration of facts unique or particularized as to each class member”) (citing and quoting Houston v. URS Corp., 591 F. Supp. 2d 827, 831 (E.D. Va. 2008));</w:t>
      </w:r>
      <w:r w:rsidRPr="00AD2F44">
        <w:rPr>
          <w:i/>
          <w:iCs/>
        </w:rPr>
        <w:t xml:space="preserve"> </w:t>
      </w:r>
      <w:r w:rsidRPr="00AD2F44">
        <w:t>Nolan v. Reliant Equity Inv’rs, LLC, 2009 WL 2461008, at *7 (N.D. W. Va. Aug. 10, 2009) (relying on “modest factual showing” standard); Slavinski v. Columbia Ass’n, 2009 WL 248067, at *2–3 (D. Md. Jan. 20, 2009) (adopting “modest factual showing” via affidavit requirement).</w:t>
      </w:r>
    </w:p>
    <w:p w14:paraId="0850E582" w14:textId="77777777" w:rsidR="00721CCF" w:rsidRPr="00AD2F44" w:rsidRDefault="00F42107">
      <w:pPr>
        <w:pStyle w:val="14Footnote"/>
      </w:pPr>
      <w:r w:rsidRPr="00AD2F44">
        <w:rPr>
          <w:i/>
          <w:iCs/>
        </w:rPr>
        <w:t>Sixth Circuit:</w:t>
      </w:r>
      <w:r w:rsidRPr="00AD2F44">
        <w:t xml:space="preserve"> Colley v. Scherzinger Corp., 176 F. Supp. 3d 730, 733 (S.D. Ohio 2016) (“modest factual showing” required for conditional certification); Bowman v. Crossmark, Inc., 2010 WL 2837519, at *3 (E.D. Tenn. July 19, 2010) (finding that plaintiff and putative class must make “modest factual showing” that they were “victims of a common policy or plan that violated the law”) (quoting Comer v. Wal-Mart Stores, Inc., 454 F.3d 544, 547 (6th Cir. 2006)); Pacheco v. Boar’s Head Provisions, Inc., 671 F. Supp. 2d 957, 960 (W.D. Mich. 2009) (employing lenient standard but describing “modest factual support” as slightly higher than standard used when no or very limited discovery has taken place and considering all evidence in record); Shabazz v. Asurion Ins. Serv., 2008 U.S. Dist. LEXIS 29696, at *7–8 (M.D. Tenn. Apr. 10, 2008); Crawford v. Lexington-Fayette Urban Cnty. Gov’t, 2007 WL 293865 (E.D. Ky. Jan. 26, 2007).</w:t>
      </w:r>
    </w:p>
    <w:p w14:paraId="228150B8" w14:textId="51DA0E35" w:rsidR="00721CCF" w:rsidRPr="00AD2F44" w:rsidRDefault="00F42107">
      <w:pPr>
        <w:pStyle w:val="14Footnote"/>
      </w:pPr>
      <w:r w:rsidRPr="00AD2F44">
        <w:rPr>
          <w:i/>
          <w:iCs/>
        </w:rPr>
        <w:t>Seventh Circuit:</w:t>
      </w:r>
      <w:r w:rsidRPr="00AD2F44">
        <w:t xml:space="preserve"> </w:t>
      </w:r>
      <w:r>
        <w:t xml:space="preserve">Wallis v. OZ Mgmt. Grp., Inc. </w:t>
      </w:r>
      <w:r w:rsidR="00FA7BC1" w:rsidRPr="00FA7BC1">
        <w:t>2022 BL 233627</w:t>
      </w:r>
      <w:r w:rsidR="00FA7BC1">
        <w:t xml:space="preserve">, </w:t>
      </w:r>
      <w:r w:rsidR="004F4D61" w:rsidRPr="004F4D61">
        <w:t xml:space="preserve">2022 WL 2452628 </w:t>
      </w:r>
      <w:r>
        <w:t xml:space="preserve">(W.D. Wis. July 6, 2022); </w:t>
      </w:r>
      <w:r w:rsidRPr="00AD2F44">
        <w:t>North v. Board of Trs. of Ill. State Univ., 676 F. Supp. 2d 690, 694 (C.D. Ill. 2009) (applying modest factual showing approach); Dominguez v. Don Pedro Rest., 2007 WL 271567, at *4 (N.D. Ill. Jan. 25, 2007); Jonites v. Exelon Corp., 2006 WL 2873198, at *4 (N.D. Ill. Oct. 4, 2006); Coan v. Nightingale Home Healthcare, Inc., 2005 WL 1799454, at *1 (S.D. Ind. June 29, 2005).</w:t>
      </w:r>
    </w:p>
    <w:p w14:paraId="560267ED" w14:textId="77777777" w:rsidR="00721CCF" w:rsidRPr="00AD2F44" w:rsidRDefault="00F42107">
      <w:pPr>
        <w:pStyle w:val="14Footnote"/>
      </w:pPr>
      <w:r w:rsidRPr="00AD2F44">
        <w:rPr>
          <w:i/>
          <w:iCs/>
        </w:rPr>
        <w:t>Eighth Circuit:</w:t>
      </w:r>
      <w:r w:rsidRPr="00AD2F44">
        <w:t xml:space="preserve"> Trogdon v. Kleenco Maint. &amp; Constr., Inc., 2015 WL 2345590, at *2 (W.D. Ark. May 15, 2015) (employing modest factual showing standard); Holliday v. J S Express Inc.,</w:t>
      </w:r>
      <w:r w:rsidRPr="00AD2F44">
        <w:rPr>
          <w:b/>
          <w:bCs/>
        </w:rPr>
        <w:t xml:space="preserve"> </w:t>
      </w:r>
      <w:r w:rsidRPr="00AD2F44">
        <w:t>2013 WL 2395333, at *2 (E.D. Mo. May 30, 2013) (applying modest factual showing approach); Ondes v. Monsanto Co., 2011 WL 6152858, at *3 (E.D. Mo. Dec. 12, 2011) (applying modest factual showing standard).</w:t>
      </w:r>
    </w:p>
    <w:p w14:paraId="3559DB12" w14:textId="77777777" w:rsidR="00721CCF" w:rsidRPr="00AD2F44" w:rsidRDefault="00F42107">
      <w:pPr>
        <w:pStyle w:val="14Footnote"/>
      </w:pPr>
      <w:r w:rsidRPr="00AD2F44">
        <w:rPr>
          <w:i/>
          <w:iCs/>
        </w:rPr>
        <w:t>Ninth Circuit:</w:t>
      </w:r>
      <w:r w:rsidRPr="00AD2F44">
        <w:t xml:space="preserve"> McDonald v. Ricardo’s on the Beach, Inc., 2013 WL 228334, at *2 (C.D. Cal. Jan. 22, 2013) (applying “modest factual showing” standard that plaintiff and putative class members were subject to “common policy or plan that violated the law”); Adams v. Inter-Con Sec. Sys., Inc., 242 F.R.D. 530, 538 (N.D. Cal. 2007).</w:t>
      </w:r>
    </w:p>
    <w:p w14:paraId="53361190" w14:textId="7C99F100" w:rsidR="00721CCF" w:rsidRPr="00AD2F44" w:rsidRDefault="00F42107">
      <w:pPr>
        <w:pStyle w:val="14Footnote"/>
      </w:pPr>
      <w:r w:rsidRPr="00AD2F44">
        <w:rPr>
          <w:i/>
          <w:iCs/>
        </w:rPr>
        <w:t>D.C. Circuit:</w:t>
      </w:r>
      <w:r w:rsidRPr="00AD2F44">
        <w:t xml:space="preserve"> Castillo v. P &amp; R Enters., Inc., 517 F. Supp. 2d 440, 445 (D.D.C. 2007).</w:t>
      </w:r>
    </w:p>
  </w:footnote>
  <w:footnote w:id="84">
    <w:p w14:paraId="5C4C9ADA" w14:textId="77777777" w:rsidR="00721CCF" w:rsidRPr="00AD2F44" w:rsidRDefault="00F42107">
      <w:pPr>
        <w:pStyle w:val="14Footnote"/>
      </w:pPr>
      <w:r w:rsidRPr="00AD2F44">
        <w:rPr>
          <w:vertAlign w:val="superscript"/>
        </w:rPr>
        <w:footnoteRef/>
      </w:r>
      <w:r w:rsidRPr="00AD2F44">
        <w:rPr>
          <w:i/>
        </w:rPr>
        <w:t>See, e.g.,</w:t>
      </w:r>
    </w:p>
    <w:p w14:paraId="01DD795C" w14:textId="355FD794" w:rsidR="00721CCF" w:rsidRPr="00AD2F44" w:rsidRDefault="00F42107">
      <w:pPr>
        <w:pStyle w:val="14Footnote"/>
      </w:pPr>
      <w:r w:rsidRPr="00AD2F44">
        <w:rPr>
          <w:i/>
          <w:iCs/>
        </w:rPr>
        <w:t>Second Circuit:</w:t>
      </w:r>
      <w:r w:rsidRPr="00AD2F44">
        <w:t xml:space="preserve"> </w:t>
      </w:r>
      <w:r>
        <w:t xml:space="preserve">Zimnicki v. Krysiak Constr. Corp., </w:t>
      </w:r>
      <w:r w:rsidR="00F57115" w:rsidRPr="00F57115">
        <w:t>2022 BL 459417</w:t>
      </w:r>
      <w:r w:rsidR="00F57115">
        <w:t xml:space="preserve">, </w:t>
      </w:r>
      <w:r w:rsidR="004F4D61" w:rsidRPr="004F4D61">
        <w:t xml:space="preserve">2022 WL 17820139 </w:t>
      </w:r>
      <w:r>
        <w:t xml:space="preserve">(E.D.N.Y. Sept. 27, 2022); </w:t>
      </w:r>
      <w:r w:rsidRPr="00AD2F44">
        <w:t>Ramos v. DNC Food Servs., 2020 U.S. Dist. LEXIS 96123 (S.D.N.Y. Jun. 1, 2020); Laroque v. Domino’s Pizza, LLC, 557 F. Supp. 2d 346, 354 (E.D.N.Y. 2008); Fasanelli v. Heartland Brewery, Inc., 516 F. Supp. 2d 317, 322 (S.D.N.Y. 2007); Lynch v. United Servs. Auto. Ass’n, 491 F. Supp. 2d 357 (S.D.N.Y. 2007); Roebuck v. Hudson Valley Farms, Inc., 239 F. Supp. 2d 234, 238 (N.D.N.Y. 2002).</w:t>
      </w:r>
    </w:p>
    <w:p w14:paraId="32E5241A" w14:textId="6761D1F1" w:rsidR="00721CCF" w:rsidRPr="00AD2F44" w:rsidRDefault="00F42107">
      <w:pPr>
        <w:pStyle w:val="14Footnote"/>
      </w:pPr>
      <w:r w:rsidRPr="00AD2F44">
        <w:rPr>
          <w:i/>
          <w:iCs/>
        </w:rPr>
        <w:t>Third Circuit</w:t>
      </w:r>
      <w:r w:rsidRPr="00AD2F44">
        <w:t xml:space="preserve">: Copley v. Evolution Well Servs. Operating, LLC, 2022 BL 32686, 2022 WL 295848 (W.D. Pa. Jan. 31, 2022) (conditionally certifying collective, refusing to consider defendant’s arguments regarding compensability of worker’s travel time at this stage). </w:t>
      </w:r>
    </w:p>
    <w:p w14:paraId="288581EF" w14:textId="77777777" w:rsidR="00721CCF" w:rsidRPr="00AD2F44" w:rsidRDefault="00F42107">
      <w:pPr>
        <w:pStyle w:val="14Footnote"/>
      </w:pPr>
      <w:r w:rsidRPr="00AD2F44">
        <w:rPr>
          <w:i/>
          <w:iCs/>
        </w:rPr>
        <w:t>Fourth Circuit:</w:t>
      </w:r>
      <w:r w:rsidRPr="00AD2F44">
        <w:t xml:space="preserve"> Choimbol v. Fairfield Resorts, Inc., 475 F. Supp. 2d 557, 562 (E.D. Va. 2006) (holding resolution of joint employer issue not required at notice stage).</w:t>
      </w:r>
    </w:p>
    <w:p w14:paraId="24D67A8E" w14:textId="77777777" w:rsidR="00721CCF" w:rsidRPr="00AD2F44" w:rsidRDefault="00F42107">
      <w:pPr>
        <w:pStyle w:val="14Footnote"/>
      </w:pPr>
      <w:r w:rsidRPr="00AD2F44">
        <w:rPr>
          <w:i/>
          <w:iCs/>
        </w:rPr>
        <w:t>Fifth Circuit:</w:t>
      </w:r>
      <w:r w:rsidRPr="00AD2F44">
        <w:t xml:space="preserve"> Alford v. Freedom Oilfield Servs., LLC, 2016 WL 8673858, at *5 (W.D. Tex. Aug. 17, 2016) (refusing to consider argument in opposition to conditional certification that putative class members were exempt under Motor Carrier Act exemption, despite finding by DOL in audit that they were, because argument went to merits and was premature); Smith v. Offshore Specialty Fabricators, Inc., 2009 WL 2046159, at *3 (E.D. La. July 13, 2009) (refusing to consider defendant’s argument that conditional certification was inappropriate because alleged unpaid time at morning safety meetings is more than offset by paid lunch break, reasoning that this was merits argument and required resolution of factual dispute); Beall v. Tyler Techs., Inc., 2009 WL 1766141, at *3 (E.D. Tex. June 23, 2009) (refusing to consider defendant’s evidence at conditional certification stage of variations in employment decision, job postings, job responsibilities, or compensation, or fact that exempt status of jobs varied by division, reasoning that this evidence went to merits); Dreyer v. Baker Hughes Oilfield Operations, Inc., 2008 WL 5204149, at *3 (S.D. Tex. Dec. 11, 2008) (rejecting argument at conditional certification stage that plaintiffs may be subject to certain exemptions, because it was merits-based defense).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53286410" w14:textId="77777777" w:rsidR="00721CCF" w:rsidRPr="00AD2F44" w:rsidRDefault="00F42107">
      <w:pPr>
        <w:pStyle w:val="14Footnote"/>
      </w:pPr>
      <w:r w:rsidRPr="00AD2F44">
        <w:rPr>
          <w:i/>
          <w:iCs/>
        </w:rPr>
        <w:t>Sixth Circuit:</w:t>
      </w:r>
      <w:r w:rsidRPr="00AD2F44">
        <w:t xml:space="preserve"> </w:t>
      </w:r>
      <w:r w:rsidRPr="00AD2F44">
        <w:rPr>
          <w:i/>
          <w:iCs/>
        </w:rPr>
        <w:t>Colley</w:t>
      </w:r>
      <w:r w:rsidRPr="00AD2F44">
        <w:t>, 176 F. Supp. 3d at 733–34 (noting that courts generally do not consider merits of claims or defenses at conditional certification); Penley v. NPC Int’l, Inc., 2016 WL 7228901, at *3 (W.D. Tenn. Dec. 13, 2016) (applying “modest” standard where no discovery had been conducted); Brown v. Ak Lawncare, Inc., 2015 WL 5954811 (E.D. Mich. Oct. 14, 2015) (same); Brasfield v. Source Broadband Serv., LLC, 2008 WL 2697261, at *2 (W.D. Tenn. June 3, 2008).</w:t>
      </w:r>
    </w:p>
    <w:p w14:paraId="4F93A8C8" w14:textId="77777777" w:rsidR="00721CCF" w:rsidRPr="00AD2F44" w:rsidRDefault="00F42107">
      <w:pPr>
        <w:pStyle w:val="14Footnote"/>
      </w:pPr>
      <w:r w:rsidRPr="00AD2F44">
        <w:rPr>
          <w:i/>
          <w:iCs/>
        </w:rPr>
        <w:t>Seventh Circuit:</w:t>
      </w:r>
      <w:r w:rsidRPr="00AD2F44">
        <w:t xml:space="preserve"> Girolamo v. Community Physical Therapy &amp; Assocs., Ltd., 2016 WL 3693426, at *2 (N.D. Ill. July 12, 2016) (stating that conditional certification analysis does not involve “adjudication of the merits of the claims; the named plaintiff must demonstrate only that there is some factual nexus that connects her to other potential plaintiffs as victims of an unlawful practice”); Dominguez v. Don Pedro Rest., 2007 U.S. Dist. LEXIS 6659, at *9 (N.D. Ind. Jan. 25, 2007); Austin v. CUNA Mut. Ins. Soc., 232 F.R.D. 601, 606 (W.D. Wis. 2006) (holding merits of applicability of fluctuating workweek not at issue during conditional certification phase).</w:t>
      </w:r>
    </w:p>
    <w:p w14:paraId="6EBEDADE" w14:textId="4926BB2D" w:rsidR="00721CCF" w:rsidRPr="00AD2F44" w:rsidRDefault="00F42107">
      <w:pPr>
        <w:pStyle w:val="14Footnote"/>
      </w:pPr>
      <w:r w:rsidRPr="00AD2F44">
        <w:rPr>
          <w:i/>
          <w:iCs/>
        </w:rPr>
        <w:t>Eighth Circuit:</w:t>
      </w:r>
      <w:r w:rsidRPr="00AD2F44">
        <w:t xml:space="preserve"> Rios-Gutierrez v. Briggs Traditional Turf Farm, Inc., 585 F. Supp. 3d 1209 (W.D. Mo. 2022) (granting conditional certification, refusing to consider defendants’ legal arguments on joint employment at this stage); Edwards v. Multiband Corp., 2011 WL 117232, at *4 (D. Minn. Jan. 13, 2011) (refusing to consider status of opt-ins either as employees or independent contractors, at initial stage, because court should not consider evidence going to merits of plaintiff’s claims at this stage); Bouaphakeo v. Tyson Foods, Inc., 564 F. Supp. 2d 870 (N.D. Iowa 2008);</w:t>
      </w:r>
      <w:r w:rsidRPr="00AD2F44">
        <w:rPr>
          <w:i/>
          <w:iCs/>
        </w:rPr>
        <w:t xml:space="preserve"> </w:t>
      </w:r>
      <w:r w:rsidRPr="00AD2F44">
        <w:t xml:space="preserve">Robertson v. LTS Mgmt. Servs. LLC, 642 F. Supp. 2d 922, 926–27 (W.D. Mo. 2008) (refusing to consider defendants’ evidence that DOL settlement extinguished claims of 71 employees because that was merits issue, which is premature at conditional certification); </w:t>
      </w:r>
      <w:r w:rsidRPr="00AD2F44">
        <w:rPr>
          <w:i/>
          <w:iCs/>
        </w:rPr>
        <w:t>In re</w:t>
      </w:r>
      <w:r w:rsidRPr="00AD2F44">
        <w:t xml:space="preserve"> Pilgrim’s Pride Fair Labor Standards Litig., 2008 U.S. Dist. LEXIS 93966 at *9; Huang v. Gateway Hotel Holdings, 248 F.R.D. 225, 227 (E.D. Mo. 2008).</w:t>
      </w:r>
    </w:p>
    <w:p w14:paraId="2ADF6B2A" w14:textId="77777777" w:rsidR="00721CCF" w:rsidRPr="00AD2F44" w:rsidRDefault="00F42107">
      <w:pPr>
        <w:pStyle w:val="14Footnote"/>
      </w:pPr>
      <w:r w:rsidRPr="00AD2F44">
        <w:rPr>
          <w:i/>
          <w:iCs/>
        </w:rPr>
        <w:t>Ninth Circuit:</w:t>
      </w:r>
      <w:r w:rsidRPr="00AD2F44">
        <w:t xml:space="preserve"> Dualan v. Jacob Transp. Servs. LLC, 172 F. Supp. 3d 1138 (D. Nev. 2016); Pataky v. Brigantine, Inc., 2017 WL 1855762, at *5 (S.D. Cal. May 8, 2017) (“declin[ing] to visit the merits at this early stage”); Labrie v. UPS Supply Chain Sols., Inc., 2009 WL 723599, at *6 (N.D. Cal. Mar. 18, 2009) (holding that defendant’s arguments against conditional certification raised merits issues “more appropriately addressed” by decertification or summary judgment motion, where defendant argued notice should not be given based on (1) inherently individualized inquiries necessary to evaluate independent contractor status, (2) plaintiffs’ failure to identify unlawful policy or practice rather than exceptions to a lawful one, (3) survey showing plaintiffs’ factual circumstances were aberrational, and (4) plaintiffs’ conclusory and boilerplate declarations that showed lack of personal knowledge); White v. Rakhra Mushroom Farm Corp., 2009 WL 971857, at *5 (D. Or. Apr. 8, 2009) (holding it inappropriate to address merits of agricultural exemption at conditional certification stage).</w:t>
      </w:r>
    </w:p>
    <w:p w14:paraId="581EEF1E" w14:textId="77777777" w:rsidR="00721CCF" w:rsidRPr="00AD2F44" w:rsidRDefault="00F42107">
      <w:pPr>
        <w:pStyle w:val="14Footnote"/>
      </w:pPr>
      <w:r w:rsidRPr="00AD2F44">
        <w:rPr>
          <w:i/>
          <w:iCs/>
        </w:rPr>
        <w:t xml:space="preserve">Tenth Circuit: </w:t>
      </w:r>
      <w:r w:rsidRPr="00AD2F44">
        <w:t>Thiessen v. General Elec. Capital Corp., 267 F.3d 1095, 1107 (10th Cir. 2001) (finding district court erred in essentially making findings of fact regarding merits against movants and depriving plaintiffs of their right to have such issues decided by jury or under summary judgment standards); Pegues v. CareCentrix, Inc., 2013 WL 1896994, at *3 (D. Kan. May 6, 2013) (granting conditional certification and refusing to consider defendant’s de minimis arguments because court would not delve into merits of plaintiffs’ claims); Miller v. Startek USA, Inc., 2011 WL 1883012, at *2 (D. Colo. May 17, 2011) (relying on complaint and plaintiff’s affidavits, and refusing to consider “the invitation implicit in the defendant’s voluminous evidentiary submission to investigate further the potential efficacy of the allegations at this stage,” given lenient standard and that it is “not the appropriate juncture” to make merits determinations).</w:t>
      </w:r>
    </w:p>
    <w:p w14:paraId="35C828F7" w14:textId="5C881683" w:rsidR="00721CCF" w:rsidRPr="00AD2F44" w:rsidRDefault="00F42107">
      <w:pPr>
        <w:pStyle w:val="14Footnote"/>
      </w:pPr>
      <w:r w:rsidRPr="00AD2F44">
        <w:rPr>
          <w:i/>
          <w:iCs/>
        </w:rPr>
        <w:t>Eleventh Circuit:</w:t>
      </w:r>
      <w:r w:rsidRPr="00AD2F44">
        <w:t xml:space="preserve"> Garner v. G.D. Searle Pharm. &amp; Co., 802 F. Supp. 418, 423 nn.3, 4 (M.D. Ala. 1991).</w:t>
      </w:r>
    </w:p>
  </w:footnote>
  <w:footnote w:id="85">
    <w:p w14:paraId="5AD8681E" w14:textId="77777777" w:rsidR="00721CCF" w:rsidRPr="00AD2F44" w:rsidRDefault="00F42107">
      <w:pPr>
        <w:pStyle w:val="14Footnote"/>
      </w:pPr>
      <w:r w:rsidRPr="00AD2F44">
        <w:rPr>
          <w:vertAlign w:val="superscript"/>
        </w:rPr>
        <w:footnoteRef/>
      </w:r>
      <w:r w:rsidRPr="00AD2F44">
        <w:rPr>
          <w:i/>
        </w:rPr>
        <w:t>See, e.g.,</w:t>
      </w:r>
    </w:p>
    <w:p w14:paraId="3B1F1F50" w14:textId="77777777" w:rsidR="00721CCF" w:rsidRPr="00AD2F44" w:rsidRDefault="00F42107">
      <w:pPr>
        <w:pStyle w:val="14Footnote"/>
      </w:pPr>
      <w:r w:rsidRPr="00AD2F44">
        <w:rPr>
          <w:i/>
          <w:iCs/>
        </w:rPr>
        <w:t>First Circuit:</w:t>
      </w:r>
      <w:r w:rsidRPr="00AD2F44">
        <w:t xml:space="preserve"> </w:t>
      </w:r>
      <w:r w:rsidRPr="00AD2F44">
        <w:rPr>
          <w:i/>
          <w:iCs/>
        </w:rPr>
        <w:t>Trezvant</w:t>
      </w:r>
      <w:r w:rsidRPr="00AD2F44">
        <w:t>, 434 F. Supp. 2d at 48 (“[Defendant] challenged that these were accurate depictions of these positions, asserting that the analysts have much more varied and complex responsibilities. … This, however, goes to credibility—something that is not given consideration at this phase.”) (citations omitted).</w:t>
      </w:r>
    </w:p>
    <w:p w14:paraId="340126CA" w14:textId="38DE17D1" w:rsidR="00721CCF" w:rsidRPr="00AD2F44" w:rsidRDefault="00F42107">
      <w:pPr>
        <w:pStyle w:val="14Footnote"/>
      </w:pPr>
      <w:r w:rsidRPr="00AD2F44">
        <w:rPr>
          <w:i/>
          <w:iCs/>
        </w:rPr>
        <w:t>Second Circuit:</w:t>
      </w:r>
      <w:r w:rsidRPr="00AD2F44">
        <w:t xml:space="preserve"> </w:t>
      </w:r>
      <w:r>
        <w:t>Zimnicki v. Krysiak Constr. Corp</w:t>
      </w:r>
      <w:r w:rsidR="004F4D61">
        <w:t xml:space="preserve">., </w:t>
      </w:r>
      <w:r w:rsidR="00F57115" w:rsidRPr="00F57115">
        <w:t>2022 BL 459417</w:t>
      </w:r>
      <w:r w:rsidR="00F57115">
        <w:t xml:space="preserve">, </w:t>
      </w:r>
      <w:r w:rsidR="004F4D61" w:rsidRPr="004F4D61">
        <w:t xml:space="preserve">2022 WL 17820139 </w:t>
      </w:r>
      <w:r>
        <w:t xml:space="preserve">(E.D.N.Y. Sept. 27, 2022); </w:t>
      </w:r>
      <w:r w:rsidRPr="00AD2F44">
        <w:t>Ramos v. DNC Food Serv. Corp., 2020 U.S. Dist. LEXIS 96123 (S.D.N.Y. Jun. 1, 2020); Flood v. Just Energy Mktg. Corp., 2016 WL 354078, at *3 (S.D.N.Y. Jan. 25, 2016) (rejecting defendant’s challenges to “truthfulness” of plaintiff’s declaration as immaterial at conditional certification); Becerra v. IM LLC</w:t>
      </w:r>
      <w:r w:rsidRPr="00AD2F44">
        <w:noBreakHyphen/>
        <w:t>I, 2015 WL 1954478, at *3 (E.D.N.Y. Apr. 29, 2015) (not appropriate to resolve factual disputes at notice inquiry stage); Aros v. United Rentals, Inc., 269 F.R.D. 176, 180 (D. Conn. 2010) (refusing to evaluate credibility of plaintiff’s declaration at conditional certification stage); Lynch v. United Servs. Auto. Ass’n, 491 F. Supp. 2d 357, 368 (S.D.N.Y. 2007) (explaining determination as to whether potential opt-in plaintiffs are similarly situated does not involve inquiry into factual dispute); Barrus v. Dick’s Sporting Goods, Inc., 465 F. Supp. 2d 224, 230 (W.D.N.Y. 2006) (noting that at this stage, it is “not the Court’s role to resolve factual disputes, decide substantive issues going to the ultimate merits or make credibility determinations”).</w:t>
      </w:r>
    </w:p>
    <w:p w14:paraId="2B39EE59" w14:textId="77777777" w:rsidR="00721CCF" w:rsidRPr="00AD2F44" w:rsidRDefault="00F42107">
      <w:pPr>
        <w:pStyle w:val="14Footnote"/>
      </w:pPr>
      <w:r w:rsidRPr="00AD2F44">
        <w:rPr>
          <w:i/>
          <w:iCs/>
        </w:rPr>
        <w:t>Third Circuit:</w:t>
      </w:r>
      <w:r w:rsidRPr="00AD2F44">
        <w:t xml:space="preserve"> Smith v. Sovereign Bancorp, Inc., 2003 WL 22701017, at *3 (E.D. Pa. Nov. 13, 2003) (“Plaintiffs need only provide some ‘modest’ evidence beyond pure speculation, that Defendant’s alleged policy affected other employees.”).</w:t>
      </w:r>
    </w:p>
    <w:p w14:paraId="68799370" w14:textId="77777777" w:rsidR="00721CCF" w:rsidRPr="00AD2F44" w:rsidRDefault="00F42107">
      <w:pPr>
        <w:pStyle w:val="14Footnote"/>
      </w:pPr>
      <w:r w:rsidRPr="00AD2F44">
        <w:rPr>
          <w:i/>
          <w:iCs/>
        </w:rPr>
        <w:t>Fifth Circuit:</w:t>
      </w:r>
      <w:r w:rsidRPr="00AD2F44">
        <w:t xml:space="preserve"> Madrid v. Pine Maint., Inc., 2020 US Dist. Lexis 92422 (S.D. Tex. May 27, 2020) (ignoring defendant’s submission of evidence contradicting plaintiff’s factual assertions at the notice stage); Salinas-Rodriguez v. Alpha Servs., LLC, 2005 WL 3557178, at *4 (S.D. Miss. Dec. 27, 2005) (finding contradictory evidence from deposition of named plaintiff insufficient to deny notice).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1B1A17FE" w14:textId="77777777" w:rsidR="00721CCF" w:rsidRPr="00AD2F44" w:rsidRDefault="00F42107">
      <w:pPr>
        <w:pStyle w:val="14Footnote"/>
      </w:pPr>
      <w:r w:rsidRPr="00AD2F44">
        <w:rPr>
          <w:i/>
          <w:iCs/>
        </w:rPr>
        <w:t>Sixth Circuit:</w:t>
      </w:r>
      <w:r w:rsidRPr="00AD2F44">
        <w:t xml:space="preserve"> Brasfield v. Source Broadband Serv., LLC, 2008 WL 2697261, at *2 (W.D. Tenn. June 3, 2008) (“At this first stage the court does not resolve factual disputes, decide substantive issues going to the ultimate merits, or make credibility determinations.”).</w:t>
      </w:r>
    </w:p>
    <w:p w14:paraId="531718C1" w14:textId="2C319C9D" w:rsidR="00721CCF" w:rsidRPr="00AD2F44" w:rsidRDefault="00F42107">
      <w:pPr>
        <w:pStyle w:val="14Footnote"/>
      </w:pPr>
      <w:r w:rsidRPr="00AD2F44">
        <w:rPr>
          <w:i/>
          <w:iCs/>
        </w:rPr>
        <w:t>Eighth Circuit: Rios-Gutierrez,</w:t>
      </w:r>
      <w:r w:rsidRPr="00AD2F44">
        <w:t xml:space="preserve">585 F. Supp. 3d 1209 (granting conditional certification, refusing to make credibility determinations on duties performed, or application of agricultural exemption at this stage); </w:t>
      </w:r>
      <w:r w:rsidRPr="00AD2F44">
        <w:rPr>
          <w:i/>
          <w:iCs/>
        </w:rPr>
        <w:t>In re</w:t>
      </w:r>
      <w:r w:rsidRPr="00AD2F44">
        <w:t xml:space="preserve"> Pilgrim’s Pride Fair Labor Standards Litig., 2008 U.S. Dist. LEXIS 93966, at *9 (W.D. Ark. Mar. 13, 2008); Kalish v. High Tech Inst., Inc., 2005 WL 1073645, at *2 (D. Minn. Apr. 22, 2005) (stating courts do not need to make findings of fact or credibility determinations at Stage I) (citing Severtson v. Phillips Beverage Co., 141 F.R.D. 276, 279 (D. Minn. 1992)).</w:t>
      </w:r>
    </w:p>
    <w:p w14:paraId="381D87C5" w14:textId="77777777" w:rsidR="00721CCF" w:rsidRPr="00AD2F44" w:rsidRDefault="00F42107">
      <w:pPr>
        <w:pStyle w:val="14Footnote"/>
      </w:pPr>
      <w:r w:rsidRPr="00AD2F44">
        <w:rPr>
          <w:i/>
          <w:iCs/>
        </w:rPr>
        <w:t>Ninth Circuit:</w:t>
      </w:r>
      <w:r w:rsidRPr="00AD2F44">
        <w:t xml:space="preserve"> Dualan v. Jacob Transp. Servs. LLC, 172 F. Supp. 3d 1138 (D. Nev. 2016); Adams v. Inter-Con Sec. Sys., Inc., 242 F.R.D. 530, 538 (N.D. Cal. 2007) (stating court does not resolve dueling affidavits between parties).</w:t>
      </w:r>
    </w:p>
    <w:p w14:paraId="5FEE5A5F" w14:textId="77777777" w:rsidR="00721CCF" w:rsidRPr="00AD2F44" w:rsidRDefault="00F42107">
      <w:pPr>
        <w:pStyle w:val="14Footnote"/>
      </w:pPr>
      <w:r w:rsidRPr="00AD2F44">
        <w:rPr>
          <w:i/>
          <w:iCs/>
        </w:rPr>
        <w:t>Tenth Circuit:</w:t>
      </w:r>
      <w:r w:rsidRPr="00AD2F44">
        <w:t xml:space="preserve"> Stransky v. HealthONE of Denver, Inc., 2012 WL 6548108, at *4 (D. Colo. Dec. 14, 2012) (relying on “single decision, policy, or plan” in conditional certification stage and refusing to look to merits of plaintiffs’ claims but instead considering only substantial allegations of complaint and supporting declarations); Geer v. Challenge Fin. Inv’rs Corp., 2005 WL 2648054, at *2 (D. Kan. Oct. 17, 2005) (“In considering whether the putative plaintiffs are similarly situated, the Court will only consider the pleadings and affidavits filed by Plaintiff because, at this point, the Court is not prepared to weigh the evidence.”) (citing Brown v. Money Tree Mortg., Inc., 222 F.R.D. 676, 680 (D. Kan. 2004)).</w:t>
      </w:r>
    </w:p>
    <w:p w14:paraId="560DC521" w14:textId="5F7BC24E" w:rsidR="00721CCF" w:rsidRPr="00AD2F44" w:rsidRDefault="00F42107">
      <w:pPr>
        <w:pStyle w:val="14Footnote"/>
      </w:pPr>
      <w:r w:rsidRPr="00AD2F44">
        <w:rPr>
          <w:i/>
          <w:iCs/>
        </w:rPr>
        <w:t>Eleventh Circuit:</w:t>
      </w:r>
      <w:r w:rsidRPr="00AD2F44">
        <w:t xml:space="preserve"> Manasco v. Best In Town, Inc., 2022 BL 90790, 2022 WL 816469 (N.D. Ala. Mar. 17, 2022) (refusing to resolve parties’ factual disputes regarding merits of claim, granting conditional certification where plaintiffs sufficiently showed that others experienced same pay practices and desired to opt in); Reyes v. AT&amp;T Mobility Servs. LLC, 801 F. Supp. 2d 1350 (S.D. Fla. 2011) (refusing to analyze credibility during first stage, noting that defendant’s sole burden is to demonstrate plaintiff provided insufficient (not factually wrong) evidence); Rivera v. Cemex, Inc., 2006 WL 3388455, at *2 (M.D. Fla. Nov. 21, 2006) (stating court “should not make any factual determinations or take into account any alleged defenses”); Pendlebury v. Starbucks Coffee Co., 2005 WL 84500, at *3 (S.D. Fla. Jan. 3, 2005) (court should not make “factual determinations on the similarly situated question,” but instead determine if some evidence supports the plaintiffs’ claims).</w:t>
      </w:r>
    </w:p>
  </w:footnote>
  <w:footnote w:id="86">
    <w:p w14:paraId="69505BED" w14:textId="77777777" w:rsidR="00721CCF" w:rsidRPr="00AD2F44" w:rsidRDefault="00F42107">
      <w:pPr>
        <w:pStyle w:val="14Footnote"/>
      </w:pPr>
      <w:r w:rsidRPr="00AD2F44">
        <w:rPr>
          <w:vertAlign w:val="superscript"/>
        </w:rPr>
        <w:footnoteRef/>
      </w:r>
      <w:r w:rsidRPr="00AD2F44">
        <w:rPr>
          <w:i/>
        </w:rPr>
        <w:t xml:space="preserve">See, e.g., </w:t>
      </w:r>
    </w:p>
    <w:p w14:paraId="4AE3843D" w14:textId="77777777" w:rsidR="00721CCF" w:rsidRPr="00AD2F44" w:rsidRDefault="00F42107">
      <w:pPr>
        <w:pStyle w:val="14Footnote"/>
      </w:pPr>
      <w:r w:rsidRPr="00AD2F44">
        <w:rPr>
          <w:i/>
          <w:iCs/>
        </w:rPr>
        <w:t>First Circuit:</w:t>
      </w:r>
      <w:r w:rsidRPr="00AD2F44">
        <w:t xml:space="preserve"> Poreda v. Boise Cascade, LLC, 532 F. Supp. 2d 234, 239 (D. Mass. 2008); Reeves v. Alliant </w:t>
      </w:r>
      <w:r w:rsidRPr="00AD2F44">
        <w:t>Techsys., Inc., 77 F. Supp. 2d 242, 247 (D.R.I. 1999).</w:t>
      </w:r>
    </w:p>
    <w:p w14:paraId="1554FCA4" w14:textId="77777777" w:rsidR="00721CCF" w:rsidRPr="00AD2F44" w:rsidRDefault="00F42107">
      <w:pPr>
        <w:pStyle w:val="14Footnote"/>
      </w:pPr>
      <w:r w:rsidRPr="00AD2F44">
        <w:rPr>
          <w:i/>
          <w:iCs/>
        </w:rPr>
        <w:t>Second Circuit:</w:t>
      </w:r>
      <w:r w:rsidRPr="00AD2F44">
        <w:t xml:space="preserve"> Myers v. Hertz Corp., 624 F.3d 537, 555 (2d Cir. 2010).</w:t>
      </w:r>
    </w:p>
    <w:p w14:paraId="786CE94E" w14:textId="77777777" w:rsidR="00721CCF" w:rsidRPr="00AD2F44" w:rsidRDefault="00F42107">
      <w:pPr>
        <w:pStyle w:val="14Footnote"/>
      </w:pPr>
      <w:r w:rsidRPr="00AD2F44">
        <w:rPr>
          <w:i/>
          <w:iCs/>
        </w:rPr>
        <w:t>Third Circuit:</w:t>
      </w:r>
      <w:r w:rsidRPr="00AD2F44">
        <w:t xml:space="preserve"> Sperling v. Hoffmann-La Roche, Inc., 118 F.R.D. 392, 407 (D.N.J.), </w:t>
      </w:r>
      <w:r w:rsidRPr="00AD2F44">
        <w:rPr>
          <w:i/>
          <w:iCs/>
        </w:rPr>
        <w:t>aff’d</w:t>
      </w:r>
      <w:r w:rsidRPr="00AD2F44">
        <w:t xml:space="preserve">, 862 F.2d 439 (3d Cir. 1988), 493 U.S. 165 (1989); De Asencio v. Tyson Foods, Inc., 130 F. Supp. 2d 660, 663 (E.D. Pa. 2001), </w:t>
      </w:r>
      <w:r w:rsidRPr="00AD2F44">
        <w:rPr>
          <w:i/>
          <w:iCs/>
        </w:rPr>
        <w:t>rev’d on other grounds</w:t>
      </w:r>
      <w:r w:rsidRPr="00AD2F44">
        <w:t>, 342 F.3d 301 (3d Cir. 2003).</w:t>
      </w:r>
    </w:p>
    <w:p w14:paraId="053F4B5A" w14:textId="77777777" w:rsidR="00721CCF" w:rsidRPr="00AD2F44" w:rsidRDefault="00F42107">
      <w:pPr>
        <w:pStyle w:val="14Footnote"/>
      </w:pPr>
      <w:r w:rsidRPr="00AD2F44">
        <w:rPr>
          <w:i/>
          <w:iCs/>
        </w:rPr>
        <w:t>Fourth Circuit:</w:t>
      </w:r>
      <w:r w:rsidRPr="00AD2F44">
        <w:t xml:space="preserve"> Mendoza v. Mo’s Fisherman Exch., Inc., 2016 U.S. Dist. LEXIS 81764, at *35 (D. Md. June 22, 2016) (noting that conditional certification can be achieved based on a “relatively modest factual showing” that a common policy violates the FLSA); Butler v. DirectSAT USA, LLC, 876 F. Supp. 2d 560, 568 (D. Md. 2012) (finding that plaintiff made a “modest factual showing” by demonstrating that putative class members were subject to a “common policy, scheme or plan”); Hargrove v. Ryla Teleservs., Inc., 2012 WL 489216, at *2 (E.D. Va. Jan. 3, 2012) (relying on “single policy or plan” standard in granting conditional certification) (citing Choimbol v. Fairfield Resorts, Inc., 475 F. Supp. 2d 557 (E.D. Va. 2006)); Quinteros v. Sparkle Cleaning, Inc., 532 F. Supp. 2d 762, 772 (D. Md. 2008) (deeming plaintiffs similarly situated based on common policy or scheme or plan); Marroquin v. Canales, 236 F.R.D. 257, 260–61 (D. Md. 2006) (explaining “employees cannot be expected to have evidence of a stated policy of refusing to pay overtime”).</w:t>
      </w:r>
    </w:p>
    <w:p w14:paraId="683A7277" w14:textId="77777777" w:rsidR="00721CCF" w:rsidRPr="00AD2F44" w:rsidRDefault="00F42107">
      <w:pPr>
        <w:pStyle w:val="14Footnote"/>
      </w:pPr>
      <w:r w:rsidRPr="00AD2F44">
        <w:rPr>
          <w:i/>
          <w:iCs/>
          <w:lang w:val="fr-FR"/>
        </w:rPr>
        <w:t>Fifth Circuit:</w:t>
      </w:r>
      <w:r w:rsidRPr="00AD2F44">
        <w:rPr>
          <w:lang w:val="fr-FR"/>
        </w:rPr>
        <w:t xml:space="preserve"> Gremillion v. Cox Commc’ns La., 2017 WL 2688217 (E.D. La. </w:t>
      </w:r>
      <w:r w:rsidRPr="00AD2F44">
        <w:t xml:space="preserve">June 22, 2017) (rejecting defendant’s argument that plaintiff’s failure to include affidavits of other employees was fatal to conditional certification motion; noting that more critical factor is whether plaintiff alleged common policy); Hendrix v. Shipcom Wireless, Inc., 2017 WL 1449780, at *3 (S.D. Tex. Apr. 21, 2017) (“A factual basis for the allegations is needed to satisfy the first step.”) (citation omitted); Ryan v. Staff Care, Inc., 497 F. Supp. 2d 820, 825 (N.D. Tex. 2007) (holding circumstances must arise from a “generally applicable rule, policy or practice”); Villatoro v. Kim Son Rest., L.P., 286 F. Supp. 2d 807, 810 (S.D. Tex. 2003).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254636F8" w14:textId="77777777" w:rsidR="00721CCF" w:rsidRPr="00AD2F44" w:rsidRDefault="00F42107">
      <w:pPr>
        <w:pStyle w:val="14Footnote"/>
      </w:pPr>
      <w:r w:rsidRPr="00AD2F44">
        <w:rPr>
          <w:i/>
          <w:iCs/>
        </w:rPr>
        <w:t>Seventh Circuit:</w:t>
      </w:r>
      <w:r w:rsidRPr="00AD2F44">
        <w:t xml:space="preserve"> Garcia v. Salamanca Grp., Ltd., 2008 U.S. Dist. LEXIS 22852, at *6 (N.D. Ill. Mar. 24, 2008); Gambo v. Lucent Techs., Inc., 2005 U.S. Dist. LEXIS 37998, at *17 (N.D. Ill. Dec. 22, 2005) (finding no requirement that common policy stem from “top-down decision of central management”).</w:t>
      </w:r>
    </w:p>
    <w:p w14:paraId="11B7859D" w14:textId="77777777" w:rsidR="00721CCF" w:rsidRPr="00AD2F44" w:rsidRDefault="00F42107">
      <w:pPr>
        <w:pStyle w:val="14Footnote"/>
      </w:pPr>
      <w:r w:rsidRPr="00AD2F44">
        <w:rPr>
          <w:i/>
          <w:iCs/>
        </w:rPr>
        <w:t>Eighth Circuit:</w:t>
      </w:r>
      <w:r w:rsidRPr="00AD2F44">
        <w:t xml:space="preserve"> </w:t>
      </w:r>
      <w:r w:rsidRPr="00AD2F44">
        <w:rPr>
          <w:i/>
          <w:iCs/>
        </w:rPr>
        <w:t>Bouaphakeo</w:t>
      </w:r>
      <w:r w:rsidRPr="00AD2F44">
        <w:t>, 564 F. Supp. 2d at 892 (holding that plaintiffs need not prove the merits of their claims at Stage I); Young v. Cerner Corp., 503 F. Supp. 2d 1226, 1229 (W.D. Mo. 2007); Davis v. NovaStar Mortg., Inc., 408 F. Supp. 2d 811, 815 (W.D. Mo. 2005).</w:t>
      </w:r>
    </w:p>
    <w:p w14:paraId="488D9062" w14:textId="51A13EED" w:rsidR="00721CCF" w:rsidRPr="00AD2F44" w:rsidRDefault="00F42107">
      <w:pPr>
        <w:pStyle w:val="14Footnote"/>
      </w:pPr>
      <w:r w:rsidRPr="00AD2F44">
        <w:rPr>
          <w:i/>
          <w:iCs/>
        </w:rPr>
        <w:t>Ninth Circuit:</w:t>
      </w:r>
      <w:r w:rsidRPr="00AD2F44">
        <w:t xml:space="preserve"> Peer v. Rick's Custom Fencing &amp; Decking, Inc., 2021 BL 351774, 2021 WL 4203658 (D. Or. Aug. 13, 2021), </w:t>
      </w:r>
      <w:r w:rsidRPr="00AD2F44">
        <w:rPr>
          <w:i/>
          <w:iCs/>
        </w:rPr>
        <w:t>report and recommendation adopted</w:t>
      </w:r>
      <w:r w:rsidRPr="00AD2F44">
        <w:t xml:space="preserve">, 2021 WL 4199958 (D. Or. </w:t>
      </w:r>
      <w:r w:rsidRPr="004F4D61">
        <w:rPr>
          <w:lang w:val="es-ES"/>
        </w:rPr>
        <w:t>Sept. 15, 2021) (granting conditional certification, finding plaintiff alleged plausible legal theory based on common scheme);</w:t>
      </w:r>
      <w:r w:rsidRPr="00AD2F44">
        <w:t xml:space="preserve"> Dualan v. Jacob Transp. Servs. LLC, 172 F. Supp. 3d 1138 (D. Nev. 2016) (finding, based on plaintiff’s testimony, that putative class was subject to companywide policy or practice in violation of FLSA minimum and overtime wage requirements); Ramirez v. Ghilotti Bros., 941 F. Supp. 2d 1197, 1205–06 (N.D. Cal. 2013) (finding that employees showed single decision, policy, or plan justifying conditional certification); Juvera v. Salcido, 294 F.R.D. 516, 520 (D. Ariz. 2013) (conditional certification requires only that “plaintiffs make substantial allegations that the putative class members were subject to a single illegal policy, plan or decision”) (quotation omitted); Villa v. United Site Servs. of Cal., Inc., 2012 WL 5503550, at *13–14 (N.D. Cal. Nov. 13, 2012) (holding plaintiff able to show that he and other class members were similarly situated because they were subjected to defendants’ alleged unlawful common policy); Buckland v. Maxim Healthcare Servs., Inc., 2012 WL 3705263, at *5 (C.D. Cal. Aug. 27, 2012) (recognizing that first stage required that plaintiffs “make only substantial allegations that the putative class members were subject to a single illegal policy, plan or decision” but denying certification where plaintiffs’ evidence was lacking and their theories inconsistent).</w:t>
      </w:r>
    </w:p>
    <w:p w14:paraId="79E8C9DA" w14:textId="77777777" w:rsidR="00721CCF" w:rsidRPr="00AD2F44" w:rsidRDefault="00F42107">
      <w:pPr>
        <w:pStyle w:val="14Footnote"/>
      </w:pPr>
      <w:r w:rsidRPr="00AD2F44">
        <w:rPr>
          <w:i/>
          <w:iCs/>
        </w:rPr>
        <w:t>Tenth Circuit:</w:t>
      </w:r>
      <w:r w:rsidRPr="00AD2F44">
        <w:t xml:space="preserve"> Underwood v. NMC Mortg. Corp., 245 F.R.D. 720, 721 (D. Kan. 2007).</w:t>
      </w:r>
    </w:p>
  </w:footnote>
  <w:footnote w:id="87">
    <w:p w14:paraId="244A94DE" w14:textId="77777777" w:rsidR="001B5E5D" w:rsidRDefault="00F42107">
      <w:pPr>
        <w:pStyle w:val="14Footnote"/>
      </w:pPr>
      <w:r w:rsidRPr="00AD2F44">
        <w:rPr>
          <w:vertAlign w:val="superscript"/>
        </w:rPr>
        <w:footnoteRef/>
      </w:r>
      <w:r w:rsidRPr="00AD2F44">
        <w:rPr>
          <w:i/>
          <w:iCs/>
        </w:rPr>
        <w:t>See</w:t>
      </w:r>
      <w:r w:rsidRPr="00AD2F44">
        <w:t xml:space="preserve"> </w:t>
      </w:r>
    </w:p>
    <w:p w14:paraId="600B94A0" w14:textId="2F35BC4F" w:rsidR="001B5E5D" w:rsidRDefault="00F42107">
      <w:pPr>
        <w:pStyle w:val="14Footnote"/>
      </w:pPr>
      <w:r>
        <w:rPr>
          <w:i/>
          <w:iCs/>
        </w:rPr>
        <w:t xml:space="preserve">Fifth Circuit: </w:t>
      </w:r>
      <w:r w:rsidR="00721CCF" w:rsidRPr="00AD2F44">
        <w:t>Dreyer v. Baker Hughes Oilfield Operations, Inc., 2008 WL 5204149, at *3 (S.D. Tex. Dec. 11, 2008) (rejecting requirement that plaintiffs show they were subject to single decision, policy, or plan, because it would deprive collective treatment in cases where subgroups of employees shared same duties, and thus were similarly situated, but employer made decisions only concerning larger groups of which subgroups were part)</w:t>
      </w:r>
      <w:r w:rsidRPr="001B5E5D">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r w:rsidR="00721CCF" w:rsidRPr="00AD2F44">
        <w:t xml:space="preserve">; </w:t>
      </w:r>
    </w:p>
    <w:p w14:paraId="5ADDE91D" w14:textId="77777777" w:rsidR="001B5E5D" w:rsidRDefault="00F42107">
      <w:pPr>
        <w:pStyle w:val="14Footnote"/>
      </w:pPr>
      <w:r>
        <w:rPr>
          <w:i/>
          <w:iCs/>
        </w:rPr>
        <w:t xml:space="preserve">Seventh Circuit: </w:t>
      </w:r>
      <w:r w:rsidR="00721CCF" w:rsidRPr="00AD2F44">
        <w:t xml:space="preserve">Persin v. CareerBuilder, LLC, 2005 U.S. Dist. LEXIS 29727, at *7 (N.D. Ill. Nov. 23, 2005) (“The words ‘similarly situated’ do not equate to ‘subject to a common policy or plan.’ Though the existence of a common policy or plan can clearly have an impact on whether all members of a particular group are similarly situated, it is not the alpha and omega of that determination.”); </w:t>
      </w:r>
    </w:p>
    <w:p w14:paraId="7294B09F" w14:textId="205C836F" w:rsidR="00721CCF" w:rsidRPr="00AD2F44" w:rsidRDefault="00F42107">
      <w:pPr>
        <w:pStyle w:val="14Footnote"/>
      </w:pPr>
      <w:r>
        <w:rPr>
          <w:i/>
          <w:iCs/>
        </w:rPr>
        <w:t xml:space="preserve">Eleventh Circuit: </w:t>
      </w:r>
      <w:r w:rsidRPr="00AD2F44">
        <w:t xml:space="preserve">Barron v. Henry </w:t>
      </w:r>
      <w:r w:rsidRPr="00AD2F44">
        <w:t>Cnty. Sch. Sys., 242 F. Supp. 2d 1096, 1103 (M.D. Ala. 2003) (holding plaintiffs need not point to particular policy or practice in order to establish that potential opt-in plaintiffs are “similarly situated” for notice purposes; however, allegations of uniform practice support conditional certification).</w:t>
      </w:r>
    </w:p>
  </w:footnote>
  <w:footnote w:id="88">
    <w:p w14:paraId="4D48AA7D" w14:textId="77777777" w:rsidR="00721CCF" w:rsidRPr="00AD2F44" w:rsidRDefault="00F42107">
      <w:pPr>
        <w:pStyle w:val="14Footnote"/>
      </w:pPr>
      <w:r w:rsidRPr="00AD2F44">
        <w:rPr>
          <w:vertAlign w:val="superscript"/>
        </w:rPr>
        <w:footnoteRef/>
      </w:r>
      <w:r w:rsidRPr="00AD2F44">
        <w:t xml:space="preserve">Hipp v. Liberty Nat. Life Ins. Co., 252 F.3d 1208, 1218 (11th Cir. 2001). </w:t>
      </w:r>
      <w:r w:rsidRPr="00AD2F44">
        <w:rPr>
          <w:i/>
          <w:iCs/>
        </w:rPr>
        <w:t>See also, e.g</w:t>
      </w:r>
      <w:r w:rsidRPr="00AD2F44">
        <w:t xml:space="preserve">., </w:t>
      </w:r>
    </w:p>
    <w:p w14:paraId="77C15872" w14:textId="77777777" w:rsidR="00721CCF" w:rsidRPr="00AD2F44" w:rsidRDefault="00F42107">
      <w:pPr>
        <w:pStyle w:val="14Footnote"/>
      </w:pPr>
      <w:r w:rsidRPr="00AD2F44">
        <w:rPr>
          <w:i/>
          <w:iCs/>
        </w:rPr>
        <w:t>First Circuit:</w:t>
      </w:r>
      <w:r w:rsidRPr="00AD2F44">
        <w:t xml:space="preserve"> Reeves v. Alliant </w:t>
      </w:r>
      <w:r w:rsidRPr="00AD2F44">
        <w:t>Techsys., Inc., 77 F. Supp. 2d 242, 246 (D.R.I. 1999).</w:t>
      </w:r>
    </w:p>
    <w:p w14:paraId="4F6B01DA" w14:textId="77777777" w:rsidR="00721CCF" w:rsidRPr="00AD2F44" w:rsidRDefault="00F42107">
      <w:pPr>
        <w:pStyle w:val="14Footnote"/>
      </w:pPr>
      <w:r w:rsidRPr="00AD2F44">
        <w:rPr>
          <w:i/>
          <w:iCs/>
        </w:rPr>
        <w:t>Second Circuit:</w:t>
      </w:r>
      <w:r w:rsidRPr="00AD2F44">
        <w:t xml:space="preserve"> Lynch v. United Servs. Auto. Ass’n, 491 F. Supp. 2d 357, 367–71 (S.D.N.Y. 2007) (stating that the burden is “minimal”).</w:t>
      </w:r>
    </w:p>
    <w:p w14:paraId="5732EC86" w14:textId="77777777" w:rsidR="00721CCF" w:rsidRPr="00AD2F44" w:rsidRDefault="00F42107">
      <w:pPr>
        <w:pStyle w:val="14Footnote"/>
      </w:pPr>
      <w:r w:rsidRPr="00AD2F44">
        <w:rPr>
          <w:i/>
          <w:iCs/>
        </w:rPr>
        <w:t>Fifth Circuit:</w:t>
      </w:r>
      <w:r w:rsidRPr="00AD2F44">
        <w:t xml:space="preserve"> Clemons v. PHB, Inc., 2018 WL 4539116 (N.D. Tex. Sept. 21, 2018) (applying a lenient evidentiary standard as no discovery had been conducted); </w:t>
      </w:r>
      <w:r w:rsidRPr="00AD2F44">
        <w:rPr>
          <w:i/>
          <w:iCs/>
        </w:rPr>
        <w:t>Hendrix</w:t>
      </w:r>
      <w:r w:rsidRPr="00AD2F44">
        <w:t xml:space="preserve">, 2017 WL 1449780, at *3 (explaining that courts in Fifth Circuit usually use </w:t>
      </w:r>
      <w:r w:rsidRPr="00AD2F44">
        <w:rPr>
          <w:i/>
          <w:iCs/>
        </w:rPr>
        <w:t>Lusardi</w:t>
      </w:r>
      <w:r w:rsidRPr="00AD2F44">
        <w:t xml:space="preserve"> approach, with lenient standard at first stage) (citing Lusardi v. Xerox Corp., 118 F.R.D. 351 (D.N.J. 1987)); Sarmiento-Perez v. Las Colinas Int’l, Inc., 2015 WL 3539571, at *5 (N.D. Tex. June 5, 2015) (noting that, under two-step approach used by courts in Fifth Circuit, standard under stage one is “‘fairly lenient’ and ‘typically results’ in conditional certification”) (citation omitted); Page v. Nova Healthcare Mgmt., LLP, 2013 WL 4782749, at *3–4 (S.D. Tex. Sept. 6, 2013) (noting that Fifth Circuit has not definitively decided what analysis should be employed when determining whether employees are “similarly situated” for purposes of conditional certification, and applying “fairly lenient” </w:t>
      </w:r>
      <w:r w:rsidRPr="00AD2F44">
        <w:rPr>
          <w:i/>
          <w:iCs/>
        </w:rPr>
        <w:t xml:space="preserve">Lusardi </w:t>
      </w:r>
      <w:r w:rsidRPr="00AD2F44">
        <w:t>analysis rather than “spurious class action” analysis similar to Rule 23 analysis).</w:t>
      </w:r>
      <w:r w:rsidRPr="00AD2F44">
        <w:rPr>
          <w:b/>
        </w:rPr>
        <w:t xml:space="preserve"> [Caution: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57A8B2D6" w14:textId="77777777" w:rsidR="00721CCF" w:rsidRPr="00AD2F44" w:rsidRDefault="00F42107">
      <w:pPr>
        <w:pStyle w:val="14Footnote"/>
      </w:pPr>
      <w:r w:rsidRPr="00AD2F44">
        <w:rPr>
          <w:i/>
          <w:iCs/>
        </w:rPr>
        <w:t xml:space="preserve">Sixth Circuit: </w:t>
      </w:r>
      <w:r w:rsidRPr="00AD2F44">
        <w:t>Combs v. Twins Grp., Inc., 2016 WL 7230854, at *2 (S.D. Ohio Dec. 14, 2016) (adopting “fairly lenient” standard used by district courts in Sixth Circuit).</w:t>
      </w:r>
    </w:p>
    <w:p w14:paraId="7DE193A1" w14:textId="77777777" w:rsidR="00721CCF" w:rsidRPr="00AD2F44" w:rsidRDefault="00F42107">
      <w:pPr>
        <w:pStyle w:val="14Footnote"/>
      </w:pPr>
      <w:r w:rsidRPr="00AD2F44">
        <w:rPr>
          <w:i/>
          <w:iCs/>
        </w:rPr>
        <w:t>Ninth Circuit:</w:t>
      </w:r>
      <w:r w:rsidRPr="00AD2F44">
        <w:t xml:space="preserve"> Ramirez v. Ghilotti Bros., 941 F. Supp. 2d 1197, 1205 (N.D. Cal. 2013) (recognizing “[p]laintiffs’ burden at this stage is light”); Edwards v. City of Long Beach, 467 F. Supp. 2d 986, 990 (C.D. Cal. 2006); Romero v. Producers Dairy Foods, Inc., 235 F.R.D. 474, 483 (E.D. Cal. 2006).</w:t>
      </w:r>
    </w:p>
    <w:p w14:paraId="51E98A2A" w14:textId="37B4DCE8" w:rsidR="00721CCF" w:rsidRPr="00AD2F44" w:rsidRDefault="00F42107">
      <w:pPr>
        <w:pStyle w:val="14Footnote"/>
      </w:pPr>
      <w:r w:rsidRPr="00AD2F44">
        <w:rPr>
          <w:i/>
          <w:iCs/>
        </w:rPr>
        <w:t>Tenth Circuit:</w:t>
      </w:r>
      <w:r w:rsidRPr="00AD2F44">
        <w:t xml:space="preserve"> Underwood v. NMC Mortg. Corp., 245 F.R.D. 720, 721 (D. Kan. 2007).</w:t>
      </w:r>
    </w:p>
    <w:p w14:paraId="07663EB5" w14:textId="77777777" w:rsidR="00721CCF" w:rsidRPr="00AD2F44" w:rsidRDefault="00F42107">
      <w:pPr>
        <w:pStyle w:val="14Footnote"/>
      </w:pPr>
      <w:r w:rsidRPr="00AD2F44">
        <w:rPr>
          <w:i/>
          <w:iCs/>
        </w:rPr>
        <w:t>Eleventh Circuit:</w:t>
      </w:r>
      <w:r w:rsidRPr="00AD2F44">
        <w:t xml:space="preserve"> Anderson v. Cagles, Inc., 488 F.3d 945, 953 (11th Cir. 2007).</w:t>
      </w:r>
    </w:p>
    <w:p w14:paraId="78806A3C" w14:textId="77777777" w:rsidR="00721CCF" w:rsidRPr="00AD2F44" w:rsidRDefault="00F42107">
      <w:pPr>
        <w:pStyle w:val="14Footnote"/>
      </w:pPr>
      <w:r w:rsidRPr="00AD2F44">
        <w:rPr>
          <w:i/>
          <w:iCs/>
        </w:rPr>
        <w:t>D.C. Circuit:</w:t>
      </w:r>
      <w:r w:rsidRPr="00AD2F44">
        <w:t xml:space="preserve"> Castillo v. P &amp; R Enters., Inc., 517 F. Supp. 2d 440, 445 (D.D.C. 2007) (explaining that conditional certification is appropriate upon plaintiffs’ modest factual showing sufficient to demonstrate that they and potential plaintiffs together were victims of a common policy or plan that violated the law)</w:t>
      </w:r>
    </w:p>
  </w:footnote>
  <w:footnote w:id="89">
    <w:p w14:paraId="717880BF" w14:textId="77777777" w:rsidR="00721CCF" w:rsidRPr="00AD2F44" w:rsidRDefault="00F42107">
      <w:pPr>
        <w:pStyle w:val="14Footnote"/>
        <w:rPr>
          <w:i/>
          <w:iCs/>
        </w:rPr>
      </w:pPr>
      <w:r w:rsidRPr="00AD2F44">
        <w:rPr>
          <w:vertAlign w:val="superscript"/>
        </w:rPr>
        <w:footnoteRef/>
      </w:r>
      <w:r w:rsidRPr="00AD2F44">
        <w:rPr>
          <w:i/>
          <w:iCs/>
        </w:rPr>
        <w:t>Hipp</w:t>
      </w:r>
      <w:r w:rsidRPr="00AD2F44">
        <w:t>, 252 F.3d at 1219 (citing Grayson v. K Mart Corp., 79 F.3d 1086, 1095 (11th Cir. 1996))</w:t>
      </w:r>
      <w:r w:rsidRPr="00AD2F44">
        <w:rPr>
          <w:i/>
          <w:iCs/>
        </w:rPr>
        <w:t>. See also</w:t>
      </w:r>
    </w:p>
    <w:p w14:paraId="36F01074" w14:textId="77777777" w:rsidR="00721CCF" w:rsidRPr="00AD2F44" w:rsidRDefault="00F42107">
      <w:pPr>
        <w:pStyle w:val="14Footnote"/>
      </w:pPr>
      <w:r w:rsidRPr="00AD2F44">
        <w:rPr>
          <w:i/>
          <w:iCs/>
        </w:rPr>
        <w:t>Second Circuit:</w:t>
      </w:r>
      <w:r w:rsidRPr="00AD2F44">
        <w:t xml:space="preserve"> Scott v. Chipotle Mexican Grill, Inc., 954 F.3d 502 (2d Cir. 2020) (vacating decertification by lower court, holding that court should not have incorporated heightened level of scrutiny mirroring Rule 23 when analyzing whether named and opt-in plaintiffs were similarly situated); Heagney v. European Am. Bank, 122 F.R.D. 125, 127 n.2 (E.D.N.Y. 1988).</w:t>
      </w:r>
    </w:p>
    <w:p w14:paraId="32B40FBA" w14:textId="37562DE2" w:rsidR="00721CCF" w:rsidRPr="00AD2F44" w:rsidRDefault="00F42107">
      <w:pPr>
        <w:pStyle w:val="14Footnote"/>
      </w:pPr>
      <w:r w:rsidRPr="00AD2F44">
        <w:rPr>
          <w:i/>
          <w:iCs/>
        </w:rPr>
        <w:t>Fifth Circuit:</w:t>
      </w:r>
      <w:r w:rsidRPr="00AD2F44">
        <w:t xml:space="preserve"> Ryan v. Staff Care, Inc., 497 F. Supp. 2d 820, 824 (N.D. Tex. 2007).</w:t>
      </w:r>
      <w:r w:rsidR="001B5E5D" w:rsidRPr="001B5E5D">
        <w:rPr>
          <w:b/>
        </w:rPr>
        <w:t xml:space="preserve"> </w:t>
      </w:r>
      <w:r w:rsidR="001B5E5D" w:rsidRPr="00AD2F44">
        <w:rPr>
          <w:b/>
        </w:rPr>
        <w:t xml:space="preserve">[Caution: </w:t>
      </w:r>
      <w:r w:rsidR="001B5E5D" w:rsidRPr="00AD2F44">
        <w:t xml:space="preserve">The Fifth Circuit later rejected the two-stage process, in </w:t>
      </w:r>
      <w:r w:rsidR="001B5E5D" w:rsidRPr="00AD2F44">
        <w:rPr>
          <w:i/>
        </w:rPr>
        <w:t xml:space="preserve">Swales v. KLLM Transport Services, LLC, </w:t>
      </w:r>
      <w:r w:rsidR="001B5E5D" w:rsidRPr="00AD2F44">
        <w:t xml:space="preserve">985 F.3d 430 (5th Cir. 2021), in favor of a requirement to “rigorously scrutinize” whether potential opt-ins are similarly situated “from the outset of the case.” </w:t>
      </w:r>
      <w:r w:rsidR="001B5E5D" w:rsidRPr="00AD2F44">
        <w:rPr>
          <w:i/>
        </w:rPr>
        <w:t>Id.</w:t>
      </w:r>
      <w:r w:rsidR="001B5E5D" w:rsidRPr="00AD2F44">
        <w:t xml:space="preserve"> at 434.</w:t>
      </w:r>
      <w:r w:rsidR="001B5E5D" w:rsidRPr="00AD2F44">
        <w:rPr>
          <w:b/>
          <w:bCs/>
        </w:rPr>
        <w:t>]</w:t>
      </w:r>
    </w:p>
    <w:p w14:paraId="40CC2764" w14:textId="77777777" w:rsidR="00721CCF" w:rsidRPr="00AD2F44" w:rsidRDefault="00F42107">
      <w:pPr>
        <w:pStyle w:val="14Footnote"/>
      </w:pPr>
      <w:r w:rsidRPr="00AD2F44">
        <w:rPr>
          <w:i/>
          <w:iCs/>
        </w:rPr>
        <w:t>Seventh Circuit:</w:t>
      </w:r>
      <w:r w:rsidRPr="00AD2F44">
        <w:t xml:space="preserve"> Lee v. Children’s Place Retail Stores, Inc., 2014 WL 51000608, at *5 (N.D. Ill. Oct. 8, 2014) (agreeing with other Seventh Circuit district courts that conditional certification inquiry is not as stringent as Rule 23, distinguishing statement in </w:t>
      </w:r>
      <w:r w:rsidRPr="00AD2F44">
        <w:rPr>
          <w:i/>
          <w:iCs/>
        </w:rPr>
        <w:t>Espenscheid v</w:t>
      </w:r>
      <w:r w:rsidRPr="00AD2F44">
        <w:t>.</w:t>
      </w:r>
      <w:r w:rsidRPr="00AD2F44">
        <w:rPr>
          <w:i/>
          <w:iCs/>
        </w:rPr>
        <w:t xml:space="preserve"> </w:t>
      </w:r>
      <w:r w:rsidRPr="00AD2F44">
        <w:rPr>
          <w:i/>
          <w:iCs/>
        </w:rPr>
        <w:t>DirectSAT USA, LLC</w:t>
      </w:r>
      <w:r w:rsidRPr="00AD2F44">
        <w:t>, 705 F.3d 770 (7th Cir. 2013), that standards are similar because it was decertification case, but nevertheless denying conditional certification because plaintiff failed to make even modest factual showing that putative class was similarly situated).</w:t>
      </w:r>
    </w:p>
    <w:p w14:paraId="730FF27A" w14:textId="77777777" w:rsidR="00721CCF" w:rsidRPr="00AD2F44" w:rsidRDefault="00F42107">
      <w:pPr>
        <w:pStyle w:val="14Footnote"/>
      </w:pPr>
      <w:r w:rsidRPr="00AD2F44">
        <w:rPr>
          <w:i/>
          <w:iCs/>
        </w:rPr>
        <w:t>Ninth Circuit:</w:t>
      </w:r>
      <w:r w:rsidRPr="00AD2F44">
        <w:t xml:space="preserve"> Chastain v. Cam, 2016 WL 1572542 (D. Or. Apr. 9, 2016) (finding that, if certification of plaintiff’s class action under Rule 23 is proper, certification of collective action is proper as well); Casarotto v. Exploration Drilling, Inc., 2015 WL 8780050 (D. Mont. Dec. 15, 2015) (rejecting request to apply more stringent Rule 23 standards to motion for conditional certification); Juvera v. Salcido, 294 F.R.D. 516, 520 (D. Ariz. 2013) (applying the “fairly lenient standard” prior to close of discovery in conditional certification stage).</w:t>
      </w:r>
    </w:p>
    <w:p w14:paraId="45D639A4" w14:textId="77777777" w:rsidR="00721CCF" w:rsidRPr="00AD2F44" w:rsidRDefault="00F42107">
      <w:pPr>
        <w:pStyle w:val="14Footnote"/>
      </w:pPr>
      <w:r w:rsidRPr="00AD2F44">
        <w:rPr>
          <w:i/>
          <w:iCs/>
        </w:rPr>
        <w:t>Tenth Circuit:</w:t>
      </w:r>
      <w:r w:rsidRPr="00AD2F44">
        <w:rPr>
          <w:b/>
          <w:bCs/>
        </w:rPr>
        <w:t xml:space="preserve"> </w:t>
      </w:r>
      <w:r w:rsidRPr="00AD2F44">
        <w:t>Turner v. Chipotle Mexican Grill, Inc., 123 F. Supp. 3d 1300, 1307 (D. Colo. 2015) (explaining that because only those who opt in to FLSA collective actions “have a stake in the litigation,” compared with Rule 23 opt-out class actions, there is no rationale “for subjecting individual party plaintiffs in collective actions to the rigorous procedural requirements of class actions”).</w:t>
      </w:r>
    </w:p>
    <w:p w14:paraId="466E2437" w14:textId="77777777" w:rsidR="00721CCF" w:rsidRPr="00AD2F44" w:rsidRDefault="00F42107">
      <w:pPr>
        <w:pStyle w:val="14Footnote"/>
      </w:pPr>
      <w:r w:rsidRPr="00AD2F44">
        <w:rPr>
          <w:i/>
          <w:iCs/>
        </w:rPr>
        <w:t xml:space="preserve">Eleventh Circuit: </w:t>
      </w:r>
      <w:r w:rsidRPr="00AD2F44">
        <w:t xml:space="preserve">Grayson v. K Mart Corp., 79 F.3d 1086, 1095 (11th Cir. 1996). </w:t>
      </w:r>
    </w:p>
  </w:footnote>
  <w:footnote w:id="90">
    <w:p w14:paraId="0A703171" w14:textId="77777777" w:rsidR="00721CCF" w:rsidRPr="00AD2F44" w:rsidRDefault="00F42107">
      <w:pPr>
        <w:pStyle w:val="14Footnote"/>
      </w:pPr>
      <w:r w:rsidRPr="00AD2F44">
        <w:rPr>
          <w:vertAlign w:val="superscript"/>
        </w:rPr>
        <w:footnoteRef/>
      </w:r>
      <w:r w:rsidRPr="00AD2F44">
        <w:rPr>
          <w:i/>
        </w:rPr>
        <w:t>See, e.g.,</w:t>
      </w:r>
    </w:p>
    <w:p w14:paraId="0D257F44" w14:textId="77777777" w:rsidR="00721CCF" w:rsidRPr="00AD2F44" w:rsidRDefault="00F42107">
      <w:pPr>
        <w:pStyle w:val="14Footnote"/>
      </w:pPr>
      <w:r w:rsidRPr="00AD2F44">
        <w:rPr>
          <w:i/>
          <w:iCs/>
        </w:rPr>
        <w:t>First Circuit:</w:t>
      </w:r>
      <w:r w:rsidRPr="00AD2F44">
        <w:t xml:space="preserve"> O’Donnell v. Robert Half Int’l, Inc., 429 F. Supp. 2d 246 (D. Mass. 2006) (denying motion for opt-in notice where plaintiffs’ responses provided conflicting descriptions of group they sought to notify and failed to submit any evidence that company employees throughout country were subject to same policy of improperly applying exemption to employees).</w:t>
      </w:r>
    </w:p>
    <w:p w14:paraId="7290048E" w14:textId="183B5ECE" w:rsidR="00721CCF" w:rsidRPr="00AD2F44" w:rsidRDefault="00F42107">
      <w:pPr>
        <w:pStyle w:val="14Footnote"/>
      </w:pPr>
      <w:r w:rsidRPr="00AD2F44">
        <w:rPr>
          <w:i/>
          <w:iCs/>
        </w:rPr>
        <w:t>Second Circuit:</w:t>
      </w:r>
      <w:r w:rsidRPr="00AD2F44">
        <w:t xml:space="preserve"> Bliss v. Patterson, 2022 BL 58361, 2022 WL 523547 (E.D.N.Y. Feb. 22, 2022) (denying conditional certification where plaintiff’s affidavit showed that defendants paid him on hourly basis by check and putative opt-in plaintiffs were paid daily rate in cash, so there was no alleged common policy or plan that violated the law); Perez v. Escobar Constr. Inc., 540 F. Supp. 3d 395, 406</w:t>
      </w:r>
      <w:r w:rsidRPr="00AD2F44">
        <w:rPr>
          <w:b/>
          <w:bCs/>
        </w:rPr>
        <w:t xml:space="preserve"> </w:t>
      </w:r>
      <w:r w:rsidRPr="00AD2F44">
        <w:t>(S.D.N.Y. 2021) (granting notice to non-exempt construction workers, painters, laborers, finishers, and supervisors but refusing to send notice to “all non-exempt non-managerial [] employees” because plaintiffs had not provided any information in their affidavits or complaint beyond specific jobs listed); Han v. Shang Noodle House, Inc., 2021 BL 319092, 2021 WL 3774186 (E.D.N.Y. Aug. 24, 2021) (denying conditional certification for group of workers in positions that plaintiff did not occupy and for minimum wage violations plaintiff did not suffer; granting conditional certification for overtime claims that were sufficiently alleged in complaint under policy that applied to other workers); Hickmon v. Fun &amp; Fit LLC, 2021 BL 306334, 2021 WL 3578296 (S.D.N.Y. Aug. 13, 2021) (denying conditional certification for conclusory and unsubstantiated allegations and for failure to provide specific information about other putative collective members, such as names, duties, or hours worked); Thompson v. Global Contact Servs., 2021 BL 277323, 2021 WL 3087568 (E.D.N.Y. July 21, 2021) (denying conditional certification for failure to provide more than her own affidavit with conclusory allegations); Boice v. M+W U.S., Inc., 130 F. Supp. 3d 677 (N.D.N.Y. 2015) (denying certification and observing that, despite modest factual showing standard, plaintiff must provide more than uncorroborated, self-serving statements to support motion for conditional certification); Ahmed v. T.J. Maxx Corp., 2013 WL 2649544 (E.D.N.Y. June, 8, 2013) (granting defendants’ motion to set aside magistrate judge’s decision to certify a nationwide collective action because the evidence of an unlawful practice only applied to two locations, but stating that plaintiff could renew motion for a nationwide collective action if more evidence was discovered); Romero v. H.B. Auto. Grp., Inc., 2012 U.S. Dist. LEXIS 61151 (S.D.N.Y. May 1, 2012) (denying conditional certification when plaintiff failed to demonstrate that any employees were similarly situated, plaintiff was the only employee ever hired for her position, and plaintiff failed to provide any job descriptions for similarly situated employees); Khan v. Airport Mgmt. Servs., LLC, 2011 WL 5597371, at *5 (S.D.N.Y. Nov. 16, 2011) (noting that “while plaintiff’s burden at this stage is modest, it is not non-existent”).</w:t>
      </w:r>
    </w:p>
    <w:p w14:paraId="1A0BA5E9" w14:textId="382BB9DA" w:rsidR="00721CCF" w:rsidRPr="00AD2F44" w:rsidRDefault="00F42107">
      <w:pPr>
        <w:pStyle w:val="14Footnote"/>
      </w:pPr>
      <w:r w:rsidRPr="00AD2F44">
        <w:rPr>
          <w:i/>
          <w:iCs/>
        </w:rPr>
        <w:t>Fifth Circuit:</w:t>
      </w:r>
      <w:r w:rsidRPr="00AD2F44">
        <w:t xml:space="preserve"> Farrow v. Ammari of La. Ltd., 2016 WL 3020901 (E.D. La. May 26, 2016) (certification denied where evidence of improper deductions in tip credit case was limited to plaintiff’s own experience); Stewart v. Project Consulting Serv., Inc., 2000 WL 1880321, at *3 (E.D. La. Dec. 27, 2000) (denying motion for opt-in notice as premature, explaining that it was “impossible to identify a similarly situated class member much less notify one” before additional discovery takes place).</w:t>
      </w:r>
      <w:r w:rsidR="00836B46" w:rsidRPr="00836B46">
        <w:rPr>
          <w:b/>
        </w:rPr>
        <w:t xml:space="preserve"> </w:t>
      </w:r>
      <w:r w:rsidR="00836B46" w:rsidRPr="00AD2F44">
        <w:rPr>
          <w:b/>
        </w:rPr>
        <w:t xml:space="preserve">[Caution: </w:t>
      </w:r>
      <w:r w:rsidR="00836B46" w:rsidRPr="00AD2F44">
        <w:t xml:space="preserve">The Fifth Circuit later rejected the two-stage process, in </w:t>
      </w:r>
      <w:r w:rsidR="00836B46" w:rsidRPr="00AD2F44">
        <w:rPr>
          <w:i/>
        </w:rPr>
        <w:t xml:space="preserve">Swales v. KLLM Transport Services, LLC, </w:t>
      </w:r>
      <w:r w:rsidR="00836B46" w:rsidRPr="00AD2F44">
        <w:t xml:space="preserve">985 F.3d 430 (5th Cir. 2021), in favor of a requirement to “rigorously scrutinize” whether potential opt-ins are similarly situated “from the outset of the case.” </w:t>
      </w:r>
      <w:r w:rsidR="00836B46" w:rsidRPr="00AD2F44">
        <w:rPr>
          <w:i/>
        </w:rPr>
        <w:t>Id.</w:t>
      </w:r>
      <w:r w:rsidR="00836B46" w:rsidRPr="00AD2F44">
        <w:t xml:space="preserve"> at 434.</w:t>
      </w:r>
      <w:r w:rsidR="00836B46" w:rsidRPr="00AD2F44">
        <w:rPr>
          <w:b/>
          <w:bCs/>
        </w:rPr>
        <w:t>]</w:t>
      </w:r>
    </w:p>
    <w:p w14:paraId="4BE8ABE4" w14:textId="77777777" w:rsidR="00721CCF" w:rsidRPr="00AD2F44" w:rsidRDefault="00F42107">
      <w:pPr>
        <w:pStyle w:val="14Footnote"/>
      </w:pPr>
      <w:r w:rsidRPr="00AD2F44">
        <w:rPr>
          <w:i/>
          <w:iCs/>
        </w:rPr>
        <w:t>Sixth Circuit:</w:t>
      </w:r>
      <w:r w:rsidRPr="00AD2F44">
        <w:t xml:space="preserve"> Roberts v. Corr. Corp. of Am., 2015 U.S. Dist. LEXIS 82575 (M.D. Tenn. June 25, 2015) (limiting plaintiff’s conditional certification to Tennessee employees, instead of the nationwide class sought by plaintiff, based on plaintiff’s failure to make a modest showing for a class outside of Tennessee); Landsberg v. Acton Enters., Inc., 2006 WL 745178, at *5 (S.D. Ohio Mar. 22, 2006) (denying motion for opt-in notice where plaintiff “offered nothing but speculation to support his belief that other … managers … were not paid all of the money owed to them under … ‘salary’ work policy”).</w:t>
      </w:r>
    </w:p>
    <w:p w14:paraId="38173846" w14:textId="77777777" w:rsidR="00721CCF" w:rsidRPr="00AD2F44" w:rsidRDefault="00F42107">
      <w:pPr>
        <w:pStyle w:val="14Footnote"/>
      </w:pPr>
      <w:r w:rsidRPr="00AD2F44">
        <w:rPr>
          <w:i/>
          <w:iCs/>
        </w:rPr>
        <w:t>Seventh Circuit:</w:t>
      </w:r>
      <w:r w:rsidRPr="00AD2F44">
        <w:t xml:space="preserve"> Calverley v. CareerBuilder LLC, 2015 WL 4450045 (N.D. Ill. July 20, 2015) (declining to grant certification after evaluating evidence presented and finding that emails presented by plaintiff failed to support allegation that defendant had years-long, companywide policy of refusing to pay overtime); Allen v. Payday Loan Store of Ind., Inc., 2013 WL 6237852, at *1 (N.D. Ind. Dec. 3, 2013) (noting that although the standard is lenient, “it is not a mere formality,” and that certification is not granted “on plaintiff’s say-so alone”). </w:t>
      </w:r>
    </w:p>
    <w:p w14:paraId="703306C1" w14:textId="3B44789B" w:rsidR="00721CCF" w:rsidRPr="00AD2F44" w:rsidRDefault="00F42107">
      <w:pPr>
        <w:pStyle w:val="14Footnote"/>
      </w:pPr>
      <w:r w:rsidRPr="00AD2F44">
        <w:rPr>
          <w:i/>
          <w:iCs/>
        </w:rPr>
        <w:t>Eighth Circuit</w:t>
      </w:r>
      <w:r w:rsidRPr="00AD2F44">
        <w:t xml:space="preserve">: </w:t>
      </w:r>
      <w:r>
        <w:t xml:space="preserve">Shipley v. City of Bettendorf, </w:t>
      </w:r>
      <w:r w:rsidR="00F57115" w:rsidRPr="00F57115">
        <w:t>2023 BL 183635</w:t>
      </w:r>
      <w:r w:rsidR="00F57115">
        <w:t xml:space="preserve">, </w:t>
      </w:r>
      <w:r w:rsidR="004F4D61" w:rsidRPr="004F4D61">
        <w:t>2023 WL 3680115</w:t>
      </w:r>
      <w:r w:rsidR="004F4D61">
        <w:t>, at *4</w:t>
      </w:r>
      <w:r w:rsidR="004F4D61" w:rsidRPr="004F4D61">
        <w:t xml:space="preserve"> </w:t>
      </w:r>
      <w:r>
        <w:t xml:space="preserve">(S.D. Iowa Feb. 2, 2023) (granting partial conditional certification but denying as to workers limited to a claim for compensatory time because plaintiffs presented “no evidence” of that claim and even conditional certification requires more than mere allegations); </w:t>
      </w:r>
      <w:r w:rsidRPr="00AD2F44">
        <w:t>Hopkins v. Calais Forest Equity Enters., LLC, 2021 BL 408607, 2021 WL 4953248, at *2 (E.D. Ark. Oct. 25, 2021) (denying conditional certification, recognizing that although standard is lenient at this stage, it is “not the equivalent of a rubber stamp”; holding that single declaration and failure to identify any other similar workers is not sufficient); Baker v. APC PASSE, LLC, 2021 BL 353111, 2021 WL 4255306 (E.D. Ark. Sept. 17, 2021) (denying certification as to care coordinator supervisors, as opposed to care coordinators, recognizing conflict of interest between plaintiff supervisor, who enforced defendants’ pay policies, and nonsupervisory workers, who were subject to pay policies at issue).</w:t>
      </w:r>
    </w:p>
    <w:p w14:paraId="6DD6A53A" w14:textId="77777777" w:rsidR="00721CCF" w:rsidRPr="00AD2F44" w:rsidRDefault="00F42107">
      <w:pPr>
        <w:pStyle w:val="14Footnote"/>
      </w:pPr>
      <w:r w:rsidRPr="00AD2F44">
        <w:rPr>
          <w:i/>
          <w:iCs/>
        </w:rPr>
        <w:t>Ninth Circuit:</w:t>
      </w:r>
      <w:r w:rsidRPr="00AD2F44">
        <w:t xml:space="preserve"> Sheffield v. </w:t>
      </w:r>
      <w:r w:rsidRPr="00AD2F44">
        <w:t>Orius Corp., 211 F.R.D. 411, 416 (D. Or. 2002) (denying plaintiffs’ motion for opt-in notice based on factual differences among putative collective action members, including differences in job sites, payment structures, and job titles).</w:t>
      </w:r>
    </w:p>
    <w:p w14:paraId="5E8D8D11" w14:textId="0E7E00BA" w:rsidR="00721CCF" w:rsidRPr="00AD2F44" w:rsidRDefault="00F42107">
      <w:pPr>
        <w:pStyle w:val="14Footnote"/>
      </w:pPr>
      <w:r w:rsidRPr="00AD2F44">
        <w:rPr>
          <w:i/>
          <w:iCs/>
        </w:rPr>
        <w:t>Eleventh Circuit:</w:t>
      </w:r>
      <w:r w:rsidRPr="00AD2F44">
        <w:t xml:space="preserve"> Haynes v. Singer Co., 696 F.2d 884, 887 (11th Cir. 1983) (affirming district court’s denial of motion for opt-in notice based on “counsel’s unsupported assertions that FLSA violations were widespread and that additional plaintiffs would come from other stores”); Callier v. Outokumpu Stainless USA, LLC, 2022 BL 100884, </w:t>
      </w:r>
      <w:r w:rsidRPr="002F69CA">
        <w:t>2022 WL 885037 (S.D. Ala. Mar. 24, 2022)</w:t>
      </w:r>
      <w:r w:rsidRPr="00AD2F44">
        <w:t xml:space="preserve"> (denying conditional certification for failure to provide any evidence beyond general allegations in complaint, including failing to provide any affidavits or supportive evidence; declining to take judicial notice of factual allegations in previously filed suit); Bernstein v. Town of Jupiter, 2021 BL 498375, 2021 WL 6135185 (S.D. Fla. Oct. 13, 2021) (denying conditional certification for plaintiffs’ failure to provide specific factual support regarding putative collective’s job titles, duties, pay provisions, or other relevant information); Reyes v. Strada Servs. Inc., 2021 BL 366208, 2021 WL 4427079 (M.D. Fla. Sept. 27, 2021) (denying conditional certification where evidence showed that putative collective was subject to different supervisors, timekeeping practices, and job responsibilities that would cause too many individualized inquiries); Rodgers v. CVS Pharm., Inc., 2006 WL 752831, at *3–4 (M.D. Fla. Mar. 23, 2006) (denying notice to potential class based on plaintiff’s unsupported beliefs and expectations that others may desire to join suit); Marsh v. Butler Cnty. Sch. Sys., 242 F. Supp. 2d 1086, 1095 (M.D. Ala. 2003) (denying plaintiffs’ motion for opt-in notice where they failed to present evidence that systemic FLSA abuses in some school systems existed in the particular school in which they worked).</w:t>
      </w:r>
    </w:p>
    <w:p w14:paraId="7769ADB3" w14:textId="669A4457" w:rsidR="00721CCF" w:rsidRPr="00AD2F44" w:rsidRDefault="00F42107">
      <w:pPr>
        <w:pStyle w:val="14Footnote"/>
      </w:pPr>
      <w:r w:rsidRPr="00AD2F44">
        <w:rPr>
          <w:i/>
          <w:iCs/>
        </w:rPr>
        <w:t>D</w:t>
      </w:r>
      <w:r w:rsidRPr="00AD2F44">
        <w:t>.</w:t>
      </w:r>
      <w:r w:rsidRPr="00AD2F44">
        <w:rPr>
          <w:i/>
          <w:iCs/>
        </w:rPr>
        <w:t>C</w:t>
      </w:r>
      <w:r w:rsidRPr="00AD2F44">
        <w:t>.</w:t>
      </w:r>
      <w:r w:rsidRPr="00AD2F44">
        <w:rPr>
          <w:i/>
          <w:iCs/>
        </w:rPr>
        <w:t xml:space="preserve"> Circuit:</w:t>
      </w:r>
      <w:r w:rsidRPr="00AD2F44">
        <w:t xml:space="preserve"> Stephens v. Farmers Rest. Grp., 291 F. Supp. 3d 95, 109 (D.D.C. 2018) (limiting scope of collective action to restaurant servers (and not bartenders) because plaintiffs presented no evidence that bartenders contributed to allegedly invalid tip pools).</w:t>
      </w:r>
    </w:p>
  </w:footnote>
  <w:footnote w:id="91">
    <w:p w14:paraId="2C3994C7" w14:textId="77777777" w:rsidR="00721CCF" w:rsidRPr="00AD2F44" w:rsidRDefault="00F42107">
      <w:pPr>
        <w:pStyle w:val="14Footnote"/>
      </w:pPr>
      <w:r w:rsidRPr="00AD2F44">
        <w:rPr>
          <w:vertAlign w:val="superscript"/>
        </w:rPr>
        <w:footnoteRef/>
      </w:r>
      <w:r w:rsidRPr="00AD2F44">
        <w:t xml:space="preserve">564 U.S. 338 (2011). </w:t>
      </w:r>
    </w:p>
  </w:footnote>
  <w:footnote w:id="92">
    <w:p w14:paraId="380D6DBC" w14:textId="77777777" w:rsidR="00721CCF" w:rsidRPr="00AD2F44" w:rsidRDefault="00F42107">
      <w:pPr>
        <w:pStyle w:val="14Footnote"/>
      </w:pPr>
      <w:r w:rsidRPr="00AD2F44">
        <w:rPr>
          <w:vertAlign w:val="superscript"/>
        </w:rPr>
        <w:footnoteRef/>
      </w:r>
      <w:r w:rsidRPr="00AD2F44">
        <w:rPr>
          <w:i/>
        </w:rPr>
        <w:t xml:space="preserve">See, e.g., </w:t>
      </w:r>
    </w:p>
    <w:p w14:paraId="76379E29" w14:textId="77777777" w:rsidR="00721CCF" w:rsidRPr="00AD2F44" w:rsidRDefault="00F42107">
      <w:pPr>
        <w:pStyle w:val="14Footnote"/>
      </w:pPr>
      <w:r w:rsidRPr="00AD2F44">
        <w:rPr>
          <w:i/>
          <w:iCs/>
        </w:rPr>
        <w:t>Second Circuit:</w:t>
      </w:r>
      <w:r w:rsidRPr="00AD2F44">
        <w:t xml:space="preserve"> Winfield v. Citibank, N.A., 843 F. Supp. 2d 397, 409–10 (S.D.N.Y. 2012).</w:t>
      </w:r>
    </w:p>
    <w:p w14:paraId="4EBB7511" w14:textId="77777777" w:rsidR="00721CCF" w:rsidRPr="00AD2F44" w:rsidRDefault="00F42107">
      <w:pPr>
        <w:pStyle w:val="14Footnote"/>
      </w:pPr>
      <w:r w:rsidRPr="00AD2F44">
        <w:rPr>
          <w:i/>
          <w:iCs/>
        </w:rPr>
        <w:t>Fourth Circuit:</w:t>
      </w:r>
      <w:r w:rsidRPr="00AD2F44">
        <w:t xml:space="preserve"> Myles v. Prosperity </w:t>
      </w:r>
      <w:r w:rsidRPr="00AD2F44">
        <w:t>Mortg. Co., 2012 WL 1963390, at *6 (D. Md. May 31, 2012).</w:t>
      </w:r>
    </w:p>
    <w:p w14:paraId="0886F5DB" w14:textId="614E917E" w:rsidR="00721CCF" w:rsidRPr="00AD2F44" w:rsidRDefault="00F42107">
      <w:pPr>
        <w:pStyle w:val="14Footnote"/>
      </w:pPr>
      <w:r w:rsidRPr="00AD2F44">
        <w:rPr>
          <w:i/>
          <w:iCs/>
        </w:rPr>
        <w:t>Ninth Circuit:</w:t>
      </w:r>
      <w:r w:rsidRPr="00AD2F44">
        <w:t xml:space="preserve"> Troy v. Kehe Food Distribs., Inc., 276 F.R.D. 642, 651 (W.D. Wash. 2011).</w:t>
      </w:r>
    </w:p>
  </w:footnote>
  <w:footnote w:id="93">
    <w:p w14:paraId="3C927C85" w14:textId="77777777" w:rsidR="00721CCF" w:rsidRPr="00AD2F44" w:rsidRDefault="00F42107">
      <w:pPr>
        <w:pStyle w:val="14Footnote"/>
      </w:pPr>
      <w:r w:rsidRPr="00AD2F44">
        <w:rPr>
          <w:vertAlign w:val="superscript"/>
        </w:rPr>
        <w:footnoteRef/>
      </w:r>
      <w:r w:rsidRPr="00AD2F44">
        <w:rPr>
          <w:i/>
        </w:rPr>
        <w:t xml:space="preserve">See, e.g., </w:t>
      </w:r>
    </w:p>
    <w:p w14:paraId="5ABFC95D" w14:textId="77777777" w:rsidR="00721CCF" w:rsidRPr="00AD2F44" w:rsidRDefault="00F42107">
      <w:pPr>
        <w:pStyle w:val="14Footnote"/>
      </w:pPr>
      <w:r w:rsidRPr="00AD2F44">
        <w:rPr>
          <w:i/>
          <w:iCs/>
        </w:rPr>
        <w:t>Fourth Circuit:</w:t>
      </w:r>
      <w:r w:rsidRPr="00AD2F44">
        <w:t xml:space="preserve"> Blaney v. Charlotte-Mecklenburg Hosp. Auth., 2011 WL 4351631, at *8 (W.D.N.C. Sept. 16, 2011) (citing </w:t>
      </w:r>
      <w:r w:rsidRPr="00AD2F44">
        <w:rPr>
          <w:i/>
          <w:iCs/>
        </w:rPr>
        <w:t xml:space="preserve">Dukes </w:t>
      </w:r>
      <w:r w:rsidRPr="00AD2F44">
        <w:t xml:space="preserve">in support of reasoning denying conditional certification); MacGregor v. Farmers Ins. Exch., 2011 WL 2981466, at *4 (D.S.C. July 22, 2011) (finding reasoning from </w:t>
      </w:r>
      <w:r w:rsidRPr="00AD2F44">
        <w:rPr>
          <w:i/>
          <w:iCs/>
        </w:rPr>
        <w:t>Dukes</w:t>
      </w:r>
      <w:r w:rsidRPr="00AD2F44">
        <w:t xml:space="preserve"> “illuminating” on issue of conditional certification).</w:t>
      </w:r>
    </w:p>
    <w:p w14:paraId="0A9CE6D4" w14:textId="77E9E3CF" w:rsidR="00721CCF" w:rsidRPr="00AD2F44" w:rsidRDefault="00F42107">
      <w:pPr>
        <w:pStyle w:val="14Footnote"/>
      </w:pPr>
      <w:r w:rsidRPr="00AD2F44">
        <w:rPr>
          <w:i/>
          <w:iCs/>
        </w:rPr>
        <w:t>Seventh Circuit:</w:t>
      </w:r>
      <w:r w:rsidRPr="00AD2F44">
        <w:t xml:space="preserve"> Ruiz v. Serco, Inc., 2011 WL 7138731, at *6 (W.D. Wis. Aug. 5, 2011) (finding </w:t>
      </w:r>
      <w:r w:rsidRPr="00AD2F44">
        <w:rPr>
          <w:i/>
          <w:iCs/>
        </w:rPr>
        <w:t xml:space="preserve">Dukes </w:t>
      </w:r>
      <w:r w:rsidRPr="00AD2F44">
        <w:t>“instructive” on issue of conditional certification).</w:t>
      </w:r>
    </w:p>
  </w:footnote>
  <w:footnote w:id="94">
    <w:p w14:paraId="40501806" w14:textId="77777777" w:rsidR="00721CCF" w:rsidRPr="00AD2F44" w:rsidRDefault="00F42107">
      <w:pPr>
        <w:pStyle w:val="14Footnote"/>
      </w:pPr>
      <w:r w:rsidRPr="00AD2F44">
        <w:rPr>
          <w:vertAlign w:val="superscript"/>
        </w:rPr>
        <w:footnoteRef/>
      </w:r>
      <w:r w:rsidRPr="00AD2F44">
        <w:t xml:space="preserve">Patton v. Thomson Corp., 364 F. Supp. 2d 263, 267 (E.D.N.Y. 2005) (finding lower burden on FLSA opt-in suits makes sense because class members who do not join suit are not bound as they would be in Rule 23 opt-out action); Rodolico v. Unisys Corp., 199 F.R.D. 468, 481–82 (E.D.N.Y. 2001); </w:t>
      </w:r>
      <w:r w:rsidRPr="00AD2F44">
        <w:t>Ballaris v. Wacker Silttronic Corp., 2001 WL 1335809 (D. Or. Aug. 24, 2001); Hoffmann v. Sbarro, 982 F. Supp. 249, 263 n.17 (S.D.N.Y. 1997); Daggett v. Blind Enters., 1996 U.S. Dist. LEXIS 22465 (D. Or. Apr. 18, 1996).</w:t>
      </w:r>
    </w:p>
  </w:footnote>
  <w:footnote w:id="95">
    <w:p w14:paraId="5BB6832F" w14:textId="77777777" w:rsidR="00721CCF" w:rsidRPr="00AD2F44" w:rsidRDefault="00F42107">
      <w:pPr>
        <w:pStyle w:val="14Footnote"/>
      </w:pPr>
      <w:r w:rsidRPr="00AD2F44">
        <w:rPr>
          <w:vertAlign w:val="superscript"/>
        </w:rPr>
        <w:footnoteRef/>
      </w:r>
      <w:r w:rsidRPr="00AD2F44">
        <w:t xml:space="preserve">Kerce v. West Telemarketing Corp., 575 F. Supp. 2d 1354, 1358 (S.D. Ga. May 21, 2008) (“Early certification protects the class because it allows them to opt into the lawsuit and stop the statute of limitations from running as to their claims.”); Lynch v. United Servs. Auto. Ass’n, 491 F. Supp. 2d 357, 367, 371 (S.D.N.Y. 2007) (deeming court-supervised notice preferred method for managing notification process partly because “it protects claims from expiring under the statute of limitations”; action before court was appropriate case for sending court-approved notice because </w:t>
      </w:r>
      <w:r w:rsidRPr="00AD2F44">
        <w:t xml:space="preserve">“[p]rompt court action is needed because potential opt-in plaintiffs’ claims are in risk of being extinguished by the running of the statute of limitations”; “every day that passes is a day of damages each potential opt-in plaintiff will be unable to recover”); Patton v. Thomson Corp., 364 F. Supp. 2d 263, 268 (E.D.N.Y. 2005); </w:t>
      </w:r>
      <w:r w:rsidRPr="00AD2F44">
        <w:rPr>
          <w:i/>
          <w:iCs/>
        </w:rPr>
        <w:t xml:space="preserve">see also </w:t>
      </w:r>
      <w:r w:rsidRPr="00AD2F44">
        <w:t>Hoffman-La Roche Inc. v. Sperling, 493 U.S. 165, 170 (1989) (“[The] benefits [of a collective action] … depend on employees receiving accurate and timely notice concerning the pendency of the collective action, so that they can make informed decisions about whether to participate.”).</w:t>
      </w:r>
    </w:p>
  </w:footnote>
  <w:footnote w:id="96">
    <w:p w14:paraId="03D37639" w14:textId="77777777" w:rsidR="00721CCF" w:rsidRPr="00AD2F44" w:rsidRDefault="00F42107">
      <w:pPr>
        <w:pStyle w:val="14Footnote"/>
      </w:pPr>
      <w:r w:rsidRPr="00AD2F44">
        <w:rPr>
          <w:vertAlign w:val="superscript"/>
        </w:rPr>
        <w:footnoteRef/>
      </w:r>
      <w:r w:rsidRPr="00AD2F44">
        <w:t>Diaz v. Scores Holding Co., 2008 U.S. Dist. LEXIS 38248, at *13–14 (S.D.N.Y. May 9, 2008); Torres v. Gristede’s Operating Corp., 2006 WL 2819730, at *35–37 (S.D.N.Y. Sept. 29, 2006) (quoting Hoffmann-La Roche, Inc. v. Sperling, 493 U.S. 165, 170 (1989)).</w:t>
      </w:r>
    </w:p>
  </w:footnote>
  <w:footnote w:id="97">
    <w:p w14:paraId="626B1B82" w14:textId="77777777" w:rsidR="00721CCF" w:rsidRPr="00AD2F44" w:rsidRDefault="00F42107">
      <w:pPr>
        <w:pStyle w:val="14Footnote"/>
      </w:pPr>
      <w:r w:rsidRPr="00AD2F44">
        <w:rPr>
          <w:vertAlign w:val="superscript"/>
        </w:rPr>
        <w:footnoteRef/>
      </w:r>
      <w:r w:rsidRPr="00AD2F44">
        <w:rPr>
          <w:i/>
        </w:rPr>
        <w:t xml:space="preserve">See, e.g., </w:t>
      </w:r>
    </w:p>
    <w:p w14:paraId="420B29E9" w14:textId="77777777" w:rsidR="00721CCF" w:rsidRPr="00AD2F44" w:rsidRDefault="00F42107">
      <w:pPr>
        <w:pStyle w:val="14Footnote"/>
      </w:pPr>
      <w:r w:rsidRPr="00AD2F44">
        <w:rPr>
          <w:i/>
          <w:iCs/>
        </w:rPr>
        <w:t>Second Circuit:</w:t>
      </w:r>
      <w:r w:rsidRPr="00AD2F44">
        <w:t xml:space="preserve"> Scott v. Chipotle Mexican Grill, Inc., 954 F.3d. 502 (2d. Cir. 2020) (in analyzing decertification motion, recognizing that Rule 23 requirements are unrelated to and more stringent than requirements for proceeding collectively under §216(b)); Myers v. Hertz Corp., 624 F.3d 537 (2d Cir. 2010) (noting that an FLSA collective action requires a less stringent standard to send notice); Winfield v. Citibank, N.A., 843 F. Supp. 2d 397, 409–10 (S.D.N.Y. 2012) (holding more stringent Rule 23 certification requirements inapplicable to conditional certification motions; refusing to apply </w:t>
      </w:r>
      <w:r w:rsidRPr="00AD2F44">
        <w:rPr>
          <w:i/>
          <w:iCs/>
        </w:rPr>
        <w:t>Wal-Mart Stores, Inc. v. Dukes</w:t>
      </w:r>
      <w:r w:rsidRPr="00AD2F44">
        <w:t xml:space="preserve">, 564 U.S. 338 (2011)); Guzman v. VLM, Inc., 2007 WL 2994278 (E.D.N.Y. Oct. 11, 2007) (ruling adequacy of representation prong not required). </w:t>
      </w:r>
    </w:p>
    <w:p w14:paraId="4153A7C3" w14:textId="77777777" w:rsidR="00721CCF" w:rsidRPr="00AD2F44" w:rsidRDefault="00F42107">
      <w:pPr>
        <w:pStyle w:val="14Footnote"/>
      </w:pPr>
      <w:r w:rsidRPr="00AD2F44">
        <w:rPr>
          <w:i/>
          <w:iCs/>
        </w:rPr>
        <w:t>Fourth Circuit:</w:t>
      </w:r>
      <w:r w:rsidRPr="00AD2F44">
        <w:t xml:space="preserve"> Myles v. Prosperity </w:t>
      </w:r>
      <w:r w:rsidRPr="00AD2F44">
        <w:t xml:space="preserve">Mortg. Co., 2012 WL 1963390, at *6 (D. Md. May 31, 2012) (refusing to apply </w:t>
      </w:r>
      <w:r w:rsidRPr="00AD2F44">
        <w:rPr>
          <w:i/>
          <w:iCs/>
        </w:rPr>
        <w:t>Dukes</w:t>
      </w:r>
      <w:r w:rsidRPr="00AD2F44">
        <w:t xml:space="preserve">, explaining that courts had been “circumspect” about incorporating Rule 23 standards into §216(b) certification analysis, but noting that </w:t>
      </w:r>
      <w:r w:rsidRPr="00AD2F44">
        <w:rPr>
          <w:i/>
          <w:iCs/>
        </w:rPr>
        <w:t>Dukes</w:t>
      </w:r>
      <w:r w:rsidRPr="00AD2F44">
        <w:t xml:space="preserve"> did not preclude conditional certification in this FLSA case in any event); D’Anna v. M/A-COM, Inc., 903 F. Supp. 889, 892 n.2 (D. Md. 1995) (explaining FLSA collective actions are “not subject to the requirements of a class action set forth in Fed. R. Civ. P. 23”).</w:t>
      </w:r>
    </w:p>
    <w:p w14:paraId="4157AEB2" w14:textId="32C3F427" w:rsidR="00721CCF" w:rsidRPr="00AD2F44" w:rsidRDefault="00F42107">
      <w:pPr>
        <w:pStyle w:val="14Footnote"/>
      </w:pPr>
      <w:r w:rsidRPr="00AD2F44">
        <w:rPr>
          <w:i/>
          <w:iCs/>
        </w:rPr>
        <w:t>Fifth Circuit:</w:t>
      </w:r>
      <w:r w:rsidRPr="00AD2F44">
        <w:t xml:space="preserve"> Watson v. Travis Software Corp., 2008 WL 5068806, at *8 (S.D. Tex. Nov. 21, 2008) (finding that class size of 15 to 26 did not weigh against collective treatment because numerosity is not requirement for collective actions).</w:t>
      </w:r>
      <w:r w:rsidR="00836B46" w:rsidRPr="00836B46">
        <w:rPr>
          <w:b/>
        </w:rPr>
        <w:t xml:space="preserve"> </w:t>
      </w:r>
      <w:r w:rsidR="00836B46" w:rsidRPr="00AD2F44">
        <w:rPr>
          <w:b/>
        </w:rPr>
        <w:t xml:space="preserve">[Caution: </w:t>
      </w:r>
      <w:r w:rsidR="00836B46" w:rsidRPr="00AD2F44">
        <w:t xml:space="preserve">The Fifth Circuit later rejected the two-stage process, in </w:t>
      </w:r>
      <w:r w:rsidR="00836B46" w:rsidRPr="00AD2F44">
        <w:rPr>
          <w:i/>
        </w:rPr>
        <w:t xml:space="preserve">Swales v. KLLM Transport Services, LLC, </w:t>
      </w:r>
      <w:r w:rsidR="00836B46" w:rsidRPr="00AD2F44">
        <w:t xml:space="preserve">985 F.3d 430 (5th Cir. 2021), in favor of a requirement to “rigorously scrutinize” whether potential opt-ins are similarly situated “from the outset of the case.” </w:t>
      </w:r>
      <w:r w:rsidR="00836B46" w:rsidRPr="00AD2F44">
        <w:rPr>
          <w:i/>
        </w:rPr>
        <w:t>Id.</w:t>
      </w:r>
      <w:r w:rsidR="00836B46" w:rsidRPr="00AD2F44">
        <w:t xml:space="preserve"> at 434.</w:t>
      </w:r>
      <w:r w:rsidR="00836B46" w:rsidRPr="00AD2F44">
        <w:rPr>
          <w:b/>
          <w:bCs/>
        </w:rPr>
        <w:t>]</w:t>
      </w:r>
    </w:p>
    <w:p w14:paraId="5BD5A7BF" w14:textId="77777777" w:rsidR="00721CCF" w:rsidRPr="00AD2F44" w:rsidRDefault="00F42107">
      <w:pPr>
        <w:pStyle w:val="14Footnote"/>
      </w:pPr>
      <w:r w:rsidRPr="00AD2F44">
        <w:rPr>
          <w:i/>
          <w:iCs/>
        </w:rPr>
        <w:t>Sixth Circuit:</w:t>
      </w:r>
      <w:r w:rsidRPr="00AD2F44">
        <w:t xml:space="preserve"> Douglas v. GE Energy Reuter Stokes, 2007 WL 1341779, at *3 (N.D. Ohio Apr. 30, 2007) (finding “that collective actions pursuant to §216(b) should not be guided by Rule 23”).</w:t>
      </w:r>
    </w:p>
    <w:p w14:paraId="2E91365C" w14:textId="77777777" w:rsidR="00721CCF" w:rsidRPr="00AD2F44" w:rsidRDefault="00F42107">
      <w:pPr>
        <w:pStyle w:val="14Footnote"/>
      </w:pPr>
      <w:r w:rsidRPr="00AD2F44">
        <w:rPr>
          <w:i/>
          <w:iCs/>
        </w:rPr>
        <w:t>Seventh Circuit:</w:t>
      </w:r>
      <w:r w:rsidRPr="00AD2F44">
        <w:t xml:space="preserve"> King v. General Elec. Co., 960 F.2d 617, 621 (7th Cir. 1992).</w:t>
      </w:r>
    </w:p>
    <w:p w14:paraId="13DF3773" w14:textId="77777777" w:rsidR="00721CCF" w:rsidRPr="00AD2F44" w:rsidRDefault="00F42107">
      <w:pPr>
        <w:pStyle w:val="14Footnote"/>
      </w:pPr>
      <w:r w:rsidRPr="00AD2F44">
        <w:rPr>
          <w:i/>
          <w:iCs/>
        </w:rPr>
        <w:t>Ninth Circuit:</w:t>
      </w:r>
      <w:r w:rsidRPr="00AD2F44">
        <w:t xml:space="preserve"> Smith v. T-Mobile USA, Inc., 570 F.3d 1119, 1122 (9th Cir. 2009) (noting the “structural distinctions between” FLSA collective actions and class actions under Rule 23); Lewis v. Wells Fargo Co</w:t>
      </w:r>
      <w:r w:rsidRPr="00AD2F44">
        <w:rPr>
          <w:i/>
          <w:iCs/>
        </w:rPr>
        <w:t>.</w:t>
      </w:r>
      <w:r w:rsidRPr="00AD2F44">
        <w:t>, 669 F. Supp. 2d 1124, 1127 (N.D. Cal. 2009); Roberson v. Danny Ontiveros Trucking, 2008 WL 4809960, at *5–6 (E.D. Cal. Nov. 3, 2008) (denying motion to dismiss collective action allegations based on small class size—12 members—because Rule 23 numerosity requirement does not apply to collective actions); Morden v. T-Mobile USA, Inc., 2006 WL 2620320 (W.D. Wash. Sept. 12, 2006); Gerlach v. Wells Fargo &amp; Co., 2006 U.S. Dist. LEXIS 24823, at *7–8 (N.D. Cal. Mar. 28, 2006).</w:t>
      </w:r>
    </w:p>
    <w:p w14:paraId="755EE9F3" w14:textId="77777777" w:rsidR="00721CCF" w:rsidRPr="00AD2F44" w:rsidRDefault="00F42107">
      <w:pPr>
        <w:pStyle w:val="14Footnote"/>
      </w:pPr>
      <w:r w:rsidRPr="00AD2F44">
        <w:rPr>
          <w:i/>
          <w:iCs/>
        </w:rPr>
        <w:t>Tenth Circuit:</w:t>
      </w:r>
      <w:r w:rsidRPr="00AD2F44">
        <w:t xml:space="preserve"> Thiessen v. General Elec. Capital Corp., 267 F.3d 1095, 1105 (10th Cir. 2001) (recognizing “Congress clearly chose not to have Rule 23 standards apply to class actions under [§216(b)]”).</w:t>
      </w:r>
    </w:p>
    <w:p w14:paraId="554211CD" w14:textId="77777777" w:rsidR="00721CCF" w:rsidRPr="00AD2F44" w:rsidRDefault="00F42107">
      <w:pPr>
        <w:pStyle w:val="14Footnote"/>
      </w:pPr>
      <w:r w:rsidRPr="00AD2F44">
        <w:rPr>
          <w:i/>
          <w:iCs/>
        </w:rPr>
        <w:t>Eleventh Circuit:</w:t>
      </w:r>
      <w:r w:rsidRPr="00AD2F44">
        <w:t xml:space="preserve"> Grayson v. K Mart Corp., 79 F.3d 1086 (11th Cir. 1996) (acknowledging that the requirements under §216(b) and Rule 23 are considerably different); Cremeens v. City of Montgomery, 2009 WL 661867, at *2 (M.D. Ala. Mar. 11, 2009) (holding that, although there must be evidence that other similarly situated employees desire to opt in, Rule 23 numerosity is not required for conditional certification).</w:t>
      </w:r>
    </w:p>
    <w:p w14:paraId="62B1CF7F" w14:textId="2DA470C5" w:rsidR="00721CCF" w:rsidRPr="00AD2F44" w:rsidRDefault="00F42107">
      <w:pPr>
        <w:pStyle w:val="14Footnote"/>
      </w:pPr>
      <w:r w:rsidRPr="00AD2F44">
        <w:rPr>
          <w:i/>
          <w:iCs/>
        </w:rPr>
        <w:t>D.C. Circuit:</w:t>
      </w:r>
      <w:r w:rsidRPr="00AD2F44">
        <w:t xml:space="preserve"> Castillo v. P &amp; R Enters., Inc., 517 F. Supp. 2d 440, 444 (D.D.C. 2007); Hunter v. Sprint Corp., 346 F. Supp. 2d 113, 117 (D.D.C. 2004).</w:t>
      </w:r>
    </w:p>
  </w:footnote>
  <w:footnote w:id="98">
    <w:p w14:paraId="5A7215CC" w14:textId="77777777" w:rsidR="00721CCF" w:rsidRPr="00AD2F44" w:rsidRDefault="00F42107">
      <w:pPr>
        <w:pStyle w:val="14Footnote"/>
      </w:pPr>
      <w:r w:rsidRPr="00AD2F44">
        <w:rPr>
          <w:vertAlign w:val="superscript"/>
        </w:rPr>
        <w:footnoteRef/>
      </w:r>
      <w:r w:rsidRPr="00AD2F44">
        <w:rPr>
          <w:i/>
          <w:iCs/>
        </w:rPr>
        <w:t>See</w:t>
      </w:r>
      <w:r w:rsidRPr="00AD2F44">
        <w:t xml:space="preserve"> </w:t>
      </w:r>
      <w:r w:rsidRPr="00AD2F44">
        <w:rPr>
          <w:i/>
          <w:iCs/>
        </w:rPr>
        <w:t>In re</w:t>
      </w:r>
      <w:r w:rsidRPr="00AD2F44">
        <w:t xml:space="preserve"> FedEx Ground Package Sys., Inc., Emp. Practices Litig.,</w:t>
      </w:r>
      <w:r w:rsidRPr="00AD2F44">
        <w:rPr>
          <w:b/>
          <w:bCs/>
        </w:rPr>
        <w:t xml:space="preserve"> </w:t>
      </w:r>
      <w:r w:rsidRPr="00AD2F44">
        <w:t>662 F.</w:t>
      </w:r>
      <w:r w:rsidRPr="00AD2F44">
        <w:rPr>
          <w:b/>
          <w:bCs/>
        </w:rPr>
        <w:t> </w:t>
      </w:r>
      <w:r w:rsidRPr="00AD2F44">
        <w:t xml:space="preserve">Supp. 2d 1069, 1081–83 (N.D. Ind. 2009) (refusing to grant conditional certification because named plaintiffs were inadequate representatives of putative class, reasoning that adequacy of representation was an “equitable consideration” despite general inapplicability of Rule 23 to conditional certification issues, and finding that plaintiffs did not have standing to pursue overtime claims because they did not meet class definition, and that plaintiffs’ exclusion of state law claimants from putative nationwide collective action created conflict of interest); Martinez v. Cargill Meat Sols., 265 F.R.D. 490, 497 (D. Neb. 2009) (dismissing one named plaintiff in collective action because he lacked standing to pursue challenge to “gang time” policy, and relying on formulation from </w:t>
      </w:r>
      <w:r w:rsidRPr="00AD2F44">
        <w:rPr>
          <w:i/>
          <w:iCs/>
        </w:rPr>
        <w:t>East Texas Motor Freight v. Rodriguez,</w:t>
      </w:r>
      <w:r w:rsidRPr="00AD2F44">
        <w:t xml:space="preserve"> 431 U.S. 395 (1977), for class membership in Rule 23 case to explain requirement that named plaintiff be member of class).</w:t>
      </w:r>
    </w:p>
  </w:footnote>
  <w:footnote w:id="99">
    <w:p w14:paraId="65BB2B11" w14:textId="77777777" w:rsidR="00721CCF" w:rsidRPr="00AD2F44" w:rsidRDefault="00F42107">
      <w:pPr>
        <w:pStyle w:val="14Footnote"/>
      </w:pPr>
      <w:r w:rsidRPr="00AD2F44">
        <w:rPr>
          <w:vertAlign w:val="superscript"/>
        </w:rPr>
        <w:footnoteRef/>
      </w:r>
      <w:r w:rsidRPr="00AD2F44">
        <w:rPr>
          <w:i/>
        </w:rPr>
        <w:t xml:space="preserve">See, e.g., </w:t>
      </w:r>
    </w:p>
    <w:p w14:paraId="587023F6" w14:textId="77777777" w:rsidR="00721CCF" w:rsidRPr="00AD2F44" w:rsidRDefault="00F42107">
      <w:pPr>
        <w:pStyle w:val="14Footnote"/>
      </w:pPr>
      <w:r w:rsidRPr="00AD2F44">
        <w:rPr>
          <w:i/>
          <w:iCs/>
        </w:rPr>
        <w:t>First Circuit:</w:t>
      </w:r>
      <w:r w:rsidRPr="00AD2F44">
        <w:t xml:space="preserve"> Poreda v. Boise Cascade, LLC, 532 F. Supp. 2d 234, 239 (D. Mass. 2008); Trezvant v. Fidelity Emp. Servs. Corp., 434 F. Supp. 2d 40, 43–45 (D. Mass. 2006); Reeves v. Alliant </w:t>
      </w:r>
      <w:r w:rsidRPr="00AD2F44">
        <w:t>Techsys., Inc., 77 F. Supp. 2d 242, 246 (D.R.I. 1999).</w:t>
      </w:r>
    </w:p>
    <w:p w14:paraId="612066B6" w14:textId="4D594D17" w:rsidR="00721CCF" w:rsidRPr="00AD2F44" w:rsidRDefault="00F42107">
      <w:pPr>
        <w:pStyle w:val="14Footnote"/>
        <w:rPr>
          <w:b/>
          <w:bCs/>
        </w:rPr>
      </w:pPr>
      <w:r w:rsidRPr="00AD2F44">
        <w:rPr>
          <w:i/>
          <w:iCs/>
        </w:rPr>
        <w:t>Second Circuit:</w:t>
      </w:r>
      <w:r w:rsidRPr="00AD2F44">
        <w:t xml:space="preserve"> Perez v. Escobar Constr. Inc., 540 F. Supp. 3d 395, 405</w:t>
      </w:r>
      <w:r w:rsidRPr="00AD2F44">
        <w:rPr>
          <w:b/>
          <w:bCs/>
        </w:rPr>
        <w:t xml:space="preserve"> </w:t>
      </w:r>
      <w:r w:rsidRPr="00AD2F44">
        <w:t>(S.D.N.Y. 2021) (granting conditional certification supported by two affidavits as sufficient for step one; reiterating court’s previous explanation that there are two broad methods for plaintiffs to meet lenient “similarly situated” standard—a “top-down” method of proof, where plaintiffs rely on evidence of defendants’ policy or practice of treating all employees similarly with respect to allegedly illegal labor practices, or a “bottom-up” method, where plaintiffs provide affidavits that draw inferences that illegal policies or practices existed) (quoting Contrera v. Langer, 278 F. Supp. 3d 702, 716 (S.D.N.Y. 2017)); Hart v. Crab Addison, Inc., 2015 WL 365785, at *2–3 (W.D.N.Y. Jan. 27, 2015) (granting nationwide certification based on 21 affidavits supporting the allegations of the complaint, noting that other courts had certified similar cases “based on far less proof”) (citing Flood v. Carlson Rests., Inc., 2015 WL 260436, at *2–4 (S.D.N.Y. Jan. 20, 2015) (granting certification of over 920 restaurants in 60 countries and territories based on six declarations across eight restaurants, and averments regarding policy)); Sharma v. Burberry Ltd., 52 F. Supp. 3d 443 (E.D.N.Y. 2014) (granting plaintiff’s motion for conditional certification (in a limited scope) based in part on plaintiffs’ declarations); Lynch v. United Servs. Auto. Ass’n, 491 F. Supp. 2d 237, 268 (S.D.N.Y. 2007); Harrington v. Education Mgmt. Corp., 2002 U.S. Dist. LEXIS 8823 (S.D.N.Y. May 17, 2002) (deeming affidavit of named plaintiff sufficient).</w:t>
      </w:r>
    </w:p>
    <w:p w14:paraId="331145DC" w14:textId="77777777" w:rsidR="00721CCF" w:rsidRPr="00AD2F44" w:rsidRDefault="00F42107">
      <w:pPr>
        <w:pStyle w:val="14Footnote"/>
      </w:pPr>
      <w:r w:rsidRPr="00AD2F44">
        <w:rPr>
          <w:i/>
          <w:iCs/>
        </w:rPr>
        <w:t>Fourth Circuit:</w:t>
      </w:r>
      <w:r w:rsidRPr="00AD2F44">
        <w:t xml:space="preserve"> Kirkpatrick v. Cardinal Innovations Healthcare Sols., 2017 U.S. Dist. LEXIS 141783 (M.D.N.C. Sept. 1, 2017) (granting conditional certification and noting that declarations serve as factual support for allegations); Quinteros v. Sparkle Cleaning, Inc., 532 F. Supp. 2d 762, 772 (D. Md. 2008) (deeming allegations in complaint insufficient—motion must be supported by affidavits).</w:t>
      </w:r>
    </w:p>
    <w:p w14:paraId="38B1D86C" w14:textId="4057F698" w:rsidR="00721CCF" w:rsidRPr="00AD2F44" w:rsidRDefault="00F42107">
      <w:pPr>
        <w:pStyle w:val="14Footnote"/>
      </w:pPr>
      <w:r w:rsidRPr="00AD2F44">
        <w:rPr>
          <w:i/>
          <w:iCs/>
        </w:rPr>
        <w:t xml:space="preserve">Fifth Circuit: </w:t>
      </w:r>
      <w:r w:rsidRPr="00AD2F44">
        <w:t>Davis v. Capital One Home Loans, LLC, 2018 U.S. Dist. LEXIS 130035 (N.D. Tex. Aug. 2, 2018) (granting conditional certification and noting that plaintiff’s quite similar declarations survive defendant’s attack due to the lenient level of analysis at conditional certification).</w:t>
      </w:r>
      <w:r w:rsidR="00836B46" w:rsidRPr="00836B46">
        <w:rPr>
          <w:b/>
        </w:rPr>
        <w:t xml:space="preserve"> </w:t>
      </w:r>
      <w:r w:rsidR="00836B46" w:rsidRPr="00AD2F44">
        <w:rPr>
          <w:b/>
        </w:rPr>
        <w:t xml:space="preserve">[Caution: </w:t>
      </w:r>
      <w:r w:rsidR="00836B46" w:rsidRPr="00AD2F44">
        <w:t xml:space="preserve">The Fifth Circuit later rejected the two-stage process, in </w:t>
      </w:r>
      <w:r w:rsidR="00836B46" w:rsidRPr="00AD2F44">
        <w:rPr>
          <w:i/>
        </w:rPr>
        <w:t xml:space="preserve">Swales v. KLLM Transport Services, LLC, </w:t>
      </w:r>
      <w:r w:rsidR="00836B46" w:rsidRPr="00AD2F44">
        <w:t xml:space="preserve">985 F.3d 430 (5th Cir. 2021), in favor of a requirement to “rigorously scrutinize” whether potential opt-ins are similarly situated “from the outset of the case.” </w:t>
      </w:r>
      <w:r w:rsidR="00836B46" w:rsidRPr="00AD2F44">
        <w:rPr>
          <w:i/>
        </w:rPr>
        <w:t>Id.</w:t>
      </w:r>
      <w:r w:rsidR="00836B46" w:rsidRPr="00AD2F44">
        <w:t xml:space="preserve"> at 434.</w:t>
      </w:r>
      <w:r w:rsidR="00836B46" w:rsidRPr="00AD2F44">
        <w:rPr>
          <w:b/>
          <w:bCs/>
        </w:rPr>
        <w:t>]</w:t>
      </w:r>
    </w:p>
    <w:p w14:paraId="19C8765C" w14:textId="40BCABE3" w:rsidR="00721CCF" w:rsidRPr="00AD2F44" w:rsidRDefault="00F42107">
      <w:pPr>
        <w:pStyle w:val="14Footnote"/>
      </w:pPr>
      <w:r w:rsidRPr="00AD2F44">
        <w:rPr>
          <w:i/>
          <w:iCs/>
        </w:rPr>
        <w:t>Sixth Circuit:</w:t>
      </w:r>
      <w:r w:rsidRPr="00AD2F44">
        <w:t xml:space="preserve"> Cowley v. Prudential Sec., Inc., 2022 BL 172385, 2022 WL 1567314 (E.D. Mich. May 18, 2022) (granting conditional certification based on dozen opt-in declarations of workers who stated that they worked in different locations over 10-year period and had suffered same practice of off-the-clock work); O’Neal v. Emery Fed. Credit Union, 2014 WL 842948 (S.D. Ohio Mar. 4, 2014) (granting second motion for conditional certification after plaintiff submitted additional witness declarations that satisfied “modest factual showing” requirement).</w:t>
      </w:r>
    </w:p>
    <w:p w14:paraId="3A717A12" w14:textId="77777777" w:rsidR="00721CCF" w:rsidRPr="00AD2F44" w:rsidRDefault="00F42107">
      <w:pPr>
        <w:pStyle w:val="14Footnote"/>
      </w:pPr>
      <w:r w:rsidRPr="00AD2F44">
        <w:rPr>
          <w:i/>
          <w:iCs/>
        </w:rPr>
        <w:t>Seventh Circuit:</w:t>
      </w:r>
      <w:r w:rsidRPr="00AD2F44">
        <w:t xml:space="preserve"> Ballou v. iTalk, LLC, 2013 WL 3944193 (N.D. Ill. July 31, 2013) (denying conditional certification motion on claim for withheld commissions or wages because plaintiff’s testimony insufficient to show other employees subject to same policy; granting motion on other claims based on plaintiff’s testimony and Rule 30(b)(6) deposition testimony); Dominguez v. Don Pedro Rest., 2007 WL 271567, at *7–8 (N.D. Ind. Jan. 25, 2007) (deeming allegations in complaint without affidavits insufficient).</w:t>
      </w:r>
    </w:p>
    <w:p w14:paraId="2E64C56E" w14:textId="77777777" w:rsidR="00721CCF" w:rsidRPr="00AD2F44" w:rsidRDefault="00F42107">
      <w:pPr>
        <w:pStyle w:val="14Footnote"/>
      </w:pPr>
      <w:r w:rsidRPr="00AD2F44">
        <w:rPr>
          <w:i/>
          <w:iCs/>
        </w:rPr>
        <w:t>Eighth Circuit:</w:t>
      </w:r>
      <w:r w:rsidRPr="00AD2F44">
        <w:t xml:space="preserve"> Salazar v. Agriprocessors, Inc., 2008 WL 782803, at *18–19 (N.D. Iowa Mar. 17, 2008) (explaining that plaintiffs must provide “some evidence in addition to the allegations in the complaint” to warrant conditional certification).</w:t>
      </w:r>
    </w:p>
    <w:p w14:paraId="6AF6CBF9" w14:textId="77777777" w:rsidR="00721CCF" w:rsidRPr="00AD2F44" w:rsidRDefault="00F42107">
      <w:pPr>
        <w:pStyle w:val="14Footnote"/>
      </w:pPr>
      <w:r w:rsidRPr="00AD2F44">
        <w:rPr>
          <w:i/>
          <w:iCs/>
        </w:rPr>
        <w:t>Ninth Circuit:</w:t>
      </w:r>
      <w:r w:rsidRPr="00AD2F44">
        <w:t xml:space="preserve"> Lucas v. Bell Trans, 2010 WL 3895924, at *4 (D. Nev. Sept. 30, 2010) (relying on affidavits of human resources employee and named plaintiff); Edwards v. City of Long Beach, 467 F. Supp. 2d 986, 990 (C.D. Cal. 2006); Romero v. Producers Dairy Foods, Inc., 235 F.R.D. 474, 481–82 (E.D. Cal. 2006).</w:t>
      </w:r>
    </w:p>
    <w:p w14:paraId="18FC0672" w14:textId="77777777" w:rsidR="00721CCF" w:rsidRPr="00AD2F44" w:rsidRDefault="00F42107">
      <w:pPr>
        <w:pStyle w:val="14Footnote"/>
      </w:pPr>
      <w:r w:rsidRPr="00AD2F44">
        <w:rPr>
          <w:i/>
          <w:iCs/>
        </w:rPr>
        <w:t>Tenth Circuit:</w:t>
      </w:r>
      <w:r w:rsidRPr="00AD2F44">
        <w:t xml:space="preserve"> Underwood v. NMC Mortg. Corp., 245 F.R.D. 720, 722 n.1 (D. Kan. 2007).</w:t>
      </w:r>
    </w:p>
    <w:p w14:paraId="179007FA" w14:textId="77777777" w:rsidR="00721CCF" w:rsidRPr="00AD2F44" w:rsidRDefault="00F42107">
      <w:pPr>
        <w:pStyle w:val="14Footnote"/>
      </w:pPr>
      <w:r w:rsidRPr="00AD2F44">
        <w:rPr>
          <w:i/>
          <w:iCs/>
        </w:rPr>
        <w:t>Eleventh Circuit:</w:t>
      </w:r>
      <w:r w:rsidRPr="00AD2F44">
        <w:t xml:space="preserve"> Grayson v. K Mart Corp., 79 F.3d 1086, 1097 (11th Cir. 1996).</w:t>
      </w:r>
    </w:p>
    <w:p w14:paraId="0B8EBD04" w14:textId="6C542193" w:rsidR="00721CCF" w:rsidRPr="00AD2F44" w:rsidRDefault="00F42107">
      <w:pPr>
        <w:pStyle w:val="14Footnote"/>
      </w:pPr>
      <w:r w:rsidRPr="00AD2F44">
        <w:rPr>
          <w:i/>
          <w:iCs/>
        </w:rPr>
        <w:t>D</w:t>
      </w:r>
      <w:r w:rsidRPr="00AD2F44">
        <w:t>.</w:t>
      </w:r>
      <w:r w:rsidRPr="00AD2F44">
        <w:rPr>
          <w:i/>
          <w:iCs/>
        </w:rPr>
        <w:t>C</w:t>
      </w:r>
      <w:r w:rsidRPr="00AD2F44">
        <w:t>.</w:t>
      </w:r>
      <w:r w:rsidRPr="00AD2F44">
        <w:rPr>
          <w:i/>
          <w:iCs/>
        </w:rPr>
        <w:t xml:space="preserve"> Circuit:</w:t>
      </w:r>
      <w:r w:rsidRPr="00AD2F44">
        <w:t xml:space="preserve"> Guzman v. GF, Inc., 2021 BL 222620, 2021 WL 2439277, at *3 (D.D.C. June 14, 2021) (finding plaintiffs “cleared the low hurdle” for conditional certification of their overtime claims based on two affidavits of employees who had worked in positions at issue); Galloway v. Chugach Gov’t Servs., Inc., 263 F. Supp. 3d 151, 156 (D.D.C. 2017) (noting that one of three named plaintiffs who submitted affidavits in support of conditional certification “skirts close to the line of what is minimally sufficient”). </w:t>
      </w:r>
    </w:p>
    <w:p w14:paraId="7DF608F5" w14:textId="4BD29A60" w:rsidR="00721CCF" w:rsidRPr="00AD2F44" w:rsidRDefault="00F42107">
      <w:pPr>
        <w:pStyle w:val="14Footnote"/>
      </w:pPr>
      <w:r w:rsidRPr="00AD2F44">
        <w:rPr>
          <w:i/>
          <w:iCs/>
        </w:rPr>
        <w:t>Federal Circuit:</w:t>
      </w:r>
      <w:r w:rsidRPr="00AD2F44">
        <w:t xml:space="preserve"> Dominick v. United States, 135 Fed. Cl. 714, 717 (2017) (holding that plaintiffs failed to meet low burden for conditional certification where they relied solely on allegations in complaint and failed to support allegations with any affidavits or other available evidence).</w:t>
      </w:r>
    </w:p>
  </w:footnote>
  <w:footnote w:id="100">
    <w:p w14:paraId="62C29C48" w14:textId="77777777" w:rsidR="00721CCF" w:rsidRPr="00AD2F44" w:rsidRDefault="00F42107">
      <w:pPr>
        <w:pStyle w:val="14Footnote"/>
      </w:pPr>
      <w:r w:rsidRPr="00AD2F44">
        <w:rPr>
          <w:vertAlign w:val="superscript"/>
        </w:rPr>
        <w:footnoteRef/>
      </w:r>
      <w:r w:rsidRPr="00AD2F44">
        <w:rPr>
          <w:i/>
        </w:rPr>
        <w:t>See, e.g.,</w:t>
      </w:r>
    </w:p>
    <w:p w14:paraId="5EF26AF8" w14:textId="17CE77D8" w:rsidR="00721CCF" w:rsidRPr="00AD2F44" w:rsidRDefault="00F42107">
      <w:pPr>
        <w:pStyle w:val="14Footnote"/>
      </w:pPr>
      <w:r w:rsidRPr="00AD2F44">
        <w:rPr>
          <w:i/>
          <w:iCs/>
        </w:rPr>
        <w:t>Fifth Circuit:</w:t>
      </w:r>
      <w:r w:rsidRPr="00AD2F44">
        <w:t xml:space="preserve"> Neagley v. Atascosa </w:t>
      </w:r>
      <w:r w:rsidRPr="00AD2F44">
        <w:t>Cnty. EMS, 2005 WL 354085 (W.D. Tex. Jan. 7, 2005) (granting sua sponte conditional certification based solely on allegations in complaint).</w:t>
      </w:r>
      <w:r w:rsidR="00836B46" w:rsidRPr="00836B46">
        <w:rPr>
          <w:b/>
        </w:rPr>
        <w:t xml:space="preserve"> </w:t>
      </w:r>
      <w:r w:rsidR="00836B46" w:rsidRPr="00AD2F44">
        <w:rPr>
          <w:b/>
        </w:rPr>
        <w:t xml:space="preserve">[Caution: </w:t>
      </w:r>
      <w:r w:rsidR="00836B46" w:rsidRPr="00AD2F44">
        <w:t xml:space="preserve">The Fifth Circuit later rejected the two-stage process, in </w:t>
      </w:r>
      <w:r w:rsidR="00836B46" w:rsidRPr="00AD2F44">
        <w:rPr>
          <w:i/>
        </w:rPr>
        <w:t xml:space="preserve">Swales v. KLLM Transport Services, LLC, </w:t>
      </w:r>
      <w:r w:rsidR="00836B46" w:rsidRPr="00AD2F44">
        <w:t xml:space="preserve">985 F.3d 430 (5th Cir. 2021), in favor of a requirement to “rigorously scrutinize” whether potential opt-ins are similarly situated “from the outset of the case.” </w:t>
      </w:r>
      <w:r w:rsidR="00836B46" w:rsidRPr="00AD2F44">
        <w:rPr>
          <w:i/>
        </w:rPr>
        <w:t>Id.</w:t>
      </w:r>
      <w:r w:rsidR="00836B46" w:rsidRPr="00AD2F44">
        <w:t xml:space="preserve"> at 434.</w:t>
      </w:r>
      <w:r w:rsidR="00836B46" w:rsidRPr="00AD2F44">
        <w:rPr>
          <w:b/>
          <w:bCs/>
        </w:rPr>
        <w:t>]</w:t>
      </w:r>
    </w:p>
    <w:p w14:paraId="14FE8CC1" w14:textId="77777777" w:rsidR="00721CCF" w:rsidRPr="00AD2F44" w:rsidRDefault="00F42107">
      <w:pPr>
        <w:pStyle w:val="14Footnote"/>
      </w:pPr>
      <w:r w:rsidRPr="00AD2F44">
        <w:rPr>
          <w:i/>
          <w:iCs/>
        </w:rPr>
        <w:t>Sixth Circuit:</w:t>
      </w:r>
      <w:r w:rsidRPr="00AD2F44">
        <w:t xml:space="preserve"> Smith v. Generations Healthcare Servs. LLC, 2017 U.S. Dist. LEXIS 106583 (S.D. Ohio July 11, 2017) (granting conditional certification based solely on complaint); Pritchard v. Dent Wizard Int’l Corp., 210 F.R.D. 591, 595–96 (S.D. Ohio 2002) (citing cases); Belcher v. Shoney’s, Inc., 927 F. Supp. 249, 251 (M.D. Tenn. 1996) (holding potential class members to be “similarly situated” for purposes of receiving notice based solely on allegations in complaint).</w:t>
      </w:r>
    </w:p>
    <w:p w14:paraId="046A87BB" w14:textId="77777777" w:rsidR="00721CCF" w:rsidRPr="00AD2F44" w:rsidRDefault="00F42107">
      <w:pPr>
        <w:pStyle w:val="14Footnote"/>
      </w:pPr>
      <w:r w:rsidRPr="00AD2F44">
        <w:rPr>
          <w:i/>
          <w:iCs/>
        </w:rPr>
        <w:t>Seventh Circuit:</w:t>
      </w:r>
      <w:r w:rsidRPr="00AD2F44">
        <w:t xml:space="preserve"> Allen v. Marshall Field &amp; Co., 93 F.R.D. 438 (N.D. Ill. 1982) (granting conditional certification based on allegations in complaint).</w:t>
      </w:r>
    </w:p>
    <w:p w14:paraId="05E5CC95" w14:textId="77777777" w:rsidR="00721CCF" w:rsidRPr="00AD2F44" w:rsidRDefault="00F42107">
      <w:pPr>
        <w:pStyle w:val="14Footnote"/>
      </w:pPr>
      <w:r w:rsidRPr="00AD2F44">
        <w:rPr>
          <w:i/>
          <w:iCs/>
        </w:rPr>
        <w:t>Ninth Circuit:</w:t>
      </w:r>
      <w:r w:rsidRPr="00AD2F44">
        <w:t xml:space="preserve"> Singleton v. Adick</w:t>
      </w:r>
      <w:r w:rsidRPr="00AD2F44">
        <w:rPr>
          <w:i/>
          <w:iCs/>
        </w:rPr>
        <w:t>,</w:t>
      </w:r>
      <w:r w:rsidRPr="00AD2F44">
        <w:t xml:space="preserve"> 2009 WL 3710717 (D. Ariz. Nov. 2, 2009) (opt-in agreements of eight other employees who stated that they were similarly situated to named plaintiffs sufficient at first lenient stage of “similarly situated” analysis).</w:t>
      </w:r>
    </w:p>
    <w:p w14:paraId="5BE613B8" w14:textId="77777777" w:rsidR="00721CCF" w:rsidRPr="00AD2F44" w:rsidRDefault="00F42107">
      <w:pPr>
        <w:pStyle w:val="14Footnote"/>
      </w:pPr>
      <w:r w:rsidRPr="00AD2F44">
        <w:rPr>
          <w:i/>
          <w:iCs/>
        </w:rPr>
        <w:t>Tenth Circuit:</w:t>
      </w:r>
      <w:r w:rsidRPr="00AD2F44">
        <w:t xml:space="preserve"> Shockey v. Huhtamaki, Inc., 730 F. Supp. 2d 1298, 1300 (D. Kan. 2010) (holding that Tenth Circuit uses lenient standard and requires only “substantial allegations that the putative class members were together the victims of a single decision, policy, or plan”); Vaszlavick v. Storage Tech. Corp., 175 F.R.D. 672, 678 (D. Colo. 1997) (holding that notice-stage burden only required “substantial allegations that the putative class members were together the victims of a single policy or plan”).</w:t>
      </w:r>
    </w:p>
    <w:p w14:paraId="248F5E66" w14:textId="54BEA2A2" w:rsidR="00721CCF" w:rsidRPr="00AD2F44" w:rsidRDefault="00F42107">
      <w:pPr>
        <w:pStyle w:val="14Footnote"/>
      </w:pPr>
      <w:r w:rsidRPr="00AD2F44">
        <w:rPr>
          <w:i/>
          <w:iCs/>
        </w:rPr>
        <w:t>Federal Circuit:</w:t>
      </w:r>
      <w:r w:rsidRPr="00AD2F44">
        <w:t xml:space="preserve"> Gayle v. United States, 85 Fed. Cl. 72 (2008) (deeming plaintiff’s allegations sufficient to support granting conditional certification to per diem nurses’ assistants).</w:t>
      </w:r>
    </w:p>
  </w:footnote>
  <w:footnote w:id="101">
    <w:p w14:paraId="2B253FC1" w14:textId="77777777" w:rsidR="00721CCF" w:rsidRPr="00AD2F44" w:rsidRDefault="00F42107">
      <w:pPr>
        <w:pStyle w:val="14Footnote"/>
      </w:pPr>
      <w:r w:rsidRPr="00AD2F44">
        <w:rPr>
          <w:vertAlign w:val="superscript"/>
        </w:rPr>
        <w:footnoteRef/>
      </w:r>
      <w:r w:rsidRPr="00AD2F44">
        <w:rPr>
          <w:i/>
        </w:rPr>
        <w:t>See, e.g.,</w:t>
      </w:r>
    </w:p>
    <w:p w14:paraId="4F0B9AA4" w14:textId="6C60E36D" w:rsidR="00721CCF" w:rsidRPr="00AD2F44" w:rsidRDefault="00F42107">
      <w:pPr>
        <w:pStyle w:val="14Footnote"/>
      </w:pPr>
      <w:r w:rsidRPr="00AD2F44">
        <w:rPr>
          <w:i/>
          <w:iCs/>
        </w:rPr>
        <w:t>Second Circuit:</w:t>
      </w:r>
      <w:r w:rsidRPr="00AD2F44">
        <w:t xml:space="preserve"> </w:t>
      </w:r>
      <w:r>
        <w:t xml:space="preserve">Zimnicki v. Krysiak Constr. Corp., </w:t>
      </w:r>
      <w:r w:rsidR="00F57115" w:rsidRPr="00846456">
        <w:t>2022 BL 459417</w:t>
      </w:r>
      <w:r w:rsidR="00F57115">
        <w:t xml:space="preserve">, </w:t>
      </w:r>
      <w:r w:rsidR="00E62179" w:rsidRPr="00E62179">
        <w:t>2022 WL 17820139</w:t>
      </w:r>
      <w:r>
        <w:t xml:space="preserve"> (E.D.N.Y. Sept. 27, 2022) (rejecting argument that court could not rely on hearsay evidence in support of conditional certification); </w:t>
      </w:r>
      <w:r w:rsidRPr="00AD2F44">
        <w:t>Moore v. Eagle Sanitation, Inc., 276 F.R.D. 54, 59 (E.D.N.Y. 2011) (rejecting challenge to affidavits submitted in support of conditional certification, on grounds that they contained “conclusory allegations and hearsay,” because “courts in [the Second] Circuit regularly rely on such evidence to determine the propriety of sending a collective action notice”); Fasanelli v. Heartland Brewery, Inc., 516 F. Supp. 2d 317, 321–22 (S.D.N.Y. 2007).</w:t>
      </w:r>
    </w:p>
    <w:p w14:paraId="1ECEB1F2" w14:textId="030E607B" w:rsidR="00721CCF" w:rsidRPr="00AD2F44" w:rsidRDefault="00F42107">
      <w:pPr>
        <w:pStyle w:val="14Footnote"/>
      </w:pPr>
      <w:r w:rsidRPr="00AD2F44">
        <w:rPr>
          <w:i/>
          <w:iCs/>
        </w:rPr>
        <w:t>Fourth Circuit</w:t>
      </w:r>
      <w:r w:rsidRPr="00AD2F44">
        <w:t xml:space="preserve">: Ricketts v. NV5, LLC, 2022 BL 107595, </w:t>
      </w:r>
      <w:r w:rsidRPr="004F4D61">
        <w:rPr>
          <w:lang w:val="es-ES"/>
        </w:rPr>
        <w:t xml:space="preserve">2022 WL 949947 (S.D. W. Va. Mar. 29, 2022) (granting conditional certification, recognizing that plaintiff’s affidavit included conversations with other workers, which supported common policy or plan, but limiting it to scope of workers on job sites where plaintiff had been able to speak to or observe other workers). </w:t>
      </w:r>
    </w:p>
    <w:p w14:paraId="0B386304" w14:textId="18AC2330" w:rsidR="00721CCF" w:rsidRPr="00AD2F44" w:rsidRDefault="00F42107">
      <w:pPr>
        <w:pStyle w:val="14Footnote"/>
      </w:pPr>
      <w:r w:rsidRPr="00AD2F44">
        <w:rPr>
          <w:i/>
          <w:iCs/>
        </w:rPr>
        <w:t>Sixth Circuit:</w:t>
      </w:r>
      <w:r w:rsidRPr="00AD2F44">
        <w:t xml:space="preserve"> Brown v. Ak Lawncare, Inc., 2015 WL 5954811 (E.D. Mich. Oct. 14, 2015) (considering declarations that included hearsay, despite defendant’s objections); Fisher v. Michigan Bell Tel. Co., 665 F. Supp. 2d 819, 826 (E.D. Mich. 2009) (permitting declaration testimony not based on personal knowledge at notice stage, given two-stage process and need for discovery); Crawford v. Lexington-Fayette Urban Cnty. Gov’t, 2007 WL 293865 (E.D. Ky Jan. 26, 2007) (explaining that hearsay evidence admitted at the notice stage must be substantiated with admissible evidence at decertification stage); White v. MPW Ind. Serv., Inc., 236 F.R.D. 363, 368–69 (E.D. Tenn. 2006) (holding that information contained in affidavits filed in support of conditional certification need not meet all evidentiary requirements to be admissible at trial, but must be based on personal knowledge).</w:t>
      </w:r>
    </w:p>
    <w:p w14:paraId="0D3B5757" w14:textId="77777777" w:rsidR="00721CCF" w:rsidRPr="00AD2F44" w:rsidRDefault="00F42107">
      <w:pPr>
        <w:pStyle w:val="14Footnote"/>
      </w:pPr>
      <w:r w:rsidRPr="00AD2F44">
        <w:rPr>
          <w:i/>
          <w:iCs/>
        </w:rPr>
        <w:t xml:space="preserve">Seventh Circuit: </w:t>
      </w:r>
      <w:r w:rsidRPr="00AD2F44">
        <w:t>Fox v. Martin Transp. Sys., Inc., 2009 WL 3416021, at *1 (N.D. Ind. Oct. 19, 2009) (court may consider hearsay statements in affidavits at conditional certification stage).</w:t>
      </w:r>
    </w:p>
    <w:p w14:paraId="389251A3" w14:textId="77777777" w:rsidR="00721CCF" w:rsidRPr="00AD2F44" w:rsidRDefault="00F42107">
      <w:pPr>
        <w:pStyle w:val="14Footnote"/>
      </w:pPr>
      <w:r w:rsidRPr="00AD2F44">
        <w:rPr>
          <w:i/>
          <w:iCs/>
        </w:rPr>
        <w:t>Eighth Circuit:</w:t>
      </w:r>
      <w:r w:rsidRPr="00AD2F44">
        <w:t xml:space="preserve"> Coan v. Nightingale Home Healthcare, Inc., 2005 U.S. Dist. LEXIS 15475, at *4, n.1 (S.D. Ind. June 29, 2005).</w:t>
      </w:r>
    </w:p>
    <w:p w14:paraId="6052BA6C" w14:textId="77777777" w:rsidR="00721CCF" w:rsidRPr="00AD2F44" w:rsidRDefault="00F42107">
      <w:pPr>
        <w:pStyle w:val="14Footnote"/>
      </w:pPr>
      <w:r w:rsidRPr="00AD2F44">
        <w:rPr>
          <w:i/>
          <w:iCs/>
        </w:rPr>
        <w:t>Ninth Circuit:</w:t>
      </w:r>
      <w:r w:rsidRPr="00AD2F44">
        <w:t xml:space="preserve"> Beauperthuy v. 24 Hour Fitness, Inc., 2007 U.S. Dist. LEXIS 21315, at *25 n.5 (N.D. Cal. Mar. 6, 2007); Aguayo v. Oldenkamp Trucking, 2006 U.S. Dist. LEXIS 22190, at *12 (E.D. Cal. Mar. 31, 2006).</w:t>
      </w:r>
    </w:p>
    <w:p w14:paraId="60C6A3C3" w14:textId="67D8A098" w:rsidR="00721CCF" w:rsidRPr="00AD2F44" w:rsidRDefault="00F42107">
      <w:pPr>
        <w:pStyle w:val="14Footnote"/>
      </w:pPr>
      <w:r w:rsidRPr="00AD2F44">
        <w:rPr>
          <w:i/>
          <w:iCs/>
        </w:rPr>
        <w:t>Tenth Circuit</w:t>
      </w:r>
      <w:r w:rsidRPr="00AD2F44">
        <w:t>: James v. Boyd Gaming Corp., 522 F. Supp. 3d 892, 911</w:t>
      </w:r>
      <w:r w:rsidRPr="00AD2F44">
        <w:rPr>
          <w:b/>
          <w:bCs/>
        </w:rPr>
        <w:t xml:space="preserve"> </w:t>
      </w:r>
      <w:r w:rsidRPr="00AD2F44">
        <w:t xml:space="preserve">(D. Kan. 2021) (rejecting defendant’s arguments that plaintiff had to provide admissible evidence in support of conditional certification, including tip credit notice). </w:t>
      </w:r>
    </w:p>
    <w:p w14:paraId="7C95DBCE" w14:textId="27130CA9" w:rsidR="00721CCF" w:rsidRPr="00AD2F44" w:rsidRDefault="00F42107">
      <w:pPr>
        <w:pStyle w:val="14Footnote"/>
      </w:pPr>
      <w:r w:rsidRPr="00AD2F44">
        <w:rPr>
          <w:i/>
          <w:iCs/>
        </w:rPr>
        <w:t xml:space="preserve">D.C. Circuit: </w:t>
      </w:r>
      <w:r w:rsidRPr="00AD2F44">
        <w:t>Guzman v. GF, Inc., 2021 BL 222620, 2021 WL 2439277 (D.D.C. June 14, 2021) (permitting reliance on affidavits that contained hearsay about experiences of other employees, given low standard at this early stage).</w:t>
      </w:r>
    </w:p>
  </w:footnote>
  <w:footnote w:id="102">
    <w:p w14:paraId="3F856A93" w14:textId="77777777" w:rsidR="00721CCF" w:rsidRPr="00AD2F44" w:rsidRDefault="00F42107">
      <w:pPr>
        <w:pStyle w:val="14Footnote"/>
      </w:pPr>
      <w:r w:rsidRPr="00AD2F44">
        <w:rPr>
          <w:vertAlign w:val="superscript"/>
        </w:rPr>
        <w:footnoteRef/>
      </w:r>
      <w:r w:rsidRPr="00AD2F44">
        <w:rPr>
          <w:i/>
        </w:rPr>
        <w:t xml:space="preserve">See, e.g., </w:t>
      </w:r>
    </w:p>
    <w:p w14:paraId="7C56511B" w14:textId="77777777" w:rsidR="00721CCF" w:rsidRPr="00AD2F44" w:rsidRDefault="00F42107">
      <w:pPr>
        <w:pStyle w:val="14Footnote"/>
      </w:pPr>
      <w:r w:rsidRPr="00AD2F44">
        <w:rPr>
          <w:i/>
          <w:iCs/>
        </w:rPr>
        <w:t>Second Circuit:</w:t>
      </w:r>
      <w:r w:rsidRPr="00AD2F44">
        <w:t xml:space="preserve"> Richards v. Computer Sci. Corp., 2004 U.S. Dist. LEXIS 19637, at *3–6 (D. Conn. Sept. 28, 2004).</w:t>
      </w:r>
    </w:p>
    <w:p w14:paraId="1672727F" w14:textId="77777777" w:rsidR="00721CCF" w:rsidRPr="00AD2F44" w:rsidRDefault="00F42107">
      <w:pPr>
        <w:pStyle w:val="14Footnote"/>
      </w:pPr>
      <w:r w:rsidRPr="00AD2F44">
        <w:rPr>
          <w:i/>
          <w:iCs/>
        </w:rPr>
        <w:t xml:space="preserve">Third Circuit: </w:t>
      </w:r>
      <w:r w:rsidRPr="00AD2F44">
        <w:t xml:space="preserve">White v. Rick Bus Co., 743 F. Supp. 2d 380, 388 (D.N.J. 2010) (refusing to consider hearsay statements in support of conditional certification); Stanislaw v. Erie </w:t>
      </w:r>
      <w:r w:rsidRPr="00AD2F44">
        <w:t>Indem. Co., 2009 WL 426641, at *2 (W.D. Pa. Feb. 20, 2009) (refusing to consider plaintiff’s hearsay evidence in support of conditional certification).</w:t>
      </w:r>
    </w:p>
    <w:p w14:paraId="3F9F2503" w14:textId="22DFACD6" w:rsidR="00721CCF" w:rsidRPr="00AD2F44" w:rsidRDefault="00F42107">
      <w:pPr>
        <w:pStyle w:val="14Footnote"/>
      </w:pPr>
      <w:r w:rsidRPr="00AD2F44">
        <w:rPr>
          <w:i/>
          <w:iCs/>
        </w:rPr>
        <w:t>Fifth Circuit:</w:t>
      </w:r>
      <w:r w:rsidRPr="00AD2F44">
        <w:t xml:space="preserve"> Vogt v. Texas Instruments, Inc., 2006 WL 4660134, at *3 (N.D. Tex. Sept. 19, 2006) (finding plaintiff’s supplemental declaration inadmissible for lack of personal knowledge); Torres v. CSK Auto, Inc., 2003 WL 24330020, at *2 (W.D. Tex. Dec. 17, 2003) (finding affidavits merely restating concerns of distant employees without personal knowledge of underlying facts insufficient).</w:t>
      </w:r>
      <w:r w:rsidR="00836B46" w:rsidRPr="00836B46">
        <w:rPr>
          <w:b/>
        </w:rPr>
        <w:t xml:space="preserve"> </w:t>
      </w:r>
      <w:r w:rsidR="00836B46" w:rsidRPr="00AD2F44">
        <w:rPr>
          <w:b/>
        </w:rPr>
        <w:t xml:space="preserve">[Caution: </w:t>
      </w:r>
      <w:r w:rsidR="00836B46" w:rsidRPr="00AD2F44">
        <w:t xml:space="preserve">The Fifth Circuit later rejected the two-stage process, in </w:t>
      </w:r>
      <w:r w:rsidR="00836B46" w:rsidRPr="00AD2F44">
        <w:rPr>
          <w:i/>
        </w:rPr>
        <w:t xml:space="preserve">Swales v. KLLM Transport Services, LLC, </w:t>
      </w:r>
      <w:r w:rsidR="00836B46" w:rsidRPr="00AD2F44">
        <w:t xml:space="preserve">985 F.3d 430 (5th Cir. 2021), in favor of a requirement to “rigorously scrutinize” whether potential opt-ins are similarly situated “from the outset of the case.” </w:t>
      </w:r>
      <w:r w:rsidR="00836B46" w:rsidRPr="00AD2F44">
        <w:rPr>
          <w:i/>
        </w:rPr>
        <w:t>Id.</w:t>
      </w:r>
      <w:r w:rsidR="00836B46" w:rsidRPr="00AD2F44">
        <w:t xml:space="preserve"> at 434.</w:t>
      </w:r>
      <w:r w:rsidR="00836B46" w:rsidRPr="00AD2F44">
        <w:rPr>
          <w:b/>
          <w:bCs/>
        </w:rPr>
        <w:t>]</w:t>
      </w:r>
    </w:p>
    <w:p w14:paraId="575BCABE" w14:textId="77777777" w:rsidR="00721CCF" w:rsidRPr="00AD2F44" w:rsidRDefault="00F42107">
      <w:pPr>
        <w:pStyle w:val="14Footnote"/>
      </w:pPr>
      <w:r w:rsidRPr="00AD2F44">
        <w:rPr>
          <w:i/>
          <w:iCs/>
        </w:rPr>
        <w:t>Sixth Circuit:</w:t>
      </w:r>
      <w:r w:rsidRPr="00AD2F44">
        <w:t xml:space="preserve"> Combs v. Twins Grp., Inc., 2016 WL 7230854, at *2–3 (S.D. Ohio Dec. 14, 2016) (rejecting declaration in support of conditional certification because it was not based on personal knowledge); Harrison v. McDonald’s Corp., 411 F. Supp. 2d 862, 865 (S.D. Ohio 2005); Clark v. Dollar Gen. Corp., 2001 WL 878887 (M.D. Tenn. May 23, 2001).</w:t>
      </w:r>
    </w:p>
    <w:p w14:paraId="777DAF04" w14:textId="77777777" w:rsidR="00721CCF" w:rsidRPr="00AD2F44" w:rsidRDefault="00F42107">
      <w:pPr>
        <w:pStyle w:val="14Footnote"/>
      </w:pPr>
      <w:r w:rsidRPr="00AD2F44">
        <w:rPr>
          <w:i/>
          <w:iCs/>
        </w:rPr>
        <w:t>Eighth Circuit:</w:t>
      </w:r>
      <w:r w:rsidRPr="00AD2F44">
        <w:t xml:space="preserve"> West v. Border Foods, Inc., 2006 WL 1892527, at *6 (D. Minn. July 10, 2006) (finding averments in support of motion for notice must be made on personal knowledge).</w:t>
      </w:r>
    </w:p>
    <w:p w14:paraId="2BB01E0C" w14:textId="7E92B64B" w:rsidR="00721CCF" w:rsidRPr="00AD2F44" w:rsidRDefault="00F42107">
      <w:pPr>
        <w:pStyle w:val="14Footnote"/>
      </w:pPr>
      <w:r w:rsidRPr="00AD2F44">
        <w:rPr>
          <w:i/>
          <w:iCs/>
        </w:rPr>
        <w:t>Eleventh Circuit:</w:t>
      </w:r>
      <w:r w:rsidRPr="00AD2F44">
        <w:t xml:space="preserve"> Tucker v. Labor Leasing, Inc., 872 F. Supp. 941, 948 (M.D. Fla. 1994) (finding testimony that plaintiff heard complaints from other employees working in other locations insufficient to grant notice to employees at the other locations).</w:t>
      </w:r>
    </w:p>
  </w:footnote>
  <w:footnote w:id="103">
    <w:p w14:paraId="1E7D73ED" w14:textId="77777777" w:rsidR="00721CCF" w:rsidRPr="00AD2F44" w:rsidRDefault="00F42107">
      <w:pPr>
        <w:pStyle w:val="14Footnote"/>
      </w:pPr>
      <w:r w:rsidRPr="00AD2F44">
        <w:rPr>
          <w:vertAlign w:val="superscript"/>
        </w:rPr>
        <w:footnoteRef/>
      </w:r>
      <w:r w:rsidRPr="00AD2F44">
        <w:rPr>
          <w:i/>
        </w:rPr>
        <w:t>See, e.g.,</w:t>
      </w:r>
    </w:p>
    <w:p w14:paraId="4DD4FC1A" w14:textId="77777777" w:rsidR="00721CCF" w:rsidRPr="00AD2F44" w:rsidRDefault="00F42107">
      <w:pPr>
        <w:pStyle w:val="14Footnote"/>
      </w:pPr>
      <w:r w:rsidRPr="00AD2F44">
        <w:rPr>
          <w:i/>
          <w:iCs/>
        </w:rPr>
        <w:t>Second Circuit:</w:t>
      </w:r>
      <w:r w:rsidRPr="00AD2F44">
        <w:t xml:space="preserve"> Hart v. Crab Addison, Inc., 2015 WL 365785, at *1–3 (W.D.N.Y. 2015) (noting that the defendants had submitted 95 rebuttal affidavits from current employees, but granting certification based on the plaintiffs’ 21 affidavits without discussing defendants’ rebuttal evidence); Aros v. United Rentals, Inc., 269 F.R.D. 176, 180 (D. Conn. 2010) (refusing to consider defendant’s declarations because inquiry is whether plaintiff has made requisite showing); Barrus v. Dick’s Sporting Goods, Inc., 465 F. Supp. 2d 224 (W.D.N.Y. 2006) (rejecting contradictory affidavits at notice stage).</w:t>
      </w:r>
    </w:p>
    <w:p w14:paraId="7ED84357" w14:textId="77777777" w:rsidR="00721CCF" w:rsidRPr="00AD2F44" w:rsidRDefault="00F42107">
      <w:pPr>
        <w:pStyle w:val="14Footnote"/>
      </w:pPr>
      <w:r w:rsidRPr="00AD2F44">
        <w:rPr>
          <w:i/>
          <w:iCs/>
        </w:rPr>
        <w:t>Third Circuit:</w:t>
      </w:r>
      <w:r w:rsidRPr="00AD2F44">
        <w:t xml:space="preserve"> Sperling v. Hoffman-La Roche, Inc., 118 F.R.D. 392, 406 (D.N.J. 1988) (explaining that plaintiffs’ affidavits successfully “engage[d] Defendant’s affidavit to the contrary”), </w:t>
      </w:r>
      <w:r w:rsidRPr="00AD2F44">
        <w:rPr>
          <w:i/>
          <w:iCs/>
        </w:rPr>
        <w:t>aff’d in part and appeal dismissed in part</w:t>
      </w:r>
      <w:r w:rsidRPr="00AD2F44">
        <w:t xml:space="preserve">, 862 F.2d 439 (3d Cir. 1988), </w:t>
      </w:r>
      <w:r w:rsidRPr="00AD2F44">
        <w:rPr>
          <w:i/>
          <w:iCs/>
        </w:rPr>
        <w:t>aff’d and remanded</w:t>
      </w:r>
      <w:r w:rsidRPr="00AD2F44">
        <w:t>, 493 U.S. 165 (1989).</w:t>
      </w:r>
    </w:p>
    <w:p w14:paraId="499C4EE6" w14:textId="77777777" w:rsidR="00721CCF" w:rsidRPr="00AD2F44" w:rsidRDefault="00F42107">
      <w:pPr>
        <w:pStyle w:val="14Footnote"/>
      </w:pPr>
      <w:r w:rsidRPr="00AD2F44">
        <w:rPr>
          <w:i/>
          <w:iCs/>
        </w:rPr>
        <w:t>Fourth Circuit:</w:t>
      </w:r>
      <w:r w:rsidRPr="00AD2F44">
        <w:t xml:space="preserve"> Quinteros v. Sparkle Cleaning, Inc., 532 F. Supp. 2d 762, 772 (D. Md. 2008); Camper v. Home Quality Mgmt., Inc., 200 F.R.D. 516, 520 (D. Md. 2000).</w:t>
      </w:r>
    </w:p>
    <w:p w14:paraId="0C8BB5C9" w14:textId="77777777" w:rsidR="00721CCF" w:rsidRPr="00AD2F44" w:rsidRDefault="00F42107">
      <w:pPr>
        <w:pStyle w:val="14Footnote"/>
      </w:pPr>
      <w:r w:rsidRPr="00AD2F44">
        <w:rPr>
          <w:i/>
          <w:iCs/>
        </w:rPr>
        <w:t xml:space="preserve">Sixth Circuit: </w:t>
      </w:r>
      <w:r w:rsidRPr="00AD2F44">
        <w:t>Ribby v. Liberty Health Care Corp.,</w:t>
      </w:r>
      <w:r w:rsidRPr="00AD2F44">
        <w:rPr>
          <w:i/>
          <w:iCs/>
        </w:rPr>
        <w:t xml:space="preserve"> </w:t>
      </w:r>
      <w:r w:rsidRPr="00AD2F44">
        <w:t>2013 WL 3187260, at *2 (N.D. Ohio June 20, 2013) (holding that once the plaintiffs meet their burden “a defendant cannot overcome their showing by arguing that individual issues predominate” at the initial notice stage); Fisher v. Michigan Bell Tel. Co., 665 F. Supp. 2d 819, 826 (E.D. Mich. 2009) (refusing to consider defendant’s declarations refuting 67 declarations and deposition testimony submitted by plaintiffs because “the Court does not resolve factual disputes, decide substantive issues on the merits, or make credibility determinations” at Stage I).</w:t>
      </w:r>
    </w:p>
    <w:p w14:paraId="66C98688" w14:textId="77777777" w:rsidR="00721CCF" w:rsidRPr="00AD2F44" w:rsidRDefault="00F42107">
      <w:pPr>
        <w:pStyle w:val="14Footnote"/>
      </w:pPr>
      <w:r w:rsidRPr="00AD2F44">
        <w:rPr>
          <w:i/>
          <w:iCs/>
        </w:rPr>
        <w:t>Eighth Circuit:</w:t>
      </w:r>
      <w:r w:rsidRPr="00AD2F44">
        <w:t xml:space="preserve"> Huang v. Gateway Hotel Holdings, 248 F.R.D. 225, 227 (E.D. Mo. 2008); Severtson v. Phillips Beverage Co., 141 F.R.D. 276, 280 (D. Minn. 1992).</w:t>
      </w:r>
    </w:p>
    <w:p w14:paraId="5C3AF72E" w14:textId="0E8FB940" w:rsidR="00721CCF" w:rsidRPr="00AD2F44" w:rsidRDefault="00F42107">
      <w:pPr>
        <w:pStyle w:val="14Footnote"/>
      </w:pPr>
      <w:r w:rsidRPr="00AD2F44">
        <w:rPr>
          <w:i/>
          <w:iCs/>
        </w:rPr>
        <w:t xml:space="preserve">Ninth Circuit: </w:t>
      </w:r>
      <w:r w:rsidRPr="00AD2F44">
        <w:t>Gonzales v. Charter Commc’ns, LLC, 2020 BL 514740, 2020 WL 8028108, at *4 (C.D. Cal. Dec. 4, 2020) (granting conditional certification despite defendants’ declarations in opposition, noting that at preliminary stage, such declarations were of “limited value” and to “afford them significant weight would otherwise contravene the lenient” standard);</w:t>
      </w:r>
      <w:r w:rsidRPr="00AD2F44">
        <w:rPr>
          <w:i/>
          <w:iCs/>
        </w:rPr>
        <w:t xml:space="preserve"> </w:t>
      </w:r>
      <w:r w:rsidRPr="00AD2F44">
        <w:t>Escobar v. Whiteside Constr. Corp., 2008 WL 3915715, at *4 (N.D. Cal. Aug. 21, 2008) (granting conditional certification despite defendants’ declarations that contradicted plaintiffs’ declarations of being required to work without being paid, reasoning that lenient standard at this stage permitted certification, even if evidence might “later negate plaintiffs’ claims”).</w:t>
      </w:r>
    </w:p>
    <w:p w14:paraId="5D298F81" w14:textId="77777777" w:rsidR="00721CCF" w:rsidRPr="00AD2F44" w:rsidRDefault="00F42107">
      <w:pPr>
        <w:pStyle w:val="14Footnote"/>
      </w:pPr>
      <w:r w:rsidRPr="00AD2F44">
        <w:rPr>
          <w:i/>
          <w:iCs/>
        </w:rPr>
        <w:t>Tenth Circuit:</w:t>
      </w:r>
      <w:r w:rsidRPr="00AD2F44">
        <w:t xml:space="preserve"> Garcia v. Tyson Foods, Inc., 255 F.R.D. 678, 686–87 (D. Kan. 2009) (granting conditional certification based on plaintiffs’ substantial allegations that all putative class members were denied payment for work activities, including evidence from defendants’ corporate designees, and deferring analysis of differences in employee activities addressed in employer’s evidence until decertification stage).</w:t>
      </w:r>
    </w:p>
    <w:p w14:paraId="1E732201" w14:textId="77777777" w:rsidR="00721CCF" w:rsidRPr="00AD2F44" w:rsidRDefault="00F42107">
      <w:pPr>
        <w:pStyle w:val="14Footnote"/>
      </w:pPr>
      <w:r w:rsidRPr="00AD2F44">
        <w:rPr>
          <w:i/>
          <w:iCs/>
        </w:rPr>
        <w:t>Eleventh Circuit:</w:t>
      </w:r>
      <w:r w:rsidRPr="00AD2F44">
        <w:t xml:space="preserve"> </w:t>
      </w:r>
      <w:r w:rsidRPr="00AD2F44">
        <w:rPr>
          <w:i/>
          <w:iCs/>
        </w:rPr>
        <w:t>Grayson</w:t>
      </w:r>
      <w:r w:rsidRPr="00AD2F44">
        <w:t>, 79 F.3d at 1099 n.17.</w:t>
      </w:r>
    </w:p>
    <w:p w14:paraId="41EC478C" w14:textId="43C0DE4B" w:rsidR="00721CCF" w:rsidRPr="00AD2F44" w:rsidRDefault="00F42107">
      <w:pPr>
        <w:pStyle w:val="14Footnote"/>
      </w:pPr>
      <w:r w:rsidRPr="00AD2F44">
        <w:rPr>
          <w:i/>
          <w:iCs/>
        </w:rPr>
        <w:t>But see</w:t>
      </w:r>
      <w:r w:rsidRPr="00AD2F44">
        <w:t xml:space="preserve"> Pacheco v. Boar’s Head Provisions, Inc., 671 F. Supp. 2d 957 (W.D. Mich. 2009) (comparing plaintiff’s evidence of common policy or plan of FLSA violations with defendants’ evidence to contrary).</w:t>
      </w:r>
    </w:p>
  </w:footnote>
  <w:footnote w:id="104">
    <w:p w14:paraId="20818EC4" w14:textId="77777777" w:rsidR="00721CCF" w:rsidRPr="00AD2F44" w:rsidRDefault="00F42107">
      <w:pPr>
        <w:pStyle w:val="14Footnote"/>
      </w:pPr>
      <w:r w:rsidRPr="00AD2F44">
        <w:rPr>
          <w:vertAlign w:val="superscript"/>
        </w:rPr>
        <w:footnoteRef/>
      </w:r>
      <w:r w:rsidRPr="00AD2F44">
        <w:t>Chowdhury v. Duane Reade, Inc., 2007 U.S. Dist. LEXIS 73853, at *17 (S.D.N.Y. Oct. 2, 2007).</w:t>
      </w:r>
    </w:p>
  </w:footnote>
  <w:footnote w:id="105">
    <w:p w14:paraId="254EC4EE" w14:textId="77777777" w:rsidR="00721CCF" w:rsidRPr="00AD2F44" w:rsidRDefault="00F42107">
      <w:pPr>
        <w:pStyle w:val="14Footnote"/>
      </w:pPr>
      <w:r w:rsidRPr="00AD2F44">
        <w:rPr>
          <w:vertAlign w:val="superscript"/>
        </w:rPr>
        <w:footnoteRef/>
      </w:r>
      <w:r w:rsidRPr="00AD2F44">
        <w:t>See Section III.B.3 [The Two-Stage Process Used to Determine if a Collective Action May Proceed to Trial; Stage I: Standard for Determining Whether Conditional Certification Should Be Granted; Scope of Discovery Prior to Conditional Certification] of this chapter for a discussion of discovery prior to conditional certification.</w:t>
      </w:r>
    </w:p>
  </w:footnote>
  <w:footnote w:id="106">
    <w:p w14:paraId="59E59C20" w14:textId="5C01C71B" w:rsidR="00721CCF" w:rsidRPr="00AD2F44" w:rsidRDefault="00F42107">
      <w:pPr>
        <w:pStyle w:val="14Footnote"/>
      </w:pPr>
      <w:r w:rsidRPr="00AD2F44">
        <w:rPr>
          <w:vertAlign w:val="superscript"/>
        </w:rPr>
        <w:footnoteRef/>
      </w:r>
      <w:r w:rsidRPr="00AD2F44">
        <w:rPr>
          <w:i/>
          <w:iCs/>
        </w:rPr>
        <w:t xml:space="preserve">Second Circuit: </w:t>
      </w:r>
      <w:r>
        <w:t xml:space="preserve">Watterson v. RUI Mgmt. Servs., </w:t>
      </w:r>
      <w:r w:rsidR="00F57115" w:rsidRPr="00F57115">
        <w:t>2022 BL 305442</w:t>
      </w:r>
      <w:r w:rsidR="00F57115">
        <w:t xml:space="preserve">, </w:t>
      </w:r>
      <w:r w:rsidR="00C43E6B" w:rsidRPr="00C43E6B">
        <w:t xml:space="preserve">2022 WL 3867755 </w:t>
      </w:r>
      <w:r>
        <w:t xml:space="preserve">(E.D.N.Y. Aug. 30, 2022) (employing a modest-plus standard based on some discovery, including document exchange and depositions); </w:t>
      </w:r>
      <w:r w:rsidRPr="00AD2F44">
        <w:t>Perkins v. Southern New Engl. Tel. Co., 669 F. Supp. 2d 212, 218 (D. Conn. 2009) (relying on higher standard of review at conditional certification stage and examining all evidence before it, rather than typical “pleadings and affidavits” standard, given that “extensive discovery” had already occurred).</w:t>
      </w:r>
    </w:p>
    <w:p w14:paraId="58A36445" w14:textId="77777777" w:rsidR="00721CCF" w:rsidRPr="00AD2F44" w:rsidRDefault="00F42107">
      <w:pPr>
        <w:pStyle w:val="14Footnote"/>
      </w:pPr>
      <w:r w:rsidRPr="00AD2F44">
        <w:rPr>
          <w:i/>
          <w:iCs/>
        </w:rPr>
        <w:t>Third Circuit:</w:t>
      </w:r>
      <w:r w:rsidRPr="00AD2F44">
        <w:t xml:space="preserve"> </w:t>
      </w:r>
      <w:r w:rsidRPr="00AD2F44">
        <w:rPr>
          <w:i/>
          <w:iCs/>
        </w:rPr>
        <w:t>In re</w:t>
      </w:r>
      <w:r w:rsidRPr="00AD2F44">
        <w:t xml:space="preserve"> Slone v. Gulf Interstate Field Servs., Inc.,</w:t>
      </w:r>
      <w:r w:rsidRPr="00AD2F44">
        <w:rPr>
          <w:b/>
          <w:bCs/>
        </w:rPr>
        <w:t xml:space="preserve"> </w:t>
      </w:r>
      <w:r w:rsidRPr="00AD2F44">
        <w:t>2017 WL 1105236, at *8–10 (M.D. Pa. Mar. 24, 2017)</w:t>
      </w:r>
      <w:r w:rsidRPr="00AD2F44">
        <w:rPr>
          <w:b/>
          <w:bCs/>
        </w:rPr>
        <w:t xml:space="preserve"> </w:t>
      </w:r>
      <w:r w:rsidRPr="00AD2F44">
        <w:t>(applying “intermediate” or “modest plus” standard given significant discovery that had occurred, there were six months of discovery in action, and plaintiff’s counsel had discovery from prior action, and utilizing traditional “decertification” factors to conduct modest plus analysis) (collecting cases); Enterprise Rent-A-Car Wage &amp; Hour Emp. Practices Litig., 2010 WL 3447783, at *19–20 (W.D. Pa. Aug. 13, 2010) (analyzing certification under both lenient and “intermediate” standard, latter of which considers decertification factors, but reviews evidence in light most favorable to plaintiffs because discovery is incomplete); Morisky v. Public Serv. Elec. &amp; Gas Co., 111 F. Supp. 2d 493, 497–98 (D.N.J. 2000) (noting discovery was completed “well before” motion for certification was filed).</w:t>
      </w:r>
    </w:p>
    <w:p w14:paraId="0F4A9372" w14:textId="77777777" w:rsidR="00721CCF" w:rsidRPr="00AD2F44" w:rsidRDefault="00F42107">
      <w:pPr>
        <w:pStyle w:val="14Footnote"/>
      </w:pPr>
      <w:r w:rsidRPr="00AD2F44">
        <w:rPr>
          <w:i/>
          <w:iCs/>
        </w:rPr>
        <w:t>Fourth Circuit:</w:t>
      </w:r>
      <w:r w:rsidRPr="00AD2F44">
        <w:t xml:space="preserve"> Blaney v. Charlotte-Mecklenburg Hosp. Auth., 2011 WL 4351631, at *5 (W.D.N.C. Sept. 16, 2011) (adopting intermediate standard of review at conditional certification stage, where “some” discovery had occurred (written discovery and depositions), even if not “substantial,” but keeping in mind that plaintiffs were seeking conditional certification).</w:t>
      </w:r>
    </w:p>
    <w:p w14:paraId="3B0730DD" w14:textId="3D39F3D5" w:rsidR="00721CCF" w:rsidRPr="00AD2F44" w:rsidRDefault="00F42107">
      <w:pPr>
        <w:pStyle w:val="14Footnote"/>
      </w:pPr>
      <w:r w:rsidRPr="00AD2F44">
        <w:rPr>
          <w:i/>
          <w:iCs/>
        </w:rPr>
        <w:t>Fifth Circuit:</w:t>
      </w:r>
      <w:r w:rsidRPr="00AD2F44">
        <w:t xml:space="preserve"> Parker v. Silverleaf Resorts, Inc., 2017 WL 1550522, at *8 (N.D. Tex. May 1, 2017) (following two-step approach but applying “intermediate” standard, i.e., “a heightened evidentiary standard commensurate with the opportunity to conduct discovery,” in light of amount of discovery conducted before conditional certification motion was filed) (citation omitted); St. John v. Nesco Serv. Co.,</w:t>
      </w:r>
      <w:r w:rsidRPr="00AD2F44">
        <w:rPr>
          <w:b/>
          <w:bCs/>
        </w:rPr>
        <w:t xml:space="preserve"> </w:t>
      </w:r>
      <w:r w:rsidRPr="00AD2F44">
        <w:t xml:space="preserve">2016 WL 7757388, at *3 (S.D. Tex. June 13, 2016) (applying stage two standard where certification motion came after close of discovery); Nieddu v. Lifetime Fitness, Inc., 977 F. Supp. 2d 686 (S.D. Tex. 2013) (applying intermediate standard because parties had already conducted three months of discovery); Valcho v. Dallas </w:t>
      </w:r>
      <w:r w:rsidRPr="00AD2F44">
        <w:t>Cnty. Hosp. Dist., 574 F. Supp. 2d 618, 622 (N.D. Tex. 2008) (explaining that reasons for lenient standard disappear once discovery has been conducted); Basco v. Wal-Mart Stores Inc., 2004 WL 1497709, at *4 (E.D. La. July 2, 2004) (considering criteria for both first stage and second stage where substantial discovery was conducted prior to motion).</w:t>
      </w:r>
      <w:r w:rsidR="00836B46" w:rsidRPr="00836B46">
        <w:rPr>
          <w:b/>
        </w:rPr>
        <w:t xml:space="preserve"> </w:t>
      </w:r>
      <w:r w:rsidR="00836B46" w:rsidRPr="00AD2F44">
        <w:rPr>
          <w:b/>
        </w:rPr>
        <w:t xml:space="preserve">[Caution: </w:t>
      </w:r>
      <w:r w:rsidR="00836B46" w:rsidRPr="00AD2F44">
        <w:t xml:space="preserve">The Fifth Circuit later rejected the two-stage process, in </w:t>
      </w:r>
      <w:r w:rsidR="00836B46" w:rsidRPr="00AD2F44">
        <w:rPr>
          <w:i/>
        </w:rPr>
        <w:t xml:space="preserve">Swales v. KLLM Transport Services, LLC, </w:t>
      </w:r>
      <w:r w:rsidR="00836B46" w:rsidRPr="00AD2F44">
        <w:t xml:space="preserve">985 F.3d 430 (5th Cir. 2021), in favor of a requirement to “rigorously scrutinize” whether potential opt-ins are similarly situated “from the outset of the case.” </w:t>
      </w:r>
      <w:r w:rsidR="00836B46" w:rsidRPr="00AD2F44">
        <w:rPr>
          <w:i/>
        </w:rPr>
        <w:t>Id.</w:t>
      </w:r>
      <w:r w:rsidR="00836B46" w:rsidRPr="00AD2F44">
        <w:t xml:space="preserve"> at 434.</w:t>
      </w:r>
      <w:r w:rsidR="00836B46" w:rsidRPr="00AD2F44">
        <w:rPr>
          <w:b/>
          <w:bCs/>
        </w:rPr>
        <w:t>]</w:t>
      </w:r>
    </w:p>
    <w:p w14:paraId="1DEA6DD2" w14:textId="09E5DB80" w:rsidR="00721CCF" w:rsidRPr="00AD2F44" w:rsidRDefault="00F42107">
      <w:pPr>
        <w:pStyle w:val="14Footnote"/>
      </w:pPr>
      <w:r w:rsidRPr="00AD2F44">
        <w:rPr>
          <w:i/>
          <w:iCs/>
        </w:rPr>
        <w:t>Sixth Circuit:</w:t>
      </w:r>
      <w:r w:rsidRPr="00AD2F44">
        <w:t xml:space="preserve"> Smith v. Guidant Glob. Inc., 2021 BL 287709, 2021 WL 3240391, at *4–5 (E.D. Mich. July 30, 2021) (applying “modest-plus” standard where parties engaged in discovery related to conditional certification); Hall v. U.S. Cargo &amp; Courier Serv. LLC, 299 F. Supp. 3d 888, 896 (S.D. Ohio 2018) (granting conditional certification using “modest plus” standard where discovery commenced (which required elevated factual showing) because delivery drivers who claimed to be misclassified as independent contractors were all required to comply with grooming and appearance standards, received routes directly from defendant, were paid according to miles and stops at rate determined by defendant, and signed same independent contractor agreement); Adkins v. Phoenix Rising Behavioral Health Care &amp; Recovery, Inc.,</w:t>
      </w:r>
      <w:r w:rsidRPr="00AD2F44">
        <w:rPr>
          <w:b/>
          <w:bCs/>
        </w:rPr>
        <w:t xml:space="preserve"> </w:t>
      </w:r>
      <w:r w:rsidRPr="00AD2F44">
        <w:t>2016 WL 5661617, at *7 (N.D. Ohio Sept. 30, 2016) (applying “modest plus” evidentiary standard because parties had conducted discovery on issue of conditional certification); Neff v. U.S. XPRESS, Inc., 2013 WL 4479078 (S.D. Ohio Aug. 20, 2013) (applying “modest plus” standard where some discovery had been completed); Creely v. HCR ManorCare, Inc., 789 F. Supp. 2d 819, 826 (N.D. Ohio 2011) (because parties voluntarily engaged in some discovery, court used “modest plus” hybrid standard in deciding conditional certification by applying lenient standard, along with some consideration of stage-two factors, but did not evaluate merits of claims); Bowman v. Crossmark, Inc., 2010 WL 2837519, at *4–5 (E.D. Tenn. July 19, 2010) (applying “standard that goes beyond the lenient standard” and considers factors from second-stage decertification standard, in light of “substantial discovery” completed; collecting cases).</w:t>
      </w:r>
    </w:p>
    <w:p w14:paraId="4583DB78" w14:textId="77777777" w:rsidR="00721CCF" w:rsidRPr="00AD2F44" w:rsidRDefault="00F42107">
      <w:pPr>
        <w:pStyle w:val="14Footnote"/>
      </w:pPr>
      <w:r w:rsidRPr="00AD2F44">
        <w:rPr>
          <w:i/>
          <w:iCs/>
        </w:rPr>
        <w:t>Seventh Circuit:</w:t>
      </w:r>
      <w:r w:rsidRPr="00AD2F44">
        <w:t xml:space="preserve"> Miller v. ThedaCare, Inc.,</w:t>
      </w:r>
      <w:r w:rsidRPr="00AD2F44">
        <w:rPr>
          <w:b/>
          <w:bCs/>
        </w:rPr>
        <w:t xml:space="preserve"> </w:t>
      </w:r>
      <w:r w:rsidRPr="00AD2F44">
        <w:t>2016 WL 4532124, at *7 (E.D. Wis. Aug. 29, 2016) (employing “intermediate” standard given amount of discovery conducted, even though no employee list had been produced by defendants, reasoning that amount of discovery drives analysis, and whether list has been produced is one factor to consider); Armstrong v. Wheels Assured Delivery Sys., Inc., 2016 WL 1270208 (S.D. Ind. Mar. 30, 2016) (applying “intermediate” standard because significant amount of discovery had been conducted, including deposition of plaintiff and Rule 30(b)(6) depositions of defendant employers on certification issues); Bergman v. Kindred Health Care, Inc., 949 F. Supp. 2d 852, 856 (N.D. Ill. 2013) (requiring plaintiffs to make “modest ‘plus’ factual showing”); Boelk v. AT&amp;T Teleholdings, Inc., 2013 WL 261265, at *14–15 (W.D. Wis. Jan. 10, 2013) (applying more stringent standard because parties had conducted meaningful discovery, and denying certification after collapsing two stages of conditional certification analysis); Hawkins v. Alorica, Inc., 287 F.R.D. 431, 439 (S.D. Ind. 2012) (applying intermediate level of scrutiny where substantial discovery was taken); Scott v. NOW Courier, Inc., 2012 WL 1072751, at *7–8 (S.D. Ind. Mar. 29, 2012) (applying “intermediate level of scrutiny” to evaluate motion for conditional certification, given that substantial discovery had been conducted); Bunyan v. Spectrum Brands, Inc., 2008 WL 2959932, at *4, 7 (S.D. Ill. July 31, 2008) (adopting “intermediate standard” for evaluating conditional certification where significant but not complete discovery has occurred, which imposes more stringent “second stage” analysis to facts available in record at time, but which leaves defendant opportunity to move for decertification after completion of discovery (citing cases); nevertheless, denying conditional certification after applying more lenient “first stage” standard).</w:t>
      </w:r>
    </w:p>
    <w:p w14:paraId="6E875DB0" w14:textId="77777777" w:rsidR="00721CCF" w:rsidRPr="00AD2F44" w:rsidRDefault="00F42107">
      <w:pPr>
        <w:pStyle w:val="14Footnote"/>
      </w:pPr>
      <w:r w:rsidRPr="00AD2F44">
        <w:rPr>
          <w:i/>
          <w:iCs/>
        </w:rPr>
        <w:t>Eighth Circuit:</w:t>
      </w:r>
      <w:r w:rsidRPr="00AD2F44">
        <w:t xml:space="preserve"> Swank v. Wal-Mart Stores, Inc., 2018 WL 2684102, at *10 (W.D. Pa. June 5, 2018) (applying a heightened standard that would take into account “all the evidence … not just [Plaintiff’s] evidence” in light of the time the case had been pending (5 years) and extensive discovery); Howe v. Johnny’s Italian Steakhouse, LLC., 2018 WL 6521496 (S.D. Iowa Sept. 11, 2018) (applying the intermediate standard in light of the extensive discovery conducted in the matter); Kayser v. Southwestern Bell Tel. Co., 912 F. Supp. 2d 803, 813 (E.D. Mo. 2012) (applying intermediate standard because of amount of discovery taken, “compar[ing] the allegations made in plaintiffs’ complaint with the evidence submitted after the limited discovery,” and granting certification); Ray v. Motel 6 Operating, Ltd. P’ship, 1996 WL 938231, at *4 (D. Minn. Mar. 18, 1996) (declining to apply notice-stage standard because facts before court were extensive and discovery was unnecessary).</w:t>
      </w:r>
    </w:p>
    <w:p w14:paraId="5A2213A2" w14:textId="77777777" w:rsidR="00721CCF" w:rsidRPr="00AD2F44" w:rsidRDefault="00F42107">
      <w:pPr>
        <w:pStyle w:val="14Footnote"/>
      </w:pPr>
      <w:r w:rsidRPr="00AD2F44">
        <w:rPr>
          <w:i/>
          <w:iCs/>
        </w:rPr>
        <w:t>Ninth Circuit:</w:t>
      </w:r>
      <w:r w:rsidRPr="00AD2F44">
        <w:t xml:space="preserve"> Gessele v. Jack in the Box, Inc., 2013 WL 1326563, at *19–20 (D. Or. Jan. 28, 2013), </w:t>
      </w:r>
      <w:r w:rsidRPr="00AD2F44">
        <w:rPr>
          <w:i/>
          <w:iCs/>
        </w:rPr>
        <w:t>report and recommendation adopted,</w:t>
      </w:r>
      <w:r w:rsidRPr="00AD2F44">
        <w:t xml:space="preserve"> 2013 WL 1326538, at *3–4 (D. Or. Apr. 1, 2013) (granting certification on certain claims after applying heightened level of scrutiny where certification motion filed two years after complaint filing and significant discovery occurred); Luksza v. TJX Cos., Inc., 2012 WL 3277049, at *8–9 (D. Nev. Aug. 8, 2012) (denying certification after applying heightened, intermediate standard where substantial discovery occurred); Smith v. T-Mobile USA, Inc., 2007 WL 2385131 (C.D. Cal. Aug. 15, 2007) (applying second-stage analysis where discovery as to class issues had closed prior to court’s decision); Pfohl v. Farmers Ins. Group, 2004 U.S. Dist. LEXIS 6447, at *2–3 (C.D. Cal. Mar. 1, 2004) (employing more rigorous analysis where discovery had “been undertaken relating to the issues of certification of th[e] action as a collective action”).</w:t>
      </w:r>
    </w:p>
    <w:p w14:paraId="685820DD" w14:textId="52F6FF23" w:rsidR="00721CCF" w:rsidRPr="00AD2F44" w:rsidRDefault="00F42107">
      <w:pPr>
        <w:pStyle w:val="14Footnote"/>
      </w:pPr>
      <w:r w:rsidRPr="00AD2F44">
        <w:rPr>
          <w:i/>
          <w:iCs/>
        </w:rPr>
        <w:t>Eleventh Circuit:</w:t>
      </w:r>
      <w:r w:rsidRPr="00AD2F44">
        <w:t xml:space="preserve"> Walker v. Jefferson Cnty. Bd. of Educ., 2016 WL 1117643 (N.D. Ala. Mar. 22, 2016) (employing heightened standard because of extensive discovery, but not defining standard); Thedford v. Drive In of Evansville, Inc., 2014 WL 5520954, at *2 (N.D. Ala. Oct. 31, 2014) (applying “more searching” standard of review because plaintiffs and defendants had “opportunity” to conduct discovery before notice motion, even though plaintiffs failed to do so); Ide v. Neighborhood Rest. Partners, Inc., 32 F. Supp. 3d 1285, 1290–92 (N.D. Ga. 2014) (employing heightened standard because of extensive discovery, but not defining standard); Hardemon v. H&amp;R Block E. Enters., 2011 WL 3704746, at *3 (S.D. Fla. Aug. 23, 2011) (employing factors typically considered at decertification stage and denying certification, reasoning that “in cases where there has been substantial discovery, a court may bypass the suggested two-tier approach and decide whether to certify the class based on the evidence before it”); Davis v. Charoen Pokphand (USA), Inc., 303 F. Supp. 2d 1272, 1276 (M.D. Ala. 2004) (finding that “a more searching standard of review [wa]s appropriate” where plaintiffs “had time to conduct discovery and indeed … filed supplemental evidence in support of their motion”); Holt v. Rite Aid Corp., 333 F. Supp. 2d 1265, 1273–74 (M.D. Ala. 2004) (applying higher standard where court was “presented with fairly extensive evidence on the issue of whether putative class members are similarly situated”).</w:t>
      </w:r>
    </w:p>
    <w:p w14:paraId="17F1B786" w14:textId="301E8B1C" w:rsidR="00721CCF" w:rsidRPr="00AD2F44" w:rsidRDefault="00F42107">
      <w:pPr>
        <w:pStyle w:val="14Footnote"/>
      </w:pPr>
      <w:r w:rsidRPr="00AD2F44">
        <w:rPr>
          <w:i/>
          <w:iCs/>
        </w:rPr>
        <w:t>Cf</w:t>
      </w:r>
      <w:r w:rsidRPr="00AD2F44">
        <w:t>. Davenport v. Charter Commc’ns, LLC, 2014 WL 2993739, at *6 (E.D. Mo. July 3, 2014) (refusing to apply heightened standard where defendant relied on discovery taken after</w:t>
      </w:r>
      <w:r w:rsidRPr="00AD2F44">
        <w:rPr>
          <w:i/>
          <w:iCs/>
        </w:rPr>
        <w:t xml:space="preserve"> </w:t>
      </w:r>
      <w:r w:rsidRPr="00AD2F44">
        <w:t>filing of motion for notice but before motion was decided).</w:t>
      </w:r>
    </w:p>
  </w:footnote>
  <w:footnote w:id="107">
    <w:p w14:paraId="2F1A3F1C" w14:textId="77777777" w:rsidR="00721CCF" w:rsidRPr="00AD2F44" w:rsidRDefault="00F42107">
      <w:pPr>
        <w:pStyle w:val="14Footnote"/>
      </w:pPr>
      <w:r w:rsidRPr="00AD2F44">
        <w:rPr>
          <w:vertAlign w:val="superscript"/>
        </w:rPr>
        <w:footnoteRef/>
      </w:r>
      <w:r w:rsidRPr="00AD2F44">
        <w:rPr>
          <w:i/>
          <w:iCs/>
        </w:rPr>
        <w:t>First Circuit:</w:t>
      </w:r>
      <w:r w:rsidRPr="00AD2F44">
        <w:t xml:space="preserve"> Prescott v. Prudential Ins. Co., 729 F. Supp. 2d 357, 366 (D. Me. 2010) (declining to apply stage-two analysis where five and one-half months of discovery had taken place but defendant refused to produce names and addresses of potential plaintiffs; defendant’s affidavits, along with plaintiff’s evidence, suggested defendant’s evidence might have been selective, not representative; potential opt-in plaintiffs otherwise might be deprived of opportunity to join suit and court otherwise deprived of facts supporting class treatment; and prejudice to defendant from notice was low in light of its ability to move for decertification after close of discovery; court granted partial conditional certification).</w:t>
      </w:r>
    </w:p>
    <w:p w14:paraId="1CF3EE30" w14:textId="77777777" w:rsidR="00721CCF" w:rsidRPr="00AD2F44" w:rsidRDefault="00F42107">
      <w:pPr>
        <w:pStyle w:val="14Footnote"/>
      </w:pPr>
      <w:r w:rsidRPr="00AD2F44">
        <w:rPr>
          <w:i/>
          <w:iCs/>
        </w:rPr>
        <w:t>Second Circuit:</w:t>
      </w:r>
      <w:r w:rsidRPr="00AD2F44">
        <w:t xml:space="preserve"> Amador v. Morgan Stanley &amp; Co., 2013 WL 494020, at *4 (S.D.N.Y. Feb. 7, 2013) (refusing to apply heightened level of scrutiny, recognizing that heightened standard is not appropriate until “entirety of discovery has been completed”) (quotation omitted); Karic v. Major Auto. Cos., 799 F. Supp. 2d 219, 225–26 (E.D.N.Y. 2011) (refusing to apply heightened level of scrutiny at conditional certification stage, despite several months of discovery, distinguishing cases applying intermediate standard as being from outside federal circuit and as factually inapposite, explaining that (1) discovery was “far from complete,” (2) plaintiffs still complained they had not received much of discovery they sought despite court ordering defendants to locate requested information, and (3) defendants had not presented evidence to contradict plaintiffs’ assertions); Toure v. Central Parking Sys., 2007 U.S. Dist. LEXIS 74056, at *7–8 (S.D.N.Y. Sept. 28, 2007) (explaining lenient standard applied when limited factual discovery had occurred); Neary v. Metropolitan Prop. &amp; Cas. Ins. Co., 517 F. Supp. 2d 606, 618–19 (D. Conn. 2007); Parks v. Dick’s Sporting Goods, Inc., 2007 U.S. Dist. LEXIS 20949, at *9 n.1 (W.D.N.Y. 2007) (determining second-stage analysis inappropriate where “certification-related discovery” had occurred); Cuzco v. Orion Builders, Inc., 477 F. Supp. 2d 628, 632 (S.D.N.Y. 2007) (determining that “even though discovery is underway, it would be inappropriate to make more than the first-step certification decision”).</w:t>
      </w:r>
    </w:p>
    <w:p w14:paraId="5505792F" w14:textId="55AA51B6" w:rsidR="00721CCF" w:rsidRPr="00AD2F44" w:rsidRDefault="00F42107">
      <w:pPr>
        <w:pStyle w:val="14Footnote"/>
      </w:pPr>
      <w:r w:rsidRPr="00AD2F44">
        <w:rPr>
          <w:i/>
          <w:iCs/>
        </w:rPr>
        <w:t>Third Circuit:</w:t>
      </w:r>
      <w:r w:rsidRPr="00AD2F44">
        <w:t xml:space="preserve"> McGhee v. TOMS King, LLC, 2021 BL 112484, 2021 WL 1176097, at *4 (W.D. Pa. Mar. 29, 2021) (rejecting defendant’s argument for intermediate, heightened scrutiny standard, finding discovery occurred over limited time period and was limited to conditional certification issues); Bowser v. Empyrean Servs., LLC, 324 F.R.D. 346, 352 (W.D. Pa. 2018) (refusing to adopt higher standard where court ordered preliminary class discovery period and parties engaged in some discovery);</w:t>
      </w:r>
      <w:r w:rsidRPr="00AD2F44">
        <w:rPr>
          <w:b/>
          <w:bCs/>
        </w:rPr>
        <w:t xml:space="preserve"> </w:t>
      </w:r>
      <w:r w:rsidRPr="00AD2F44">
        <w:t>Diabate v. MV Transp., Inc., 2015 WL 4496616 (E.D. Pa. July 20, 2015) (rejecting use of heightened standard where parties conducted substantial discovery, including 14 depositions and defendant’s production of 62,000 pages of documents and disclosure of 17,000 additional documents); Mueller v. CBS, Inc., 201 F.R.D. 425, 429 (W.D. Pa. 2001) (rejecting more stringent standard for conditional certification and notice because “it is impossible to determine whether the class members are similarly situated or not” before notice has been provided and plaintiffs have opted in).</w:t>
      </w:r>
    </w:p>
    <w:p w14:paraId="4E06E06E" w14:textId="77777777" w:rsidR="00721CCF" w:rsidRPr="00AD2F44" w:rsidRDefault="00F42107">
      <w:pPr>
        <w:pStyle w:val="14Footnote"/>
      </w:pPr>
      <w:r w:rsidRPr="00AD2F44">
        <w:rPr>
          <w:i/>
          <w:iCs/>
        </w:rPr>
        <w:t>Fourth Circuit:</w:t>
      </w:r>
      <w:r w:rsidRPr="00AD2F44">
        <w:rPr>
          <w:b/>
          <w:bCs/>
        </w:rPr>
        <w:t xml:space="preserve"> </w:t>
      </w:r>
      <w:r w:rsidRPr="00AD2F44">
        <w:t xml:space="preserve">Allen v. Cogent Commc’ns, Inc., 2014 WL 4270077, at *5 (E.D. Va. Aug. 28, 2014) (rejecting heightened standard despite extensive discovery in prior, overlapping, decertified action in Texas, because discovery in Texas action seeking nationwide certification had not focused on Virginia-specific practices); Butler v. </w:t>
      </w:r>
      <w:r w:rsidRPr="00AD2F44">
        <w:t>DirectSAT USA, LLC, 876 F. Supp. 2d 560, 567–68 (D. Md. 2012) (refusing to apply second-stage decertification standard to conditional certification motion, despite some discovery having taken place, reasoning that it would be inconsistent with remedial purposes of FLSA).</w:t>
      </w:r>
    </w:p>
    <w:p w14:paraId="78DCCC6D" w14:textId="2C2FC91E" w:rsidR="00721CCF" w:rsidRPr="00AD2F44" w:rsidRDefault="00F42107">
      <w:pPr>
        <w:pStyle w:val="14Footnote"/>
      </w:pPr>
      <w:r w:rsidRPr="00AD2F44">
        <w:rPr>
          <w:i/>
          <w:iCs/>
        </w:rPr>
        <w:t>Fifth Circuit:</w:t>
      </w:r>
      <w:r w:rsidRPr="00AD2F44">
        <w:t xml:space="preserve"> </w:t>
      </w:r>
      <w:r w:rsidRPr="00AD2F44">
        <w:rPr>
          <w:i/>
          <w:iCs/>
        </w:rPr>
        <w:t>In re</w:t>
      </w:r>
      <w:r w:rsidRPr="00AD2F44">
        <w:t xml:space="preserve"> Freeman v. Progress Residential Manager LLC, 2018 WL 1609577, at *3 (S.D. Tex. Apr. 3, 2018) (refusing to impose “a more exacting standard for review” on conditional certification determination where “minimal discovery has been undertaken by the parties” over 16-month period); Jesus v. Robert Dering Constr., LLC, 2016 WL 3032770 (S.D. Tex. May 27, 2016) (refusing to apply heightened standard where parties only presented affidavits and had not conducted discovery); Wells Fargo Wage &amp; Hour Emp. Practices Litig. (No. III), 2012 WL 3308880, at *20–21 (S.D. Tex. Aug. 10, 2012) (refusing to apply heightened level of scrutiny at conditional certification stage despite similar litigation filed in other courts where significant discovery was taken because instant case involved “different case with different plaintiffs”).</w:t>
      </w:r>
      <w:r w:rsidR="00836B46" w:rsidRPr="00836B46">
        <w:rPr>
          <w:b/>
        </w:rPr>
        <w:t xml:space="preserve"> </w:t>
      </w:r>
      <w:r w:rsidR="00836B46" w:rsidRPr="00AD2F44">
        <w:rPr>
          <w:b/>
        </w:rPr>
        <w:t xml:space="preserve">[Caution: </w:t>
      </w:r>
      <w:r w:rsidR="00836B46" w:rsidRPr="00AD2F44">
        <w:t xml:space="preserve">The Fifth Circuit later rejected the two-stage process, in </w:t>
      </w:r>
      <w:r w:rsidR="00836B46" w:rsidRPr="00AD2F44">
        <w:rPr>
          <w:i/>
        </w:rPr>
        <w:t xml:space="preserve">Swales v. KLLM Transport Services, LLC, </w:t>
      </w:r>
      <w:r w:rsidR="00836B46" w:rsidRPr="00AD2F44">
        <w:t xml:space="preserve">985 F.3d 430 (5th Cir. 2021), in favor of a requirement to “rigorously scrutinize” whether potential opt-ins are similarly situated “from the outset of the case.” </w:t>
      </w:r>
      <w:r w:rsidR="00836B46" w:rsidRPr="00AD2F44">
        <w:rPr>
          <w:i/>
        </w:rPr>
        <w:t>Id.</w:t>
      </w:r>
      <w:r w:rsidR="00836B46" w:rsidRPr="00AD2F44">
        <w:t xml:space="preserve"> at 434.</w:t>
      </w:r>
      <w:r w:rsidR="00836B46" w:rsidRPr="00AD2F44">
        <w:rPr>
          <w:b/>
          <w:bCs/>
        </w:rPr>
        <w:t>]</w:t>
      </w:r>
    </w:p>
    <w:p w14:paraId="499B6416" w14:textId="77777777" w:rsidR="00721CCF" w:rsidRPr="00AD2F44" w:rsidRDefault="00F42107">
      <w:pPr>
        <w:pStyle w:val="14Footnote"/>
      </w:pPr>
      <w:r w:rsidRPr="00AD2F44">
        <w:rPr>
          <w:i/>
          <w:iCs/>
        </w:rPr>
        <w:t>Sixth Circuit:</w:t>
      </w:r>
      <w:r w:rsidRPr="00AD2F44">
        <w:t xml:space="preserve"> Penley v. NPC Int’l, Inc., 2016 WL 7228901, at *3 (W.D. Tenn. Dec. 13, 2016) (refusing to adopt intermediate, “modest plus” standard for evaluating conditional certification where discovery had not been conducted given protective order plaintiffs obtained to limit it, and rejecting argument that passage of time warranted higher standard, noting that delays were largely of defendant’s making); Freeman v. Total Sec. Mgmt., 2013 WL 4049542 (W.D. Wis. Aug. 9, 2013) (rejecting defendants’ argument for an “intermediate standard,” and granting certification).</w:t>
      </w:r>
    </w:p>
    <w:p w14:paraId="695B8ECF" w14:textId="77777777" w:rsidR="00721CCF" w:rsidRPr="00AD2F44" w:rsidRDefault="00F42107">
      <w:pPr>
        <w:pStyle w:val="14Footnote"/>
      </w:pPr>
      <w:r w:rsidRPr="00AD2F44">
        <w:rPr>
          <w:i/>
          <w:iCs/>
        </w:rPr>
        <w:t>Seventh Circuit:</w:t>
      </w:r>
      <w:r w:rsidRPr="00AD2F44">
        <w:t xml:space="preserve"> Girolamo v. Community Physical Therapy &amp; Assocs., Ltd., 2016 WL 3693426 (N.D. Ill. July 12, 2016) (declining to apply “intermediate” standard, despite several depositions of defendant’s officials and one named plaintiff having occurred, because parties had not had opportunity to take discovery of potential class members and plaintiff’s counsel had not received list of names pre-notice); Perry v. National City Mortg., Inc., 2007 U.S. Dist. LEXIS 45115, at *8 n.3 (S.D. Ill. June 21, 2007).</w:t>
      </w:r>
    </w:p>
    <w:p w14:paraId="78828DD6" w14:textId="77777777" w:rsidR="00721CCF" w:rsidRPr="00AD2F44" w:rsidRDefault="00F42107">
      <w:pPr>
        <w:pStyle w:val="14Footnote"/>
      </w:pPr>
      <w:r w:rsidRPr="00AD2F44">
        <w:rPr>
          <w:i/>
          <w:iCs/>
        </w:rPr>
        <w:t>Eighth Circuit:</w:t>
      </w:r>
      <w:r w:rsidRPr="00AD2F44">
        <w:t xml:space="preserve"> Fast v. Applebee’s Int’l., Inc., 243 F.R.D. 360, 363 (W.D. Mo. 2007) (explaining notice-stage standard applied when some discovery had been conducted); Kautsch v. Premier Commc’ns, 504 F. Supp. 2d 685, 689 (W.D. Mo. 2007) (applying notice-stage standard where parties had conducted seven months of discovery).</w:t>
      </w:r>
    </w:p>
    <w:p w14:paraId="4388477F" w14:textId="0D6B3954" w:rsidR="00721CCF" w:rsidRPr="00AD2F44" w:rsidRDefault="00F42107">
      <w:pPr>
        <w:pStyle w:val="14Footnote"/>
      </w:pPr>
      <w:r w:rsidRPr="00AD2F44">
        <w:rPr>
          <w:i/>
          <w:iCs/>
        </w:rPr>
        <w:t>Ninth Circuit:</w:t>
      </w:r>
      <w:r w:rsidRPr="00AD2F44">
        <w:t xml:space="preserve"> </w:t>
      </w:r>
      <w:r w:rsidRPr="003E2947">
        <w:t>Ward v. Sutter Valley Hosps.,</w:t>
      </w:r>
      <w:r>
        <w:t xml:space="preserve"> </w:t>
      </w:r>
      <w:r w:rsidR="001C34E9" w:rsidRPr="001C34E9">
        <w:t>2022 BL 247672</w:t>
      </w:r>
      <w:r w:rsidR="001C34E9">
        <w:t xml:space="preserve">, </w:t>
      </w:r>
      <w:r w:rsidRPr="003E2947">
        <w:t>2022 WL 2805965 (E.D. Cal. July 18, 2022)</w:t>
      </w:r>
      <w:r>
        <w:t xml:space="preserve"> (</w:t>
      </w:r>
      <w:r w:rsidRPr="003E2947">
        <w:t>declin</w:t>
      </w:r>
      <w:r>
        <w:t>ing</w:t>
      </w:r>
      <w:r w:rsidRPr="003E2947">
        <w:t xml:space="preserve"> to </w:t>
      </w:r>
      <w:r>
        <w:t xml:space="preserve">skip to the second stage </w:t>
      </w:r>
      <w:r w:rsidRPr="003E2947">
        <w:t xml:space="preserve">heightened evidentiary standard, noting it was unclear whether the court retained the discretion to do so in light of the Ninth Circuit’s decision in </w:t>
      </w:r>
      <w:r w:rsidRPr="002F69CA">
        <w:rPr>
          <w:i/>
          <w:iCs/>
        </w:rPr>
        <w:t>Camp</w:t>
      </w:r>
      <w:r>
        <w:rPr>
          <w:i/>
          <w:iCs/>
        </w:rPr>
        <w:t>b</w:t>
      </w:r>
      <w:r w:rsidRPr="002F69CA">
        <w:rPr>
          <w:i/>
          <w:iCs/>
        </w:rPr>
        <w:t>ell v. City of Los Angeles</w:t>
      </w:r>
      <w:r w:rsidRPr="003E2947">
        <w:t>, 903 F.3d 1090 (</w:t>
      </w:r>
      <w:r>
        <w:t>9th</w:t>
      </w:r>
      <w:r w:rsidRPr="003E2947">
        <w:t xml:space="preserve"> Cir. 2018</w:t>
      </w:r>
      <w:r>
        <w:t>)</w:t>
      </w:r>
      <w:r w:rsidRPr="003E2947">
        <w:t>)</w:t>
      </w:r>
      <w:r>
        <w:t xml:space="preserve">; </w:t>
      </w:r>
      <w:r w:rsidRPr="00AD2F44">
        <w:t xml:space="preserve">Zissa v. County of L.A., 2019 WL 8953355, at *4 (C.D. Cal. Sept. 20, 2019) (rejecting defendant’s request to apply heightened level of scrutiny where “some discovery” had occurred, holding that no court in this circuit has applied heightened standard requirement for conditional certification since Ninth Circuit’s decision in </w:t>
      </w:r>
      <w:r w:rsidRPr="00AD2F44">
        <w:rPr>
          <w:i/>
          <w:iCs/>
        </w:rPr>
        <w:t>Campbell v. City of L.A.,</w:t>
      </w:r>
      <w:r w:rsidRPr="00AD2F44">
        <w:t xml:space="preserve"> 903 F.3d 1090 (9th Cir. 2018), which had clarified and lowered plaintiff’s burden at the first stage); Gerlach v. Wells Fargo &amp; Co., 2006 U.S. Dist. LEXIS 24823, at *9–12 (N.D. Cal. Mar. 28, 2006); Leuthold v. Destination Am., Inc., 224 F.R.D. 462, 467–68 (N.D. Cal. 2004) (applying first-stage standard, although discovery was nearly completed, where record was not complete, two-stage process should be complied with, and it was unclear who would seek to participate in the litigation).</w:t>
      </w:r>
    </w:p>
    <w:p w14:paraId="5E2BBD9C" w14:textId="73AA8158" w:rsidR="00721CCF" w:rsidRPr="00AD2F44" w:rsidRDefault="00F42107">
      <w:pPr>
        <w:pStyle w:val="14Footnote"/>
      </w:pPr>
      <w:r w:rsidRPr="00AD2F44">
        <w:rPr>
          <w:i/>
          <w:iCs/>
        </w:rPr>
        <w:t>Tenth Circuit:</w:t>
      </w:r>
      <w:r w:rsidRPr="00AD2F44">
        <w:t xml:space="preserve"> </w:t>
      </w:r>
      <w:r w:rsidRPr="009A6132">
        <w:t>Stoddard v. Love</w:t>
      </w:r>
      <w:r w:rsidR="001934B1">
        <w:t>’</w:t>
      </w:r>
      <w:r w:rsidRPr="009A6132">
        <w:t xml:space="preserve">s Travel Stops &amp; Country Stores, Inc., </w:t>
      </w:r>
      <w:r w:rsidR="00C3359F" w:rsidRPr="00C3359F">
        <w:t>2022 BL 259104</w:t>
      </w:r>
      <w:r w:rsidR="00C3359F">
        <w:t xml:space="preserve">, </w:t>
      </w:r>
      <w:r w:rsidRPr="009A6132">
        <w:t>2022 WL 2960131 (W.D. Ok</w:t>
      </w:r>
      <w:r w:rsidR="000B6C5F">
        <w:t>la</w:t>
      </w:r>
      <w:r w:rsidRPr="009A6132">
        <w:t>. July 26, 2022) (declining to adopt a more stringent intermediate scrutiny after some discovery had proceeded</w:t>
      </w:r>
      <w:r>
        <w:t xml:space="preserve"> in a companion case, explaining that plaintiffs were precluded here from relying on it and had not conducted discovery</w:t>
      </w:r>
      <w:r w:rsidRPr="009A6132">
        <w:t xml:space="preserve">); </w:t>
      </w:r>
      <w:r w:rsidRPr="00AD2F44">
        <w:rPr>
          <w:i/>
          <w:iCs/>
        </w:rPr>
        <w:t xml:space="preserve">In re </w:t>
      </w:r>
      <w:r w:rsidRPr="00AD2F44">
        <w:t xml:space="preserve">Bank of Am. Wage &amp; Hour Emp. Litig., 286 F.R.D. 572, 577 (D. Kan. 2012) (refusing to apply heightened level of scrutiny at conditional certification stage despite defendant’s arguments that significant discovery had already occurred, noting that plaintiffs were entitled to complete merits discovery before standard for final certification need be met); Gieseke v. First Horizon Home Loan Corp., 408 F. Supp. 2d 1164, 1165–67 (D. Kan. 2006) (rejecting application of second-stage standard despite “extensive discovery,” noting that discovery not complete enough for court to “conclude that the evidence is representative of what plaintiffs would present given further discovery,” that the scheduling order contemplated application of the two-step process, and there was potential prejudice to plaintiffs of bypassing first stage because some potential plaintiffs might not learn of lawsuit or have opportunity to join); Reab v. Electronic Arts, Inc., 214 F.R.D. 623, 628 (D. Colo. 2002) (rejecting request to skip notice-stage inquiry because discovery was ongoing and because scheduling order “characterize[d] the pending motion as a motion for </w:t>
      </w:r>
      <w:r w:rsidRPr="00AD2F44">
        <w:rPr>
          <w:i/>
          <w:iCs/>
        </w:rPr>
        <w:t>conditional</w:t>
      </w:r>
      <w:r w:rsidRPr="00AD2F44">
        <w:t xml:space="preserve"> class certification”) (emphasis in original).</w:t>
      </w:r>
    </w:p>
    <w:p w14:paraId="4F15E7C8" w14:textId="77777777" w:rsidR="00721CCF" w:rsidRPr="00AD2F44" w:rsidRDefault="00F42107">
      <w:pPr>
        <w:pStyle w:val="14Footnote"/>
      </w:pPr>
      <w:r w:rsidRPr="00AD2F44">
        <w:rPr>
          <w:i/>
          <w:iCs/>
        </w:rPr>
        <w:t>Eleventh Circuit:</w:t>
      </w:r>
      <w:r w:rsidRPr="00AD2F44">
        <w:t xml:space="preserve"> Robinson v. Ryla Teleservs., Inc., 2011 WL 6667338, at *2 (S.D. Ala. Dec. 21, 2011) (refusing to employ more than a “lenient” standard for determining whether to issue notice, even though some discovery had been permitted).</w:t>
      </w:r>
    </w:p>
    <w:p w14:paraId="1669C2E5" w14:textId="52664943" w:rsidR="00721CCF" w:rsidRPr="00AD2F44" w:rsidRDefault="00F42107">
      <w:pPr>
        <w:pStyle w:val="14Footnote"/>
      </w:pPr>
      <w:r w:rsidRPr="00AD2F44">
        <w:rPr>
          <w:i/>
          <w:iCs/>
        </w:rPr>
        <w:t>D.C. Circuit:</w:t>
      </w:r>
      <w:r w:rsidRPr="00AD2F44">
        <w:t xml:space="preserve"> Chase v. AIMCO Props., L.P., 374 F. Supp. 2d 196, 201 (D.D.C. 2005) (applying lower standard, despite 16 months of discovery prior to ruling on motion for notice and despite doubts court had about case ultimately surviving decertification, and finding no prejudice to defendant and that it furthers the goals of the FLSA to provide notice to workers of their claims, even if case is ultimately decertified).</w:t>
      </w:r>
    </w:p>
  </w:footnote>
  <w:footnote w:id="108">
    <w:p w14:paraId="7266797F" w14:textId="77777777" w:rsidR="00721CCF" w:rsidRPr="00AD2F44" w:rsidRDefault="00F42107">
      <w:pPr>
        <w:pStyle w:val="14Footnote"/>
      </w:pPr>
      <w:r w:rsidRPr="00AD2F44">
        <w:rPr>
          <w:vertAlign w:val="superscript"/>
        </w:rPr>
        <w:footnoteRef/>
      </w:r>
      <w:r w:rsidRPr="00AD2F44">
        <w:rPr>
          <w:i/>
          <w:iCs/>
        </w:rPr>
        <w:t>See, e.g., Hart</w:t>
      </w:r>
      <w:r w:rsidRPr="00AD2F44">
        <w:t>, 2015 WL 365785, at *2–3 (granting conditional certification before any discovery); Castillo v. P &amp; R Enters., Inc., 517 F. Supp. 2d 440, 444 (D.D.C. 2007) (explaining that court may conditionally certify collective action without discovery because the statute of limitations continues to run on claims of potential opt-in plaintiffs).</w:t>
      </w:r>
    </w:p>
  </w:footnote>
  <w:footnote w:id="109">
    <w:p w14:paraId="604FE0B7" w14:textId="77777777" w:rsidR="00721CCF" w:rsidRPr="00AD2F44" w:rsidRDefault="00F42107">
      <w:pPr>
        <w:pStyle w:val="14Footnote"/>
      </w:pPr>
      <w:r w:rsidRPr="00AD2F44">
        <w:rPr>
          <w:rStyle w:val="FootnoteReference"/>
        </w:rPr>
        <w:footnoteRef/>
      </w:r>
      <w:r w:rsidRPr="00AD2F44">
        <w:rPr>
          <w:i/>
          <w:iCs/>
        </w:rPr>
        <w:t>See, e.g.,</w:t>
      </w:r>
      <w:r w:rsidRPr="00AD2F44">
        <w:t xml:space="preserve"> Bailey v. Black Tie Mgmt. Co. LLC, 2019 WL 5884353, at *5 (S.D. Ohio Nov. 12, 2019) (rejecting defendants’ request to delay ruling on conditional certification motion pending discovery, holding “[i]n this district, conditional certification is regularly sought, and granted, prior to discovery”). </w:t>
      </w:r>
    </w:p>
  </w:footnote>
  <w:footnote w:id="110">
    <w:p w14:paraId="736CB5C0" w14:textId="77777777" w:rsidR="00721CCF" w:rsidRPr="00AD2F44" w:rsidRDefault="00F42107">
      <w:pPr>
        <w:pStyle w:val="14Footnote"/>
      </w:pPr>
      <w:r w:rsidRPr="00AD2F44">
        <w:rPr>
          <w:vertAlign w:val="superscript"/>
        </w:rPr>
        <w:footnoteRef/>
      </w:r>
      <w:r w:rsidRPr="00AD2F44">
        <w:t>2007 WL 4554002 (M.D. Ala. Dec. 20, 2007).</w:t>
      </w:r>
    </w:p>
  </w:footnote>
  <w:footnote w:id="111">
    <w:p w14:paraId="2C858ED2" w14:textId="77777777" w:rsidR="00721CCF" w:rsidRPr="00AD2F44" w:rsidRDefault="00F42107">
      <w:pPr>
        <w:pStyle w:val="14Footnote"/>
      </w:pPr>
      <w:r w:rsidRPr="00AD2F44">
        <w:rPr>
          <w:vertAlign w:val="superscript"/>
        </w:rPr>
        <w:footnoteRef/>
      </w:r>
      <w:r w:rsidRPr="00AD2F44">
        <w:rPr>
          <w:i/>
          <w:iCs/>
        </w:rPr>
        <w:t>Id</w:t>
      </w:r>
      <w:r w:rsidRPr="00AD2F44">
        <w:t>. at *5–6 (citing Davis v. Charoen Pokphand (USA), Inc., 303 F. Supp. 2d 1272 (M.D. Ala. 2004)).</w:t>
      </w:r>
    </w:p>
  </w:footnote>
  <w:footnote w:id="112">
    <w:p w14:paraId="1C04CD19" w14:textId="77777777" w:rsidR="00AB110B" w:rsidRDefault="00F42107">
      <w:pPr>
        <w:pStyle w:val="14Footnote"/>
      </w:pPr>
      <w:r w:rsidRPr="00AD2F44">
        <w:rPr>
          <w:vertAlign w:val="superscript"/>
        </w:rPr>
        <w:footnoteRef/>
      </w:r>
      <w:r w:rsidRPr="00AD2F44">
        <w:rPr>
          <w:i/>
          <w:iCs/>
        </w:rPr>
        <w:t>Id</w:t>
      </w:r>
      <w:r w:rsidRPr="00AD2F44">
        <w:t xml:space="preserve">. at *6 (citing Hipp v. Liberty </w:t>
      </w:r>
      <w:r w:rsidRPr="00AD2F44">
        <w:t xml:space="preserve">Nat’l Life Ins. Co., 252 F.3d 1208 (11th Cir. 2001)); </w:t>
      </w:r>
      <w:r w:rsidRPr="00AD2F44">
        <w:rPr>
          <w:i/>
          <w:iCs/>
        </w:rPr>
        <w:t>see also</w:t>
      </w:r>
      <w:r w:rsidRPr="00AD2F44">
        <w:t xml:space="preserve"> </w:t>
      </w:r>
    </w:p>
    <w:p w14:paraId="5C6FF9B2" w14:textId="0C4F5489" w:rsidR="00AB110B" w:rsidRDefault="00F42107">
      <w:pPr>
        <w:pStyle w:val="14Footnote"/>
      </w:pPr>
      <w:r>
        <w:rPr>
          <w:i/>
          <w:iCs/>
        </w:rPr>
        <w:t xml:space="preserve">Fifth Circuit: </w:t>
      </w:r>
      <w:r w:rsidRPr="00AD2F44">
        <w:t xml:space="preserve">Nieto v. Pizzati Enters., Inc., </w:t>
      </w:r>
      <w:r w:rsidR="001246D3" w:rsidRPr="001246D3">
        <w:t>2017 BL 98093</w:t>
      </w:r>
      <w:r w:rsidR="001246D3">
        <w:t xml:space="preserve">, </w:t>
      </w:r>
      <w:r w:rsidRPr="00AD2F44">
        <w:t>2017 WL 1153375, at *7 (E.D. La. Mar. 27, 2017) (denying motion for stay to conduct limited discovery before responding to motion for conditional certification, reasoning that, at notice stage, although discovery may be permissible, “courts generally do not require more than ‘substantial allegations that the putative class members were together the victims of a single decision, policy, or plan,’ and only a modest factual basis is required”)</w:t>
      </w:r>
      <w: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r w:rsidRPr="00AD2F44">
        <w:t xml:space="preserve"> </w:t>
      </w:r>
    </w:p>
    <w:p w14:paraId="1AC4E2BC" w14:textId="4629B5DF" w:rsidR="00721CCF" w:rsidRPr="00AD2F44" w:rsidRDefault="00F42107">
      <w:pPr>
        <w:pStyle w:val="14Footnote"/>
      </w:pPr>
      <w:r>
        <w:rPr>
          <w:i/>
          <w:iCs/>
        </w:rPr>
        <w:t xml:space="preserve">Sixth Circuit: </w:t>
      </w:r>
      <w:r w:rsidRPr="00EA3391">
        <w:t>Cottrell v. Triple J Trucking, Inc.,</w:t>
      </w:r>
      <w:r w:rsidR="005E5777" w:rsidRPr="005E5777">
        <w:rPr>
          <w:rFonts w:ascii="Arial" w:hAnsi="Arial" w:cs="Arial"/>
          <w:color w:val="292E31"/>
          <w:sz w:val="24"/>
        </w:rPr>
        <w:t xml:space="preserve"> </w:t>
      </w:r>
      <w:r w:rsidR="005E5777" w:rsidRPr="005E5777">
        <w:t>2023 BL 148488</w:t>
      </w:r>
      <w:r w:rsidR="005E5777">
        <w:t>,</w:t>
      </w:r>
      <w:r>
        <w:t xml:space="preserve"> </w:t>
      </w:r>
      <w:r w:rsidRPr="00EA3391">
        <w:t>2023 WL 3216766</w:t>
      </w:r>
      <w:r>
        <w:t xml:space="preserve"> (</w:t>
      </w:r>
      <w:r w:rsidRPr="00EA3391">
        <w:t>W.D. Ky. May 2, 2023</w:t>
      </w:r>
      <w:r>
        <w:t xml:space="preserve">) (denying defendant’s motion to employ </w:t>
      </w:r>
      <w:r>
        <w:rPr>
          <w:i/>
          <w:iCs/>
        </w:rPr>
        <w:t>Swales</w:t>
      </w:r>
      <w:r>
        <w:t xml:space="preserve"> single step approach and for discovery prior to sending notice; finding sufficient evidence truck drivers were similarly situated and allowing notice to be sent); </w:t>
      </w:r>
      <w:r w:rsidRPr="00AD2F44">
        <w:t>Penley v. NPC Int’l, Inc., 2016 WL 4435256, at *4 (W.D. Tenn. Aug. 22, 2016) (upholding magistrate’s protective order blocking discovery of opt-ins by defendant until after notice issue resolved, relying on “the already lengthy delays in this case, the low bar to conditional certification, and the potentially heavy burden of responding to NPC’s individualized discovery requests of opt-in Plaintiffs”).</w:t>
      </w:r>
      <w:r w:rsidRPr="00AB110B">
        <w:rPr>
          <w:b/>
        </w:rPr>
        <w:t xml:space="preserve"> </w:t>
      </w:r>
    </w:p>
  </w:footnote>
  <w:footnote w:id="113">
    <w:p w14:paraId="0E3B14FA" w14:textId="77777777" w:rsidR="00721CCF" w:rsidRPr="00AD2F44" w:rsidRDefault="00F42107">
      <w:pPr>
        <w:pStyle w:val="14Footnote"/>
      </w:pPr>
      <w:r w:rsidRPr="00AD2F44">
        <w:rPr>
          <w:vertAlign w:val="superscript"/>
        </w:rPr>
        <w:footnoteRef/>
      </w:r>
      <w:r w:rsidRPr="00AD2F44">
        <w:rPr>
          <w:i/>
          <w:iCs/>
        </w:rPr>
        <w:t>Anderson</w:t>
      </w:r>
      <w:r w:rsidRPr="00AD2F44">
        <w:t xml:space="preserve">, 2007 WL 4554002, at *2. </w:t>
      </w:r>
      <w:r w:rsidRPr="00AD2F44">
        <w:rPr>
          <w:i/>
          <w:iCs/>
        </w:rPr>
        <w:t>See also</w:t>
      </w:r>
      <w:r w:rsidRPr="00AD2F44">
        <w:t xml:space="preserve"> Adair v. Wisconsin Bell, Inc., 2008 WL 2690716, at *2 (E.D. Wis. July 2, 2008) (rejecting defendant’s request for time to take depositions of named plaintiffs to challenge factual allegations, in part because that would be merits-based issue inappropriate for court to address at notice stage); Belue v. Wayne Farms, 4:06-cv-2095-RDP, slip op. at n.5 (N.D. Ala. July 3, 2007) (“expressly </w:t>
      </w:r>
      <w:r w:rsidRPr="00AD2F44">
        <w:t>declin[ing]” defendant’s invitation to “allow for discovery sufficient to apply the ‘more stringent’ [second-stage] standard to Plaintiffs’ motion”); Bolden v. Wayne Farms, LLC, 5:06-cv-2096-IPJ, slip op. at n.5 (N.D. Ala. July 3, 2007) (same).</w:t>
      </w:r>
    </w:p>
  </w:footnote>
  <w:footnote w:id="114">
    <w:p w14:paraId="0BA063A9" w14:textId="77777777" w:rsidR="00721CCF" w:rsidRPr="00AD2F44" w:rsidRDefault="00F42107">
      <w:pPr>
        <w:pStyle w:val="14Footnote"/>
      </w:pPr>
      <w:r w:rsidRPr="00AD2F44">
        <w:rPr>
          <w:vertAlign w:val="superscript"/>
        </w:rPr>
        <w:footnoteRef/>
      </w:r>
      <w:r w:rsidRPr="00AD2F44">
        <w:rPr>
          <w:i/>
          <w:iCs/>
        </w:rPr>
        <w:t>See, e.g.</w:t>
      </w:r>
      <w:r w:rsidRPr="00AD2F44">
        <w:t>, Ornelas v. Hooper Holmes, Inc., 2013 WL 3146887 (D.N.J. June 19, 2013).</w:t>
      </w:r>
    </w:p>
  </w:footnote>
  <w:footnote w:id="115">
    <w:p w14:paraId="231BFDA6" w14:textId="77777777" w:rsidR="00721CCF" w:rsidRPr="00AD2F44" w:rsidRDefault="00F42107">
      <w:pPr>
        <w:pStyle w:val="14Footnote"/>
      </w:pPr>
      <w:r w:rsidRPr="00AD2F44">
        <w:rPr>
          <w:vertAlign w:val="superscript"/>
        </w:rPr>
        <w:footnoteRef/>
      </w:r>
      <w:r w:rsidRPr="00AD2F44">
        <w:rPr>
          <w:i/>
          <w:iCs/>
        </w:rPr>
        <w:t xml:space="preserve">See, e.g., </w:t>
      </w:r>
      <w:r w:rsidRPr="00AD2F44">
        <w:t xml:space="preserve">Doucoure v. Matlyn Food Inc., 554 F. Supp. 2d 369, 374 (E.D.N.Y. 2008) (denying defendant’s request for discovery because “early notice will help to preserve and effectuate the rights of potential plaintiffs whose claims might otherwise become time-barred during the discovery phase of the case” and because court found there is no prejudice to defendant since the decision will be revisited at second stage, after conclusion of discovery); </w:t>
      </w:r>
      <w:r w:rsidRPr="00AD2F44">
        <w:rPr>
          <w:i/>
          <w:iCs/>
        </w:rPr>
        <w:t>see also Adair</w:t>
      </w:r>
      <w:r w:rsidRPr="00AD2F44">
        <w:t xml:space="preserve">, 2008 WL 2690716, at *2 (rejecting defendant’s request for time to take depositions of named plaintiffs to challenge factual allegations, in part because that would impose additional delay and might cause additional claims to be time-barred); </w:t>
      </w:r>
      <w:r w:rsidRPr="00AD2F44">
        <w:rPr>
          <w:i/>
          <w:iCs/>
        </w:rPr>
        <w:t>In re</w:t>
      </w:r>
      <w:r w:rsidRPr="00AD2F44">
        <w:t xml:space="preserve"> Pilgrim’s Pride FLSA Litig., No. 1:07-cv-1832, slip op. (W.D. Ark. July 19, 2007) (denying defendant’s request for discovery, because that would delay resolution of notice motion, and sending notice early was critical because statute of limitations would continue to run until decision was made).</w:t>
      </w:r>
    </w:p>
  </w:footnote>
  <w:footnote w:id="116">
    <w:p w14:paraId="03DE8613" w14:textId="77777777" w:rsidR="00721CCF" w:rsidRPr="00AD2F44" w:rsidRDefault="00F42107">
      <w:pPr>
        <w:pStyle w:val="14Footnote"/>
      </w:pPr>
      <w:r w:rsidRPr="00AD2F44">
        <w:rPr>
          <w:vertAlign w:val="superscript"/>
        </w:rPr>
        <w:footnoteRef/>
      </w:r>
      <w:r w:rsidRPr="00AD2F44">
        <w:rPr>
          <w:i/>
        </w:rPr>
        <w:t xml:space="preserve">See, e.g., </w:t>
      </w:r>
    </w:p>
    <w:p w14:paraId="0ACA464C" w14:textId="77777777" w:rsidR="00721CCF" w:rsidRPr="00AD2F44" w:rsidRDefault="00F42107">
      <w:pPr>
        <w:pStyle w:val="14Footnote"/>
      </w:pPr>
      <w:r w:rsidRPr="00AD2F44">
        <w:rPr>
          <w:i/>
          <w:iCs/>
        </w:rPr>
        <w:t>First Circuit:</w:t>
      </w:r>
      <w:r w:rsidRPr="00AD2F44">
        <w:t xml:space="preserve"> Trezvant v. Fidelity Emp. Servs. Corp., 434 F. Supp. 2d 40, 42, 43 (D. Mass. 2006) (explaining that “the court makes an initial determination of whether the potential class should receive notice of the pending action” before discovery is completed); Poreda v. Boise Cascade, LLC, 532 F. Supp. 2d 234 (D. Mass. 2008) (granting conditional certification before discovery complete); Kane v. Gage Merch. Servs. Inc., 138 F. Supp. 2d 212, 214 (D. Mass. 2001) (same).</w:t>
      </w:r>
    </w:p>
    <w:p w14:paraId="0CF7785A" w14:textId="77777777" w:rsidR="00721CCF" w:rsidRPr="00AD2F44" w:rsidRDefault="00F42107">
      <w:pPr>
        <w:pStyle w:val="14Footnote"/>
      </w:pPr>
      <w:r w:rsidRPr="00AD2F44">
        <w:rPr>
          <w:i/>
          <w:iCs/>
        </w:rPr>
        <w:t>Second Circuit:</w:t>
      </w:r>
      <w:r w:rsidRPr="00AD2F44">
        <w:t xml:space="preserve"> </w:t>
      </w:r>
      <w:r w:rsidRPr="00AD2F44">
        <w:t>Forauer v. Vermont Country Store, Inc., 2013 WL 3967932, at *7 (D. Vt. July 31, 2013) (granting certification over the defendants’ objection that discovery should precede certification); Fasanelli v. Heartland Brewery, Inc., 516 F. Supp. 2d 317, 321 (S.D.N.Y. 2007) (referring to notice stage as “prediscovery phase” and stating that motion would therefore be decided based on pleadings and affidavits); Patton v. Thomson Corp., 364 F. Supp. 2d 263, 267–68 (E.D.N.Y. 2005) (finding it appropriate to issue notice early “rather than awaiting the completion of discovery” because it facilitates the broad remedial purpose of the FLSA and promotes efficient case management, permitting plaintiffs to preserve their rights that might otherwise become time-barred during the discovery phase); Hoffmann v. Sbarro, Inc., 982 F. Supp. 249, 261, 262 (S.D.N.Y. 1997) (“[n]or must this Court wait for defendant to complete its discovery before authorizing class notice,” noting that early notice facilitates the broad remedial purpose of the FLSA and efficient case management).</w:t>
      </w:r>
    </w:p>
    <w:p w14:paraId="0CD0C4A7" w14:textId="05C967E6" w:rsidR="00721CCF" w:rsidRPr="00AD2F44" w:rsidRDefault="00F42107">
      <w:pPr>
        <w:pStyle w:val="14Footnote"/>
      </w:pPr>
      <w:r w:rsidRPr="00AD2F44">
        <w:rPr>
          <w:i/>
          <w:iCs/>
        </w:rPr>
        <w:t>Fifth Circuit:</w:t>
      </w:r>
      <w:r w:rsidRPr="00AD2F44">
        <w:t xml:space="preserve"> Clarke v. Convergys Customer Mgmt. Grp., Inc., 370 F. Supp. 2d 601, 605–06 (S.D. Tex. 2005) (explaining that “because little, if any, discovery has taken place” at the first stage, the standard is lenient and can be met with pleadings and affidavits).</w:t>
      </w:r>
      <w:r w:rsidR="00C06F3C" w:rsidRPr="00C06F3C">
        <w:rPr>
          <w:b/>
        </w:rPr>
        <w:t xml:space="preserve"> </w:t>
      </w:r>
      <w:r w:rsidR="00C06F3C" w:rsidRPr="00AD2F44">
        <w:rPr>
          <w:b/>
        </w:rPr>
        <w:t xml:space="preserve">[Caution: </w:t>
      </w:r>
      <w:r w:rsidR="00C06F3C" w:rsidRPr="00AD2F44">
        <w:t xml:space="preserve">The Fifth Circuit later rejected the two-stage process, in </w:t>
      </w:r>
      <w:r w:rsidR="00C06F3C" w:rsidRPr="00AD2F44">
        <w:rPr>
          <w:i/>
        </w:rPr>
        <w:t xml:space="preserve">Swales v. KLLM Transport Services, LLC, </w:t>
      </w:r>
      <w:r w:rsidR="00C06F3C" w:rsidRPr="00AD2F44">
        <w:t xml:space="preserve">985 F.3d 430 (5th Cir. 2021), in favor of a requirement to “rigorously scrutinize” whether potential opt-ins are similarly situated “from the outset of the case.” </w:t>
      </w:r>
      <w:r w:rsidR="00C06F3C" w:rsidRPr="00AD2F44">
        <w:rPr>
          <w:i/>
        </w:rPr>
        <w:t>Id.</w:t>
      </w:r>
      <w:r w:rsidR="00C06F3C" w:rsidRPr="00AD2F44">
        <w:t xml:space="preserve"> at 434.</w:t>
      </w:r>
      <w:r w:rsidR="00C06F3C" w:rsidRPr="00AD2F44">
        <w:rPr>
          <w:b/>
          <w:bCs/>
        </w:rPr>
        <w:t>]</w:t>
      </w:r>
    </w:p>
    <w:p w14:paraId="4014F7BC" w14:textId="77777777" w:rsidR="00721CCF" w:rsidRPr="00AD2F44" w:rsidRDefault="00F42107">
      <w:pPr>
        <w:pStyle w:val="14Footnote"/>
      </w:pPr>
      <w:r w:rsidRPr="00AD2F44">
        <w:rPr>
          <w:i/>
          <w:iCs/>
        </w:rPr>
        <w:t>Sixth Circuit:</w:t>
      </w:r>
      <w:r w:rsidRPr="00AD2F44">
        <w:t xml:space="preserve"> Myers v. Marietta Mem’l Hosp., 201 F. Supp. 3d 884, 893 (S.D. Ohio 2016) (noting Sixth Circuit’s description of initial phase of §216(b) certification analysis as occurring “at the beginning of discovery” and rejecting defendant’s suggestion that plaintiffs should conduct discovery of individuals from whom defendant submitted affidavits, refusing to consider affidavits because they might be coerced, and explaining that defendant’s “remedy” to plaintiffs being permitted notice on “modest factual showing” was to move for decertification after discovery).</w:t>
      </w:r>
    </w:p>
    <w:p w14:paraId="7F70C28E" w14:textId="57704473" w:rsidR="00721CCF" w:rsidRPr="00AD2F44" w:rsidRDefault="00F42107">
      <w:pPr>
        <w:pStyle w:val="14Footnote"/>
      </w:pPr>
      <w:r w:rsidRPr="00AD2F44">
        <w:rPr>
          <w:i/>
          <w:iCs/>
        </w:rPr>
        <w:t>Seventh Circuit:</w:t>
      </w:r>
      <w:r w:rsidRPr="00AD2F44">
        <w:t xml:space="preserve"> Frebes v. Mask Rests., LLC, 2014 WL 1848461 (N.D. Ill. May 8, 2014) (granting certification over the defendants’ suggestion to equitably toll the statute of limitations and permit limited precertification discovery).</w:t>
      </w:r>
    </w:p>
  </w:footnote>
  <w:footnote w:id="117">
    <w:p w14:paraId="23E4CAEE" w14:textId="77777777" w:rsidR="00721CCF" w:rsidRPr="00AD2F44" w:rsidRDefault="00F42107">
      <w:pPr>
        <w:pStyle w:val="14Footnote"/>
      </w:pPr>
      <w:r w:rsidRPr="00AD2F44">
        <w:rPr>
          <w:vertAlign w:val="superscript"/>
        </w:rPr>
        <w:footnoteRef/>
      </w:r>
      <w:r w:rsidRPr="00AD2F44">
        <w:rPr>
          <w:i/>
        </w:rPr>
        <w:t>See, e.g.,</w:t>
      </w:r>
    </w:p>
    <w:p w14:paraId="1B49E45B" w14:textId="77777777" w:rsidR="00721CCF" w:rsidRPr="00AD2F44" w:rsidRDefault="00F42107">
      <w:pPr>
        <w:pStyle w:val="14Footnote"/>
      </w:pPr>
      <w:r w:rsidRPr="00AD2F44">
        <w:rPr>
          <w:i/>
          <w:iCs/>
        </w:rPr>
        <w:t xml:space="preserve">Second Circuit: </w:t>
      </w:r>
      <w:r w:rsidRPr="00AD2F44">
        <w:t xml:space="preserve">Morales v. </w:t>
      </w:r>
      <w:r w:rsidRPr="00AD2F44">
        <w:t xml:space="preserve">Plantworks, Inc., 2006 WL 278154, at *3 (S.D.N.Y. Feb. 2, 2006) (denying notice motion based on “conclusory allegation in their complaint” and “nothing of evidentiary value” but granting motion to compel production of names and addresses of potential class members, noting that discovery might provide plaintiffs opportunity to obtain evidence to support conditional certification) (citing </w:t>
      </w:r>
      <w:r w:rsidRPr="00AD2F44">
        <w:rPr>
          <w:smallCaps/>
        </w:rPr>
        <w:t>Wright, Miller &amp; Kane</w:t>
      </w:r>
      <w:r w:rsidRPr="00AD2F44">
        <w:t xml:space="preserve">, 7B </w:t>
      </w:r>
      <w:r w:rsidRPr="00AD2F44">
        <w:rPr>
          <w:smallCaps/>
        </w:rPr>
        <w:t>Federal Practice and Procedure</w:t>
      </w:r>
      <w:r w:rsidRPr="00AD2F44">
        <w:t xml:space="preserve"> §1807, at 495–96); Flores v. Osaka Health Spa, Inc., 2006 WL 695675 (S.D.N.Y. Mar. 16, 2006) (same).</w:t>
      </w:r>
    </w:p>
    <w:p w14:paraId="7CCA2D01" w14:textId="77777777" w:rsidR="00721CCF" w:rsidRPr="00AD2F44" w:rsidRDefault="00F42107">
      <w:pPr>
        <w:pStyle w:val="14Footnote"/>
      </w:pPr>
      <w:r w:rsidRPr="00AD2F44">
        <w:rPr>
          <w:i/>
          <w:iCs/>
        </w:rPr>
        <w:t>Third Circuit:</w:t>
      </w:r>
      <w:r w:rsidRPr="00AD2F44">
        <w:t xml:space="preserve"> Mueller v. CBS, Inc., 201 F.R.D. 425, 427 (W.D. Pa. 2001) (referring to fact that plaintiffs “moved for, and were granted, discovery regarding class certification issues only” prior to filing their motion for notice); Stanislaw v. Erie Indem. Co., 2009 WL 426641, at *3 (W.D. Pa. Feb. 20, 2009) (denying conditional certification without prejudice and granting plaintiff 90 days of discovery to gather evidence in support of such certification).</w:t>
      </w:r>
    </w:p>
    <w:p w14:paraId="732D772C" w14:textId="77777777" w:rsidR="00721CCF" w:rsidRPr="00AD2F44" w:rsidRDefault="00F42107">
      <w:pPr>
        <w:pStyle w:val="14Footnote"/>
      </w:pPr>
      <w:r w:rsidRPr="00AD2F44">
        <w:rPr>
          <w:i/>
          <w:iCs/>
        </w:rPr>
        <w:t>Fourth Circuit:</w:t>
      </w:r>
      <w:r w:rsidRPr="00AD2F44">
        <w:t xml:space="preserve"> Carver v. Velocity Express Corp., 2008 U.S. Dist. LEXIS 35810, at *7 (W.D.N.C. Apr. 14, 2008) (entering scheduling order providing for pre-notice discovery “limited to all matters relevant to certification of a collective action under Section 216(b) and certification of a class under Rule 23” and specifically noting that the identities and job descriptions of potential class members were within the scope of potential discovery; authorizing defendant to depose each named plaintiff).</w:t>
      </w:r>
    </w:p>
    <w:p w14:paraId="3241BDE9" w14:textId="77777777" w:rsidR="00721CCF" w:rsidRPr="00AD2F44" w:rsidRDefault="00F42107">
      <w:pPr>
        <w:pStyle w:val="14Footnote"/>
      </w:pPr>
      <w:r w:rsidRPr="00AD2F44">
        <w:rPr>
          <w:i/>
          <w:iCs/>
        </w:rPr>
        <w:t>Seventh Circuit:</w:t>
      </w:r>
      <w:r w:rsidRPr="00AD2F44">
        <w:t xml:space="preserve"> Sjoblom v. Charter Commc’ns, LLC, 2008 WL 4276928, at *2 (W.D. Wis. Jan. 4, 2008) (noting that some discovery is necessary prior to conditional certification, and that court “has reserved ruling on conditional certification until plaintiff has had the opportunity to produce further evidence that he is similarly situated to other employees of defendant nationwide”).</w:t>
      </w:r>
    </w:p>
    <w:p w14:paraId="1F1F4EEA" w14:textId="77777777" w:rsidR="00721CCF" w:rsidRPr="00AD2F44" w:rsidRDefault="00F42107">
      <w:pPr>
        <w:pStyle w:val="14Footnote"/>
      </w:pPr>
      <w:r w:rsidRPr="00AD2F44">
        <w:rPr>
          <w:i/>
          <w:iCs/>
        </w:rPr>
        <w:t>Ninth Circuit:</w:t>
      </w:r>
      <w:r w:rsidRPr="00AD2F44">
        <w:t xml:space="preserve"> Morden v. T-Mobile USA, Inc., 2006 U.S. Dist. LEXIS 42047, at *13 (W.D. Wash. June 22, 2006) (explaining that “some limited discovery is necessary to assist plaintiffs in defining a proposed class” but “plaintiffs will not be given free reign for discovery on all aspects of the merits of the claims”).</w:t>
      </w:r>
    </w:p>
    <w:p w14:paraId="0F23347D" w14:textId="77777777" w:rsidR="00721CCF" w:rsidRPr="00AD2F44" w:rsidRDefault="00F42107">
      <w:pPr>
        <w:pStyle w:val="14Footnote"/>
      </w:pPr>
      <w:r w:rsidRPr="00AD2F44">
        <w:rPr>
          <w:i/>
          <w:iCs/>
        </w:rPr>
        <w:t>Tenth Circuit:</w:t>
      </w:r>
      <w:r w:rsidRPr="00AD2F44">
        <w:t xml:space="preserve"> Long v. Landvest Corp., 2006 U.S. Dist. LEXIS 16369, at *14–15 (D. Kan. Mar. 31, 2006) (“While the Court has yet to rule on Plaintiffs’ motion for provisional certification, that does not mean Plaintiffs are barred from conducting </w:t>
      </w:r>
      <w:r w:rsidRPr="00AD2F44">
        <w:rPr>
          <w:i/>
          <w:iCs/>
        </w:rPr>
        <w:t>any</w:t>
      </w:r>
      <w:r w:rsidRPr="00AD2F44">
        <w:t xml:space="preserve"> class-wide discovery at this juncture. Courts typically allow precertification discovery that relates to, or is necessary for, defining the proposed class, i.e., discovery which seeks ‘to identify those employees who may be similarly situated, and who may therefore ultimately seek to opt into the action.’”); Hammond v. Lowe’s Home Ctrs., Inc., 216 F.R.D. 666, 671 (D. Kan. Aug. 15, 2003) (holding “provisional certification is not necessarily a prerequisite for conducting limited discovery necessary for defining the proposed class” and rejecting defendant’s argument that discovery should be limited to employees in the same department or facility, ruling that collective actions “require a broader scope of discovery in order to identify those employees who may be similarly situated”); Tracy v. Dean Witter Reynolds, Inc., 185 F.R.D. 303, 304–05 (D. Colo. 1998) (permitting plaintiffs discovery of worksite of named plaintiffs, but denying discovery of other worksites sought to be included in proposed class because court had not yet found uniform policy covered both and no class had yet been certified).</w:t>
      </w:r>
    </w:p>
    <w:p w14:paraId="54A14BD7" w14:textId="77777777" w:rsidR="00721CCF" w:rsidRPr="00AD2F44" w:rsidRDefault="00F42107">
      <w:pPr>
        <w:pStyle w:val="14Footnote"/>
      </w:pPr>
      <w:r w:rsidRPr="00AD2F44">
        <w:rPr>
          <w:i/>
          <w:iCs/>
        </w:rPr>
        <w:t>Eleventh Circuit:</w:t>
      </w:r>
      <w:r w:rsidRPr="00AD2F44">
        <w:t xml:space="preserve"> Morgan v. Family Dollar Stores, Inc., 551 F.3d 1233 (11th Cir. 2008) (explaining that district court had denied plaintiffs’ motion for immediate notice and permitted parties to engage in limited discovery to identify claims and their factual basis); Robinson v. Ryla Teleservs., Inc., 2011 WL 6667338, at *2 (S.D. Ala. Dec. 21, 2011) (permitting limited precertification discovery); Smith v. Tradesmen Int’l, Inc., 289 F. Supp. 2d 1369, 1372 (S.D. Fla. 2003) (denying notice motion until more discovery completed; three declarations submitted in support of motion were not sufficient).</w:t>
      </w:r>
    </w:p>
  </w:footnote>
  <w:footnote w:id="118">
    <w:p w14:paraId="4AE76C4B" w14:textId="77777777" w:rsidR="00721CCF" w:rsidRPr="00AD2F44" w:rsidRDefault="00F42107">
      <w:pPr>
        <w:pStyle w:val="14Footnote"/>
      </w:pPr>
      <w:r w:rsidRPr="00AD2F44">
        <w:rPr>
          <w:vertAlign w:val="superscript"/>
        </w:rPr>
        <w:footnoteRef/>
      </w:r>
      <w:r w:rsidRPr="00AD2F44">
        <w:rPr>
          <w:i/>
        </w:rPr>
        <w:t>See, e.g.,</w:t>
      </w:r>
    </w:p>
    <w:p w14:paraId="2B325662" w14:textId="77777777" w:rsidR="00721CCF" w:rsidRDefault="00F42107">
      <w:pPr>
        <w:pStyle w:val="14Footnote"/>
      </w:pPr>
      <w:r w:rsidRPr="00AD2F44">
        <w:rPr>
          <w:i/>
          <w:iCs/>
        </w:rPr>
        <w:t>Second Circuit:</w:t>
      </w:r>
      <w:r w:rsidRPr="00AD2F44">
        <w:t xml:space="preserve"> Strauch v. Computer </w:t>
      </w:r>
      <w:r w:rsidRPr="00AD2F44">
        <w:t>Scis. Corp., 2015 WL 75884, at *2–4 (D. Conn. Jan. 6, 2015) (granting plaintiff’s motion requesting employer to produce information on job titles, levels, and locations of work for putative class members (but not yet names), and to produce for individuals who had already opted in information on job, pay, and employment dates, and not allowing production of Social Security numbers); Bachayeva v. Americare Certified Special Servs., 2013 WL 4495672 (E.D.N.Y. Aug. 20, 2013) (rejecting defendants’ challenge to magistrate judge’s order granting plaintiffs’ request to distribute a questionnaire to 20% of the putative class).</w:t>
      </w:r>
    </w:p>
    <w:p w14:paraId="3692C100" w14:textId="45DBC936" w:rsidR="00721CCF" w:rsidRPr="009A3AB0" w:rsidRDefault="00F42107">
      <w:pPr>
        <w:pStyle w:val="14Footnote"/>
      </w:pPr>
      <w:r>
        <w:rPr>
          <w:i/>
          <w:iCs/>
        </w:rPr>
        <w:t xml:space="preserve">Fifth Circuit: </w:t>
      </w:r>
      <w:r w:rsidRPr="009A3AB0">
        <w:t>Hunzelman v. Perry</w:t>
      </w:r>
      <w:r>
        <w:t>’</w:t>
      </w:r>
      <w:r w:rsidRPr="009A3AB0">
        <w:t>s Rests</w:t>
      </w:r>
      <w:r w:rsidR="00CC5882">
        <w:t>.</w:t>
      </w:r>
      <w:r w:rsidRPr="009A3AB0">
        <w:t xml:space="preserve"> LTD,</w:t>
      </w:r>
      <w:r w:rsidR="005E5777" w:rsidRPr="005E5777">
        <w:rPr>
          <w:rFonts w:ascii="Arial" w:hAnsi="Arial" w:cs="Arial"/>
          <w:color w:val="292E31"/>
          <w:sz w:val="24"/>
        </w:rPr>
        <w:t xml:space="preserve"> </w:t>
      </w:r>
      <w:r w:rsidR="005E5777" w:rsidRPr="005E5777">
        <w:t>2022 BL 429453</w:t>
      </w:r>
      <w:r w:rsidR="005E5777">
        <w:t>,</w:t>
      </w:r>
      <w:r w:rsidRPr="009A3AB0">
        <w:t xml:space="preserve"> 2022 WL 17365266, at *3 (W.D. Tex. Nov. 30, 2022)</w:t>
      </w:r>
      <w:r>
        <w:t xml:space="preserve"> (</w:t>
      </w:r>
      <w:r w:rsidR="00C06F3C">
        <w:t xml:space="preserve">in a decision post-dating </w:t>
      </w:r>
      <w:r w:rsidR="00C06F3C">
        <w:rPr>
          <w:i/>
          <w:iCs/>
        </w:rPr>
        <w:t xml:space="preserve">Swales v. KLLM Transport Services, LLC, </w:t>
      </w:r>
      <w:r w:rsidR="00C06F3C">
        <w:t xml:space="preserve">which imposed a requirement to “rigorously scrutinize” whether potential opt-ins are similarly situated from “from the outset of the case,” 985 F.3d 430, 434 (5th Cir. 2021), </w:t>
      </w:r>
      <w:r>
        <w:t>permitting discovery as to “</w:t>
      </w:r>
      <w:r w:rsidRPr="009A3AB0">
        <w:t>job duties performed, schedules worked, time-clock records, and compensation paid for each tip pool recipient</w:t>
      </w:r>
      <w:r>
        <w:t>”).</w:t>
      </w:r>
    </w:p>
    <w:p w14:paraId="4528BEF9" w14:textId="77777777" w:rsidR="00721CCF" w:rsidRPr="00AD2F44" w:rsidRDefault="00F42107">
      <w:pPr>
        <w:pStyle w:val="14Footnote"/>
      </w:pPr>
      <w:r w:rsidRPr="00AD2F44">
        <w:rPr>
          <w:i/>
          <w:iCs/>
        </w:rPr>
        <w:t>Seventh Circuit:</w:t>
      </w:r>
      <w:r w:rsidRPr="00AD2F44">
        <w:t xml:space="preserve"> Sjoblom v. Charter Commc’ns, LLC, 2008 U.S. Dist LEXIS 1001, at *2, 8 (W.D. Wis. Jan. 4, 2008) (granting motion to compel documents reflecting compensation and timekeeping policies regarding putative class members).</w:t>
      </w:r>
    </w:p>
    <w:p w14:paraId="47333A56" w14:textId="77777777" w:rsidR="00721CCF" w:rsidRPr="00AD2F44" w:rsidRDefault="00F42107">
      <w:pPr>
        <w:pStyle w:val="14Footnote"/>
      </w:pPr>
      <w:r w:rsidRPr="00AD2F44">
        <w:rPr>
          <w:i/>
          <w:iCs/>
        </w:rPr>
        <w:t>Ninth Circuit:</w:t>
      </w:r>
      <w:r w:rsidRPr="00AD2F44">
        <w:t xml:space="preserve"> Chen v. Ampco Sys. Parking, 2009 WL 2496729, at *1–2 (S.D. Cal. Aug. 14, 2009) (permitting pre-conditional certification discovery of evidence in state law wage and hour claims involving defendant, but limiting discovery to depositions of two named plaintiffs, given limited scope of discovery permitted before conditional certification, and overbreadth of requests); Morden v. T-Mobile USA, Inc., 2006 U.S. Dist. LEXIS 42047, at *13 (W.D. Wash. June 22, 2006) (granting motion to compel documents describing job duties for specific positions sought to be included in collective action, while denying motion to compel as to “policies, practices and procedures relating to the amount of overtime wages paid” to specified positions, or “relating to defendant’s classification of its employees as ‘exempt’ or ‘non-exempt’ from overtime pay” on grounds that this information is not needed to define proposed class given lenient standard for conditional certification).</w:t>
      </w:r>
    </w:p>
    <w:p w14:paraId="1351D3F4" w14:textId="08830B14" w:rsidR="00721CCF" w:rsidRPr="00AD2F44" w:rsidRDefault="00F42107">
      <w:pPr>
        <w:pStyle w:val="14Footnote"/>
      </w:pPr>
      <w:r w:rsidRPr="00AD2F44">
        <w:rPr>
          <w:i/>
          <w:iCs/>
        </w:rPr>
        <w:t>Tenth Circuit:</w:t>
      </w:r>
      <w:r w:rsidRPr="00AD2F44">
        <w:t xml:space="preserve"> Florece v. Jose Pepper’s Rests., 2021 BL 35211, 2021 WL 351413 (D. Kan. Feb. 2, 2021) (granting motion to compel response to interrogatory to produce names, contact information, and dates of employment for all servers and lead managers for all restaurant locations but denied request for wage complaints of nonexempt hourly employees during previous five years as facially overbroad); Long v. Landvest Corp., 2006 U.S. Dist. LEXIS 16369, at *13–15, 29–30, 37–38 (D. Kan. Mar. 31, 2006) (granting motion to compel response to interrogatory seeking identification of any entity that had an ownership interest in any Security Self-Storage facility, overruling defendant’s objection that only facility where plaintiff was employed was relevant, because broader information was relevant to plaintiffs’ classwide claims; similarly requiring defendant to identify any management or operation agreements between Landvest and other defendants; refusing, however, to compel production of employment manuals used outside plaintiff’s region as not relevant to “determine the identities of any similarly situated Resident Managers”); </w:t>
      </w:r>
      <w:r w:rsidRPr="00AD2F44">
        <w:rPr>
          <w:i/>
          <w:iCs/>
        </w:rPr>
        <w:t>Hammond</w:t>
      </w:r>
      <w:r w:rsidRPr="00AD2F44">
        <w:t>, 216 F.R.D. at 670–72, 674, 675 (granting motion to compel response to interrogatories seeking identification of employer’s regions or districts in which particular overtime plan was used, identification of current or former employees who have provided deposition or trial testimony in any case involving claims of FLSA overtime violations, and identification of any judicial or administrative proceedings or investigations involving alleged violations of overtime provisions of FLSA as claimed in this case; declining to impose temporal limitations on discovery and refusing to compel response to plaintiff’s broader request for information about proceedings or investigations involving any type of FLSA violation).</w:t>
      </w:r>
    </w:p>
    <w:p w14:paraId="453D01E5" w14:textId="0FDA3B9C" w:rsidR="00721CCF" w:rsidRPr="00AD2F44" w:rsidRDefault="00F42107">
      <w:pPr>
        <w:pStyle w:val="14Footnote"/>
      </w:pPr>
      <w:r w:rsidRPr="00AD2F44">
        <w:rPr>
          <w:i/>
          <w:iCs/>
        </w:rPr>
        <w:t>Eleventh Circuit:</w:t>
      </w:r>
      <w:r w:rsidRPr="00AD2F44">
        <w:t xml:space="preserve"> Tucker v. Labor Leasing, Inc., 155 F.R.D. 687 (M.D. Fla. 1994) (granting motion to compel response to interrogatory seeking information on prior civil, criminal, or regulatory actions involving overtime compensation).</w:t>
      </w:r>
    </w:p>
  </w:footnote>
  <w:footnote w:id="119">
    <w:p w14:paraId="3BB3D02D" w14:textId="17BF4ECE" w:rsidR="001934B1" w:rsidRDefault="00F42107" w:rsidP="000B6C5F">
      <w:pPr>
        <w:pStyle w:val="FootnoteText"/>
      </w:pPr>
      <w:r>
        <w:rPr>
          <w:rStyle w:val="FootnoteReference"/>
        </w:rPr>
        <w:footnoteRef/>
      </w:r>
      <w:r w:rsidRPr="002F69CA">
        <w:t>Paschal v. Perry</w:t>
      </w:r>
      <w:r>
        <w:t>’</w:t>
      </w:r>
      <w:r w:rsidRPr="002F69CA">
        <w:t>s Rests. Ltd</w:t>
      </w:r>
      <w:r>
        <w:t>.</w:t>
      </w:r>
      <w:r w:rsidRPr="001934B1">
        <w:t>,</w:t>
      </w:r>
      <w:r w:rsidR="005E5777" w:rsidRPr="005E5777">
        <w:rPr>
          <w:rFonts w:ascii="Arial" w:eastAsia="Times New Roman" w:hAnsi="Arial" w:cs="Arial"/>
          <w:color w:val="292E31"/>
          <w:sz w:val="24"/>
          <w:szCs w:val="24"/>
        </w:rPr>
        <w:t xml:space="preserve"> </w:t>
      </w:r>
      <w:r w:rsidR="005E5777" w:rsidRPr="005E5777">
        <w:t>2022 BL 429432</w:t>
      </w:r>
      <w:r w:rsidR="005E5777">
        <w:t>,</w:t>
      </w:r>
      <w:r w:rsidRPr="001934B1">
        <w:t xml:space="preserve"> 2022 WL 17365273, at *3 (W.D. Tex. Nov. 30, 2022) (authorizing discovery to assist in determining whether employees at all of defendant’s restaurants were similarly situated, not just those locations where named plaintiffs and opt-ins worked).</w:t>
      </w:r>
      <w:r>
        <w:t xml:space="preserve"> </w:t>
      </w:r>
    </w:p>
  </w:footnote>
  <w:footnote w:id="120">
    <w:p w14:paraId="507E8841" w14:textId="77777777" w:rsidR="00721CCF" w:rsidRPr="00AD2F44" w:rsidRDefault="00F42107">
      <w:pPr>
        <w:pStyle w:val="14Footnote"/>
      </w:pPr>
      <w:r w:rsidRPr="00AD2F44">
        <w:rPr>
          <w:vertAlign w:val="superscript"/>
        </w:rPr>
        <w:footnoteRef/>
      </w:r>
      <w:r w:rsidRPr="00AD2F44">
        <w:rPr>
          <w:i/>
        </w:rPr>
        <w:t>See, e.g.,</w:t>
      </w:r>
    </w:p>
    <w:p w14:paraId="213E0C31" w14:textId="77777777" w:rsidR="00721CCF" w:rsidRPr="00AD2F44" w:rsidRDefault="00F42107">
      <w:pPr>
        <w:pStyle w:val="14Footnote"/>
      </w:pPr>
      <w:r w:rsidRPr="00AD2F44">
        <w:rPr>
          <w:i/>
          <w:iCs/>
        </w:rPr>
        <w:t>Second Circuit:</w:t>
      </w:r>
      <w:r w:rsidRPr="00AD2F44">
        <w:t xml:space="preserve"> Guan Ming Lin v. Benihana </w:t>
      </w:r>
      <w:r w:rsidRPr="00AD2F44">
        <w:t>Nat’l Corp., 755 F. Supp. 2d 504 (S.D.N.Y. 2010) (permitting discovery of names and addresses where plaintiffs failed to assert facts sufficient to meet §216(b) threshold so that discovery concerning collective action allegations can continue and plaintiffs can renew their motion for conditional certification); Fei v. West LB-AG, 2008 U.S. Dist. LEXIS 33310, at *2, 4–6 (S.D.N.Y. Apr. 23, 2008) (granting motion to compel production of information identifying potential opt-in plaintiffs, holding that “conditional certification is not a pre-requisite to the turnover of information concerning the identity of potential class members” and noting that information sought could “help the plaintiffs show that there are enough similarly-situated plaintiffs that the action should be conditionally certified”); Morales v. Plantworks, Inc., 2006 WL 278154 (S.D.N.Y. Feb. 2, 2006) (granting motion to compel production of names and addresses of potential class members, noting that discovery might provide plaintiffs opportunity to obtain evidence to support conditional certification).</w:t>
      </w:r>
    </w:p>
    <w:p w14:paraId="646680D3" w14:textId="77777777" w:rsidR="00721CCF" w:rsidRPr="00AD2F44" w:rsidRDefault="00F42107">
      <w:pPr>
        <w:pStyle w:val="14Footnote"/>
      </w:pPr>
      <w:r w:rsidRPr="00AD2F44">
        <w:rPr>
          <w:i/>
          <w:iCs/>
        </w:rPr>
        <w:t>Third Circuit:</w:t>
      </w:r>
      <w:r w:rsidRPr="00AD2F44">
        <w:t xml:space="preserve"> Strauch v. Computer Scis. Corp., 2015 WL 75884, at *2–4 (D. Conn. Jan. 6, 2015) (granting plaintiffs’ motion requesting employer to produce information on job titles, levels, and locations of work for putative collective members but not yet names because of the significant size of the putative collection (approximately 3,000), and suggesting that the production may make reaching agreement on production of identifying information, or court’s task in crafting a further order, easier); Asirifi v. Omni Asset Mgmt., LLC, 2013 WL 5781479 (D.N.J. Oct. 25, 2013) (granting precertification motion to compel the identities and contact information of potential class members); Vivone v. Acme Mkts., Inc., 105 F.R.D. 65, 67–68 (E.D. Pa. 1985) (granting motion to compel name, address, and basic employment information on potential class members, as such information would be discoverable in support of plaintiffs’ individual ADEA claims).</w:t>
      </w:r>
    </w:p>
    <w:p w14:paraId="4B69145D" w14:textId="27F07BB5" w:rsidR="00721CCF" w:rsidRPr="00AD2F44" w:rsidRDefault="00F42107">
      <w:pPr>
        <w:pStyle w:val="14Footnote"/>
      </w:pPr>
      <w:r w:rsidRPr="00AD2F44">
        <w:rPr>
          <w:i/>
          <w:iCs/>
        </w:rPr>
        <w:t xml:space="preserve">Fifth Circuit: </w:t>
      </w:r>
      <w:r w:rsidRPr="00AD2F44">
        <w:t>Briones v. Kinder Morgan, Inc., 2016 WL 6804862, at *2–5 (S.D. Tex. Nov. 17, 2016) (permitting precertification discovery of contact information because it was relevant to whether there were sufficient individuals who were subject to shift-differential pay at issue or whether there were “inadequacies” that would make certification improper; plaintiff’s “localized” position prevented him from obtaining information on putative class members, and defendant was in sole possession of information and had not shown that it would be unduly burdensome to produce; defendant’s complaints about potential improper use of information by plaintiff’s counsel were speculative).</w:t>
      </w:r>
      <w:r w:rsidR="00A5319D" w:rsidRPr="00A5319D">
        <w:rPr>
          <w:b/>
        </w:rPr>
        <w:t xml:space="preserve"> </w:t>
      </w:r>
      <w:r w:rsidR="00A5319D" w:rsidRPr="00AD2F44">
        <w:rPr>
          <w:b/>
        </w:rPr>
        <w:t xml:space="preserve">[Caution: </w:t>
      </w:r>
      <w:r w:rsidR="00A5319D" w:rsidRPr="00AD2F44">
        <w:t xml:space="preserve">The Fifth Circuit later rejected the two-stage process, in </w:t>
      </w:r>
      <w:r w:rsidR="00A5319D" w:rsidRPr="00AD2F44">
        <w:rPr>
          <w:i/>
        </w:rPr>
        <w:t xml:space="preserve">Swales v. KLLM Transport Services, LLC, </w:t>
      </w:r>
      <w:r w:rsidR="00A5319D" w:rsidRPr="00AD2F44">
        <w:t xml:space="preserve">985 F.3d 430 (5th Cir. 2021), in favor of a requirement to “rigorously scrutinize” whether potential opt-ins are similarly situated “from the outset of the case.” </w:t>
      </w:r>
      <w:r w:rsidR="00A5319D" w:rsidRPr="00AD2F44">
        <w:rPr>
          <w:i/>
        </w:rPr>
        <w:t>Id.</w:t>
      </w:r>
      <w:r w:rsidR="00A5319D" w:rsidRPr="00AD2F44">
        <w:t xml:space="preserve"> at 434.</w:t>
      </w:r>
      <w:r w:rsidR="00A5319D" w:rsidRPr="00AD2F44">
        <w:rPr>
          <w:b/>
          <w:bCs/>
        </w:rPr>
        <w:t>]</w:t>
      </w:r>
      <w:r w:rsidRPr="00AD2F44">
        <w:t xml:space="preserve"> </w:t>
      </w:r>
    </w:p>
    <w:p w14:paraId="193F1B57" w14:textId="77777777" w:rsidR="00721CCF" w:rsidRPr="00AD2F44" w:rsidRDefault="00F42107">
      <w:pPr>
        <w:pStyle w:val="14Footnote"/>
      </w:pPr>
      <w:r w:rsidRPr="00AD2F44">
        <w:rPr>
          <w:i/>
          <w:iCs/>
        </w:rPr>
        <w:t>Sixth Circuit:</w:t>
      </w:r>
      <w:r w:rsidRPr="00AD2F44">
        <w:t xml:space="preserve"> Boykin v. Comerica Mgmt. Co., 2009 WL 2222899, at *4 (E.D. Mich. July 22, 2009) (granting narrowed geographic scope of request for names and addresses of other employees, because although information was relevant to plaintiffs’ collective action claims, their long-term status as employees but inability to identify any similarly situated employees made it an undue burden for defendant to have to produce names and addresses on statewide basis); Miklos v. Golman-Hayden Cos., Inc., 2000 WL 1617969 (S.D. Ohio Oct. 24, 2000) (granting motion to compel names and addresses of all persons performing same job duties as plaintiffs).</w:t>
      </w:r>
    </w:p>
    <w:p w14:paraId="25088D22" w14:textId="77777777" w:rsidR="00721CCF" w:rsidRPr="00AD2F44" w:rsidRDefault="00F42107">
      <w:pPr>
        <w:pStyle w:val="14Footnote"/>
      </w:pPr>
      <w:r w:rsidRPr="00AD2F44">
        <w:rPr>
          <w:i/>
          <w:iCs/>
        </w:rPr>
        <w:t>Seventh Circuit:</w:t>
      </w:r>
      <w:r w:rsidRPr="00AD2F44">
        <w:t xml:space="preserve"> Jenkins v. White Castle Mgmt. Co., 2013 WL 5663644 (N.D. Ill. Oct. 17, 2013) (granting plaintiff’s precertification motion to compel production of information related to putative class and collective action members); Sjoblom v. Charter Commc’ns, LLC, 2008 U.S. Dist. LEXIS 1001, at *7 (W.D. Wis. Jan. 4, 2008) (granting motion to compel production of identity of employees and practices related to those employees, as this information was “reasonably likely to yield support for plaintiff’s class allegations”).</w:t>
      </w:r>
    </w:p>
    <w:p w14:paraId="541B117D" w14:textId="77777777" w:rsidR="00721CCF" w:rsidRPr="00AD2F44" w:rsidRDefault="00F42107">
      <w:pPr>
        <w:pStyle w:val="14Footnote"/>
      </w:pPr>
      <w:r w:rsidRPr="00AD2F44">
        <w:rPr>
          <w:i/>
          <w:iCs/>
        </w:rPr>
        <w:t xml:space="preserve">Eighth Circuit: </w:t>
      </w:r>
      <w:r w:rsidRPr="00AD2F44">
        <w:t>Helmert v. Butterball, LLC, 2008 WL 5272959, at *2 (E.D. Ark. Dec. 15, 2008) (permitting discovery of employee contact information before conditional certification motion had been filed because it could help define putative class); Bailey v. Ameriquest Mortg. Co., 2002 WL 100388, at *2 (D. Minn. Jan. 23, 2002) (granting motion to compel list of names, addresses, and telephone numbers for potential class members in order to permit plaintiffs to “discover if there are additional plaintiffs who are similarly situated”; rejecting defendant’s argument that such production should not be permitted until conditional certification was granted; and noting that “[a]ttorney solicitation of potential clients through direct mail is protected speech under the First Amendment”).</w:t>
      </w:r>
    </w:p>
    <w:p w14:paraId="2D7AD4D5" w14:textId="77777777" w:rsidR="00721CCF" w:rsidRPr="00AD2F44" w:rsidRDefault="00F42107">
      <w:pPr>
        <w:pStyle w:val="14Footnote"/>
      </w:pPr>
      <w:r w:rsidRPr="00AD2F44">
        <w:rPr>
          <w:i/>
          <w:iCs/>
        </w:rPr>
        <w:t>Ninth Circuit:</w:t>
      </w:r>
      <w:r w:rsidRPr="00AD2F44">
        <w:t xml:space="preserve"> Chastain v. Cam, 2014 WL 3734368, at *11–12 (D. Or. July 28, 2014) (explaining that court had ordered production of names and addresses in defendant’s possession before plaintiff moved for conditional certification); Wiegele v. FedEx Ground Pkg. Sys., 2007 WL 628041, at *1, 4 (S.D. Cal. Feb. 8, 2007) (affirming magistrate judge’s ruling compelling production of names and addresses of potential class members and rejecting defendant’s argument that plaintiffs’ counsel should be barred from contacting putative class members); Morden v. T-Mobile USA, Inc., 2006 U.S. Dist. LEXIS 42047, at *4–8 (W.D. Wash. June 22, 2006) (holding that “[a]t a minimum, plaintiffs should be entitled to discover the names and addresses of other potentially similarly-situated employees of defendant” and granting motion to compel) (citing Hoffmann-La Roche v. Sperling, 493 U.S. 165, 170 (1989)).</w:t>
      </w:r>
    </w:p>
    <w:p w14:paraId="5C43C2D9" w14:textId="264CAB39" w:rsidR="00721CCF" w:rsidRPr="00AD2F44" w:rsidRDefault="00F42107">
      <w:pPr>
        <w:pStyle w:val="14Footnote"/>
      </w:pPr>
      <w:r w:rsidRPr="00AD2F44">
        <w:rPr>
          <w:i/>
          <w:iCs/>
        </w:rPr>
        <w:t>Tenth Circuit:</w:t>
      </w:r>
      <w:r w:rsidRPr="00AD2F44">
        <w:t xml:space="preserve"> Florece v. Jose Pepper’s Rests., 2021 BL 35211, 2021 WL 351413 (D. Kan. Feb. 2, 2021) (granting motion to compel response to interrogatory to produce names, contact information, and dates of employment for all servers and lead managers for all restaurant locations in three years prior to lawsuit filing); </w:t>
      </w:r>
      <w:r w:rsidRPr="00AD2F44">
        <w:rPr>
          <w:i/>
          <w:iCs/>
        </w:rPr>
        <w:t>Hammond</w:t>
      </w:r>
      <w:r w:rsidRPr="00AD2F44">
        <w:t>, 216 F.R.D. at 672–73 (noting “lower courts addressing whether to permit discovery of the names and addresses of other similarly-situated employees in section 216(b) FLSA actions have almost universally permitted discovery of this information” and granting plaintiffs motion to compel such information prior to the court’s ruling on notice) (citing Hoffmann-La Roche v. Sperling, 493 U.S. 165, 170 (1989)); Baldozier v. American Family Mut. Ins. Co., 375 F. Supp. 2d 1089, 1091–93 (D. Col. 2005) (issuing notice and equitably tolling limitations period where defendant would not produce contact information for putative class members).</w:t>
      </w:r>
    </w:p>
    <w:p w14:paraId="2E96E602" w14:textId="364CF63F" w:rsidR="00721CCF" w:rsidRPr="00AD2F44" w:rsidRDefault="00F42107">
      <w:pPr>
        <w:pStyle w:val="14Footnote"/>
      </w:pPr>
      <w:r w:rsidRPr="00AD2F44">
        <w:rPr>
          <w:i/>
          <w:iCs/>
        </w:rPr>
        <w:t>Eleventh Circuit:</w:t>
      </w:r>
      <w:r w:rsidRPr="00AD2F44">
        <w:t xml:space="preserve"> Planner v. Bennett Auto Supply, Inc., 2006 WL 4937608, at *1–2 (S.D. Fla. Feb. 27, 2006) (denying, in FLSA collective action, employer’s motion for protective order concerning discovery of other employees’ information and rejecting employer’s argument that such discovery was “means of ‘stirring up’ litigation by enticing other employees to join” lawsuit); Titre v. S.W. Bach &amp; Co., 2005 WL 1692508, at *2 (S.D. Fla. July 20, 2005) (granting motion to compel defendant to provide interrogatory response identifying similarly situated employees after notice motion was fully briefed, but before it was ruled upon; noting that this information “may no longer be relevant in helping Plaintiff to define a proposed plaintiff ‘class’” but that it was discoverable because plaintiff could seek to learn whether defendant had previously paid overtime to any potential class members); Smith v. Tradesmen Int’l, Inc., 289 F. Supp. 2d 1369, 1372 (S.D. Fla. 2003) (granting motion to compel names and addresses of potential class members to permit plaintiffs to collect evidence sufficient to meet burden of proof on authorizing notice).</w:t>
      </w:r>
    </w:p>
  </w:footnote>
  <w:footnote w:id="121">
    <w:p w14:paraId="6E02B922" w14:textId="77777777" w:rsidR="00721CCF" w:rsidRPr="00AD2F44" w:rsidRDefault="00F42107">
      <w:pPr>
        <w:pStyle w:val="14Footnote"/>
      </w:pPr>
      <w:r w:rsidRPr="00AD2F44">
        <w:rPr>
          <w:vertAlign w:val="superscript"/>
        </w:rPr>
        <w:footnoteRef/>
      </w:r>
      <w:r w:rsidRPr="00AD2F44">
        <w:rPr>
          <w:i/>
        </w:rPr>
        <w:t>See, e.g.,</w:t>
      </w:r>
    </w:p>
    <w:p w14:paraId="79854875" w14:textId="77777777" w:rsidR="00721CCF" w:rsidRPr="00AD2F44" w:rsidRDefault="00F42107">
      <w:pPr>
        <w:pStyle w:val="14Footnote"/>
      </w:pPr>
      <w:r w:rsidRPr="00AD2F44">
        <w:rPr>
          <w:i/>
          <w:iCs/>
        </w:rPr>
        <w:t>Second Circuit:</w:t>
      </w:r>
      <w:r w:rsidRPr="00AD2F44">
        <w:t xml:space="preserve"> Zheng v. Good Fortune Supermarket Grp., 2013 WL 5132023 (E.D.N.Y. Sept. 12, 2013) (denying motion to compel production of names of class members after denying motion for conditional certification).</w:t>
      </w:r>
    </w:p>
    <w:p w14:paraId="09399B21" w14:textId="77777777" w:rsidR="00721CCF" w:rsidRPr="00AD2F44" w:rsidRDefault="00F42107">
      <w:pPr>
        <w:pStyle w:val="14Footnote"/>
      </w:pPr>
      <w:r w:rsidRPr="00AD2F44">
        <w:rPr>
          <w:i/>
          <w:iCs/>
        </w:rPr>
        <w:t>Third Circuit:</w:t>
      </w:r>
      <w:r w:rsidRPr="00AD2F44">
        <w:t xml:space="preserve"> Burkhart-Deal v. </w:t>
      </w:r>
      <w:r w:rsidRPr="00AD2F44">
        <w:t>Citifinancial, Inc., 2009 WL 3053718, at *1 (W.D. Pa. Sept. 18, 2009) (rejecting plaintiff’s motion for defendant to reveal names of employees who had complained about improper compensation practices, reasoning that information plaintiff needed was fact of complaints, and there was risk of abuse by giving plaintiff access to potential new clients).</w:t>
      </w:r>
    </w:p>
    <w:p w14:paraId="020106C0" w14:textId="77777777" w:rsidR="00721CCF" w:rsidRPr="00AD2F44" w:rsidRDefault="00F42107">
      <w:pPr>
        <w:pStyle w:val="14Footnote"/>
      </w:pPr>
      <w:r w:rsidRPr="00AD2F44">
        <w:rPr>
          <w:i/>
          <w:iCs/>
        </w:rPr>
        <w:t>Fourth Circuit:</w:t>
      </w:r>
      <w:r w:rsidRPr="00AD2F44">
        <w:t xml:space="preserve"> Velasquez-Monterrosa v. Mi Casa Rests., 2015 WL 1964400, at *8 (E.D.N.C. May 1, 2015) (denying production of contact information pre-notice, reasoning that plaintiff had not made sufficient showing of need and there was “risk of recruitment of class members outside the bounds of court supervision and, at this point, unjustified intrusion on the employees’ privacy”); Barton v. The Pantry, Inc., 2006 U.S. Dist. LEXIS 62989, at *4–6 (M.D.N.C. Aug. 31, 2006) (ruling that defendant was required to produce names and addresses only to avoid delay in issuing notice if court approved notice, and thus ruling that defendant need not actually produce names until court ruled on notice).</w:t>
      </w:r>
    </w:p>
    <w:p w14:paraId="7C6CAB58" w14:textId="66E6ED1B" w:rsidR="00721CCF" w:rsidRPr="00AD2F44" w:rsidRDefault="00F42107">
      <w:pPr>
        <w:pStyle w:val="14Footnote"/>
      </w:pPr>
      <w:r w:rsidRPr="00AD2F44">
        <w:rPr>
          <w:i/>
          <w:iCs/>
        </w:rPr>
        <w:t xml:space="preserve">Fifth Circuit: </w:t>
      </w:r>
      <w:r w:rsidRPr="00AD2F44">
        <w:t>Laney v. Clements Fluids Mgmt., LLC, 2020 WL 1451739, at *4–5 (E.D. Tex. Mar. 25, 2020) (denying plaintiff’s request for employee list, noting that because request was not a formal discovery demand, it was akin to judicial assistance to find nonparties, which would diminish court’s perceived neutrality); Palmer v. Priority Healthcare, Inc., 2013 WL 5771662 (S.D. Miss. Oct. 24, 2013) (denying motion for preliminary injunction seeking to enjoin the defendants from withholding contact information, stating that the motion was an attempt to bypass the requirements for certification, and that it would wait for a motion for certification).</w:t>
      </w:r>
      <w:r w:rsidR="00A5319D" w:rsidRPr="00A5319D">
        <w:rPr>
          <w:b/>
        </w:rPr>
        <w:t xml:space="preserve"> </w:t>
      </w:r>
      <w:r w:rsidR="00A5319D" w:rsidRPr="00AD2F44">
        <w:rPr>
          <w:b/>
        </w:rPr>
        <w:t xml:space="preserve">[Caution: </w:t>
      </w:r>
      <w:r w:rsidR="00A5319D" w:rsidRPr="00AD2F44">
        <w:t xml:space="preserve">The Fifth Circuit later rejected the two-stage process, in </w:t>
      </w:r>
      <w:r w:rsidR="00A5319D" w:rsidRPr="00AD2F44">
        <w:rPr>
          <w:i/>
        </w:rPr>
        <w:t xml:space="preserve">Swales v. KLLM Transport Services, LLC, </w:t>
      </w:r>
      <w:r w:rsidR="00A5319D" w:rsidRPr="00AD2F44">
        <w:t xml:space="preserve">985 F.3d 430 (5th Cir. 2021), in favor of a requirement to “rigorously scrutinize” whether potential opt-ins are similarly situated “from the outset of the case.” </w:t>
      </w:r>
      <w:r w:rsidR="00A5319D" w:rsidRPr="00AD2F44">
        <w:rPr>
          <w:i/>
        </w:rPr>
        <w:t>Id.</w:t>
      </w:r>
      <w:r w:rsidR="00A5319D" w:rsidRPr="00AD2F44">
        <w:t xml:space="preserve"> at 434.</w:t>
      </w:r>
      <w:r w:rsidR="00A5319D" w:rsidRPr="00AD2F44">
        <w:rPr>
          <w:b/>
          <w:bCs/>
        </w:rPr>
        <w:t>]</w:t>
      </w:r>
    </w:p>
    <w:p w14:paraId="6FF646A1" w14:textId="77777777" w:rsidR="00721CCF" w:rsidRPr="00AD2F44" w:rsidRDefault="00F42107">
      <w:pPr>
        <w:pStyle w:val="14Footnote"/>
      </w:pPr>
      <w:r w:rsidRPr="00AD2F44">
        <w:rPr>
          <w:i/>
          <w:iCs/>
        </w:rPr>
        <w:t xml:space="preserve">Tenth Circuit: </w:t>
      </w:r>
      <w:r w:rsidRPr="00AD2F44">
        <w:t>Saenz v. Erick Flowback Servs., 2014 WL 7005358, at *2 (W.D. Okla. Oct. 23, 2014) (denying as premature request to produce names and addresses of putative class members before ruling on conditional certification, explaining that it would require defendant to determine “what individuals are similarly situated” to plaintiff based on complaint allegations).</w:t>
      </w:r>
    </w:p>
    <w:p w14:paraId="56008267" w14:textId="16CF3929" w:rsidR="00721CCF" w:rsidRPr="00AD2F44" w:rsidRDefault="00F42107">
      <w:pPr>
        <w:pStyle w:val="14Footnote"/>
      </w:pPr>
      <w:r w:rsidRPr="00AD2F44">
        <w:rPr>
          <w:i/>
          <w:iCs/>
        </w:rPr>
        <w:t>Eleventh Circuit:</w:t>
      </w:r>
      <w:r w:rsidRPr="00AD2F44">
        <w:t xml:space="preserve"> Levine v. Gunther Motor Co. of Plantation, 2010 WL 5140590, at *3 (S.D. Fla. Dec. 9, 2010) (rejecting plaintiff’s precertification request for putative collective action members’ contact information, reasoning that information simply for purposes of inviting others to join collective action is not discoverable precertification under post-2000 Federal Rule of Civil Procedure 26); Crawford v. Dothan City Board of Ed., 214 F.R.D. 694 (M.D. Ala. 2003) (holding it to be premature to permit discovery of potential class members’ names and addresses before conditional certification of collective action).</w:t>
      </w:r>
    </w:p>
  </w:footnote>
  <w:footnote w:id="122">
    <w:p w14:paraId="6C978341" w14:textId="77777777" w:rsidR="00721CCF" w:rsidRPr="00AD2F44" w:rsidRDefault="00F42107">
      <w:pPr>
        <w:pStyle w:val="14Footnote"/>
      </w:pPr>
      <w:r w:rsidRPr="00AD2F44">
        <w:rPr>
          <w:vertAlign w:val="superscript"/>
        </w:rPr>
        <w:footnoteRef/>
      </w:r>
      <w:r w:rsidRPr="00AD2F44">
        <w:rPr>
          <w:i/>
          <w:iCs/>
        </w:rPr>
        <w:t>See, e.g.,</w:t>
      </w:r>
      <w:r w:rsidRPr="00AD2F44">
        <w:t xml:space="preserve"> Palmer v. Convergys Corp., 2011 WL 1326183, at *3 (M.D. Ga. Apr. 6, 2011) (allowing discovery of contact information of putative class members who worked for same supervisors during time plaintiffs worked, because those are potentially relevant fact witnesses to plaintiffs’ overtime claims, but denying facility-wide discovery of contact information, given lack of relevance under Rule 26 and potential for stirring up litigation).</w:t>
      </w:r>
    </w:p>
  </w:footnote>
  <w:footnote w:id="123">
    <w:p w14:paraId="0B934CA7" w14:textId="77777777" w:rsidR="00721CCF" w:rsidRPr="00AD2F44" w:rsidRDefault="00F42107">
      <w:pPr>
        <w:pStyle w:val="14Footnote"/>
      </w:pPr>
      <w:r w:rsidRPr="00AD2F44">
        <w:rPr>
          <w:vertAlign w:val="superscript"/>
        </w:rPr>
        <w:footnoteRef/>
      </w:r>
      <w:r w:rsidRPr="00AD2F44">
        <w:t>Valdez v. Cox Commc’ns of Las Vegas, 557 F. </w:t>
      </w:r>
      <w:r w:rsidRPr="00AD2F44">
        <w:t>App’x 655 (9th Cir. 2014) (affirming denial of cable installers’ request for putative class member names and addresses because plaintiff had previously accepted Rule 68 offer of judgment, which mooted his claim).</w:t>
      </w:r>
    </w:p>
  </w:footnote>
  <w:footnote w:id="124">
    <w:p w14:paraId="2CF055D8" w14:textId="77777777" w:rsidR="00721CCF" w:rsidRPr="00AD2F44" w:rsidRDefault="00F42107">
      <w:pPr>
        <w:pStyle w:val="14Footnote"/>
      </w:pPr>
      <w:r w:rsidRPr="00AD2F44">
        <w:rPr>
          <w:vertAlign w:val="superscript"/>
        </w:rPr>
        <w:footnoteRef/>
      </w:r>
      <w:r w:rsidRPr="00AD2F44">
        <w:rPr>
          <w:i/>
        </w:rPr>
        <w:t>See, e.g.,</w:t>
      </w:r>
    </w:p>
    <w:p w14:paraId="1B1A1BA2" w14:textId="17474D0C" w:rsidR="00721CCF" w:rsidRPr="00AD2F44" w:rsidRDefault="00F42107">
      <w:pPr>
        <w:pStyle w:val="14Footnote"/>
      </w:pPr>
      <w:r w:rsidRPr="00AD2F44">
        <w:rPr>
          <w:i/>
          <w:iCs/>
        </w:rPr>
        <w:t>Second Circuit:</w:t>
      </w:r>
      <w:r w:rsidRPr="00AD2F44">
        <w:t xml:space="preserve"> Mikityuk v. Cision US Inc., 2021 WL 1750370, at *6 (S.D.N.Y. May 4, 2021) (granting nationwide conditional certification, holding plaintiffs’ declarations sufficient to support nationwide notice given evidence that “managers tied their actions in some instances to an overarching policy by the defendant of minimizing the accrual of overtime” and finding no evidence that three offices where declarants worked were “idiosyncratic in their compensation practices”); Chen v. </w:t>
      </w:r>
      <w:r w:rsidRPr="00AD2F44">
        <w:t>XpresSpa at Terminal 4 JFK,</w:t>
      </w:r>
      <w:r w:rsidRPr="00AD2F44">
        <w:rPr>
          <w:i/>
          <w:iCs/>
        </w:rPr>
        <w:t xml:space="preserve"> </w:t>
      </w:r>
      <w:r w:rsidRPr="00AD2F44">
        <w:t>LLC, 2016 WL 5338536, at *4 (E.D.N.Y. Sept. 22, 2016) (granting nationwide conditional certification for claim by purportedly commission-only employees, based on plaintiffs’ affidavits that they were subject to policies and that policy required them to transfer among stores, even though affidavits covered only some of defendant’s locations and were partially based on hearsay, and refusing to consider factual disputes raised by defendant, noting that other district courts in New York had granted certification on evidence “even thinner” than what plaintiffs provided); Flood v. Just Energy Mktg. Corp., 2016 WL 354078 (S.D.N.Y. Jan. 25, 2016) (certifying nationwide class although plaintiff worked at only two of defendant’s offices, and finding that plaintiff need not name specific employees who were similarly situated to obtain conditional certification); Morris v. Lettire Constr. Corp., 896 F. Supp. 2d 265, 270–71 (S.D.N.Y 2012) (granting certification across construction sites after finding sufficient proof of companywide policy across all sites);</w:t>
      </w:r>
      <w:r w:rsidRPr="00AD2F44">
        <w:rPr>
          <w:b/>
          <w:bCs/>
        </w:rPr>
        <w:t xml:space="preserve"> </w:t>
      </w:r>
      <w:r w:rsidRPr="00AD2F44">
        <w:t>Aponte v. Comprehensive Health Mgmt., Inc., 2011 WL 2207586, at *4–6 (S.D.N.Y. June 2, 2011) (granting nationwide conditional certification for benefits consultants challenging their exempt status, because declarations of plaintiffs and 17 opt-ins showed “similarity and uniformity” of job position; this evidence was bolstered by job descriptions and fact of uniform classification as exempt under outside sales exemption); Neary v. Metropolitan Prop. &amp; Cas. Ins. Co., 517 F. Supp. 2d 606, 618–19 (D. Conn. 2007) (holding that plaintiff’s evidence of the similarly situated nature of the proposed class suggests that geography does not matter; the documentary evidence of the job duties and positions, and testimony offered, does not provide any basis on which to impose geographic restrictions); Levy v. Verizon Info. Servs., Inc., 2007 U.S. Dist. LEXIS 43223 (E.D.N.Y. June 13, 2007) (granting three-state conditional certification for telephone sales representatives based on affidavits from 9 of 19 office locations in three states); Sherrill v. Sutherland Global Servs., 487 F. Supp. 2d 344, 349–50 (W.D.N.Y. 2007) (granting companywide certification based on eight affidavits submitted from 10 of the company’s 11 call centers); Barrus v. Dick’s Sporting Goods, Inc., 465 F. Supp. 2d 224 (W.D.N.Y. 2006) (granting companywide certification where plaintiffs alleged that company had improper automatic meal deduction plan, meals were interrupted, and “comp time” was provided in lieu of overtime compensation).</w:t>
      </w:r>
    </w:p>
    <w:p w14:paraId="53A2D95C" w14:textId="77777777" w:rsidR="00721CCF" w:rsidRPr="00AD2F44" w:rsidRDefault="00F42107">
      <w:pPr>
        <w:pStyle w:val="14Footnote"/>
      </w:pPr>
      <w:r w:rsidRPr="00AD2F44">
        <w:rPr>
          <w:i/>
          <w:iCs/>
        </w:rPr>
        <w:t xml:space="preserve">Third Circuit: </w:t>
      </w:r>
      <w:r w:rsidRPr="00AD2F44">
        <w:t xml:space="preserve">Jordan v. Meridian Bank, 2019 U.S. Dist. LEXIS 44256 (E.D. Pa. Mar. 18, 2019) (rejecting defendant’s argument that conditional certification should be limited to one branch, instead certifying in all states where plaintiff provided evidence of FLSA violations); </w:t>
      </w:r>
      <w:r w:rsidRPr="00AD2F44">
        <w:rPr>
          <w:i/>
          <w:iCs/>
        </w:rPr>
        <w:t>In re</w:t>
      </w:r>
      <w:r w:rsidRPr="00AD2F44">
        <w:t xml:space="preserve"> Enterprise Rent-A-Car Wage &amp; Hour Emp. Practices Litig., 2010 WL 3447783 (W.D. Pa. Aug. 13, 2010) (granting conditional certification because evidence showed sufficient similarity of job duties, particularly given same job description used, to permit nationwide notice other than in California).</w:t>
      </w:r>
    </w:p>
    <w:p w14:paraId="29799183" w14:textId="2227F029" w:rsidR="00721CCF" w:rsidRPr="00AD2F44" w:rsidRDefault="00F42107">
      <w:pPr>
        <w:pStyle w:val="14Footnote"/>
      </w:pPr>
      <w:r w:rsidRPr="00AD2F44">
        <w:rPr>
          <w:i/>
          <w:iCs/>
        </w:rPr>
        <w:t>Fourth Circuit:</w:t>
      </w:r>
      <w:r w:rsidRPr="00AD2F44">
        <w:t xml:space="preserve"> </w:t>
      </w:r>
      <w:r w:rsidRPr="0063494E">
        <w:t>Stacy v. Jennmar Corp. of Va., Inc.</w:t>
      </w:r>
      <w:r>
        <w:t xml:space="preserve">, </w:t>
      </w:r>
      <w:r w:rsidR="005E5777" w:rsidRPr="005E5777">
        <w:t>2022 BL 299321</w:t>
      </w:r>
      <w:r w:rsidR="005E5777">
        <w:t xml:space="preserve">, </w:t>
      </w:r>
      <w:r w:rsidRPr="0052265E">
        <w:t xml:space="preserve">342 F.R.D. 215 </w:t>
      </w:r>
      <w:r w:rsidRPr="0063494E">
        <w:t>(W.D. Va. 2022)</w:t>
      </w:r>
      <w:r>
        <w:t xml:space="preserve"> (certifying nationwide </w:t>
      </w:r>
      <w:r w:rsidR="000B6C5F">
        <w:t xml:space="preserve">collective </w:t>
      </w:r>
      <w:r>
        <w:t xml:space="preserve">where </w:t>
      </w:r>
      <w:r w:rsidRPr="0063494E">
        <w:t xml:space="preserve">defendants’ corporate </w:t>
      </w:r>
      <w:r>
        <w:t xml:space="preserve">representative </w:t>
      </w:r>
      <w:r w:rsidRPr="0063494E">
        <w:t>testified the same timekeeping system and pre-shift requirements were used for workers across the country</w:t>
      </w:r>
      <w:r>
        <w:t xml:space="preserve">); </w:t>
      </w:r>
      <w:r w:rsidRPr="00AD2F44">
        <w:t>Giegerich v. Watershed, LLC, 2016 WL 1169948 (D. Md. Mar. 24, 2016) (granting notice to class of cooks across four different restaurants where manager testified that defendants used same pay practice for all cooks across all four restaurants); Alderoty v. Maxim Healthcare Servs., Inc., 2015 WL 5675527, at *1 (D. Md. Sept. 23, 2015) (conditionally certifying nationwide class of health care recruiters based on evidence from plaintiffs who worked in only handful of states because such evidence was sufficient to show nationwide decision to treat recruiters as exempt); Myles v. Prosperity Mortg. Co., 2012 WL 1963390, at *8 (D. Md. May 31, 2012) (refusing to limit conditional certification to states where individuals filing declarations worked, because employer classified all loan officers as exempt and evidence indicated job duties were same and outside sales exemption requirements may not have been met).</w:t>
      </w:r>
    </w:p>
    <w:p w14:paraId="37D0286E" w14:textId="58AC41C7" w:rsidR="00721CCF" w:rsidRPr="00AD2F44" w:rsidRDefault="00F42107">
      <w:pPr>
        <w:pStyle w:val="14Footnote"/>
      </w:pPr>
      <w:r w:rsidRPr="00AD2F44">
        <w:rPr>
          <w:i/>
          <w:iCs/>
        </w:rPr>
        <w:t>Fifth Circuit:</w:t>
      </w:r>
      <w:r w:rsidRPr="00AD2F44">
        <w:t xml:space="preserve"> Roche v. S-3 Pump Serv., Inc., 2015 WL 4164802 (W.D. Tex. July 9, 2015) (rejecting defendant’s efforts to limit only to locations where current plaintiffs worked, noting plaintiffs alleged that defendant had one corporate office, one human resources department, and centralized hierarchy for determining pay); Vargas v. Richardson Trident Co., 2010 WL 730155, at *10 (S.D. Tex. Feb. 22, 2010) (approving notice to employees at all facilities, because evidence showed common policy, plan, or practice of failing to pay proper overtime compensation to hourly laborers; finding that geographic differences were irrelevant); Ryan v. Staff Care, Inc., 497 F. Supp. 2d 820, 826 (N.D. Tex. 2007) (approving companywide notice where evidence showed company changed exempt status of all sales and recruiting consultants throughout company); Allen v. McWane, 2006 U.S. Dist. LEXIS 81543, at *15–16 (E.D. Tex. Nov. 7, 2006) (approving companywide notice where plaintiffs provided testimony from employees of six of the companies’ 13 facilities).</w:t>
      </w:r>
      <w:r w:rsidR="00A5319D" w:rsidRPr="00A5319D">
        <w:rPr>
          <w:b/>
        </w:rPr>
        <w:t xml:space="preserve"> </w:t>
      </w:r>
      <w:r w:rsidR="00A5319D" w:rsidRPr="00AD2F44">
        <w:rPr>
          <w:b/>
        </w:rPr>
        <w:t xml:space="preserve">[Caution: </w:t>
      </w:r>
      <w:r w:rsidR="00A5319D" w:rsidRPr="00AD2F44">
        <w:t xml:space="preserve">The Fifth Circuit later rejected the two-stage process, in </w:t>
      </w:r>
      <w:r w:rsidR="00A5319D" w:rsidRPr="00AD2F44">
        <w:rPr>
          <w:i/>
        </w:rPr>
        <w:t xml:space="preserve">Swales v. KLLM Transport Services, LLC, </w:t>
      </w:r>
      <w:r w:rsidR="00A5319D" w:rsidRPr="00AD2F44">
        <w:t xml:space="preserve">985 F.3d 430 (5th Cir. 2021), in favor of a requirement to “rigorously scrutinize” whether potential opt-ins are similarly situated “from the outset of the case.” </w:t>
      </w:r>
      <w:r w:rsidR="00A5319D" w:rsidRPr="00AD2F44">
        <w:rPr>
          <w:i/>
        </w:rPr>
        <w:t>Id.</w:t>
      </w:r>
      <w:r w:rsidR="00A5319D" w:rsidRPr="00AD2F44">
        <w:t xml:space="preserve"> at 434.</w:t>
      </w:r>
      <w:r w:rsidR="00A5319D" w:rsidRPr="00AD2F44">
        <w:rPr>
          <w:b/>
          <w:bCs/>
        </w:rPr>
        <w:t>]</w:t>
      </w:r>
    </w:p>
    <w:p w14:paraId="47ABD5A2" w14:textId="77777777" w:rsidR="00721CCF" w:rsidRPr="00AD2F44" w:rsidRDefault="00F42107">
      <w:pPr>
        <w:pStyle w:val="14Footnote"/>
      </w:pPr>
      <w:r w:rsidRPr="00AD2F44">
        <w:rPr>
          <w:i/>
          <w:iCs/>
        </w:rPr>
        <w:t>Sixth Circuit:</w:t>
      </w:r>
      <w:r w:rsidRPr="00AD2F44">
        <w:t xml:space="preserve"> Waggoner v. U.S. Bancorp, 110 F. Supp. 3d 759 (N.D. Ohio 2015) (nationwide conditional certification granted based on affidavits from workers in three distinct states); White v. MPW Indus. Serv., Inc., 236 F.R.D. 363, 375 (E.D. Tenn. 2006) (deeming affidavits from employees who worked in two locations sufficient to warrant companywide notice where the affidavits alleged a companywide practice of failure to compensate for travel time).</w:t>
      </w:r>
    </w:p>
    <w:p w14:paraId="262F813E" w14:textId="77777777" w:rsidR="00721CCF" w:rsidRPr="00AD2F44" w:rsidRDefault="00F42107">
      <w:pPr>
        <w:pStyle w:val="14Footnote"/>
      </w:pPr>
      <w:r w:rsidRPr="00AD2F44">
        <w:rPr>
          <w:i/>
          <w:iCs/>
        </w:rPr>
        <w:t>Seventh Circuit:</w:t>
      </w:r>
      <w:r w:rsidRPr="00AD2F44">
        <w:t xml:space="preserve"> Black v. P.F. Chang’s China Bistro, Inc., 2017 WL 2080408, at *5 (N.D. Ill. May 15, 2017) (granting conditional certification for claim of improper tip credit notice at all locations in Illinois and New York, based on uniform tip credit reporting agreement that allegedly stated improper information about cash and tipped minimum wages, but only for years when plaintiffs worked and received same tip reporting agreement as other employees); Kelly v. Bluegreen Corp., 256 F.R.D. 626, 630–31 (W.D. Wis. 2009) (granting conditional certification at all 26 facilities, based on six affidavits and evidence that company employed same policy at all 26 facilities); DeKeyser v. Thyssenkrupp Waupaca, Inc., 2008 WL 5263750, at *4 (E.D. Wis. Dec. 18, 2008) (granting conditional certification for nearly 4,000 employees at six plants in donning and doffing case based on affidavits from seven current or former employees, where affidavits included observations of hundreds of other employees’ practice of putting on and taking off protective clothing before and after their shifts).</w:t>
      </w:r>
    </w:p>
    <w:p w14:paraId="077DF5C1" w14:textId="77777777" w:rsidR="00721CCF" w:rsidRPr="00AD2F44" w:rsidRDefault="00F42107">
      <w:pPr>
        <w:pStyle w:val="14Footnote"/>
      </w:pPr>
      <w:r w:rsidRPr="00AD2F44">
        <w:rPr>
          <w:i/>
          <w:iCs/>
        </w:rPr>
        <w:t>Eighth Circuit:</w:t>
      </w:r>
      <w:r w:rsidRPr="00AD2F44">
        <w:t xml:space="preserve"> Sutherland v. Centurion Sec., LLC, 2019 WL 4856003, at *2 (W.D. Ark. Oct. 2, 2019) (granting conditional certification where plaintiff worked at 7 of defendant’s 80 client locations); Burch v. Qwest, 500 F. Supp. 2d 1181 (D. Minn. 2007) (certifying companywide class of call center employees where plaintiffs established that all call center employees performed similar duties prior to logging into the payroll system and company operated a centralized “mission control” that supervised overall work performance of call center employees); Davis v. NovaStar Mortg., Inc., 408 F. Supp. 2d 811, 815 (W.D. Mo. 2005) (certifying nationwide class where company had a nationwide policy of classifying loan originators as exempt).</w:t>
      </w:r>
    </w:p>
    <w:p w14:paraId="06499282" w14:textId="77777777" w:rsidR="00721CCF" w:rsidRPr="00AD2F44" w:rsidRDefault="00F42107">
      <w:pPr>
        <w:pStyle w:val="14Footnote"/>
      </w:pPr>
      <w:r w:rsidRPr="00AD2F44">
        <w:rPr>
          <w:i/>
          <w:iCs/>
        </w:rPr>
        <w:t>Ninth Circuit:</w:t>
      </w:r>
      <w:r w:rsidRPr="00AD2F44">
        <w:t xml:space="preserve"> Cardoza v. Bloomin’ Brands, Inc., 2014 WL 5454178, at *2 (D. Nev. Oct. 24, 2014) (permitting notice to class in all states where defendant operated, citing declarations by plaintiffs covering nearly 40% of states where defendant operated and that alleged violations were not localized such that they should be limited to narrower geographic scope); Gamble v. Boyd Gaming Corp., 2014 WL 2573899, at *4–5 (D. Nev. June 6, 2014) (granting nationwide notice for improper rounding claim because defendant admitted that rounding practice operated nationwide, but limiting off-the-clock claim to two locations where plaintiffs worked, given lack of evidence that there was common policy nationwide); Hensley v. Eppendorf N.A., Inc., 2014 WL 2566144, at *5–7 (S.D. Cal. June 6, 2014) (granting conditional certification to nationwide putative class of technicians allegedly misclassified as exempt, relying on lenient standard, plaintiff’s declaration, and company job descriptions and policies, and noting lack of any contention by defendant that technicians performed different tasks or were not all classified as exempt); Adams v. Inter-Con Sec. Sys., 242 F.R.D. 530, 538–39 (N.D. Cal. 2007) (certifying nationwide class where company had alleged policy of not compensating security officers for pre-shift work, indicating that evidence need not be submitted for all facilities to warrant conditional certification).</w:t>
      </w:r>
    </w:p>
    <w:p w14:paraId="4F862AD7" w14:textId="601DB24C" w:rsidR="00721CCF" w:rsidRPr="00AD2F44" w:rsidRDefault="00F42107">
      <w:pPr>
        <w:pStyle w:val="14Footnote"/>
      </w:pPr>
      <w:r w:rsidRPr="00AD2F44">
        <w:rPr>
          <w:i/>
          <w:iCs/>
        </w:rPr>
        <w:t xml:space="preserve">Tenth Circuit: </w:t>
      </w:r>
      <w:r w:rsidRPr="00AD2F44">
        <w:t>McGlon v. Sprint Corp., 2016 WL 7103949, at *5 (D. Kan. Dec. 6, 2016) (granting conditional certification to companywide locations for “sales farmers,” finding sufficient complaint allegations by plaintiff, who was from Kansas, and declaration of another employee in Georgia location, both claiming existence of centralized human resources, payroll, and timekeeping function and failure to pay overtime to them as hourly workers).</w:t>
      </w:r>
    </w:p>
    <w:p w14:paraId="69265AFC" w14:textId="77777777" w:rsidR="00721CCF" w:rsidRPr="00AD2F44" w:rsidRDefault="00F42107">
      <w:pPr>
        <w:pStyle w:val="14Footnote"/>
      </w:pPr>
      <w:r w:rsidRPr="00AD2F44">
        <w:rPr>
          <w:i/>
          <w:iCs/>
        </w:rPr>
        <w:t>Eleventh Circuit:</w:t>
      </w:r>
      <w:r w:rsidRPr="00AD2F44">
        <w:t xml:space="preserve"> Palma v. MetroPCS Wireless, Inc., 2013 WL 6597079 (M.D. Fla. Dec. 16, 2013) (granting conditional certification for nationwide class based on eight declarations from current and former employees in three different states); Bobbitt v. Broadband Interactive, Inc., 2012 WL 1898636, at *6 (M.D. Fla. May 23, 2012) (granting notice across Florida for technicians claiming they were misclassified as independent contractors, because plaintiff demonstrated that work and pay provisions of declarants were similar); Vaccaro v. Candidates on Demand Group, Inc., 2008 U.S. Dist. LEXIS 29344, at *6–7 (S.D. Fla. Apr. 10, 2008) (granting conditional certification for nationwide class based on affidavits from plaintiffs employed in three states); Pendlebury v. Starbucks Coffee Co., 2005 U.S. Dist. LEXIS 574 (S.D. Fla. Jan. 3, 2005) (granting nationwide conditional certification based on allegations in verified complaint filed by two former store managers and affidavits from four former managers who worked at seven different Starbucks locations in four different states).</w:t>
      </w:r>
    </w:p>
    <w:p w14:paraId="7F7D706D" w14:textId="5B4CB4F9" w:rsidR="00721CCF" w:rsidRPr="00AD2F44" w:rsidRDefault="00F42107">
      <w:pPr>
        <w:pStyle w:val="14Footnote"/>
      </w:pPr>
      <w:r w:rsidRPr="00AD2F44">
        <w:rPr>
          <w:i/>
          <w:iCs/>
        </w:rPr>
        <w:t>D</w:t>
      </w:r>
      <w:r w:rsidRPr="00AD2F44">
        <w:t>.</w:t>
      </w:r>
      <w:r w:rsidRPr="00AD2F44">
        <w:rPr>
          <w:i/>
          <w:iCs/>
        </w:rPr>
        <w:t>C</w:t>
      </w:r>
      <w:r w:rsidRPr="00AD2F44">
        <w:t>.</w:t>
      </w:r>
      <w:r w:rsidRPr="00AD2F44">
        <w:rPr>
          <w:i/>
          <w:iCs/>
        </w:rPr>
        <w:t xml:space="preserve"> Circuit: </w:t>
      </w:r>
      <w:r w:rsidRPr="00AD2F44">
        <w:t>McKinney v. United Stor-All Ctrs., Inc., 585 F. Supp. 2d 6 (D.D.C. 2008) (granting conditional certification for facilities in District of Columbia, Maryland, and Northern Virginia, where plaintiff’s evidence showed that duties and responsibilities of putative class-member facility managers were same at facilities at issue and governed by same operations manual, and that all managers reported to same district manager).</w:t>
      </w:r>
    </w:p>
  </w:footnote>
  <w:footnote w:id="125">
    <w:p w14:paraId="0A4F019C" w14:textId="77777777" w:rsidR="00721CCF" w:rsidRPr="00AD2F44" w:rsidRDefault="00F42107">
      <w:pPr>
        <w:pStyle w:val="14Footnote"/>
      </w:pPr>
      <w:r w:rsidRPr="00AD2F44">
        <w:rPr>
          <w:vertAlign w:val="superscript"/>
        </w:rPr>
        <w:footnoteRef/>
      </w:r>
      <w:r w:rsidRPr="00AD2F44">
        <w:t>1998 U.S. Dist. LEXIS 13131 (M.D. Fla. July 1, 1998).</w:t>
      </w:r>
    </w:p>
  </w:footnote>
  <w:footnote w:id="126">
    <w:p w14:paraId="13FD6277" w14:textId="77777777" w:rsidR="00721CCF" w:rsidRPr="00AD2F44" w:rsidRDefault="00F42107">
      <w:pPr>
        <w:pStyle w:val="14Footnote"/>
      </w:pPr>
      <w:r w:rsidRPr="00AD2F44">
        <w:rPr>
          <w:vertAlign w:val="superscript"/>
        </w:rPr>
        <w:footnoteRef/>
      </w:r>
      <w:r w:rsidRPr="00AD2F44">
        <w:t>2019 WL 1499158 (S.D. Tex. Apr. 3, 2018).</w:t>
      </w:r>
    </w:p>
  </w:footnote>
  <w:footnote w:id="127">
    <w:p w14:paraId="7AB729D2" w14:textId="77777777" w:rsidR="00721CCF" w:rsidRPr="00AD2F44" w:rsidRDefault="00F42107">
      <w:pPr>
        <w:pStyle w:val="14Footnote"/>
      </w:pPr>
      <w:r w:rsidRPr="00AD2F44">
        <w:rPr>
          <w:vertAlign w:val="superscript"/>
        </w:rPr>
        <w:footnoteRef/>
      </w:r>
      <w:r w:rsidRPr="00AD2F44">
        <w:rPr>
          <w:i/>
        </w:rPr>
        <w:t>See, e.g.,</w:t>
      </w:r>
    </w:p>
    <w:p w14:paraId="5FCC5F23" w14:textId="77777777" w:rsidR="00721CCF" w:rsidRPr="00AD2F44" w:rsidRDefault="00F42107">
      <w:pPr>
        <w:pStyle w:val="14Footnote"/>
      </w:pPr>
      <w:r w:rsidRPr="00AD2F44">
        <w:rPr>
          <w:i/>
          <w:iCs/>
        </w:rPr>
        <w:t>First Circuit:</w:t>
      </w:r>
      <w:r w:rsidRPr="00AD2F44">
        <w:t xml:space="preserve"> Trezvant v. Fidelity Emp. Servs. Corp., 434 F. Supp. 2d 40, 48 (D. Mass. 2006) (limiting certification to offices in one city because none of the affiants “purported to know the policies of other branches of the company”); O’Donnell v. Robert Half Int’l, Inc., 429 F. Supp. 2d 246, 250 (D. Mass. 2006) (deeming affidavits from two plaintiffs insufficient to certify nationwide class where plaintiffs presented no personal knowledge of company practices in other offices or divisions).</w:t>
      </w:r>
    </w:p>
    <w:p w14:paraId="3E6AB9AD" w14:textId="37B81779" w:rsidR="00721CCF" w:rsidRPr="00AD2F44" w:rsidRDefault="00F42107">
      <w:pPr>
        <w:pStyle w:val="14Footnote"/>
      </w:pPr>
      <w:r w:rsidRPr="00AD2F44">
        <w:rPr>
          <w:i/>
          <w:iCs/>
        </w:rPr>
        <w:t>Second Circuit:</w:t>
      </w:r>
      <w:r w:rsidRPr="00AD2F44">
        <w:t xml:space="preserve"> Liz v. 5 Tellers Assocs., 2021 BL 120704, 2021 WL 1224518, at *6 (E.D.N.Y. Apr. 1, 2021) (limiting conditional certification to Bronx locations, finding declarations insufficient to support finding that employees at Manhattan or Brooklyn buildings suffered same wage violations); Huang v Shanghai City Corp., 2020 BL 377858, 2020 WL 5849099 (S.D.N.Y. Oct. 19, 2020) (limiting certification to one restaurant location where plaintiffs worked, given different management and practices at second restaurant and the lack of evidence by anyone with timely FLSA claim of unlawful common policy or plan at second restaurant); Brown v. </w:t>
      </w:r>
      <w:r w:rsidRPr="00AD2F44">
        <w:t>Avalonbay Cmtys., Inc., 2019 US Dist. Lexis 58954 (E.D.N.Y. Mar. 18, 2019) (granting conditional certification, but limiting putative class to states where plaintiffs made sufficient showing); Anjum v. J.C. Penney Co., 2015 WL 3603973, at *1, 9 (E.D.N.Y. June 5, 2015) (conditional certification limited to stores where current plaintiffs had worked); Apolinar v. R.J. 49 Rest., LLC, 2016 WL 2903278 (S.D.N.Y. 2016) (same); McGlone v. Contract Callers, Inc., 867 F. Supp. 2d 438, 444–45 (S.D.N.Y. 2012) (limiting certification to New York division where employer offered evidence showing that divisions were stand-alone and divided geographically and countervailing evidence presented by plaintiff was based on “information and belief”); Macpherson v. Firth Rixson Ltd., 2012 WL 2522881, at *4–5 (W.D.N.Y. June 28, 2012) (limiting class to individuals who worked in one facility, rejecting proposed nationwide class, reasoning that contentions regarding practices at defendants’ other facilities were unsupported and contradicted by defendants’ affidavits); D’Antuono v. C &amp; G of Groton, Inc., 2011 WL 5878045, at *5–6 (D. Conn. Nov. 23, 2011) (limiting conditional certification and notice to one location in Connecticut, where plaintiff introduced no evidence from individuals at other location, and did not show that two locations were subdivisions of same company rather than autonomous entities); Laroque v. Domino’s Pizza, LLC, 557 F. Supp. 2d 346, 353 (E.D.N.Y. 2008) (deeming affidavits by four employees of the Coney Island location insufficient to certify claims for Brooklyn stores).</w:t>
      </w:r>
    </w:p>
    <w:p w14:paraId="1F61F445" w14:textId="77777777" w:rsidR="00721CCF" w:rsidRPr="00AD2F44" w:rsidRDefault="00F42107">
      <w:pPr>
        <w:pStyle w:val="14Footnote"/>
      </w:pPr>
      <w:r w:rsidRPr="00AD2F44">
        <w:rPr>
          <w:i/>
          <w:iCs/>
        </w:rPr>
        <w:t>Third Circuit:</w:t>
      </w:r>
      <w:r w:rsidRPr="00AD2F44">
        <w:t xml:space="preserve"> Naicker v. Warrior Energy Servs., Inc., 2015 WL 1642209, at *3–4 (W.D. Pa. Apr. 9, 2015) (permitting notice for Pennsylvania location on claim of misclassification under Motor Carrier Act, but denying it to North Dakota and Texas locations, given lack of evidence based on personal knowledge of allegedly unlawful practice at those locations); Bredbenner v. Liberty Travel, Inc., 2009 WL 2391279, at *3 (D.N.J. July 31, 2009) (granting conditional certification on “diminishing overtime” claim covering four states from which plaintiffs had provided affiants or employment agreements signed by chief operating officer, but denying nationwide certification absent similar evidence, though allowing that plaintiffs could renew motion if they obtained such evidence).</w:t>
      </w:r>
    </w:p>
    <w:p w14:paraId="0BE4CD6B" w14:textId="092DC8AB" w:rsidR="00721CCF" w:rsidRPr="00AD2F44" w:rsidRDefault="00F42107">
      <w:pPr>
        <w:pStyle w:val="14Footnote"/>
      </w:pPr>
      <w:r w:rsidRPr="00AD2F44">
        <w:rPr>
          <w:i/>
          <w:iCs/>
        </w:rPr>
        <w:t>Fourth Circuit:</w:t>
      </w:r>
      <w:r w:rsidRPr="00AD2F44">
        <w:t xml:space="preserve"> Graham v. Famous Dave’s of Am., Inc., 2020 BL 364487, 2020 WL 5653231, at *9 (D. Md. Sept. 23, 2020) (limiting conditional certification to Maryland restaurants only where evidence suggested managerial policies might differ in other locations); Sodekson v. East Coast Rest. &amp; Nightclubs, LLC, 2016 WL 4613386, at *8 (D.S.C. Sept. 6, 2016) (denying conditional certification, rejecting as insufficient claims that same payment policy existed at company’s clubs across country, given lack of evidence beyond single declaration by another employee, some screen shots from club websites, and plaintiff’s allegations in her complaint); Bernard v. Household Int’l, Inc., 231 F. Supp. 2d 433, 435–36 (E.D. Va. 2004) (limiting class to two offices where only “a scintilla of evidence of company-wide policy” of central processing of payroll); Camper v. Home Quality Mgmt., Inc., 200 F.R.D. 516, 520 (D. Md. 2000) (limiting scope of class of plaintiffs subjected to lunch break and preliminary and postliminary time deductions to one location because plaintiffs failed to allege knowledge of such deductions in other locations).</w:t>
      </w:r>
    </w:p>
    <w:p w14:paraId="63A926E2" w14:textId="529788B4" w:rsidR="00721CCF" w:rsidRPr="00AD2F44" w:rsidRDefault="00F42107">
      <w:pPr>
        <w:pStyle w:val="14Footnote"/>
      </w:pPr>
      <w:r w:rsidRPr="00AD2F44">
        <w:rPr>
          <w:i/>
          <w:iCs/>
        </w:rPr>
        <w:t>Fifth Circuit:</w:t>
      </w:r>
      <w:r w:rsidRPr="00AD2F44">
        <w:t xml:space="preserve"> McCloud v. McClinton Energy Grp., LLC, 2015 WL 737024, at *8 (W.D. Tex. Feb. 20, 2015) (granting certification at two locations where affidavits showed allegedly unlawful policy employed, but not to all locations given lack of such evidence); Huaman v. Ojos Locos Sports Cantina, LLC, 2014 WL 4081554, at *6 (N.D. Tex. Aug. 19, 2014) (limiting notice to employees who worked at one store in Texas, and denying it statewide, because of lack of evidence that alleged unlawful practices occurred other than at store where plaintiffs worked); Baricuatro v. Industrial Pers. &amp; Mgmt. Servs., Inc., 2012 WL 5472302, at *3 (E.D. La. Nov. 9, 2012) (granting certification for Louisiana worksites but holding action limited to that state because no evidence put forth that similarly situated persons were employed outside Louisiana); Flowers v. MGTI, LLC, 2012 WL 1941755, at *4 (S.D. Tex. May 29, 2012) (granting certification as to Houston location, but denying it as to Milwaukee location, where there was no evidence that policies at issue in Houston applied in Milwaukee and companies were separately owned LLCs).</w:t>
      </w:r>
      <w:r w:rsidR="00A5319D" w:rsidRPr="00A5319D">
        <w:rPr>
          <w:b/>
        </w:rPr>
        <w:t xml:space="preserve"> </w:t>
      </w:r>
      <w:r w:rsidR="00A5319D" w:rsidRPr="00AD2F44">
        <w:rPr>
          <w:b/>
        </w:rPr>
        <w:t xml:space="preserve">[Caution: </w:t>
      </w:r>
      <w:r w:rsidR="00A5319D" w:rsidRPr="00AD2F44">
        <w:t xml:space="preserve">The Fifth Circuit later rejected the two-stage process, in </w:t>
      </w:r>
      <w:r w:rsidR="00A5319D" w:rsidRPr="00AD2F44">
        <w:rPr>
          <w:i/>
        </w:rPr>
        <w:t xml:space="preserve">Swales v. KLLM Transport Services, LLC, </w:t>
      </w:r>
      <w:r w:rsidR="00A5319D" w:rsidRPr="00AD2F44">
        <w:t xml:space="preserve">985 F.3d 430 (5th Cir. 2021), in favor of a requirement to “rigorously scrutinize” whether potential opt-ins are similarly situated “from the outset of the case.” </w:t>
      </w:r>
      <w:r w:rsidR="00A5319D" w:rsidRPr="00AD2F44">
        <w:rPr>
          <w:i/>
        </w:rPr>
        <w:t>Id.</w:t>
      </w:r>
      <w:r w:rsidR="00A5319D" w:rsidRPr="00AD2F44">
        <w:t xml:space="preserve"> at 434.</w:t>
      </w:r>
      <w:r w:rsidR="00A5319D" w:rsidRPr="00AD2F44">
        <w:rPr>
          <w:b/>
          <w:bCs/>
        </w:rPr>
        <w:t>]</w:t>
      </w:r>
    </w:p>
    <w:p w14:paraId="6B45A1F6" w14:textId="6AEF63D0" w:rsidR="00721CCF" w:rsidRPr="00AD2F44" w:rsidRDefault="00F42107">
      <w:pPr>
        <w:pStyle w:val="14Footnote"/>
      </w:pPr>
      <w:r w:rsidRPr="00AD2F44">
        <w:rPr>
          <w:i/>
          <w:iCs/>
        </w:rPr>
        <w:t>Sixth Circuit:</w:t>
      </w:r>
      <w:r w:rsidRPr="00AD2F44">
        <w:t xml:space="preserve"> Loschiavo v. Advanced Drainage Sys., Inc., 2022 BL 206383, 2022 WL 1749049, at *1 (S.D. Ohio May 2, 2022) (limiting conditional certification to eight worksites where declarants worked, denying nationwide certification for all 50 locations); Bernardez v. Firstsource Sols. USA, LLC, 2019 U.S. Dist. LEXIS 155918 (W.D. Ky. Sept. 11, 2019) (limiting conditional certification to locations where plaintiffs/declarants worked); Tyler v. Taco Bell Corp., 2016 WL 2344229 (W.D. Tenn. May 3, 2016) (conditional certification limited to two locations where plaintiff worked); Roberts v. Corrections Corp. of Am., 2015 WL 3905088 (M.D. Tenn. June 25, 2015) (limiting conditional certification to Tennessee where all but one plaintiff worked); Neff v. U.S. XPRESS, Inc., 2013 WL 4479078 (S.D. Ohio Aug. 20, 2013) (certifying collective of employees from single distribution center rather than nationwide class because plaintiff’s evidence limited to her facility); Shabazz v. Asurion Ins. Serv., 2008 U.S. Dist. LEXIS 29696, at *13–14 (M.D. Tenn. Apr. 10, 2008) (limiting certification to one of two call centers at issue because plaintiffs provided no declarations from any employee who worked in the second call center); Clark v. Dollar Gen. Corp., 2001 U.S. Dist. LEXIS 25976 (M.D. Tenn. May 23, 2001) (limiting certification to same district where affiants worked).</w:t>
      </w:r>
    </w:p>
    <w:p w14:paraId="69634FDA" w14:textId="2E935417" w:rsidR="00721CCF" w:rsidRPr="00AD2F44" w:rsidRDefault="00F42107">
      <w:pPr>
        <w:pStyle w:val="14Footnote"/>
      </w:pPr>
      <w:r w:rsidRPr="00AD2F44">
        <w:rPr>
          <w:i/>
          <w:iCs/>
        </w:rPr>
        <w:t>Seventh Circuit:</w:t>
      </w:r>
      <w:r w:rsidRPr="00AD2F44">
        <w:t xml:space="preserve"> Hannah v. Huntington Nat’l Bank, 2020 BL 190514, 2020 WL 2571898, at *10 (N.D. Ill. May 21, 2020) (limiting conditional certification to employees who reported to same supervisor at single bank branch where plaintiff mortgage loan officer worked for failure to introduce any evidence that other branches or other supervisors’ mortgage loan officers experienced similar pay compensation practices); Black v. P.F. Chang’s China Bistro, Inc., 2017 WL 2080408, at *7–11 (N.D. Ill. May 15, 2017) (limiting conditional certification on tip claims because two declarations provided insufficient evidence to support broader certification, and rejecting claim that alleged centralized control of company was sufficient to permit broader notice); Brand v. Comcast Corp., 2012 WL 4482124, at *4 (N.D. Ill. Sept. 26, 2012) (granting certification but limiting to facility in which plaintiffs worked because none of plaintiffs’ declarations contained information about practices at other facilities); Collazzo v. Forefront Educ., Inc., 2010 WL 335327, at *5 (N.D. Ill. Jan. 28, 2010) (granting conditional certification of class as to Illinois locations, but denying it as to Florida locations, where none of named plaintiffs had worked in Florida, and named plaintiffs lacked any personal knowledge of Florida work practices, reasoning that although standard is low for certification, it is “not a mere formality”).</w:t>
      </w:r>
    </w:p>
    <w:p w14:paraId="21FB5735" w14:textId="77777777" w:rsidR="00721CCF" w:rsidRPr="00AD2F44" w:rsidRDefault="00F42107">
      <w:pPr>
        <w:pStyle w:val="14Footnote"/>
      </w:pPr>
      <w:r w:rsidRPr="00AD2F44">
        <w:rPr>
          <w:i/>
          <w:iCs/>
        </w:rPr>
        <w:t>Eighth Circuit:</w:t>
      </w:r>
      <w:r w:rsidRPr="00AD2F44">
        <w:t xml:space="preserve"> Norris v. Bluestem Brands, Inc., 2018 WL 1972473, at *7–8 (D. Minn. Apr. 26, 2018) (holding conditional certification of collective that included employees from call centers outside particular call center where named plaintiffs worked was inappropriate because plaintiffs failed to make any factual showing that employees at other call centers were similarly situated to them or subject to similar policies); McLendon v. Schlumberger Tech. Corp., 2016 WL 3911897, at *3 (E.D. Ark. July 15, 2016) (denying nationwide certification of misclassification case, given plaintiff’s vague and conclusory statements, and lack of personal knowledge or evidence, about what others with same job position did outside areas where he worked); Harris v. Chipotle Mexican Grill, Inc., 49 F. Supp. 3d 564, 578–79 (D. Minn. 2014) (limiting notice of alleged off-the-clock work claim to single location where plaintiffs worked, given lack of evidence for notice nationwide; all but one declaration was from same store, one mentioned a few stores in Colorado, and there were some Internet postings about two stores in Illinois, which was insufficient for nationwide notice); Jost v. Commonwealth Land Title Ins. Co., 2009 WL 211943, at *4 (E.D. Mo. Jan. 27, 2009) (limiting conditional certification to facilities in five-state region, but not nationwide, where there was evidence that certain regional management officials permitted off-the-clock work, but no evidence that this practice occurred nationwide and company policy prohibited off-the-clock work).</w:t>
      </w:r>
    </w:p>
    <w:p w14:paraId="424D4D24" w14:textId="77777777" w:rsidR="00721CCF" w:rsidRPr="00AD2F44" w:rsidRDefault="00F42107">
      <w:pPr>
        <w:pStyle w:val="14Footnote"/>
      </w:pPr>
      <w:r w:rsidRPr="00AD2F44">
        <w:rPr>
          <w:i/>
          <w:iCs/>
        </w:rPr>
        <w:t>Ninth Circuit:</w:t>
      </w:r>
      <w:r w:rsidRPr="00AD2F44">
        <w:t xml:space="preserve"> Kesley v. Entertainment U.S.A., Inc., 67 F. Supp. 3d 1061, 1069 (D. Ariz. 2014) (limiting notice to exotic dancers of alleged minimum wage and overtime violations to locations where named plaintiffs worked, where they failed to show knowledge of practices at other locations); </w:t>
      </w:r>
      <w:r w:rsidRPr="00AD2F44">
        <w:rPr>
          <w:i/>
          <w:iCs/>
        </w:rPr>
        <w:t>Gamble</w:t>
      </w:r>
      <w:r w:rsidRPr="00AD2F44">
        <w:t>, 2014 WL 2573899, at *4–5 (granting nationwide notice for improper rounding claim because defendant admitted that rounding practice operated nationwide, but limiting off-the-clock claim to two locations where plaintiffs worked, given lack of evidence that there was common policy nationwide); Young v. Beard, 2014 WL 66706 (E.D. Cal. Jan. 8, 2014) (denying motion to amend certification order because declaration from correctional officer at another prison insufficient to expand class to all corrections officers throughout state of California).</w:t>
      </w:r>
    </w:p>
    <w:p w14:paraId="2A954375" w14:textId="77777777" w:rsidR="00721CCF" w:rsidRPr="00AD2F44" w:rsidRDefault="00F42107">
      <w:pPr>
        <w:pStyle w:val="14Footnote"/>
      </w:pPr>
      <w:r w:rsidRPr="00AD2F44">
        <w:rPr>
          <w:i/>
          <w:iCs/>
        </w:rPr>
        <w:t>Tenth Circuit:</w:t>
      </w:r>
      <w:r w:rsidRPr="00AD2F44">
        <w:t xml:space="preserve"> Avendano v. Averus, Inc., 2015 WL 1529354, at *5–8 (D. Colo. Mar. 31, 2015) (limiting certification to Denver location and certain employees, and denying it at other company locations, because plaintiff submitted insufficient evidence of allegedly unlawful policy or plan not to pay overtime to warrant broader notice).</w:t>
      </w:r>
    </w:p>
    <w:p w14:paraId="3B49B021" w14:textId="70C25A31" w:rsidR="00721CCF" w:rsidRPr="00AD2F44" w:rsidRDefault="00F42107">
      <w:pPr>
        <w:pStyle w:val="14Footnote"/>
      </w:pPr>
      <w:r w:rsidRPr="00AD2F44">
        <w:rPr>
          <w:i/>
          <w:iCs/>
        </w:rPr>
        <w:t>Eleventh Circuit:</w:t>
      </w:r>
      <w:r w:rsidRPr="00AD2F44">
        <w:t xml:space="preserve"> Villarino v. Pacesetter Pers. Serv., Inc., 2021 WL 8946184 (S.D. Fla. Sept. 24, 2021) (denying plaintiffs’ renewed conditional certification motion after discovery for nationwide collective, finding insufficient evidence of common policy implemented across nationwide worksites); Harapeti v. CBS Television Stations Inc., 2020 BL 501432, 2020 WL 8083695 (S.D. Fla. Dec. 21, 2020) (granting conditional certification but declining to extend scope nationwide and instead limited to geographical location of named plaintiff given lack of evidence regarding individuals with claims or any common allegedly unlawful policy beyond her location); Reese v. Florida Bc Holdings, LLC, 2018 U.S. Dist. LEXIS 73343 (M.D. Fla. Mar. 16, 2018) (limiting geographic scope to only locations for which plaintiffs provided evidence of employee interest in opting in); Holmes v. Swissport Fueling, Inc., 2017 WL 8794900, at *9 (M.D. Fla. Sept. 1, 2017) (limiting notice to aircraft fuelers employed by defendants only at location where plaintiffs worked, finding plaintiffs’ evidence did not justify companywide notice in light of evidence offered by defendants that fuelers at other locations had different job duties, schedules, and timekeeping systems, and also were subject to collective bargaining agreements as to pay rates); Campbell v. Pincher’s Beach Bar Grill Inc., 2016 WL 3626219, at *4 (M.D. Fla. July 7, 2016) (limiting conditional certification in tip credit and pooling notice case to one restaurant, where plaintiff’s evidence of lack of notice at other restaurants consisted of only previously dismissed lawsuit against same defendant, and fact that restaurants shared website and email address, and had same officers); Pomareda v. Homebridge Mortg. Bankers Corp., 2007 U.S. Dist. LEXIS 12572, at *5–7 (S.D. Fla. Feb. 22, 2007) (limiting certification to same location where the named plaintiffs and opt-in plaintiffs were employed where no evidence was submitted linking defendant’s policies in other locations); Robbins-Pagel v. WM. F. Puckett, Inc., 2006 U.S. Dist. LEXIS 85253 (M.D. Fla. Nov. 22, 2006) (limiting notice to same county as plaintiff where no evidence was provided outside of the county); Reed v. Mobile Cnty. Sch. Sys., 246 F. Supp. 2d 1227, 1332–33 (S.D. Ala. 2003) (denying certification based on plaintiffs’ failure to prove that schools within the district court’s geographic boundaries did not have autonomy regarding alleged wage violations); Harper v. Lovett’s Buffet, Inc., 185 F.R.D. 358, 363 (M.D. Ala. 1999) (refusing to recognize an FLSA class extending beyond the plaintiffs’ restaurant absent evidence that other restaurants handled overtime compensation issues similarly); Tucker v. Labor Leasing, Inc., 872 F. Supp. 941 (M.D. Fla. 1994) (deeming testimony of two clerical employees who worked within the company’s Jacksonville terminal insufficient to establish that other employees in other terminals were similarly situated where the company provided testimony that wage rates and shift decisions were made on a terminal-by-terminal basis).</w:t>
      </w:r>
    </w:p>
    <w:p w14:paraId="14F6A68D" w14:textId="77777777" w:rsidR="00721CCF" w:rsidRPr="00AD2F44" w:rsidRDefault="00F42107">
      <w:pPr>
        <w:pStyle w:val="14Footnote"/>
      </w:pPr>
      <w:r w:rsidRPr="00AD2F44">
        <w:rPr>
          <w:i/>
          <w:iCs/>
        </w:rPr>
        <w:t xml:space="preserve">See also </w:t>
      </w:r>
      <w:r w:rsidRPr="00AD2F44">
        <w:t>Bowman v. Crossmark, Inc., 2010 WL 2837519, at *3 (E.D. Tenn. July 19, 2010) (rejecting notice and finding that proposed nationwide class of 12,000 covering vast geographical area would “present a multitude of management and logistical problems”).</w:t>
      </w:r>
    </w:p>
    <w:p w14:paraId="55602A6A" w14:textId="77777777" w:rsidR="00721CCF" w:rsidRPr="00AD2F44" w:rsidRDefault="00F42107">
      <w:pPr>
        <w:pStyle w:val="14Footnote"/>
      </w:pPr>
      <w:r w:rsidRPr="00AD2F44">
        <w:rPr>
          <w:i/>
          <w:iCs/>
        </w:rPr>
        <w:t>Cf</w:t>
      </w:r>
      <w:r w:rsidRPr="00AD2F44">
        <w:t>.</w:t>
      </w:r>
      <w:r w:rsidRPr="00AD2F44">
        <w:rPr>
          <w:i/>
          <w:iCs/>
        </w:rPr>
        <w:t xml:space="preserve"> </w:t>
      </w:r>
      <w:r w:rsidRPr="00AD2F44">
        <w:t>Yerger v. Liberty Mut. Group, Inc., 2011 WL 5593151, at *5 (E.D.N.C. Nov. 15, 2011) (denying certification, but explaining that, at most, certification might be appropriate for a single region of employees in the same job position and business line, not for the nationwide collective action proposed, based on the six declarations from plaintiff, which all came from one business unit)</w:t>
      </w:r>
    </w:p>
  </w:footnote>
  <w:footnote w:id="128">
    <w:p w14:paraId="65481160" w14:textId="77777777" w:rsidR="00721CCF" w:rsidRPr="00AD2F44" w:rsidRDefault="00F42107">
      <w:pPr>
        <w:pStyle w:val="14Footnote"/>
      </w:pPr>
      <w:r w:rsidRPr="00AD2F44">
        <w:rPr>
          <w:vertAlign w:val="superscript"/>
        </w:rPr>
        <w:footnoteRef/>
      </w:r>
      <w:r w:rsidRPr="00AD2F44">
        <w:t>2007 U.S. Dist. LEXIS 26160 (M.D. Fla. Oct. 10, 2008).</w:t>
      </w:r>
    </w:p>
  </w:footnote>
  <w:footnote w:id="129">
    <w:p w14:paraId="18CF8D28" w14:textId="77777777" w:rsidR="00721CCF" w:rsidRPr="00AD2F44" w:rsidRDefault="00F42107">
      <w:pPr>
        <w:pStyle w:val="14Footnote"/>
      </w:pPr>
      <w:r w:rsidRPr="00AD2F44">
        <w:rPr>
          <w:vertAlign w:val="superscript"/>
        </w:rPr>
        <w:footnoteRef/>
      </w:r>
      <w:r w:rsidRPr="00AD2F44">
        <w:rPr>
          <w:i/>
          <w:iCs/>
        </w:rPr>
        <w:t>Id.</w:t>
      </w:r>
      <w:r w:rsidRPr="00AD2F44">
        <w:t xml:space="preserve"> at *10. </w:t>
      </w:r>
    </w:p>
  </w:footnote>
  <w:footnote w:id="130">
    <w:p w14:paraId="6D6705FB" w14:textId="77777777" w:rsidR="00721CCF" w:rsidRPr="00AD2F44" w:rsidRDefault="00F42107">
      <w:pPr>
        <w:pStyle w:val="14Footnote"/>
      </w:pPr>
      <w:r w:rsidRPr="00AD2F44">
        <w:rPr>
          <w:vertAlign w:val="superscript"/>
        </w:rPr>
        <w:footnoteRef/>
      </w:r>
      <w:r w:rsidRPr="00AD2F44">
        <w:rPr>
          <w:i/>
          <w:iCs/>
        </w:rPr>
        <w:t>See, e.g.,</w:t>
      </w:r>
    </w:p>
    <w:p w14:paraId="245D4ED8" w14:textId="77777777" w:rsidR="00721CCF" w:rsidRPr="00AD2F44" w:rsidRDefault="00F42107">
      <w:pPr>
        <w:pStyle w:val="14Footnote"/>
      </w:pPr>
      <w:r w:rsidRPr="00AD2F44">
        <w:rPr>
          <w:i/>
          <w:iCs/>
        </w:rPr>
        <w:t>Second Circuit:</w:t>
      </w:r>
      <w:r w:rsidRPr="00AD2F44">
        <w:t xml:space="preserve"> Glatt v. Fox Searchlight Pictures, Inc., 811 F.3d 528 (2d Cir. 2016) (vacating conditional certification by district court because question of intern’s employment status is affected by variance in duties, and such highly context-specific inquiry that requires individualized proof precludes conditional certification); Puglisi v. T.D. Bank, NA, 998 F. Supp. 2d 95 (E.D.N.Y. 2014) (13 affidavits from assistant store managers, copies of job openings, and employee handbook showed assistant store managers primarily performed nonexempt, nonmanagerial duties).</w:t>
      </w:r>
    </w:p>
    <w:p w14:paraId="2AA6743C" w14:textId="77777777" w:rsidR="00721CCF" w:rsidRPr="00AD2F44" w:rsidRDefault="00F42107">
      <w:pPr>
        <w:pStyle w:val="14Footnote"/>
      </w:pPr>
      <w:r w:rsidRPr="00AD2F44">
        <w:rPr>
          <w:i/>
          <w:iCs/>
        </w:rPr>
        <w:t>Third Circuit:</w:t>
      </w:r>
      <w:r w:rsidRPr="00AD2F44">
        <w:t xml:space="preserve"> Slone v. Gulf Interstate Field Servs., Inc., 2017 WL 1105236, at *11 (M.D. Pa. Mar. 24, 2017) (denying certification, applying “intermediate” or “modest plus” standard, because, among other reasons, putative class members had “different qualifications, expertise, and perform[] different job duties”); Chandler v. Heartland Emp. Servs., LLC, 2014 WL 1681989 (E.D. Pa. Apr. 28, 2014) (denying conditional certification in uniform maintenance case where plaintiff failed to show similarity in job duties because such cases hinge on whether uniform maintenance is integral and indispensable part of principal job duties).</w:t>
      </w:r>
    </w:p>
    <w:p w14:paraId="4EC5EB60" w14:textId="713514F5" w:rsidR="00721CCF" w:rsidRPr="00AD2F44" w:rsidRDefault="00F42107">
      <w:pPr>
        <w:pStyle w:val="14Footnote"/>
      </w:pPr>
      <w:r w:rsidRPr="00AD2F44">
        <w:rPr>
          <w:i/>
          <w:iCs/>
        </w:rPr>
        <w:t>Fourth Circuit</w:t>
      </w:r>
      <w:r w:rsidRPr="00AD2F44">
        <w:t xml:space="preserve">: </w:t>
      </w:r>
      <w:r>
        <w:t xml:space="preserve">Njoroge v. </w:t>
      </w:r>
      <w:r>
        <w:t>PrimaCare Partners, LLC,</w:t>
      </w:r>
      <w:r w:rsidR="00486191" w:rsidRPr="00486191">
        <w:rPr>
          <w:rFonts w:ascii="Arial" w:hAnsi="Arial" w:cs="Arial"/>
          <w:color w:val="292E31"/>
          <w:sz w:val="24"/>
        </w:rPr>
        <w:t xml:space="preserve"> </w:t>
      </w:r>
      <w:r w:rsidR="00486191" w:rsidRPr="00486191">
        <w:t>2022 BL 342131</w:t>
      </w:r>
      <w:r w:rsidR="00486191">
        <w:t>,</w:t>
      </w:r>
      <w:r>
        <w:t xml:space="preserve"> </w:t>
      </w:r>
      <w:r w:rsidR="0001082D" w:rsidRPr="0001082D">
        <w:t xml:space="preserve">2022 WL 4465894 </w:t>
      </w:r>
      <w:r>
        <w:t xml:space="preserve">(D. Md. Sept. 26, 2022) (granting conditional certification where evidence at initial stage was that all putative plaintiffs performed same basic duties and followed the same timekeeping process); </w:t>
      </w:r>
      <w:r w:rsidRPr="00AD2F44">
        <w:t xml:space="preserve">Hunt v. Aldi, Inc., 2020 WL 1248944, at *4–5 (D. Md. Mar. 16, 2020) (denying conditional certification where declarations submitted by defendant showed duties of store managers varied from store to store, reasoning that it was not making credibility determinations to recognize that duties vary too much to provide efficiencies associated with certification); Danford v. Lowe’s Home Ctrs., LLC, 2019 WL 4874823, at *6 (W.D.N.C. Oct. 2, 2019) (granting conditional certification of “hourly managers” that had “virtually identical” job descriptions and substantially similar job responsibilities; noting that fact-intensive inquiry into specifics tasks at this stage was inappropriate). </w:t>
      </w:r>
    </w:p>
    <w:p w14:paraId="19E3A9F4" w14:textId="59CF2D88" w:rsidR="00721CCF" w:rsidRPr="00AD2F44" w:rsidRDefault="00F42107">
      <w:pPr>
        <w:pStyle w:val="14Footnote"/>
      </w:pPr>
      <w:r w:rsidRPr="00AD2F44">
        <w:rPr>
          <w:i/>
          <w:iCs/>
        </w:rPr>
        <w:t>Fifth Circuit:</w:t>
      </w:r>
      <w:r w:rsidRPr="00AD2F44">
        <w:t xml:space="preserve"> Marquis v. Sadeghian, 2021 BL 504542, 2021 WL 6621686 (E.D. Tex. Dec. 30, 2021) (relying on </w:t>
      </w:r>
      <w:r w:rsidRPr="00AD2F44">
        <w:rPr>
          <w:i/>
          <w:iCs/>
        </w:rPr>
        <w:t xml:space="preserve">Swales </w:t>
      </w:r>
      <w:r w:rsidRPr="00AD2F44">
        <w:t>standard, denying conditional certification for failure to provide more than generalized allegations of job duties, and failing to demonstrate that putative collective members had same job duties or were similarly compensated); Ryan v. Staff Care, Inc., 497 F. Supp. 2d 820, 825 (N.D. Tex. 2007) (limiting class to three job positions represented by named plaintiffs).</w:t>
      </w:r>
    </w:p>
    <w:p w14:paraId="4DFBB494" w14:textId="77777777" w:rsidR="00721CCF" w:rsidRPr="00AD2F44" w:rsidRDefault="00F42107">
      <w:pPr>
        <w:pStyle w:val="14Footnote"/>
      </w:pPr>
      <w:r w:rsidRPr="00AD2F44">
        <w:rPr>
          <w:i/>
          <w:iCs/>
        </w:rPr>
        <w:t>Eleventh Circuit:</w:t>
      </w:r>
      <w:r w:rsidRPr="00AD2F44">
        <w:t xml:space="preserve"> Dybach v. State of Fla. Dep’t of Corrs., 942 F.2d 1562, 1567–68 (11th Cir. 1991).</w:t>
      </w:r>
    </w:p>
    <w:p w14:paraId="4C4B81C8" w14:textId="77777777" w:rsidR="00721CCF" w:rsidRPr="00AD2F44" w:rsidRDefault="00F42107">
      <w:pPr>
        <w:pStyle w:val="14Footnote"/>
      </w:pPr>
      <w:r w:rsidRPr="00AD2F44">
        <w:rPr>
          <w:i/>
        </w:rPr>
        <w:t>See also</w:t>
      </w:r>
    </w:p>
    <w:p w14:paraId="07BEC4B4" w14:textId="77777777" w:rsidR="00721CCF" w:rsidRPr="00AD2F44" w:rsidRDefault="00F42107">
      <w:pPr>
        <w:pStyle w:val="14Footnote"/>
      </w:pPr>
      <w:r w:rsidRPr="00AD2F44">
        <w:rPr>
          <w:i/>
          <w:iCs/>
        </w:rPr>
        <w:t>Second Circuit:</w:t>
      </w:r>
      <w:r w:rsidRPr="00AD2F44">
        <w:t xml:space="preserve"> Jenkins v. TJX Cos., 853 F. Supp. 2d 317, 324–25 (E.D.N.Y. 2012) (refusing to grant conditional certification where plaintiff did not provide evidence that anyone other than himself primarily performed nonexempt duties).</w:t>
      </w:r>
    </w:p>
    <w:p w14:paraId="3C8CE836" w14:textId="77777777" w:rsidR="00721CCF" w:rsidRPr="00AD2F44" w:rsidRDefault="00F42107">
      <w:pPr>
        <w:pStyle w:val="14Footnote"/>
      </w:pPr>
      <w:r w:rsidRPr="00AD2F44">
        <w:rPr>
          <w:i/>
          <w:iCs/>
        </w:rPr>
        <w:t>Third Circuit:</w:t>
      </w:r>
      <w:r w:rsidRPr="00AD2F44">
        <w:t xml:space="preserve"> Bramble v. Wal-Mart Stores, Inc., 2011 WL 1389510, at *8 (E.D. Pa. Apr. 12, 2011) (denying conditional certification where plaintiffs’ evidence was limited to their own experiences, and defendant’s evidence showed that putative class members’ duties varied based on variety of factors and that plaintiffs’ experiences were not reflective of putative class members as a group).</w:t>
      </w:r>
    </w:p>
    <w:p w14:paraId="04B529A6" w14:textId="77777777" w:rsidR="00721CCF" w:rsidRPr="00AD2F44" w:rsidRDefault="00F42107">
      <w:pPr>
        <w:pStyle w:val="14Footnote"/>
      </w:pPr>
      <w:r w:rsidRPr="00AD2F44">
        <w:rPr>
          <w:i/>
          <w:iCs/>
        </w:rPr>
        <w:t>Fourth Circuit:</w:t>
      </w:r>
      <w:r w:rsidRPr="00AD2F44">
        <w:t xml:space="preserve"> Stone v. SRA Int’l, Inc., 2014 WL 5410628, at *7–8 (E.D. Va. Oct. 22, 2014) (denying nationwide certification, but granting conditional certification, in exemption misclassification case for systems and network administrators working on single military contract where employees at issue were uniformly classified as exempt and shared “same core responsibilities and duties”).</w:t>
      </w:r>
    </w:p>
    <w:p w14:paraId="350B8A77" w14:textId="433C821C" w:rsidR="00721CCF" w:rsidRPr="00AD2F44" w:rsidRDefault="00F42107">
      <w:pPr>
        <w:pStyle w:val="14Footnote"/>
      </w:pPr>
      <w:r w:rsidRPr="00AD2F44">
        <w:rPr>
          <w:i/>
          <w:iCs/>
        </w:rPr>
        <w:t>Fifth Circuit:</w:t>
      </w:r>
      <w:r w:rsidRPr="00AD2F44">
        <w:t xml:space="preserve"> Cruz</w:t>
      </w:r>
      <w:r w:rsidRPr="00AD2F44">
        <w:rPr>
          <w:i/>
          <w:iCs/>
        </w:rPr>
        <w:t xml:space="preserve"> </w:t>
      </w:r>
      <w:r w:rsidRPr="00AD2F44">
        <w:t>v.</w:t>
      </w:r>
      <w:r w:rsidRPr="00AD2F44">
        <w:rPr>
          <w:i/>
          <w:iCs/>
        </w:rPr>
        <w:t xml:space="preserve"> </w:t>
      </w:r>
      <w:r w:rsidRPr="00AD2F44">
        <w:t>ConocoPhillips, 208 F. Supp. 3d 811, 817 (S.D. Tex. 2016) (conditionally certifying class of project leads claiming unpaid overtime, even though they worked in different components of business, where they had some common job duties and were all paid under day-rate system); Tamez v. BHP Billiton Petroleum (Ams.), Inc., 2015 WL 7075971 (W.D. Tex. Oct. 5, 2015) (conditionally certifying class of workers compensated on day-rate pay system irrespective of duties performed because day-rate pay system allegedly violated FLSA); Watson v. Travis Software Corp., 2008 WL 5068806, at *6 (S.D. Tex. Nov. 21, 2008) (granting conditional certification of class of support representatives, but clarifying that plaintiffs could not include period when they were serving in team leader or training and support liaison positions, because their duties in those positions, although still including support representative duties, included other duties that made them not similarly situated to support representatives).</w:t>
      </w:r>
      <w:r w:rsidR="00A5319D" w:rsidRPr="00A5319D">
        <w:rPr>
          <w:b/>
        </w:rPr>
        <w:t xml:space="preserve"> </w:t>
      </w:r>
      <w:r w:rsidR="00A5319D" w:rsidRPr="00AD2F44">
        <w:rPr>
          <w:b/>
        </w:rPr>
        <w:t xml:space="preserve">[Caution: </w:t>
      </w:r>
      <w:r w:rsidR="00A5319D" w:rsidRPr="00AD2F44">
        <w:t xml:space="preserve">The Fifth Circuit later rejected the two-stage process, in </w:t>
      </w:r>
      <w:r w:rsidR="00A5319D" w:rsidRPr="00AD2F44">
        <w:rPr>
          <w:i/>
        </w:rPr>
        <w:t xml:space="preserve">Swales v. KLLM Transport Services, LLC, </w:t>
      </w:r>
      <w:r w:rsidR="00A5319D" w:rsidRPr="00AD2F44">
        <w:t xml:space="preserve">985 F.3d 430 (5th Cir. 2021), in favor of a requirement to “rigorously scrutinize” whether potential opt-ins are similarly situated “from the outset of the case.” </w:t>
      </w:r>
      <w:r w:rsidR="00A5319D" w:rsidRPr="00AD2F44">
        <w:rPr>
          <w:i/>
        </w:rPr>
        <w:t>Id.</w:t>
      </w:r>
      <w:r w:rsidR="00A5319D" w:rsidRPr="00AD2F44">
        <w:t xml:space="preserve"> at 434.</w:t>
      </w:r>
      <w:r w:rsidR="00A5319D" w:rsidRPr="00AD2F44">
        <w:rPr>
          <w:b/>
          <w:bCs/>
        </w:rPr>
        <w:t>]</w:t>
      </w:r>
    </w:p>
    <w:p w14:paraId="16CBC3CF" w14:textId="77777777" w:rsidR="00721CCF" w:rsidRPr="00AD2F44" w:rsidRDefault="00F42107">
      <w:pPr>
        <w:pStyle w:val="14Footnote"/>
      </w:pPr>
      <w:r w:rsidRPr="00AD2F44">
        <w:rPr>
          <w:i/>
          <w:iCs/>
        </w:rPr>
        <w:t>Eighth Circuit:</w:t>
      </w:r>
      <w:r w:rsidRPr="00AD2F44">
        <w:t xml:space="preserve"> McLendon v. Schlumberger Tech. Corp., 2016 WL 3911897, at *4–6 (E.D. Ark. July 15, 2016) (denying certification in exemption misclassification case at locations in four states where plaintiff worked because his evidence of others’ duties suggested that his duties were different than theirs, and evidence was too vague and conclusory to meet lenient burden for initial notice); Chin v. Tile Shop, LLC, 2014 WL 5461891, at *5 (D. Minn. Oct. 27, 2014) (granting certification of class of assistant store managers and sales associates where evidence from six stores across three states showed that two jobs had uniform job duties).</w:t>
      </w:r>
    </w:p>
    <w:p w14:paraId="2223A81B" w14:textId="77777777" w:rsidR="00721CCF" w:rsidRPr="00AD2F44" w:rsidRDefault="00F42107">
      <w:pPr>
        <w:pStyle w:val="14Footnote"/>
      </w:pPr>
      <w:r w:rsidRPr="00AD2F44">
        <w:rPr>
          <w:i/>
          <w:iCs/>
        </w:rPr>
        <w:t>Ninth Circuit:</w:t>
      </w:r>
      <w:r w:rsidRPr="00AD2F44">
        <w:t xml:space="preserve"> Pataky v. Brigantine, Inc., 2017 WL 1855762, at *4 (S.D. Cal. May 8, 2017) (granting conditional certification in tip pooling case across restaurants where duties of individuals working in “server” function were similar); Syed v. M-I, LLC, 2014 WL 6685966, at *4–5 (E.D. Cal. Nov. 26, 2014) (granting conditional certification for five positions allegedly misclassified as exempt where job duties in job descriptions were identical for four jobs, fifth differed only as to one duty, and evidence from plaintiffs showed that job duties were largely same; thus, certification was not based merely on single decision to classify as exempt, which Ninth Circuit has cautioned against); Longnecker v. American Express Co., 2014 WL 4071662, at *4–5 (D. Ariz. Aug. 18, 2014) (granting conditional certification at one call center because plaintiff’s evidence, at initial notice stage, established that she and other call center workers whose primary function was to handle calls with clients, vendors, or public were all subject to same policy given that their duties allegedly required uncompensated work pre- and post-shift and during meal breaks); Hensley v. Eppendorf N.A., Inc., 2014 WL 2566144, at *5–7 (S.D. Cal. June 6, 2014) (granting conditional certification to putative class of technicians allegedly misclassified as exempt, given lenient standard and evidence that technicians performed same tasks and were all classified as exempt); Campanelli v. Hershey Co., 2010 WL 3219501, at *3 (N.D. Cal. Aug. 13, 2010) (granting conditional certification despite some variation in job duties where putative class members shared same job title, job description, compensation plan, and sales guidelines, and were all classified as exempt).</w:t>
      </w:r>
    </w:p>
    <w:p w14:paraId="6D11D7D2" w14:textId="03D6C518" w:rsidR="00721CCF" w:rsidRPr="00AD2F44" w:rsidRDefault="00F42107">
      <w:pPr>
        <w:pStyle w:val="14Footnote"/>
      </w:pPr>
      <w:r w:rsidRPr="00AD2F44">
        <w:rPr>
          <w:i/>
          <w:iCs/>
        </w:rPr>
        <w:t>Tenth Circuit</w:t>
      </w:r>
      <w:r w:rsidRPr="00AD2F44">
        <w:t>: Quint v. Vail Resorts, Inc., 2022 BL 248850, 2022 WL 2753637 (D. Colo. Feb. 21, 2022) (denying conditional certification for plaintiffs’ failure to allege substantial similarities between 36,000 seasonal employees with varied job titles working across 33 resorts).</w:t>
      </w:r>
    </w:p>
  </w:footnote>
  <w:footnote w:id="131">
    <w:p w14:paraId="4CF4C75C" w14:textId="77777777" w:rsidR="00721CCF" w:rsidRPr="00AD2F44" w:rsidRDefault="00F42107">
      <w:pPr>
        <w:pStyle w:val="14Footnote"/>
      </w:pPr>
      <w:r w:rsidRPr="00AD2F44">
        <w:rPr>
          <w:vertAlign w:val="superscript"/>
        </w:rPr>
        <w:footnoteRef/>
      </w:r>
      <w:r w:rsidRPr="00AD2F44">
        <w:t>246 F. Supp. 2d 1227 (S.D. Ala. 2003).</w:t>
      </w:r>
    </w:p>
  </w:footnote>
  <w:footnote w:id="132">
    <w:p w14:paraId="6590ED0F" w14:textId="77777777" w:rsidR="00721CCF" w:rsidRPr="00AD2F44" w:rsidRDefault="00F42107">
      <w:pPr>
        <w:pStyle w:val="14Footnote"/>
      </w:pPr>
      <w:r w:rsidRPr="00AD2F44">
        <w:rPr>
          <w:vertAlign w:val="superscript"/>
        </w:rPr>
        <w:footnoteRef/>
      </w:r>
      <w:r w:rsidRPr="00AD2F44">
        <w:rPr>
          <w:i/>
          <w:iCs/>
        </w:rPr>
        <w:t>Id</w:t>
      </w:r>
      <w:r w:rsidRPr="00AD2F44">
        <w:t>. at 1232.</w:t>
      </w:r>
    </w:p>
  </w:footnote>
  <w:footnote w:id="133">
    <w:p w14:paraId="03E35416" w14:textId="77777777" w:rsidR="00721CCF" w:rsidRPr="00AD2F44" w:rsidRDefault="00F42107">
      <w:pPr>
        <w:pStyle w:val="14Footnote"/>
      </w:pPr>
      <w:r w:rsidRPr="00AD2F44">
        <w:rPr>
          <w:vertAlign w:val="superscript"/>
        </w:rPr>
        <w:footnoteRef/>
      </w:r>
      <w:r w:rsidRPr="00AD2F44">
        <w:rPr>
          <w:i/>
        </w:rPr>
        <w:t>See, e.g.,</w:t>
      </w:r>
    </w:p>
    <w:p w14:paraId="431D783B" w14:textId="77777777" w:rsidR="00721CCF" w:rsidRPr="00AD2F44" w:rsidRDefault="00F42107">
      <w:pPr>
        <w:pStyle w:val="14Footnote"/>
      </w:pPr>
      <w:r w:rsidRPr="00AD2F44">
        <w:rPr>
          <w:i/>
          <w:iCs/>
        </w:rPr>
        <w:t>Second Circuit:</w:t>
      </w:r>
      <w:r w:rsidRPr="00AD2F44">
        <w:rPr>
          <w:b/>
          <w:bCs/>
          <w:i/>
          <w:iCs/>
        </w:rPr>
        <w:t xml:space="preserve"> </w:t>
      </w:r>
      <w:r w:rsidRPr="00AD2F44">
        <w:t>Jacob v. Duane Reade, Inc., 2012 WL 260230, at *8 (S.D.N.Y. Jan. 27, 2012) (granting conditional certification despite some differences in duties shown through competing evidence; plaintiffs need not be “identical” and differences were not so stark that they prevented employer from classifying all putative class members as exempt).</w:t>
      </w:r>
    </w:p>
    <w:p w14:paraId="5C9A37AA" w14:textId="77777777" w:rsidR="00721CCF" w:rsidRPr="00AD2F44" w:rsidRDefault="00F42107">
      <w:pPr>
        <w:pStyle w:val="14Footnote"/>
      </w:pPr>
      <w:r w:rsidRPr="00AD2F44">
        <w:rPr>
          <w:i/>
          <w:iCs/>
        </w:rPr>
        <w:t>Third Circuit:</w:t>
      </w:r>
      <w:r w:rsidRPr="00AD2F44">
        <w:t xml:space="preserve"> Mott v. Driveline Retail Merch., Inc., 23 F. Supp. 3d 483 (E.D. Pa. 2014) (defendant’s evidence of differences among employees’ duties relevant to stage two decertification after discovery); Hoffmann-La Roche, Inc., 118 F.R.D. 392, 407 (D.N.J. 1988), </w:t>
      </w:r>
      <w:r w:rsidRPr="00AD2F44">
        <w:rPr>
          <w:i/>
          <w:iCs/>
        </w:rPr>
        <w:t>aff’d in part and repealed and dismissed in part</w:t>
      </w:r>
      <w:r w:rsidRPr="00AD2F44">
        <w:t xml:space="preserve">, 862 F.2d 439 (3d Cir. 1988), </w:t>
      </w:r>
      <w:r w:rsidRPr="00AD2F44">
        <w:rPr>
          <w:i/>
          <w:iCs/>
        </w:rPr>
        <w:t>aff’d</w:t>
      </w:r>
      <w:r w:rsidRPr="00AD2F44">
        <w:t>, 493 U.S. 165 (1989); Ritzer v. UBS Fin. Servs., 2008 U.S. Dist. LEXIS 71635, at *4 (D.N.J. Sept. 22, 2008).</w:t>
      </w:r>
    </w:p>
    <w:p w14:paraId="2356527F" w14:textId="57A61E3D" w:rsidR="00721CCF" w:rsidRPr="00AD2F44" w:rsidRDefault="00F42107">
      <w:pPr>
        <w:pStyle w:val="14Footnote"/>
      </w:pPr>
      <w:r w:rsidRPr="00AD2F44">
        <w:rPr>
          <w:i/>
          <w:iCs/>
        </w:rPr>
        <w:t>Fifth Circuit:</w:t>
      </w:r>
      <w:r w:rsidRPr="00AD2F44">
        <w:t xml:space="preserve"> Alford v. Freedom Oilfield Servs., LLC, 2016 WL 8673858, at *5 (W.D. Tex. Aug. 17, 2016) (rejecting argument that differences in certain work experiences by some class members was sufficient to deny conditional certification, given that they were all classified as exempt and paid salary, and worked more than 40 hours, reasoning that job positions had to be similar but not identical); Lee v. </w:t>
      </w:r>
      <w:r w:rsidRPr="00AD2F44">
        <w:t>Metrocare Servs., 980 F. Supp. 2d 754 (N.D. Tex. 2013) (employees’ duties sufficiently similar for collective certification; alleged differences not material or significant enough to reject collective certification); Mateos v. Select Energy Servs., LLC, 977 F. Supp. 2d 640, 645 (W.D. Tex. 2013) (duties of plaintiffs and putative collective class members sufficiently similar because they established “two overarching themes” that their tasks required performance of safety observations and investigations of accidents, and that they worked more than 40 hours per week without overtime compensation); Tice v. AOC Senior Home Health Corp., 826 F. Supp. 2d 990, 996 (E.D. Tex. 2011) (granting conditional certification to nurses in light of evidence that they “shared the same basic job duties and were subject to the same pay practices,” refusing to focus on potential differences in job duties and work schedules identified by defendants in light of lenient standard at conditional certification stage); Tolentino v. C &amp; J Spec-Rent Servs., Inc., 716 F. Supp. 2d 642, 651–52 (S.D. Tex. 2010) (granting conditional certification to nonsupervisory employees in one division, despite different job titles, where plaintiffs’ evidence showed that job duties were similar and overlapped; “slight differences in job duties or functions do not run afoul of the similarly situated requirement”); Ryan v. Staff Care, Inc., 497 F. Supp. 2d 820, 825 (N.D. Tex. 2007).</w:t>
      </w:r>
      <w:r w:rsidR="00A5319D" w:rsidRPr="00A5319D">
        <w:rPr>
          <w:b/>
        </w:rPr>
        <w:t xml:space="preserve"> </w:t>
      </w:r>
      <w:r w:rsidR="00A5319D" w:rsidRPr="00AD2F44">
        <w:rPr>
          <w:b/>
        </w:rPr>
        <w:t xml:space="preserve">[Caution: </w:t>
      </w:r>
      <w:r w:rsidR="00A5319D" w:rsidRPr="00AD2F44">
        <w:t xml:space="preserve">The Fifth Circuit later rejected the two-stage process, in </w:t>
      </w:r>
      <w:r w:rsidR="00A5319D" w:rsidRPr="00AD2F44">
        <w:rPr>
          <w:i/>
        </w:rPr>
        <w:t xml:space="preserve">Swales v. KLLM Transport Services, LLC, </w:t>
      </w:r>
      <w:r w:rsidR="00A5319D" w:rsidRPr="00AD2F44">
        <w:t xml:space="preserve">985 F.3d 430 (5th Cir. 2021), in favor of a requirement to “rigorously scrutinize” whether potential opt-ins are similarly situated “from the outset of the case.” </w:t>
      </w:r>
      <w:r w:rsidR="00A5319D" w:rsidRPr="00AD2F44">
        <w:rPr>
          <w:i/>
        </w:rPr>
        <w:t>Id.</w:t>
      </w:r>
      <w:r w:rsidR="00A5319D" w:rsidRPr="00AD2F44">
        <w:t xml:space="preserve"> at 434.</w:t>
      </w:r>
      <w:r w:rsidR="00A5319D" w:rsidRPr="00AD2F44">
        <w:rPr>
          <w:b/>
          <w:bCs/>
        </w:rPr>
        <w:t>]</w:t>
      </w:r>
    </w:p>
    <w:p w14:paraId="41A78E87" w14:textId="77777777" w:rsidR="00721CCF" w:rsidRPr="00AD2F44" w:rsidRDefault="00F42107">
      <w:pPr>
        <w:pStyle w:val="14Footnote"/>
      </w:pPr>
      <w:r w:rsidRPr="00AD2F44">
        <w:rPr>
          <w:i/>
          <w:iCs/>
        </w:rPr>
        <w:t>Sixth Circuit:</w:t>
      </w:r>
      <w:r w:rsidRPr="00AD2F44">
        <w:t xml:space="preserve"> Colley v. Scherzinger Corp., 176 F. Supp. 3d 730, 732 (S.D. Ohio 2016) (granting conditional certification under “fairly lenient standard” and finding that Sixth Circuit requires plaintiffs to be similarly, but not identically, situated with putative class members).</w:t>
      </w:r>
    </w:p>
    <w:p w14:paraId="5413BA51" w14:textId="77777777" w:rsidR="00721CCF" w:rsidRPr="00AD2F44" w:rsidRDefault="00F42107">
      <w:pPr>
        <w:pStyle w:val="14Footnote"/>
      </w:pPr>
      <w:r w:rsidRPr="00AD2F44">
        <w:rPr>
          <w:i/>
          <w:iCs/>
        </w:rPr>
        <w:t>Seventh Circuit:</w:t>
      </w:r>
      <w:r w:rsidRPr="00AD2F44">
        <w:t xml:space="preserve"> Russell v. Illinois Bell Tel. Co., 575 F. Supp. 2d 930, 937–38 (N.D. Ill. 2008) (granting conditional certification where plaintiffs did not occupy all job titles covered by notice, because there was evidence of common unlawful policy or plan and potential class members performed similar primary duties that subjected them to that policy); DeKeyser v. Thyssenkrupp Waupaca, Inc., 2008 WL 5263750, at *4 (E.D. Wis. Dec. 18, 2008) (granting conditional certification based on lenient standard at first stage in donning and doffing case for nearly 4,000 employees in 142 job titles, even though evidence suggested many jobs did not include donning and doffing of protective equipment at issue; class could be narrowed later); Perry v. National City Mortg. Inc., 2007 U.S. Dist. LEXIS 45115 (S.D. Ill. June 21, 2007) (granting conditional certification to class of 5,500 loan originators over defendant’s objection that there were four levels of loan originators in the putative class where each level of originator was found to have the same overall mission of generating sales).</w:t>
      </w:r>
    </w:p>
    <w:p w14:paraId="13DF9723" w14:textId="77777777" w:rsidR="00721CCF" w:rsidRPr="00AD2F44" w:rsidRDefault="00F42107">
      <w:pPr>
        <w:pStyle w:val="14Footnote"/>
      </w:pPr>
      <w:r w:rsidRPr="00AD2F44">
        <w:rPr>
          <w:i/>
          <w:iCs/>
        </w:rPr>
        <w:t>Eighth Circuit:</w:t>
      </w:r>
      <w:r w:rsidRPr="00AD2F44">
        <w:t xml:space="preserve"> Smith v. Frac Tech Servs., Ltd., 2009 WL 4251017, at *7 (E.D. Ark. Nov. 24, 2009) (reasoning under lenient notice standard, “class members’ duties must only be similar, not identical”); Burch v. Qwest Commc’ns Int’l, Inc., 500 F. Supp. 2d 1181, 1187 (D. Minn. 2007) (deciding that “at this stage, Plaintiffs are not required to provide evidence showing Qwest’s illegal practice at every location or that Plaintiffs are identically situated to putative class members in all respects”).</w:t>
      </w:r>
    </w:p>
    <w:p w14:paraId="03B5C7CD" w14:textId="77777777" w:rsidR="00721CCF" w:rsidRPr="00AD2F44" w:rsidRDefault="00F42107">
      <w:pPr>
        <w:pStyle w:val="14Footnote"/>
      </w:pPr>
      <w:r w:rsidRPr="00AD2F44">
        <w:rPr>
          <w:i/>
          <w:iCs/>
        </w:rPr>
        <w:t>Ninth Circuit:</w:t>
      </w:r>
      <w:r w:rsidRPr="00AD2F44">
        <w:t xml:space="preserve"> Kellgren v. Petco Animal Supplies, Inc., 2015 WL 5167144 (S.D. Cal. Sept. 3, 2015) (finding that conditional certification only requires showing that putative members are similarly, not identically, situated); Davis v. Westgate Planet Hollywood Las Vegas, LLC, 2009 U.S. Dist. LEXIS 5941, at *27 (D. Nev. Jan. 12, 2009).</w:t>
      </w:r>
    </w:p>
    <w:p w14:paraId="6FBEABC8" w14:textId="74442593" w:rsidR="00721CCF" w:rsidRPr="00AD2F44" w:rsidRDefault="00F42107">
      <w:pPr>
        <w:pStyle w:val="14Footnote"/>
      </w:pPr>
      <w:r w:rsidRPr="00AD2F44">
        <w:rPr>
          <w:i/>
          <w:iCs/>
        </w:rPr>
        <w:t>Eleventh Circuit:</w:t>
      </w:r>
      <w:r w:rsidRPr="00AD2F44">
        <w:t xml:space="preserve"> Morgan v. Family Dollar Stores, Inc., 551 F.3d 1233, 1243 (11th Cir. 2008); Grayson v. K Mart Corp., 79 F.3d 1086, 1096 (11th Cir. 1996); Moxley v. OS Rest. Servs., LLC, 2022 BL 163649, 2022 WL 1487589, at *3 (M.D. Fla. May 11, 2022) (granting conditional certification despite variance in assistant manager job duties, recognizing, under </w:t>
      </w:r>
      <w:r w:rsidRPr="00AD2F44">
        <w:rPr>
          <w:i/>
          <w:iCs/>
        </w:rPr>
        <w:t>Hipp</w:t>
      </w:r>
      <w:r w:rsidRPr="00AD2F44">
        <w:t>, that standard is “similar, not identical”); Metzler v. Medical Mgmt. Int’l Inc., 2020 WL 1674310, at *5 (M.D. Fla. Mar. 4, 2020) (granting conditional certification, relying on plaintiffs’ declarations showing that positions were similar, not identical, despite defendant’s argument that individualized assessment was required).</w:t>
      </w:r>
    </w:p>
    <w:p w14:paraId="00D10D39" w14:textId="46939453" w:rsidR="00721CCF" w:rsidRPr="00AD2F44" w:rsidRDefault="00F42107">
      <w:pPr>
        <w:pStyle w:val="14Footnote"/>
      </w:pPr>
      <w:r w:rsidRPr="00AD2F44">
        <w:rPr>
          <w:i/>
          <w:iCs/>
        </w:rPr>
        <w:t>D.C. Circuit:</w:t>
      </w:r>
      <w:r w:rsidRPr="00AD2F44">
        <w:t xml:space="preserve"> Castillo v. P &amp; R Enters., Inc., 517 F. Supp. 2d 440, 446–47 (D.D.C. 2007) (granting conditional certification in spite of union and non-union employees holding different job titles when all employees were classified as nonexempt and performed cleaning duties in commercial office buildings).</w:t>
      </w:r>
    </w:p>
  </w:footnote>
  <w:footnote w:id="134">
    <w:p w14:paraId="6EF4F708" w14:textId="77777777" w:rsidR="00721CCF" w:rsidRPr="00AD2F44" w:rsidRDefault="00F42107">
      <w:pPr>
        <w:pStyle w:val="14Footnote"/>
      </w:pPr>
      <w:r w:rsidRPr="00AD2F44">
        <w:rPr>
          <w:vertAlign w:val="superscript"/>
        </w:rPr>
        <w:footnoteRef/>
      </w:r>
      <w:r w:rsidRPr="00AD2F44">
        <w:t>1998 U.S. Dist. LEXIS 13131 (M.D. Fla. 1998).</w:t>
      </w:r>
    </w:p>
  </w:footnote>
  <w:footnote w:id="135">
    <w:p w14:paraId="46B5D801" w14:textId="77777777" w:rsidR="00721CCF" w:rsidRPr="00AD2F44" w:rsidRDefault="00F42107">
      <w:pPr>
        <w:pStyle w:val="14Footnote"/>
      </w:pPr>
      <w:r w:rsidRPr="00AD2F44">
        <w:rPr>
          <w:vertAlign w:val="superscript"/>
        </w:rPr>
        <w:footnoteRef/>
      </w:r>
      <w:r w:rsidRPr="00AD2F44">
        <w:rPr>
          <w:i/>
          <w:iCs/>
        </w:rPr>
        <w:t>Id.</w:t>
      </w:r>
      <w:r w:rsidRPr="00AD2F44">
        <w:t xml:space="preserve"> at *12. </w:t>
      </w:r>
    </w:p>
  </w:footnote>
  <w:footnote w:id="136">
    <w:p w14:paraId="492C8B89"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137">
    <w:p w14:paraId="4CF1D332" w14:textId="77777777" w:rsidR="00721CCF" w:rsidRPr="00AD2F44" w:rsidRDefault="00F42107">
      <w:pPr>
        <w:pStyle w:val="14Footnote"/>
      </w:pPr>
      <w:r w:rsidRPr="00AD2F44">
        <w:rPr>
          <w:vertAlign w:val="superscript"/>
        </w:rPr>
        <w:footnoteRef/>
      </w:r>
      <w:r w:rsidRPr="00AD2F44">
        <w:rPr>
          <w:i/>
        </w:rPr>
        <w:t>See, e.g.,</w:t>
      </w:r>
    </w:p>
    <w:p w14:paraId="7440097D" w14:textId="77777777" w:rsidR="00721CCF" w:rsidRPr="00AD2F44" w:rsidRDefault="00F42107">
      <w:pPr>
        <w:pStyle w:val="14Footnote"/>
      </w:pPr>
      <w:r w:rsidRPr="00AD2F44">
        <w:rPr>
          <w:i/>
          <w:iCs/>
        </w:rPr>
        <w:t>Second Circuit:</w:t>
      </w:r>
      <w:r w:rsidRPr="00AD2F44">
        <w:t xml:space="preserve"> Kucker v. Petco Animal Supplies Stores, Inc., 2016 WL 237425 (S.D.N.Y. Jan. 1, 2016) (conditional certification granted for pet store grooming assistants and pet stylists who alleged common requirement to purchase their own job-related equipment); Ack v. Manhattan Beer </w:t>
      </w:r>
      <w:r w:rsidRPr="00AD2F44">
        <w:t>Distribs., Inc., 2012 WL 1710985, at *3–4 (E.D.N.Y. May 15, 2012) (rejecting defendant’s argument that variance in job duties precluded conditional certification, explaining that is a merits determination, and finding conditional certification appropriate nationally where defendant failed to refute plaintiffs’ evidence that company did not pay overtime); Alli v. Boston Mkt. Co., 2011 WL 4006691, at *2–4 (D. Conn. Sept. 8, 2011) (granting conditional certification in misclassification case across several managerial titles where evidence, such as defendant’s written polices and guidelines, showed “consistent responsibilities” and “no relevant difference” between job functions; refusing to consider defendant’s declarations stating that the job duties varied); Scholtisek v. The Eldre Corp., 229 F.R.D. 381, 388–90 (W.D.N.Y. 2005) (granting conditional certification for all employees who were classified as exempt and were subjected to allegedly improper deduction policy, even though they “had different duties and performed different types of work”); Gjurovich v. Emmanuel’s Marketplace, Inc., 282 F. Supp. 2d 91, 94 (S.D.N.Y. 2003) (class certified where named plaintiff meat cutter and supervisor alleged that he and other employees who worked in the meat, dairy, produce, frozen foods, grocery, bakery, deli, and front end departments were misclassified as exempt because their primary duty was “production/sales work”); Realite v. Ark Rests. Corp., 7 F. Supp. 2d 303 (S.D.N.Y. 1998) (conditional certification granted for class including all hourly paid, nonmanagerial employees (e.g., waitstaff, bartenders, servers, busboys, back waitstaff, kitchen workers, porters, dishwashers, cooks, assistant cooks, salad makers, mixers-bakers, pizza makers, prep cooks, security guards, or any equivalent) where plaintiffs and putative class were paid fixed rates regardless of the number of hours actually worked and company did not track hours worked).</w:t>
      </w:r>
    </w:p>
    <w:p w14:paraId="57B908EE" w14:textId="77777777" w:rsidR="00721CCF" w:rsidRPr="00AD2F44" w:rsidRDefault="00F42107">
      <w:pPr>
        <w:pStyle w:val="14Footnote"/>
      </w:pPr>
      <w:r w:rsidRPr="00AD2F44">
        <w:rPr>
          <w:i/>
          <w:iCs/>
        </w:rPr>
        <w:t>Third Circuit:</w:t>
      </w:r>
      <w:r w:rsidRPr="00AD2F44">
        <w:t xml:space="preserve"> Hively v. Allis-Chalmers Energy, Inc., 2013 WL 5936418 (W.D. Pa. Nov. 5, 2013) (granting conditional certification despite different job titles where employer’s Rule 30(b)(6) designee testified that employees had basically same responsibilities, had similarly determined salaries, and were similarly classified as exempt).</w:t>
      </w:r>
    </w:p>
    <w:p w14:paraId="70986A80" w14:textId="77777777" w:rsidR="00721CCF" w:rsidRPr="00AD2F44" w:rsidRDefault="00F42107">
      <w:pPr>
        <w:pStyle w:val="14Footnote"/>
      </w:pPr>
      <w:r w:rsidRPr="00AD2F44">
        <w:rPr>
          <w:i/>
          <w:iCs/>
        </w:rPr>
        <w:t>Fourth Circuit:</w:t>
      </w:r>
      <w:r w:rsidRPr="00AD2F44">
        <w:rPr>
          <w:b/>
          <w:bCs/>
        </w:rPr>
        <w:t xml:space="preserve"> </w:t>
      </w:r>
      <w:r w:rsidRPr="00AD2F44">
        <w:t>Faust v. Comcast Cable Commc’ns Mgmt., LLC, 2011 WL 5244421, at *4 (D. Md. Nov. 1, 2011) (granting conditional certification; evidence showed that putative class members all had to boot up computer, log in, and upload software, even if order varied, before shift started); McLaurin v. Prestage Foods, Inc., 271 F.R.D. 465, 470 (E.D.N.C. 2010) (granting conditional certification and rejecting defendant’s argument that differences in job duties precluded conditional certification, but limiting class to only production employees who were paid on “line time basis”; excluding employees paid on different basis).</w:t>
      </w:r>
    </w:p>
    <w:p w14:paraId="223A9AC0" w14:textId="643F849C" w:rsidR="00721CCF" w:rsidRPr="00AD2F44" w:rsidRDefault="00F42107">
      <w:pPr>
        <w:pStyle w:val="14Footnote"/>
      </w:pPr>
      <w:r w:rsidRPr="00AD2F44">
        <w:rPr>
          <w:i/>
          <w:iCs/>
        </w:rPr>
        <w:t>Fifth Circuit:</w:t>
      </w:r>
      <w:r w:rsidRPr="00AD2F44">
        <w:t xml:space="preserve"> Jones v. Cretic Energy Servs., 149 F. Supp. 3d 761, 773 (S.D. Tex. 2015) (conditional certification granted for group of equipment operators and service supervisors who directed their work, finding day-to-day job duties for both groups did not exhibit “vast” differences alleged by defendant, even though operators performed some administrative duties, whereas service supervisors did not); Smith v. Manhattan Mgmt. Co. LLC, 2015 WL 4097267 (E.D. La. July 7, 2015) (conditionally certifying class of dispatchers, security personnel, and other employees who worked and lived at defendant’s apartment complex and received fixed-rate “rent credit” compensation system, but excluding pool staff employees paid on hourly rate); Mateos v. Select Energy Servs., LLC, 977 F. Supp. 2d 640, 645 (W.D. Tex. 2013) (holding that job duties of plaintiffs and putative collective class members sufficiently similar because they established “two overarching themes” that tasks required performance of safety observations and investigation of accidents, and they worked more than 40 hours per week without overtime compensation); Gonzalez v. Ridgewood Landscaping, Inc., 2010 WL 1903602, at *7 (S.D. Tex. May 10, 2010) (conditionally certifying class involving employees with different supervisors and jobs, where one payroll administrator was responsible for preparing all time records and there was no time clock or other similar method for timekeeping); Aguilar v. Complete Landsculpture, Inc., 2004 U.S. Dist. LEXIS 20265, at *10–11 (N.D. Tex. Oct. 7, 2004) (foreman and laborers were included in same case where they each complained of being denied overtime by being paid a “block rate”); Donohue v. Francis Servs., Inc., 2004 U.S. Dist. LEXIS 9355, at *5 (E.D. La. May 25, 2004) (certification included multiple jobs that were allegedly affected by failure to include bonuses in regular rate; court stated, “collective action certification is not precluded by the fact that the putative plaintiffs performed various jobs in differing departments and locations”).</w:t>
      </w:r>
      <w:r w:rsidR="00A5319D" w:rsidRPr="00A5319D">
        <w:rPr>
          <w:b/>
        </w:rPr>
        <w:t xml:space="preserve"> </w:t>
      </w:r>
      <w:r w:rsidR="00A5319D" w:rsidRPr="00AD2F44">
        <w:rPr>
          <w:b/>
        </w:rPr>
        <w:t xml:space="preserve">[Caution: </w:t>
      </w:r>
      <w:r w:rsidR="00A5319D" w:rsidRPr="00AD2F44">
        <w:t xml:space="preserve">The Fifth Circuit later rejected the two-stage process, in </w:t>
      </w:r>
      <w:r w:rsidR="00A5319D" w:rsidRPr="00AD2F44">
        <w:rPr>
          <w:i/>
        </w:rPr>
        <w:t xml:space="preserve">Swales v. KLLM Transport Services, LLC, </w:t>
      </w:r>
      <w:r w:rsidR="00A5319D" w:rsidRPr="00AD2F44">
        <w:t xml:space="preserve">985 F.3d 430 (5th Cir. 2021), in favor of a requirement to “rigorously scrutinize” whether potential opt-ins are similarly situated “from the outset of the case.” </w:t>
      </w:r>
      <w:r w:rsidR="00A5319D" w:rsidRPr="00AD2F44">
        <w:rPr>
          <w:i/>
        </w:rPr>
        <w:t>Id.</w:t>
      </w:r>
      <w:r w:rsidR="00A5319D" w:rsidRPr="00AD2F44">
        <w:t xml:space="preserve"> at 434.</w:t>
      </w:r>
      <w:r w:rsidR="00A5319D" w:rsidRPr="00AD2F44">
        <w:rPr>
          <w:b/>
          <w:bCs/>
        </w:rPr>
        <w:t>]</w:t>
      </w:r>
    </w:p>
    <w:p w14:paraId="3D4F811B" w14:textId="35922F71" w:rsidR="00721CCF" w:rsidRPr="00AD2F44" w:rsidRDefault="00F42107">
      <w:pPr>
        <w:pStyle w:val="14Footnote"/>
      </w:pPr>
      <w:r w:rsidRPr="00AD2F44">
        <w:rPr>
          <w:i/>
          <w:iCs/>
        </w:rPr>
        <w:t>Sixth Circuit:</w:t>
      </w:r>
      <w:r w:rsidRPr="00AD2F44">
        <w:rPr>
          <w:b/>
          <w:bCs/>
        </w:rPr>
        <w:t xml:space="preserve"> </w:t>
      </w:r>
      <w:r w:rsidRPr="00AD2F44">
        <w:t>Hall v. Gannett, 2021 BL 22364, 2021 WL 231310 (W.D. Ky. Jan. 22, 2021) (granting conditional certification for all categories of hourly call center employees subject to defendant’s clocking-in policy);</w:t>
      </w:r>
      <w:r w:rsidRPr="00AD2F44">
        <w:rPr>
          <w:b/>
          <w:bCs/>
        </w:rPr>
        <w:t xml:space="preserve"> </w:t>
      </w:r>
      <w:r w:rsidRPr="00AD2F44">
        <w:t>Richardson v. Vizion One Inc., 2018 WL 3912805 (S.D. Ohio Aug. 16, 2018) (granting conditional certification of subclasses of home and non-home health care workers, even though plaintiffs were only employed as non-home health care workers, reasoning that plaintiffs need not work in the same position, but instead only show the positions to be similar); Lutz v. Huntington Bancshares Inc., 2013 WL 1703361, at *4–5 (S.D. Ohio Apr. 19, 2013) (granting conditional certification of home loan underwriters with different job titles because their job duties were similar, but excluding business banking underwriters where evidence showed their job duties differed from home lending underwriters and involved more discretion, making them too different from home lending underwriters for conditional certification); Shipes v. Amurcon Corp., 2012 WL 995362, at *6–11 (E.D. Mich. Mar. 23, 2012) (granting conditional certification to hourly employees, explaining that difference in job duties, at least at this stage, did not overcome the unifying allegations of time-record alteration, but denying (without prejudice) conditional certification to salaried employees because of lack of evidence that other salaried employees’ job duties were similar to plaintiff’s duties).</w:t>
      </w:r>
    </w:p>
    <w:p w14:paraId="2E18BBFB" w14:textId="77777777" w:rsidR="00721CCF" w:rsidRPr="00AD2F44" w:rsidRDefault="00F42107">
      <w:pPr>
        <w:pStyle w:val="14Footnote"/>
      </w:pPr>
      <w:r w:rsidRPr="00AD2F44">
        <w:rPr>
          <w:i/>
          <w:iCs/>
        </w:rPr>
        <w:t>Seventh Circuit:</w:t>
      </w:r>
      <w:r w:rsidRPr="00AD2F44">
        <w:t xml:space="preserve"> Heckler v. DK Funding, LLC, 502 F. Supp. 2d 777, 781 (N.D. Ill. 2007) (including all hourly employees where evidence was presented that employer had a practice of editing employee timesheets to remove overtime hours that had not been preapproved by managers); Boyd v. Jupiter Aluminum Corp., 2006 U.S. Dist. LEXIS 35654, at *13–14 (N.D. Ind. May 31, 2006) (holding that conditional certification included all hourly employees although plaintiffs were employed in only two of 11 departments where plaintiffs asserted that the plant paid all hourly employees based on the scheduled length of their shift regardless of their hours actually worked).</w:t>
      </w:r>
    </w:p>
    <w:p w14:paraId="05F0577E" w14:textId="77777777" w:rsidR="00721CCF" w:rsidRPr="00AD2F44" w:rsidRDefault="00F42107">
      <w:pPr>
        <w:pStyle w:val="14Footnote"/>
      </w:pPr>
      <w:r w:rsidRPr="00AD2F44">
        <w:rPr>
          <w:i/>
          <w:iCs/>
        </w:rPr>
        <w:t>Ninth Circuit:</w:t>
      </w:r>
      <w:r w:rsidRPr="00AD2F44">
        <w:t xml:space="preserve"> Pataky v. Brigantine, Inc., 2017 WL 1855762, at *4–5 (S.D. Cal. May 8, 2017) (granting conditional certification in tip pooling case across multiple restaurants where there was evidence that nature of work performed and tip practices were similar across locations and multiple job titles of individuals working as “servers,” and declining to consider defendants’ contrary evidence that went to merits at conditional certification stage); Coates v. Farmers Grp., Inc., 2015 WL 8477918, at *9 (N.D. Cal. Dec. 9, 2015) (granting conditional certification for individuals within defendant’s Claims Litigation Department that encompassed 11 job titles and 40 locations, concluding that whether variations in duties made case unmanageable “is more appropriate on a case-by-case basis” at second stage of analysis); Cardoza v. Bloomin’ Brands, Inc., 2014 WL 5454178, at *3 (D. Nev. Oct. 24, 2014) (variation in job titles did not preclude certification given that allegations of off-the-clock work were sufficiently similar at conditional certification stage); Davis v. Social Serv. Coordinators, Inc., 2012 WL 5361746, at *16 (E.D. Cal. Oct. 30, 2012), </w:t>
      </w:r>
      <w:r w:rsidRPr="00AD2F44">
        <w:rPr>
          <w:i/>
          <w:iCs/>
        </w:rPr>
        <w:t>report and recommendation adopted as modified,</w:t>
      </w:r>
      <w:r w:rsidRPr="00AD2F44">
        <w:t xml:space="preserve"> 2012 WL 5838825 (E.D. Cal. Nov. 15, 2012) (conditionally certifying class of remote case managers and employees with similar job duties because, although primary job duties varied slightly, differences did not preclude notice at this stage); Gee v. Suntrust Mortg., Inc., 2011 WL 722111, at *3 (N.D. Cal. Feb. 18, 2011) (granting conditional certification for mortgage underwriters, despite class encompassing three different levels of underwriter, because evidence showed, at least for purposes of notice at initial certification stage, that their primary duty was reviewing loan applications and that variations were about loan size they could approve); White v. Rakhra Mushroom Farm Corp., 2009 WL 971857, at *4 (D. Or. Apr. 8, 2009) (conditionally certifying class involving multiple job positions where evidence at early stage showed that employer uniformly applied agricultural exemption even though some employees may have performed work that might have taken them outside exemption).</w:t>
      </w:r>
    </w:p>
    <w:p w14:paraId="70591EF0" w14:textId="77777777" w:rsidR="00721CCF" w:rsidRPr="00AD2F44" w:rsidRDefault="00F42107">
      <w:pPr>
        <w:pStyle w:val="14Footnote"/>
      </w:pPr>
      <w:r w:rsidRPr="00AD2F44">
        <w:rPr>
          <w:i/>
          <w:iCs/>
        </w:rPr>
        <w:t>Tenth Circuit</w:t>
      </w:r>
      <w:r w:rsidRPr="00AD2F44">
        <w:t xml:space="preserve">: Mayhew v. Angmar Med. Holdings, Inc., 2019 WL 6255109, at *2 (D. Kan. Nov. 22, 2019) (granting conditional certification of both licensed practical nurses (LPNs) and licensed vocational nurses (LVNs) despite defendant’s argument that absence of policy showed lack of a common plan for both job titles, noting that arguments about plaintiff’s failure to complete timesheets was merits-related and therefore premature, and there was evidence of a policy not to compensate LPNs or LVNs for drive time even when performing job-related tasks). </w:t>
      </w:r>
    </w:p>
    <w:p w14:paraId="2604D6CC" w14:textId="4C42BE42" w:rsidR="00721CCF" w:rsidRPr="00AD2F44" w:rsidRDefault="00F42107">
      <w:pPr>
        <w:pStyle w:val="14Footnote"/>
      </w:pPr>
      <w:r w:rsidRPr="00AD2F44">
        <w:rPr>
          <w:i/>
          <w:iCs/>
        </w:rPr>
        <w:t>Eleventh Circuit:</w:t>
      </w:r>
      <w:r w:rsidRPr="00AD2F44">
        <w:t xml:space="preserve"> Pena v. Handy Wash, Inc., 28 F. Supp. 3d 1289, 1296–98 (S.D. Fla. 2014) (granting conditional certification of paratransit drivers allegedly misclassified as independent contractors where they performed similar duties, even if there was some variation, because they were subject to same policy or practice of classification as independent contractors); Lawson v. Bell S. Telecomm., Inc., 2011 WL 3608462, at *7–10 (N.D. Ga. Aug. 16, 2011) (granting conditional certification in misclassification case despite argument, supported by declarations and survey, that there were variations in job duties, where corporate representative admitted job duties were similar across country, company uniformly classified employees in job position as exempt, and declarations of plaintiffs showed similarity in functions); Maudlin v. Johnny Kynard Logging, Inc., 2009 WL 455479, at *4 (S.D. Ala. Feb. 20, 2009) (granting conditional certification despite multiple job positions, where evidence indicated all employees were paid flat daily rate regardless of hours worked); Brown v. Maximum Efficiency Squared, LLC, 2008 U.S. Dist. LEXIS 35608, at *5–6 (M.D. Ala. Apr. 30, 2008) (granting conditional certification where employees had “variety of job titles” but were “subject to the same automatic deduction policy” of deducting 30 minutes for lunch regardless of whether the employees were able to take lunch); Garrison v. Chuck, Carol &amp; Co., 2007 U.S. Dist. LEXIS 26737, at *13 (M.D. Fla. Sept. 21, 2007) (approving notice to be sent to all “current and former, hourly paid, construction workers and manual laborers” based on court-ordered interrogatories filed by the named plaintiff who worked as a welder, shop supervisor, and groundskeeper and five named plaintiffs who were manual laborers and construction workers); Barron v. Henry Cnty. Sch. Sys., 242 F. Supp. 2d 1096, 1105 (M.D. Ala. 2003) (certifying class to include bus drivers, custodians, assistant teachers, janitors, cafeteria workers, maintenance workers, bus barn employees, secretaries, cafeteria managers, mechanics, maids, and security guards based on expert evidence that “systemic FLSA abuses” were occurring in the school system).</w:t>
      </w:r>
    </w:p>
  </w:footnote>
  <w:footnote w:id="138">
    <w:p w14:paraId="22B12275" w14:textId="77777777" w:rsidR="00721CCF" w:rsidRPr="00AD2F44" w:rsidRDefault="00F42107">
      <w:pPr>
        <w:pStyle w:val="14Footnote"/>
      </w:pPr>
      <w:r w:rsidRPr="00AD2F44">
        <w:rPr>
          <w:vertAlign w:val="superscript"/>
        </w:rPr>
        <w:footnoteRef/>
      </w:r>
      <w:r w:rsidRPr="00AD2F44">
        <w:t>185 F.R.D. 358 (M.D. Ala. 1999).</w:t>
      </w:r>
    </w:p>
  </w:footnote>
  <w:footnote w:id="139">
    <w:p w14:paraId="0083ADE3" w14:textId="77777777" w:rsidR="00721CCF" w:rsidRPr="00AD2F44" w:rsidRDefault="00F42107">
      <w:pPr>
        <w:pStyle w:val="14Footnote"/>
      </w:pPr>
      <w:r w:rsidRPr="00AD2F44">
        <w:rPr>
          <w:vertAlign w:val="superscript"/>
        </w:rPr>
        <w:footnoteRef/>
      </w:r>
      <w:r w:rsidRPr="00AD2F44">
        <w:rPr>
          <w:i/>
          <w:iCs/>
        </w:rPr>
        <w:t>Id</w:t>
      </w:r>
      <w:r w:rsidRPr="00AD2F44">
        <w:t xml:space="preserve">. at 364; </w:t>
      </w:r>
      <w:r w:rsidRPr="00AD2F44">
        <w:rPr>
          <w:i/>
          <w:iCs/>
        </w:rPr>
        <w:t>see also</w:t>
      </w:r>
      <w:r w:rsidRPr="00AD2F44">
        <w:t xml:space="preserve"> Marcus v. American Contract Bridge League, 254 F.R.D. 44, 48 (D. Conn. 2008) (granting conditional certification despite evidence of differences in responsibilities among potential class members, because there was sufficient evidence of similar “baseline responsibilities” at notice stage to warrant certification).</w:t>
      </w:r>
    </w:p>
  </w:footnote>
  <w:footnote w:id="140">
    <w:p w14:paraId="56B28699" w14:textId="77777777" w:rsidR="00721CCF" w:rsidRPr="00AD2F44" w:rsidRDefault="00F42107">
      <w:pPr>
        <w:pStyle w:val="14Footnote"/>
      </w:pPr>
      <w:r w:rsidRPr="00AD2F44">
        <w:rPr>
          <w:vertAlign w:val="superscript"/>
        </w:rPr>
        <w:footnoteRef/>
      </w:r>
      <w:r w:rsidRPr="00AD2F44">
        <w:rPr>
          <w:i/>
        </w:rPr>
        <w:t>See, e.g.,</w:t>
      </w:r>
    </w:p>
    <w:p w14:paraId="19E29113" w14:textId="6B61AB92" w:rsidR="00721CCF" w:rsidRPr="00AD2F44" w:rsidRDefault="00F42107">
      <w:pPr>
        <w:pStyle w:val="14Footnote"/>
      </w:pPr>
      <w:r w:rsidRPr="00AD2F44">
        <w:rPr>
          <w:i/>
          <w:iCs/>
        </w:rPr>
        <w:t>Second Circuit:</w:t>
      </w:r>
      <w:r w:rsidRPr="00AD2F44">
        <w:t xml:space="preserve"> Aguilo v. Vails Gate Cleaners Inc., 2020 BL 243206, 2020 WL 3545558 (S.D.N.Y. June 30, 2020) (limiting conditional certification to jobs similar in function and duties as named plaintiff where plaintiff’s declaration failed to establish how all nonmanagerial employees of defendant were similarly situated); Sherrill v. Sutherland Global Servs., 487 F. Supp. 2d 344, 350 (W.D.N.Y. 2007); Anglada v. Linens ‘n Things, Inc., 2007 U.S. Dist. LEXIS 39105, at *21–22 (S.D.N.Y. Apr. 26, 2007), </w:t>
      </w:r>
      <w:r w:rsidRPr="00AD2F44">
        <w:rPr>
          <w:i/>
          <w:iCs/>
        </w:rPr>
        <w:t>adopted by</w:t>
      </w:r>
      <w:r w:rsidRPr="00AD2F44">
        <w:t xml:space="preserve"> 2007 U.S. Dist. LEXIS 38918 (S.D.N.Y. May 22, 2007).</w:t>
      </w:r>
    </w:p>
    <w:p w14:paraId="23E43DA7" w14:textId="4380EB47" w:rsidR="00721CCF" w:rsidRPr="00AD2F44" w:rsidRDefault="00F42107">
      <w:pPr>
        <w:pStyle w:val="14Footnote"/>
      </w:pPr>
      <w:r w:rsidRPr="00AD2F44">
        <w:rPr>
          <w:i/>
          <w:iCs/>
        </w:rPr>
        <w:t>Third Circuit</w:t>
      </w:r>
      <w:r w:rsidRPr="00AD2F44">
        <w:t xml:space="preserve">: </w:t>
      </w:r>
      <w:r w:rsidRPr="00AD2F44">
        <w:t xml:space="preserve">Kyem v. Merakey USA, 2021 BL 161280, 2021 WL 1732501 (E.D. Pa. Apr. 30, 2021) (limiting conditional certification to plaintiff’s position of behavioral specialist consultant (BSC) and licensed BSC for failure to provide sufficient evidence to establish that his position was similar to others, such as mobile therapists and therapeutic support staff). </w:t>
      </w:r>
    </w:p>
    <w:p w14:paraId="061DE88B" w14:textId="5445E958" w:rsidR="00721CCF" w:rsidRPr="00AD2F44" w:rsidRDefault="00F42107">
      <w:pPr>
        <w:pStyle w:val="14Footnote"/>
      </w:pPr>
      <w:r w:rsidRPr="00AD2F44">
        <w:rPr>
          <w:i/>
          <w:iCs/>
        </w:rPr>
        <w:t>Fifth Circuit:</w:t>
      </w:r>
      <w:r w:rsidRPr="00AD2F44">
        <w:t xml:space="preserve"> Tolentino v. C &amp; J Spec-Rent Servs., Inc., 716 F. Supp. 2d 642, 652 (S.D. Tex. 2010) (limiting conditional certification to nonsupervisory employees in one division, and excluding supervisor and employees outside the same division, because supervisor’s duties were too dissimilar, defendant’s evidence was that other division’s employees performed different duties with different equipment and in differently structured working units, and plaintiff had provided no evidence that those employees were similarly situated); Ryan v. Staff Care, Inc., 497 F. Supp. 2d 820, 825 (N.D. Tex. 2007) (limiting class to employees holding the same three positions as the named plaintiffs).</w:t>
      </w:r>
      <w:r w:rsidR="00A5319D" w:rsidRPr="00A5319D">
        <w:rPr>
          <w:b/>
        </w:rPr>
        <w:t xml:space="preserve"> </w:t>
      </w:r>
      <w:r w:rsidR="00A5319D" w:rsidRPr="00AD2F44">
        <w:rPr>
          <w:b/>
        </w:rPr>
        <w:t xml:space="preserve">[Caution: </w:t>
      </w:r>
      <w:r w:rsidR="00A5319D" w:rsidRPr="00AD2F44">
        <w:t xml:space="preserve">The Fifth Circuit later rejected the two-stage process, in </w:t>
      </w:r>
      <w:r w:rsidR="00A5319D" w:rsidRPr="00AD2F44">
        <w:rPr>
          <w:i/>
        </w:rPr>
        <w:t xml:space="preserve">Swales v. KLLM Transport Services, LLC, </w:t>
      </w:r>
      <w:r w:rsidR="00A5319D" w:rsidRPr="00AD2F44">
        <w:t xml:space="preserve">985 F.3d 430 (5th Cir. 2021), in favor of a requirement to “rigorously scrutinize” whether potential opt-ins are similarly situated “from the outset of the case.” </w:t>
      </w:r>
      <w:r w:rsidR="00A5319D" w:rsidRPr="00AD2F44">
        <w:rPr>
          <w:i/>
        </w:rPr>
        <w:t>Id.</w:t>
      </w:r>
      <w:r w:rsidR="00A5319D" w:rsidRPr="00AD2F44">
        <w:t xml:space="preserve"> at 434.</w:t>
      </w:r>
      <w:r w:rsidR="00A5319D" w:rsidRPr="00AD2F44">
        <w:rPr>
          <w:b/>
          <w:bCs/>
        </w:rPr>
        <w:t>]</w:t>
      </w:r>
    </w:p>
    <w:p w14:paraId="446ECACD" w14:textId="77777777" w:rsidR="00721CCF" w:rsidRPr="00AD2F44" w:rsidRDefault="00F42107">
      <w:pPr>
        <w:pStyle w:val="14Footnote"/>
      </w:pPr>
      <w:r w:rsidRPr="00AD2F44">
        <w:rPr>
          <w:i/>
          <w:iCs/>
        </w:rPr>
        <w:t xml:space="preserve">Seventh Circuit: </w:t>
      </w:r>
      <w:r w:rsidRPr="00AD2F44">
        <w:t>North v. Board of Trs. of Ill. State Univ., 676 F. Supp. 2d 690, 697–98 (C.D. Ill. 2009) (granting conditional certification as to job positions represented by named plaintiffs, because defendants admitted work agreement applied to all individuals in that job position and that records showed they sometimes worked over 40 hours, but denying conditional certification as to remaining job positions because plaintiffs presented only allegations, and no evidence, precluding them from making modest factual showing that putative collective action members were similarly situated).</w:t>
      </w:r>
    </w:p>
    <w:p w14:paraId="6966FE0D" w14:textId="77777777" w:rsidR="00721CCF" w:rsidRPr="00AD2F44" w:rsidRDefault="00F42107">
      <w:pPr>
        <w:pStyle w:val="14Footnote"/>
      </w:pPr>
      <w:r w:rsidRPr="00AD2F44">
        <w:rPr>
          <w:i/>
          <w:iCs/>
        </w:rPr>
        <w:t>Eighth Circuit:</w:t>
      </w:r>
      <w:r w:rsidRPr="00AD2F44">
        <w:t xml:space="preserve"> Smith v. Frac Tech Servs., Ltd., 2009 WL 4251017, at *7 (E.D. Ark. Nov. 24, 2009) (granting conditional certification as to one job position in exemption case where plaintiffs had submitted nine affidavits for that job position and majority of putative class came from that job position, because affidavits showed similarity among job duties sufficient for initial notice, but denying certification for remaining two job positions because evidence did not show sufficient similarity of duties in other job positions); Young v. Cerner Corp., 503 F. Supp. 2d 1226, 1231–32 (W.D. Mo. 2007) (job responsibilities of proposed class varied widely and no common policy alleged); Freeman v. Wal-Mart Stores, Inc., 256 F. Supp. 2d 941, 945 (W.D. Ark. 2003) (class denied where plaintiff sought to include all salaried non-officer positions in same case).</w:t>
      </w:r>
    </w:p>
    <w:p w14:paraId="2F2D21EC" w14:textId="77777777" w:rsidR="00721CCF" w:rsidRPr="00AD2F44" w:rsidRDefault="00F42107">
      <w:pPr>
        <w:pStyle w:val="14Footnote"/>
      </w:pPr>
      <w:r w:rsidRPr="00AD2F44">
        <w:rPr>
          <w:i/>
          <w:iCs/>
        </w:rPr>
        <w:t>Ninth Circuit:</w:t>
      </w:r>
      <w:r w:rsidRPr="00AD2F44">
        <w:t xml:space="preserve"> Beauperthuy v. 24 Hour Fitness, Inc., 2007 U.S. Dist. LEXIS 21315, at *21–23 (N.D. Cal. Mar. 6, 2007) (conditional certification denied in part and granted in part where putative class consisted of managers, commission-based employees, and hourly paid personal trainers where plaintiffs failed to submit evidence of a unifying decision, policy, or plan); Sheffield v. Orius Corp., 211 F.R.D. 411, 413 (D. Or. 2002) (conditional certification denied where putative class contained individuals who held different job titles, worked at different worksites, and were paid under different pay systems).</w:t>
      </w:r>
    </w:p>
    <w:p w14:paraId="717B3578" w14:textId="77777777" w:rsidR="00721CCF" w:rsidRPr="00AD2F44" w:rsidRDefault="00F42107">
      <w:pPr>
        <w:pStyle w:val="14Footnote"/>
      </w:pPr>
      <w:r w:rsidRPr="00AD2F44">
        <w:rPr>
          <w:i/>
          <w:iCs/>
        </w:rPr>
        <w:t>Tenth Circuit:</w:t>
      </w:r>
      <w:r w:rsidRPr="00AD2F44">
        <w:t xml:space="preserve"> Stubbs v. McDonald’s Corp, 227 F.R.D. 661, 665 (D. Kan. 2005) (plaintiff who only held position of second assistant manager did not have standing to represent individuals who held the first assistant manager position).</w:t>
      </w:r>
    </w:p>
    <w:p w14:paraId="1EBF3B86" w14:textId="77777777" w:rsidR="00721CCF" w:rsidRPr="00AD2F44" w:rsidRDefault="00F42107">
      <w:pPr>
        <w:pStyle w:val="14Footnote"/>
      </w:pPr>
      <w:r w:rsidRPr="00AD2F44">
        <w:rPr>
          <w:i/>
          <w:iCs/>
        </w:rPr>
        <w:t xml:space="preserve">See also </w:t>
      </w:r>
      <w:r w:rsidRPr="00AD2F44">
        <w:t>Smith v. Frac Tech Servs., Ltd., 2010 WL 743296, at *4 (E.D. Ark. Feb. 26, 2010) (extending initial notice to another job classification where plaintiffs submitted supplemental affidavits from the second job position, but still not extending certification decision to third job position).</w:t>
      </w:r>
    </w:p>
  </w:footnote>
  <w:footnote w:id="141">
    <w:p w14:paraId="295B5222" w14:textId="77777777" w:rsidR="00721CCF" w:rsidRPr="00AD2F44" w:rsidRDefault="00F42107">
      <w:pPr>
        <w:pStyle w:val="14Footnote"/>
      </w:pPr>
      <w:r w:rsidRPr="00AD2F44">
        <w:rPr>
          <w:vertAlign w:val="superscript"/>
        </w:rPr>
        <w:footnoteRef/>
      </w:r>
      <w:r w:rsidRPr="00AD2F44">
        <w:t>487 F. Supp. 2d 344 (W.D.N.Y. 2007).</w:t>
      </w:r>
    </w:p>
  </w:footnote>
  <w:footnote w:id="142">
    <w:p w14:paraId="2F6A9CA6" w14:textId="77777777" w:rsidR="00721CCF" w:rsidRPr="00AD2F44" w:rsidRDefault="00F42107">
      <w:pPr>
        <w:pStyle w:val="14Footnote"/>
      </w:pPr>
      <w:r w:rsidRPr="00AD2F44">
        <w:rPr>
          <w:vertAlign w:val="superscript"/>
        </w:rPr>
        <w:footnoteRef/>
      </w:r>
      <w:r w:rsidRPr="00AD2F44">
        <w:rPr>
          <w:i/>
          <w:iCs/>
        </w:rPr>
        <w:t>Id.</w:t>
      </w:r>
      <w:r w:rsidRPr="00AD2F44">
        <w:t xml:space="preserve"> at 350. </w:t>
      </w:r>
    </w:p>
  </w:footnote>
  <w:footnote w:id="143">
    <w:p w14:paraId="28084BEC" w14:textId="77777777" w:rsidR="00721CCF" w:rsidRPr="00AD2F44" w:rsidRDefault="00F42107">
      <w:pPr>
        <w:pStyle w:val="14Footnote"/>
      </w:pPr>
      <w:r w:rsidRPr="00AD2F44">
        <w:rPr>
          <w:vertAlign w:val="superscript"/>
        </w:rPr>
        <w:footnoteRef/>
      </w:r>
      <w:r w:rsidRPr="00AD2F44">
        <w:rPr>
          <w:i/>
        </w:rPr>
        <w:t xml:space="preserve">See, e.g., </w:t>
      </w:r>
    </w:p>
    <w:p w14:paraId="61555860" w14:textId="77777777" w:rsidR="00721CCF" w:rsidRPr="00AD2F44" w:rsidRDefault="00F42107">
      <w:pPr>
        <w:pStyle w:val="14Footnote"/>
      </w:pPr>
      <w:r w:rsidRPr="00AD2F44">
        <w:rPr>
          <w:i/>
          <w:iCs/>
        </w:rPr>
        <w:t>Second Circuit:</w:t>
      </w:r>
      <w:r w:rsidRPr="00AD2F44">
        <w:t xml:space="preserve"> Ahmed v. TJ Maxx Corp., 103 F. Supp. 3d 343, 355–56 (E.D.N.Y. 2015) (affirming magistrate judge’s decision to deny nationwide certification to putative class of assistant store managers where plaintiff’s evidence compared to opt-in plaintiffs who testified that they performed significantly different duties than plaintiff, including many managerial duties; uniform classification as exempt was not sufficient for certification); Klein v. Octagon, Inc., 2015 WL 5821629, at *2–3 (S.D.N.Y. Sept. 30, 2015) (conditional certification denied for unpaid interns because plaintiffs submitted only “generalized proof” through allegations that they knew of others not compensated for performing similar work); Guillen v. Marshalls of MA, Inc., 841 F. Supp. 2d 797, 800–01 (S.D.N.Y. 2012) (denying nationwide conditional certification in manager misclassification case where plaintiffs failed to provide evidence that putative class members were performing nonexempt tasks that plaintiffs alleged they were performing; simply being classified as exempt and sharing same job description is not enough to warrant notice).</w:t>
      </w:r>
    </w:p>
    <w:p w14:paraId="222C4B32" w14:textId="77777777" w:rsidR="00721CCF" w:rsidRPr="00AD2F44" w:rsidRDefault="00F42107">
      <w:pPr>
        <w:pStyle w:val="14Footnote"/>
      </w:pPr>
      <w:r w:rsidRPr="00AD2F44">
        <w:rPr>
          <w:i/>
          <w:iCs/>
        </w:rPr>
        <w:t>Third Circuit:</w:t>
      </w:r>
      <w:r w:rsidRPr="00AD2F44">
        <w:rPr>
          <w:b/>
          <w:bCs/>
          <w:i/>
          <w:iCs/>
        </w:rPr>
        <w:t xml:space="preserve"> </w:t>
      </w:r>
      <w:r w:rsidRPr="00AD2F44">
        <w:t>Swank v. Wal-Mart Stores, Inc., 2018 WL 2684102, at *10 (W.D. Pa. June 5, 2018) (refusing to grant conditional certification under a “modest plus” or “more searching standard,” with the court noting that it found evidence in the record reflecting differences in decision-making authority, supervision, and tasks performed by employees in the same position); Slone v. Gulf Interstate Field Servs., Inc.,</w:t>
      </w:r>
      <w:r w:rsidRPr="00AD2F44">
        <w:rPr>
          <w:b/>
          <w:bCs/>
        </w:rPr>
        <w:t xml:space="preserve"> </w:t>
      </w:r>
      <w:r w:rsidRPr="00AD2F44">
        <w:t>2017 WL 1105236, at *11 (M.D. Pa. Mar. 24, 2017)</w:t>
      </w:r>
      <w:r w:rsidRPr="00AD2F44">
        <w:rPr>
          <w:b/>
          <w:bCs/>
        </w:rPr>
        <w:t xml:space="preserve"> </w:t>
      </w:r>
      <w:r w:rsidRPr="00AD2F44">
        <w:t>(explaining that, even within job title “pipeline inspectors,” job duties varied widely and certification was not appropriate).</w:t>
      </w:r>
    </w:p>
    <w:p w14:paraId="184D7B5B" w14:textId="77777777" w:rsidR="00721CCF" w:rsidRPr="00AD2F44" w:rsidRDefault="00F42107">
      <w:pPr>
        <w:pStyle w:val="14Footnote"/>
      </w:pPr>
      <w:r w:rsidRPr="00AD2F44">
        <w:rPr>
          <w:i/>
          <w:iCs/>
        </w:rPr>
        <w:t>Fourth Circuit:</w:t>
      </w:r>
      <w:r w:rsidRPr="00AD2F44">
        <w:t xml:space="preserve"> Yerger v. Liberty Mut. Grp., Inc., 2011 WL 5593151, at *6 (E.D.N.C. Nov. 15, 2011) (denying conditional certification, despite lenient standard, where evidence showed that plaintiff’s “individual work was substantially different from the class members that she seeks to represent”); Blaney v. Charlotte-Mecklenburg Hosp. Auth., 2011 WL 4351631, at *8 (W.D.N.C. Sept. 16, 2011) (denying conditional certification in claim alleging improper auto-deductions and failure to pay for time spent on call, where evidence showed that there was wide variation among putative class members (nurses and nurse assistants) as to on-call requirements and how meal breaks and accounting for meal breaks were handled).</w:t>
      </w:r>
    </w:p>
    <w:p w14:paraId="6F8222C1" w14:textId="77777777" w:rsidR="00721CCF" w:rsidRPr="00AD2F44" w:rsidRDefault="00F42107">
      <w:pPr>
        <w:pStyle w:val="14Footnote"/>
      </w:pPr>
      <w:r w:rsidRPr="00AD2F44">
        <w:rPr>
          <w:i/>
          <w:iCs/>
        </w:rPr>
        <w:t>Sixth Circuit:</w:t>
      </w:r>
      <w:r w:rsidRPr="00AD2F44">
        <w:t xml:space="preserve"> Shipes v. </w:t>
      </w:r>
      <w:r w:rsidRPr="00AD2F44">
        <w:t>Amurcon Corp., 2012 WL 995362, at *10–11 (E.D. Mich. Mar. 23, 2012) (denying (without prejudice) conditional certification to salaried employees because of lack of evidence that putative class members’ job duties were similar to plaintiff’s even within her own job title).</w:t>
      </w:r>
    </w:p>
    <w:p w14:paraId="6E7C3800" w14:textId="77777777" w:rsidR="00721CCF" w:rsidRPr="00AD2F44" w:rsidRDefault="00F42107">
      <w:pPr>
        <w:pStyle w:val="14Footnote"/>
      </w:pPr>
      <w:r w:rsidRPr="00AD2F44">
        <w:rPr>
          <w:i/>
          <w:iCs/>
        </w:rPr>
        <w:t>Seventh Circuit:</w:t>
      </w:r>
      <w:r w:rsidRPr="00AD2F44">
        <w:t xml:space="preserve"> Steger v. Life Time Fitness, Inc., 2016 WL 245899 (N.D. Ill. Jan. 21, 2016) (applying intermediate certification standard; conditional certification of personal trainer employees denied where court found that performance of plaintiffs’ job duties and impact of alleged uniform corporate policies were subject to individual variation based on work location, individual supervisors’ practices, and each employee’s personal decisions and conduct).</w:t>
      </w:r>
    </w:p>
    <w:p w14:paraId="2E7D5BCD" w14:textId="0D469828" w:rsidR="00721CCF" w:rsidRPr="00AD2F44" w:rsidRDefault="00F42107">
      <w:pPr>
        <w:pStyle w:val="14Footnote"/>
      </w:pPr>
      <w:r w:rsidRPr="00AD2F44">
        <w:rPr>
          <w:i/>
          <w:iCs/>
        </w:rPr>
        <w:t>Eleventh Circuit:</w:t>
      </w:r>
      <w:r w:rsidRPr="00AD2F44">
        <w:t xml:space="preserve"> Walker v. Jefferson Cnty. Bd. of Educ., 2016 WL 1117643 (N.D. Ala. Mar. 22, 2016) (denying class certification because plaintiffs, 10 hourly workers claiming overtime miscalculations, failed to demonstrate similarity and commonality among themselves as well as with respect to other plaintiffs after extensive discovery showed 1,500 various types of workers with different work schedules, duties, responsibilities, schedules, and classifications); Lovett v. SJAC Fulton Ind. I, LLC, 2015 WL 3889719, at *13–14 (N.D. Ga. June 23, 2015) (overruling magistrate judge’s grant of conditional certification of class of assistant managers allegedly misclassified as exempt, because evidence showed that duties of assistant managers differed significantly from plaintiff’s claimed duties).</w:t>
      </w:r>
    </w:p>
  </w:footnote>
  <w:footnote w:id="144">
    <w:p w14:paraId="1A378E6F" w14:textId="77777777" w:rsidR="00721CCF" w:rsidRPr="00AD2F44" w:rsidRDefault="00F42107">
      <w:pPr>
        <w:pStyle w:val="14Footnote"/>
      </w:pPr>
      <w:r w:rsidRPr="00AD2F44">
        <w:rPr>
          <w:vertAlign w:val="superscript"/>
        </w:rPr>
        <w:footnoteRef/>
      </w:r>
      <w:r w:rsidRPr="00AD2F44">
        <w:t xml:space="preserve">See the discussion of the application of </w:t>
      </w:r>
      <w:r w:rsidRPr="00AD2F44">
        <w:rPr>
          <w:i/>
          <w:iCs/>
        </w:rPr>
        <w:t>Wal-Mart Stores, Inc</w:t>
      </w:r>
      <w:r w:rsidRPr="00AD2F44">
        <w:t>.</w:t>
      </w:r>
      <w:r w:rsidRPr="00AD2F44">
        <w:rPr>
          <w:i/>
          <w:iCs/>
        </w:rPr>
        <w:t xml:space="preserve"> v</w:t>
      </w:r>
      <w:r w:rsidRPr="00AD2F44">
        <w:t>.</w:t>
      </w:r>
      <w:r w:rsidRPr="00AD2F44">
        <w:rPr>
          <w:i/>
          <w:iCs/>
        </w:rPr>
        <w:t xml:space="preserve"> Dukes</w:t>
      </w:r>
      <w:r w:rsidRPr="00AD2F44">
        <w:t>, 564 U.S. 338 (2011), in III.B.1 [The Two-Stage Process Used to Determine if a Collective Action May Proceed to Trial; Stage I: Standard for Determining Whether Conditional Certifications Should Be Granted; The “Modest Factual Showing” Standard] of this chapter when courts decide conditional certification.</w:t>
      </w:r>
    </w:p>
  </w:footnote>
  <w:footnote w:id="145">
    <w:p w14:paraId="605FEC53" w14:textId="77777777" w:rsidR="00721CCF" w:rsidRPr="00AD2F44" w:rsidRDefault="00F42107">
      <w:pPr>
        <w:pStyle w:val="14Footnote"/>
      </w:pPr>
      <w:r w:rsidRPr="00AD2F44">
        <w:rPr>
          <w:vertAlign w:val="superscript"/>
        </w:rPr>
        <w:footnoteRef/>
      </w:r>
      <w:r w:rsidRPr="00AD2F44">
        <w:rPr>
          <w:i/>
        </w:rPr>
        <w:t>See, e.g.,</w:t>
      </w:r>
    </w:p>
    <w:p w14:paraId="5AFA083D" w14:textId="51C7282F" w:rsidR="00721CCF" w:rsidRPr="00AD2F44" w:rsidRDefault="00F42107">
      <w:pPr>
        <w:pStyle w:val="14Footnote"/>
      </w:pPr>
      <w:r w:rsidRPr="00AD2F44">
        <w:rPr>
          <w:i/>
          <w:iCs/>
        </w:rPr>
        <w:t xml:space="preserve">First Circuit: </w:t>
      </w:r>
      <w:r w:rsidRPr="00AD2F44">
        <w:t>Pugliese v. Gov’t Emps. Ins. Co., 2022 BL 131755, 2022 WL 1129341 (D. Mass. Apr. 15, 2022) (rejecting defendant’s arguments that claims</w:t>
      </w:r>
      <w:r w:rsidRPr="00AD2F44">
        <w:t xml:space="preserve"> were too individualized for collective treatment, finding plaintiffs met modest showing that they were subject to common practice of off-the-clock work); Saunders v. Getchell Agency, 2014 WL 580153 (D. Me. Feb. 12, 2014) (rejecting employer’s argument that off-the-clock violations inappropriate for collective treatment and finding that employees suffered from common illegal practice, nonpayment of overtime compensation).</w:t>
      </w:r>
    </w:p>
    <w:p w14:paraId="451AEF11" w14:textId="77777777" w:rsidR="00721CCF" w:rsidRPr="00AD2F44" w:rsidRDefault="00F42107">
      <w:pPr>
        <w:pStyle w:val="14Footnote"/>
      </w:pPr>
      <w:r w:rsidRPr="00AD2F44">
        <w:rPr>
          <w:i/>
          <w:iCs/>
        </w:rPr>
        <w:t>Second Circuit:</w:t>
      </w:r>
      <w:r w:rsidRPr="00AD2F44">
        <w:t xml:space="preserve"> Alcantara-Flores v. Vlad Restoration Ltd., 2017 WL 1655187, at *3 (E.D.N.Y. May 2, 2017) (conditionally certifying class claiming unpaid overtime and refusing to consider defendant’s argument that majority of class members had waived their claims; reasoning that, “[b]ecause of the nature of the two-step process, a court will not consider a defendant’s objection that individual defenses exist against certain potential class members as a basis to deny certification at the first step”) (collecting cases); Jeong Woo Kim v. 511 E. 5th Street, LLC, 985 F. Supp. 2d 439 (S.D.N.Y. 2012) (holding defendant’s argument about individualized fact disputes premature at motion for conditional certification stage); Ack v. Manhattan Beer Distribs., Inc., 2012 WL 1710985, at *5–6 (E.D.N.Y. May 15, 2012) (rejecting argument that individualized inquiry into outside sales exemption was necessary or precluded conditional certification); Fasanelli v. Heartland Brewery, Inc., 516 F. Supp. 2d 317, 322 (S.D.N.Y. 2007) (detailed factual disputes over an allegedly illegal off-the-clock practice not evaluated at the notice stage); Lynch v. United Servs. Auto. Ass’n, 491 F. Supp. 2d 357 (S.D.N.Y. 2007) (factual disputes not resolved at notice stage); Neary v. Metropolitan Prop. &amp; Cas. Ins. Co., 517 F. Supp. 2d 606, 618–19 (D. Conn. 2007) (rejecting defendants’ claim that an individualized inquiry would be needed to determine applicability of administrative exemption); Barrus v. Dick’s Sporting Goods, Inc., 465 F. Supp. 2d 224, 231 (W.D.N.Y. 2006) (rejecting claim of individualized determinations at notice stage).</w:t>
      </w:r>
    </w:p>
    <w:p w14:paraId="35523006" w14:textId="77777777" w:rsidR="00721CCF" w:rsidRPr="00AD2F44" w:rsidRDefault="00F42107">
      <w:pPr>
        <w:pStyle w:val="14Footnote"/>
      </w:pPr>
      <w:r w:rsidRPr="00AD2F44">
        <w:rPr>
          <w:i/>
          <w:iCs/>
        </w:rPr>
        <w:t>Third Circuit:</w:t>
      </w:r>
      <w:r w:rsidRPr="00AD2F44">
        <w:t xml:space="preserve"> Stone v. Troy Constr. LLC, 2015 WL 7736827, at *3 (M.D. Pa. Dec. 1, 2015) (conditional certification granted where nationwide compensation policies, testimony of company’s corporate designee, defendant’s interrogatory responses, and plaintiff’s affidavit and payroll records established required “nexus of facts common to herself and the putative class”); Goldman v. RadioShack Corp., 2003 U.S. Dist. LEXIS 7611, at *8 (E.D. Pa. Apr. 16, 2003) (“A fact-specific inquiry is conducted only after discovery and a formal motion to decertify the class is brought by the defendant.”); De Asencio v. Tyson Foods, Inc., 130 F. Supp. 2d 660, 663 (E.D. Pa. 2001) (“While this information [submitted by Defendant] may play a more significant role after discovery and during an analysis of the second and final similarly situated tier, Plaintiffs have advanced sufficient evidence to meet their low burden at this first tier of the similarly situated question.”).</w:t>
      </w:r>
    </w:p>
    <w:p w14:paraId="2D092FA5" w14:textId="77777777" w:rsidR="00721CCF" w:rsidRPr="00AD2F44" w:rsidRDefault="00F42107">
      <w:pPr>
        <w:pStyle w:val="14Footnote"/>
      </w:pPr>
      <w:r w:rsidRPr="00AD2F44">
        <w:rPr>
          <w:i/>
          <w:iCs/>
        </w:rPr>
        <w:t>Fourth Circuit:</w:t>
      </w:r>
      <w:r w:rsidRPr="00AD2F44">
        <w:t xml:space="preserve"> Reynolds v. Wyndham Vacation Resorts, Inc., 2015 WL 8042021 (D.S.C. Dec. 4, 2015) (granting conditional certification for sales representatives who worked in three job positions in six locations, finding that differences in who supervised them, where they worked, and how sales were made did not establish factual differences warranting individual actions in lieu of collective action); Faust v. Comcast Cable Comm’cns Mgmt., LLC, 2011 WL 5244421, at *5 (D. Md. Nov. 1, 2011) (rejecting argument that individualized inquiries prevented conditional certification of call center employees, given standard at conditional certification stage, fact that much of discovery would focus on common issues regarding pay practices and performance metrics, evidence would be largely computerized, and that some individualized inquiries were acceptable, particularly because otherwise plaintiffs would be deprived of “an opportunity to vindicate their rights by joining together to challenge apparent illegal policies of their employer”).</w:t>
      </w:r>
    </w:p>
    <w:p w14:paraId="5475A222" w14:textId="243B84F9" w:rsidR="00721CCF" w:rsidRPr="00AD2F44" w:rsidRDefault="00F42107">
      <w:pPr>
        <w:pStyle w:val="14Footnote"/>
      </w:pPr>
      <w:r w:rsidRPr="00AD2F44">
        <w:rPr>
          <w:i/>
          <w:iCs/>
        </w:rPr>
        <w:t>Fifth Circuit:</w:t>
      </w:r>
      <w:r w:rsidRPr="00AD2F44">
        <w:t xml:space="preserve"> Richard v. Flower Foods, Inc.,</w:t>
      </w:r>
      <w:r w:rsidRPr="00AD2F44">
        <w:rPr>
          <w:i/>
          <w:iCs/>
        </w:rPr>
        <w:t xml:space="preserve"> </w:t>
      </w:r>
      <w:r w:rsidRPr="00AD2F44">
        <w:t>222 F. Supp. 3d 516, 524–25 (W.D. La. 2016) (refusing to consider evidence in independent contractor misclassification case about classification status of class members, or about whether some class members were subject to Motor Carrier Act or outside sales exemption, or subject to individual arbitration agreements, because those issues should be addressed at second stage); Parrish v. Premier Directional Drilling, L.P.,</w:t>
      </w:r>
      <w:r w:rsidRPr="00AD2F44">
        <w:rPr>
          <w:i/>
          <w:iCs/>
        </w:rPr>
        <w:t xml:space="preserve"> </w:t>
      </w:r>
      <w:r w:rsidRPr="00AD2F44">
        <w:t>2016 WL 8673862, at *4 (W.D. Tex. Oct. 14, 2016) (holding that arguments about application of economic realities test, which defendant contended required fact-intensive individualized inquiries, were generally left to decertification stage) (collecting cases); Akins v. Worley Catastrophe Response, LLC, 2013 WL 1412371, at *7 (E.D. La. Apr. 8, 2013) (rejecting defendant’s argument that conditional certification was not appropriate because each class member’s alleged damages and status as exempt or not would require individualized assessment, reasoning that such inquiries are better addressed at decertification stage); Clarke v. Convergys Customer Mgmt. Grp., Inc., 370 F. Supp. 2d 601, 606–07 (S.D. Tex. 2005) (individualized factual issues should be considered during second-stage analysis, not initial “notice” stage).</w:t>
      </w:r>
      <w:r w:rsidR="00A5319D" w:rsidRPr="00A5319D">
        <w:rPr>
          <w:b/>
        </w:rPr>
        <w:t xml:space="preserve"> </w:t>
      </w:r>
      <w:r w:rsidR="00A5319D" w:rsidRPr="00AD2F44">
        <w:rPr>
          <w:b/>
        </w:rPr>
        <w:t xml:space="preserve">[Caution: </w:t>
      </w:r>
      <w:r w:rsidR="00A5319D" w:rsidRPr="00AD2F44">
        <w:t xml:space="preserve">The Fifth Circuit later rejected the two-stage process, in </w:t>
      </w:r>
      <w:r w:rsidR="00A5319D" w:rsidRPr="00AD2F44">
        <w:rPr>
          <w:i/>
        </w:rPr>
        <w:t xml:space="preserve">Swales v. KLLM Transport Services, LLC, </w:t>
      </w:r>
      <w:r w:rsidR="00A5319D" w:rsidRPr="00AD2F44">
        <w:t xml:space="preserve">985 F.3d 430 (5th Cir. 2021), in favor of a requirement to “rigorously scrutinize” whether potential opt-ins are similarly situated “from the outset of the case.” </w:t>
      </w:r>
      <w:r w:rsidR="00A5319D" w:rsidRPr="00AD2F44">
        <w:rPr>
          <w:i/>
        </w:rPr>
        <w:t>Id.</w:t>
      </w:r>
      <w:r w:rsidR="00A5319D" w:rsidRPr="00AD2F44">
        <w:t xml:space="preserve"> at 434.</w:t>
      </w:r>
      <w:r w:rsidR="00A5319D" w:rsidRPr="00AD2F44">
        <w:rPr>
          <w:b/>
          <w:bCs/>
        </w:rPr>
        <w:t>]</w:t>
      </w:r>
    </w:p>
    <w:p w14:paraId="3FD9E059" w14:textId="77777777" w:rsidR="00721CCF" w:rsidRPr="00AD2F44" w:rsidRDefault="00F42107">
      <w:pPr>
        <w:pStyle w:val="14Footnote"/>
      </w:pPr>
      <w:r w:rsidRPr="00AD2F44">
        <w:rPr>
          <w:i/>
          <w:iCs/>
        </w:rPr>
        <w:t>Sixth Circuit:</w:t>
      </w:r>
      <w:r w:rsidRPr="00AD2F44">
        <w:t xml:space="preserve"> Arends v. Family Sols. of Ohio, Inc., 2019 WL 4417674 (N.D. Ohio Sept. 16, 2019) (granting conditional certification and rejecting as premature at notice stage defendant’s argument that claims require individualized inquiries); Shabazz v. Asurion Ins. Serv., 2008 U.S. Dist. LEXIS 29696 (M.D. Tenn. Apr. 10, 2008) (employer’s assertions regarding difference in its call centers and the different types of classifications given to employees who handle calls from customers are arguments more appropriately raised at the decertification stage of a collective action); Crawford v. Lexington-Fayette Urban Cnty. Gov’t, 2007 U.S. Dist. LEXIS 6711, at *21–22 (E.D. Ky. Jan. 26, 2007) (the prospect of individual defenses does not defeat certification at the notice stage as such arguments are appropriate at the decertification stage); White v. MPW Indus. Serv., Inc., 236 F.R.D. 363, 372–73 (E.D. Tenn. 2006) (allegation that Motor Carrier Act exemption required individual analysis).</w:t>
      </w:r>
    </w:p>
    <w:p w14:paraId="248082B0" w14:textId="77777777" w:rsidR="00721CCF" w:rsidRPr="00AD2F44" w:rsidRDefault="00F42107">
      <w:pPr>
        <w:pStyle w:val="14Footnote"/>
      </w:pPr>
      <w:r w:rsidRPr="00AD2F44">
        <w:rPr>
          <w:i/>
          <w:iCs/>
        </w:rPr>
        <w:t>Seventh Circuit:</w:t>
      </w:r>
      <w:r w:rsidRPr="00AD2F44">
        <w:t xml:space="preserve"> Clugston v. Shamrock Cartage &amp; Spotting Servs., 2014 WL 5502455, at *4–5 (S.D. Ind. Oct. 30, 2014) (refusing to consider as premature in conditional certification analysis alleged individual inquiries regarding Motor Carrier Act exemption as to certain putative class members); Binissia v. ABM Indus., Inc., 2014 WL 793111 (N.D. Ill. Feb. 26, 2014) (granting conditional certification, finding that individualized differences exist in all FLSA cases involving rounding practices, and that courts routinely grant certification in such cases); Boyd v. Jupiter Aluminum Corp., 2006 U.S. Dist. LEXIS 35654, at *13–14 (N.D. Ind. May 31, 2006) (conditional certification granted over defendant’s assertion that individualized issues would “overwhelm any collective action and destroy any efficiencies of scale”); Austin v. CUNA Mut. Ins. Soc., 232 F.R.D. 601, 606 (W.D. Wis. 2006) (collective certification granted despite defendants’ assertion that a “fact-intensive inquiry” was required to determine if class members were exempt because these arguments are reserved for the decertification stage after discovery); Persin v. Career Builder, LLC, 2005 U.S. Dist. LEXIS 29727, at *13–14 (N.D. Ill. Nov. 23, 2005) (granting conditional certification over employer’s assertion that the FLSA claims would require evidence unique to each employee); Gambo v. Lucent Techs., Inc., 2005 U.S. Dist. LEXIS 37998, at *17 (N.D. Ill. Dec. 22, 2005) (conditional certification granted over defendant’s assertion that individualized determinations predominated).</w:t>
      </w:r>
    </w:p>
    <w:p w14:paraId="712250EF" w14:textId="77777777" w:rsidR="00721CCF" w:rsidRPr="00AD2F44" w:rsidRDefault="00F42107">
      <w:pPr>
        <w:pStyle w:val="14Footnote"/>
      </w:pPr>
      <w:r w:rsidRPr="00AD2F44">
        <w:rPr>
          <w:i/>
          <w:iCs/>
        </w:rPr>
        <w:t xml:space="preserve">Eighth Circuit: </w:t>
      </w:r>
      <w:r w:rsidRPr="00AD2F44">
        <w:t xml:space="preserve">Haworth v. New Prime, Inc., 2020 WL 1430478, at *9 (W.D. Mo. Mar. 23, 2020) (granting conditional certification despite defendant’s argument that individualized questions regarding amount of off-duty time prevented certification, noting evidence of corporate practice supporting plaintiffs’ theory and defendant’s lack of evidence to the contrary); Ondes v. Monsanto Co., 2011 WL 6152858, at *5–6 (E.D. Mo. Dec. 12, 2011) (rejecting argument that conditional certification should be denied because of need for individual inquiries into whether employees worked off the clock as allegedly instructed by managers, reasoning that arguments about “individualized inquiries and the merits” were not appropriate at conditional certification stage); </w:t>
      </w:r>
      <w:r w:rsidRPr="00AD2F44">
        <w:rPr>
          <w:i/>
          <w:iCs/>
        </w:rPr>
        <w:t>In re</w:t>
      </w:r>
      <w:r w:rsidRPr="00AD2F44">
        <w:t xml:space="preserve"> Pilgrim’s Pride Fair Labor Standards Litig., 2008 U.S. Dist. LEXIS 93966, at *10–12 (W.D. Ark. Mar. 13, 2008) (employer’s assertions that significant differences exist between the company’s facilities, departments, and workers found to be “premature” at the initial certification stage); Burch v. Qwest, 500 F. Supp. 2d 1181, 1190 (D. Minn. 2007) (individualized defenses best raised during second stage of certification process); Fast v. Applebee’s Int’l, Inc., 243 F.R.D. 360, 364 (W.D. Mo. 2007) (disparate factual and employment settings analyzed during second stage, not notice stage).</w:t>
      </w:r>
    </w:p>
    <w:p w14:paraId="4C87C71A" w14:textId="77777777" w:rsidR="00721CCF" w:rsidRPr="00AD2F44" w:rsidRDefault="00F42107">
      <w:pPr>
        <w:pStyle w:val="14Footnote"/>
      </w:pPr>
      <w:r w:rsidRPr="00AD2F44">
        <w:rPr>
          <w:i/>
          <w:iCs/>
        </w:rPr>
        <w:t>Ninth Circuit:</w:t>
      </w:r>
      <w:r w:rsidRPr="00AD2F44">
        <w:t xml:space="preserve"> Chastain v. Cam, 2014 WL 3734368, at *6–7 (D. Or. July 28, 2014) (granting conditional certification of off-the-clock claim and refusing to consider alleged variations at notice stage, especially as to damages); Taylor v. Autozone, Inc., 2011 WL 2038514 (D. Ariz. May 24, 2011) (permitting conditional certification where defendant argued that individual managers would have to be disregarding job description to be nonexempt and finding that such arguments address merits of case and not standards for conditional certification); Wren v. RGIS Inventory Specialists, 2007 U.S. Dist. LEXIS 95439, at *18 (N.D. Cal. Dec. 19, 2007) (“‘[T]he potentially individualized nature of determining damages is irrelevant in considering conditional certification [because] [t]he threshold inquiry does not require that the extent of the plaintiffs’ damages be identical or even similar.’”) (quoting Adams v. Inter-Con Sec. Sys., Inc., 242 F.R.D. 530, 537 (N.D. Cal. 2007)); Leuthold v. Destination Am., 224 F.R.D. 462, 468 (N.D. Cal. 2004) (“Defendants’ arguments in their opposition brief focus on the more stringent second-tier analysis and raise issues that may be more appropriately addressed on a motion for decertification after notice is given to the proposed class.”).</w:t>
      </w:r>
    </w:p>
    <w:p w14:paraId="0FEE080A" w14:textId="3C98DEB3" w:rsidR="00721CCF" w:rsidRPr="00AD2F44" w:rsidRDefault="00F42107">
      <w:pPr>
        <w:pStyle w:val="14Footnote"/>
      </w:pPr>
      <w:r w:rsidRPr="00AD2F44">
        <w:rPr>
          <w:i/>
          <w:iCs/>
        </w:rPr>
        <w:t>Tenth Circuit:</w:t>
      </w:r>
      <w:r w:rsidRPr="00AD2F44">
        <w:t xml:space="preserve"> James v. Boyd Gaming Corp., 522 F. Supp. 3d 892</w:t>
      </w:r>
      <w:r w:rsidRPr="00AD2F44">
        <w:rPr>
          <w:b/>
          <w:bCs/>
        </w:rPr>
        <w:t xml:space="preserve"> </w:t>
      </w:r>
      <w:r w:rsidRPr="00AD2F44">
        <w:t>(D. Kan. 2021) (rejecting defendant’s arguments that individualized inquiries prevented conditional certification); Underwood v. NMC Mortg. Corp., 245 F.R.D. 720, 723 (D. Kan. 2007) (“Any disparate employment settings among putative class members is a factor to be considered at the second stage … .”); Gieseke v. First Horizon Home Loan Corp., 408 F. Supp. 2d 1164, 1168 (D. Kan. 2006) (“Individual differences in damages are not to be considered when ruling on conditional certification … .”); Reab v. Electronic Arts, Inc., 214 F.R.D. 623, 627 (D. Colo. 2002) (factors such as “disparate factual and employment settings of the individual plaintiffs” and “various defenses available to defendant which appear to be individual to each plaintiff” are considered during the second, and stricter, stage of the similarly situated analysis).</w:t>
      </w:r>
    </w:p>
    <w:p w14:paraId="39B72812" w14:textId="77777777" w:rsidR="00721CCF" w:rsidRPr="00AD2F44" w:rsidRDefault="00F42107">
      <w:pPr>
        <w:pStyle w:val="14Footnote"/>
      </w:pPr>
      <w:r w:rsidRPr="00AD2F44">
        <w:rPr>
          <w:i/>
          <w:iCs/>
        </w:rPr>
        <w:t>Eleventh Circuit:</w:t>
      </w:r>
      <w:r w:rsidRPr="00AD2F44">
        <w:t xml:space="preserve"> Devries v. Morgan Stanley &amp; Co., 2014 WL 505157 (S.D. Fla. Feb. 7, 2014) (finding that defendant’s proposed “individualized inquiry” required detailed fact finding inappropriate for first stage of conditional certification); Robbins-Pagel v. WM. F. Puckett, Inc., 2006 U.S. Dist. LEXIS 85253 (M.D. Fla. Nov. 22, 2006) (court rejected defendant’s assertion that individualized questions regarding plaintiffs’ job duties or hours worked precluded conditional certification and held that the court should not make factual determinations or take into account individualized defenses at the notice stage); Scott v. Heartland Home Fin., Inc., 2006 U.S. Dist. LEXIS 28839, at *12–13 (N.D. Ga. May 3, 2006) (variations in specific duties, job locations, working hours, or the availability of various defenses are examples of factual issues that are not considered at the notice stage); Pendlebury v. Starbucks Coffee Co., 2005 U.S. Dist. LEXIS 574, 2005 WL 84500, at *3 (S.D. Fla. Jan. 3, 2005) (factual matters regarding the applicability of exemptions to employees not appropriate at notice stage).</w:t>
      </w:r>
    </w:p>
    <w:p w14:paraId="42891C78" w14:textId="77777777" w:rsidR="00721CCF" w:rsidRPr="00AD2F44" w:rsidRDefault="00F42107">
      <w:pPr>
        <w:pStyle w:val="14Footnote"/>
      </w:pPr>
      <w:r w:rsidRPr="00AD2F44">
        <w:rPr>
          <w:i/>
          <w:iCs/>
        </w:rPr>
        <w:t>D.C. Circuit:</w:t>
      </w:r>
      <w:r w:rsidRPr="00AD2F44">
        <w:t xml:space="preserve"> Blount v. United States Sec. Assocs., 945 F. Supp. 2d 88, 95 (D.D.C. 2013) (granting conditional certification, rejecting argument that possibility that some members may not belong in class or be entitled to relief warranted denial, because some differences at initial certification stage did not preclude certification, and could be dealt with after discovery); Castillo v. P &amp; R Enters., Inc., 517 F. Supp. 2d 440, 447–48 (D.D.C. 2007) (conditional certification granted in spite of plaintiffs working in different buildings under different managers)</w:t>
      </w:r>
    </w:p>
  </w:footnote>
  <w:footnote w:id="146">
    <w:p w14:paraId="211610F2" w14:textId="77777777" w:rsidR="00721CCF" w:rsidRPr="00AD2F44" w:rsidRDefault="00F42107">
      <w:pPr>
        <w:pStyle w:val="14Footnote"/>
      </w:pPr>
      <w:r w:rsidRPr="00AD2F44">
        <w:rPr>
          <w:vertAlign w:val="superscript"/>
        </w:rPr>
        <w:footnoteRef/>
      </w:r>
      <w:r w:rsidRPr="00AD2F44">
        <w:rPr>
          <w:i/>
          <w:iCs/>
        </w:rPr>
        <w:t>See., e.g.,</w:t>
      </w:r>
    </w:p>
    <w:p w14:paraId="6694D639" w14:textId="77777777" w:rsidR="00721CCF" w:rsidRPr="00AD2F44" w:rsidRDefault="00F42107">
      <w:pPr>
        <w:pStyle w:val="14Footnote"/>
      </w:pPr>
      <w:r w:rsidRPr="00AD2F44">
        <w:rPr>
          <w:i/>
          <w:iCs/>
        </w:rPr>
        <w:t>First Circuit:</w:t>
      </w:r>
      <w:r w:rsidRPr="00AD2F44">
        <w:t xml:space="preserve"> O’Donnell v. Robert Half Int’l, Inc., 534 F. Supp. 2d 173, 179 (D. Mass. 2008) (finding that plaintiffs failed to identify common policy of impermissible deductions).</w:t>
      </w:r>
    </w:p>
    <w:p w14:paraId="76EB3F64" w14:textId="77777777" w:rsidR="00721CCF" w:rsidRPr="00AD2F44" w:rsidRDefault="00F42107">
      <w:pPr>
        <w:pStyle w:val="14Footnote"/>
      </w:pPr>
      <w:r w:rsidRPr="00AD2F44">
        <w:rPr>
          <w:i/>
          <w:iCs/>
        </w:rPr>
        <w:t>Second Circuit:</w:t>
      </w:r>
      <w:r w:rsidRPr="00AD2F44">
        <w:t xml:space="preserve"> Gillian v. </w:t>
      </w:r>
      <w:r w:rsidRPr="00AD2F44">
        <w:t>Starjem Rest. Corp., 2011 WL 4639842, at *6 (S.D.N.Y. Oct. 4, 2011) (denying conditional certification in tip-credit and tip-pool case because, among other reasons, minimum wage and overtime claims required examination of each individual’s hours worked each shift and each week); Myers v. Hertz Corp., 2007 U.S. Dist. LEXIS 53572, at *3–4 (E.D.N.Y. July 24, 2007) (holding that determination under executive exemption required fact intensive determination).</w:t>
      </w:r>
    </w:p>
    <w:p w14:paraId="39EBD4BE" w14:textId="73491521" w:rsidR="00721CCF" w:rsidRPr="00AD2F44" w:rsidRDefault="00F42107">
      <w:pPr>
        <w:pStyle w:val="14Footnote"/>
      </w:pPr>
      <w:r w:rsidRPr="00AD2F44">
        <w:rPr>
          <w:i/>
          <w:iCs/>
        </w:rPr>
        <w:t>Third Circuit:</w:t>
      </w:r>
      <w:r w:rsidRPr="00AD2F44">
        <w:t xml:space="preserve"> Kane v. Ollie’s Bargain Outlet, Inc., 2020 BL 457638, 2020 WL 6889195, at *12 (M.D. Pa. Nov. 24, 2020) (denying conditional certification in retail misclassification case where plaintiffs had varying levels of responsibility between stores and different store staffing pressures, noting that in misclassification cases “individualized factual determinations are almost always present”); Bamgbose v. Delta-T Grp., Inc., 684 F. Supp. 2d 660, 668–69 (E.D. Pa. 2010) (rejecting conditional certification, without prejudice, for class of independent contractors, reasoning that uniform classification, common payment procedures, intranet, and telephone systems did not establish that common proof could be used to evaluate independent contractor status of class as whole); Evancho v. Sanofi-Aventis U.S., Inc., 2007 U.S. Dist. LEXIS 93215 (D.N.J. Dec. 19, 2007); Morisky v. Public Serv. Elec. &amp; Co., 111 F. Supp. 2d 493 (D.N.J. 2000) (considering conditional certification after discovery period had concluded).</w:t>
      </w:r>
    </w:p>
    <w:p w14:paraId="274D48C7" w14:textId="77777777" w:rsidR="00721CCF" w:rsidRPr="00AD2F44" w:rsidRDefault="00F42107">
      <w:pPr>
        <w:pStyle w:val="14Footnote"/>
      </w:pPr>
      <w:r w:rsidRPr="00AD2F44">
        <w:rPr>
          <w:i/>
          <w:iCs/>
        </w:rPr>
        <w:t>Fourth Circuit:</w:t>
      </w:r>
      <w:r w:rsidRPr="00AD2F44">
        <w:t xml:space="preserve"> Sodekson v. East Coast Rest. &amp; Nightclubs, LLC, 2016 WL 4613386, at *6–7 (D.S.C. Sept. 6, 2016) (denying conditional certification, citing, among other reasons, fact that sole opt-in plaintiff had arbitration agreement, which presented individualized issue, and named plaintiff’s claims were either time-barred or limited to three-month period, making it “difficult for this Court to accept that she is ‘similarly situated’ to the individuals she seeks to represent”); Pelczynski v. Orange Lake Country Club, 284 F.R.D. 364, 369 (D.S.C. 2012) (rejecting conditional certification of timeshare sales agents, finding numerous individualized issues because of disputes over hours worked and lack of any time records and only small number of putative class members);</w:t>
      </w:r>
      <w:r w:rsidRPr="00AD2F44">
        <w:rPr>
          <w:b/>
          <w:bCs/>
        </w:rPr>
        <w:t xml:space="preserve"> </w:t>
      </w:r>
      <w:r w:rsidRPr="00AD2F44">
        <w:t>Purdham v. Fairfax Cnty. Pub. Schs., 629 F. Supp. 2d 544, 552 (E.D. Va. 2009) (rejecting conditional certification of class seeking overtime and minimum wage on behalf of employees who “volunteered” at athletic events and received some kind of monetary supplement; variations between schools, varying practices and pay of individuals who did “volunteer” work, and question of whether work at athletic events was in role of volunteer or employee all would require individual inquiries that made collective action treatment inappropriate).</w:t>
      </w:r>
    </w:p>
    <w:p w14:paraId="5AEDC645" w14:textId="76CE97DA" w:rsidR="00721CCF" w:rsidRPr="00AD2F44" w:rsidRDefault="00F42107">
      <w:pPr>
        <w:pStyle w:val="14Footnote"/>
      </w:pPr>
      <w:r w:rsidRPr="00AD2F44">
        <w:rPr>
          <w:i/>
          <w:iCs/>
        </w:rPr>
        <w:t>Fifth Circuit:</w:t>
      </w:r>
      <w:r w:rsidRPr="00AD2F44">
        <w:t xml:space="preserve"> Shanks v. Carrizo Oil &amp; Gas, Inc., 2013 WL 6564636 (S.D. Tex. Dec. 11, 2013) (finding that inclusion of both exempt and nonexempt employees in proposed class precluded class members from being similarly situated); Andel v. Patterson-UTI Drilling Co., 280 F.R.D. 287, 290 (S.D. Tex. 2012) (denying conditional certification in independent contractor misclassification case, because analysis of classification would require individualized inquiries in light of differences in hours, days, and length of time worked; method used to invoice company; and each worker’s investment and opportunity for profit or loss); Dudley v. Texas Waste Sys., Inc., 2005 U.S. Dist. LEXIS 9168, at *7 (W.D. Tex. May 16, 2005) (certification denied where plaintiff failed to present any evidence “refuting [the defendant’s] written policy that employees were admonished to take their lunch breaks”); Basco v. Wal-Mart Stores, Inc., 2004 U.S. Dist. LEXIS 12441, 2004 WL 1497709, at *8 (E.D. La. July 2, 2004) (denying conditional certification where the plaintiffs sought to notify over 100,000 current or former employees of all Wal-Mart and Sam’s Club stores in Louisiana even though the court found that they “performed different jobs at different geographic locations and were subject to different managerial requirements”).</w:t>
      </w:r>
      <w:r w:rsidR="00A5319D" w:rsidRPr="00A5319D">
        <w:rPr>
          <w:b/>
        </w:rPr>
        <w:t xml:space="preserve"> </w:t>
      </w:r>
      <w:r w:rsidR="00A5319D" w:rsidRPr="00AD2F44">
        <w:rPr>
          <w:b/>
        </w:rPr>
        <w:t xml:space="preserve">[Caution: </w:t>
      </w:r>
      <w:r w:rsidR="00A5319D" w:rsidRPr="00AD2F44">
        <w:t xml:space="preserve">The Fifth Circuit later rejected the two-stage process, in </w:t>
      </w:r>
      <w:r w:rsidR="00A5319D" w:rsidRPr="00AD2F44">
        <w:rPr>
          <w:i/>
        </w:rPr>
        <w:t xml:space="preserve">Swales v. KLLM Transport Services, LLC, </w:t>
      </w:r>
      <w:r w:rsidR="00A5319D" w:rsidRPr="00AD2F44">
        <w:t xml:space="preserve">985 F.3d 430 (5th Cir. 2021), in favor of a requirement to “rigorously scrutinize” whether potential opt-ins are similarly situated “from the outset of the case.” </w:t>
      </w:r>
      <w:r w:rsidR="00A5319D" w:rsidRPr="00AD2F44">
        <w:rPr>
          <w:i/>
        </w:rPr>
        <w:t>Id.</w:t>
      </w:r>
      <w:r w:rsidR="00A5319D" w:rsidRPr="00AD2F44">
        <w:t xml:space="preserve"> at 434.</w:t>
      </w:r>
      <w:r w:rsidR="00A5319D" w:rsidRPr="00AD2F44">
        <w:rPr>
          <w:b/>
          <w:bCs/>
        </w:rPr>
        <w:t>]</w:t>
      </w:r>
    </w:p>
    <w:p w14:paraId="6EDC25F2" w14:textId="77777777" w:rsidR="00721CCF" w:rsidRPr="00AD2F44" w:rsidRDefault="00F42107">
      <w:pPr>
        <w:pStyle w:val="14Footnote"/>
      </w:pPr>
      <w:r w:rsidRPr="00AD2F44">
        <w:rPr>
          <w:i/>
          <w:iCs/>
        </w:rPr>
        <w:t>Sixth Circuit:</w:t>
      </w:r>
      <w:r w:rsidRPr="00AD2F44">
        <w:t xml:space="preserve"> Harrison v. McDonald’s Corp., 411 F. Supp. 2d 862, 871 (S.D. Ohio 2005) (noting that case would require analysis of voluminous time records to determine whether each correction made to electronic time records was improper cautioned against certification).</w:t>
      </w:r>
    </w:p>
    <w:p w14:paraId="0EA8AFCD" w14:textId="77777777" w:rsidR="00721CCF" w:rsidRPr="00AD2F44" w:rsidRDefault="00F42107">
      <w:pPr>
        <w:pStyle w:val="14Footnote"/>
      </w:pPr>
      <w:r w:rsidRPr="00AD2F44">
        <w:rPr>
          <w:i/>
          <w:iCs/>
        </w:rPr>
        <w:t>Seventh Circuit:</w:t>
      </w:r>
      <w:r w:rsidRPr="00AD2F44">
        <w:t xml:space="preserve"> </w:t>
      </w:r>
      <w:r w:rsidRPr="00AD2F44">
        <w:rPr>
          <w:i/>
          <w:iCs/>
        </w:rPr>
        <w:t>Steger</w:t>
      </w:r>
      <w:r w:rsidRPr="00AD2F44">
        <w:t>, 2016 WL 245899 (denying conditional certification for group of “Personal Trainer” employees with variety of job titles and positions where defendant asserted §207(i) affirmative defense, because resolution of defendant’s affirmative defense could not be accomplished collectively and would necessitate highly individualized inquiries); Strait v. Belcan Eng’g Grp., Inc., 911 F. Supp. 2d 709, 723 (N.D. Ill. 2012) (holding that plaintiffs failed to show by preponderance of evidence that defendant applied same pay deductions across class and finding court would have to perform individualized inquiry into pay practices); Bunyan v. Spectrum Brands, Inc., 2008 WL 2959932, at *4 (S.D. Ill. July 31, 2008) (articulating “intermediate standard” because significant but not complete discovery had occurred, and denying conditional certification in part to putative class of allegedly misclassified managers, because plaintiffs and putative class members, though having same job title, worked “at different locations, on different shifts, and on different production lines,” which caused them to perform different tasks and spend different amounts of time on those tasks).</w:t>
      </w:r>
    </w:p>
    <w:p w14:paraId="786CFAC0" w14:textId="28644739" w:rsidR="00721CCF" w:rsidRPr="00AD2F44" w:rsidRDefault="00F42107">
      <w:pPr>
        <w:pStyle w:val="14Footnote"/>
      </w:pPr>
      <w:r w:rsidRPr="00AD2F44">
        <w:rPr>
          <w:i/>
          <w:iCs/>
        </w:rPr>
        <w:t>Eighth Circuit:</w:t>
      </w:r>
      <w:r w:rsidRPr="00AD2F44">
        <w:t xml:space="preserve"> Ray v. Motel 6 Operating, Ltd. P’ship, 1996 U.S. Dist. LEXIS 22565 (D. Minn. Feb. 16, 1996) (certification of companywide case of assistant managers denied because of manageability concerns where plaintiffs worked in different regions, under area managers who had discretion to approve overtime, in different size hotels, and performed different amounts of overtime).</w:t>
      </w:r>
    </w:p>
    <w:p w14:paraId="07DC8932" w14:textId="77777777" w:rsidR="00721CCF" w:rsidRPr="00AD2F44" w:rsidRDefault="00F42107">
      <w:pPr>
        <w:pStyle w:val="14Footnote"/>
      </w:pPr>
      <w:r w:rsidRPr="00AD2F44">
        <w:rPr>
          <w:i/>
          <w:iCs/>
        </w:rPr>
        <w:t>Ninth Circuit:</w:t>
      </w:r>
      <w:r w:rsidRPr="00AD2F44">
        <w:t xml:space="preserve"> Kesley v. Entertainment U.S.A., Inc., 67 F. Supp. 3d 1061, 1071–73 (D. Ariz. 2014) (declining to extend notice to Ohio and North Carolina and beyond locations in Arizona where plaintiffs worked, in part because court determined it lacked personal jurisdiction over separate corporate entities affiliated with Arizona defendant through owner, and suggesting that plaintiffs in those states could pursue their claims there); Gessele v. Jack in the Box, Inc., 2013 WL 1326563, at *27–28 (D. Or. Jan. 28, 2013), </w:t>
      </w:r>
      <w:r w:rsidRPr="00AD2F44">
        <w:rPr>
          <w:i/>
          <w:iCs/>
        </w:rPr>
        <w:t>report and recommendation adopted</w:t>
      </w:r>
      <w:r w:rsidRPr="00AD2F44">
        <w:t>, 2013 WL 1326538 (D. Or. Apr. 1, 2013) (applying intermediate scrutiny and denying conditional certification where despite defendant’s uniform nationwide employee break policy and timekeeping system, whether employee whose break had been interrupted was underpaid under FLSA depended on individualized assessment based on particular circumstances involved, length and type of break, nature and extent of any interruption, and varying operational and time card editing practices of hundreds of different supervisors); Ellerd v. County of L.A., 2009 WL 982077, at *5 (C.D. Cal. Apr. 9, 2009) (denying conditional certification based on conflict in class, where putative class included social workers and supervisors who allegedly instructed them to violate the law, but making denial without prejudice so that plaintiffs could move for class of either supervisors or social workers); Trinh v. JP Morgan Chase &amp; Co., 2008 U.S. Dist. LEXIS 33016 (S.D. Cal. Apr. 22, 2008) (conditional certification denied where plaintiffs provided no real evidence, beyond their own speculative beliefs, suggesting that all loan officers across the country, regardless of location or experience, receive the same compensation and are required to work in the same manner and plaintiffs failed to show common evidence that would be used to establish they were misclassified as exempt by the employer); Sheffield v. Orius Corp., 211 F.R.D. 411, 413 (D. Or. 2002) (denying conditional certification where the employees in the proposed class were employed by different subsidiaries and affiliates of the defendant, they worked at nine different job sites, and their method of compensation ranged from piece rate to hourly to salaried; court noted an action dominated by individualized issues cannot be administered efficiently).</w:t>
      </w:r>
    </w:p>
    <w:p w14:paraId="3287F6F1" w14:textId="1C71E076" w:rsidR="00721CCF" w:rsidRPr="00AD2F44" w:rsidRDefault="00F42107">
      <w:pPr>
        <w:pStyle w:val="14Footnote"/>
      </w:pPr>
      <w:r w:rsidRPr="00AD2F44">
        <w:rPr>
          <w:i/>
          <w:iCs/>
        </w:rPr>
        <w:t>Eleventh Circuit:</w:t>
      </w:r>
      <w:r w:rsidRPr="00AD2F44">
        <w:t xml:space="preserve"> </w:t>
      </w:r>
      <w:r w:rsidRPr="00184277">
        <w:t>Green v. Atlas Senior Living, LLC,</w:t>
      </w:r>
      <w:r>
        <w:t xml:space="preserve"> </w:t>
      </w:r>
      <w:r w:rsidR="00486191" w:rsidRPr="00486191">
        <w:t>2022 BL 194582</w:t>
      </w:r>
      <w:r w:rsidR="00486191">
        <w:t xml:space="preserve">, </w:t>
      </w:r>
      <w:r w:rsidRPr="0052265E">
        <w:t xml:space="preserve">2022 WL 2007398 </w:t>
      </w:r>
      <w:r w:rsidRPr="00184277">
        <w:t>(S.D. Ga. June 6, 2022)</w:t>
      </w:r>
      <w:r>
        <w:t xml:space="preserve"> (denying conditional certification where defendant sufficiently demonstrated</w:t>
      </w:r>
      <w:r w:rsidRPr="00184277">
        <w:t xml:space="preserve"> there were wide variances in whether plaintiffs were paid for missed meal breaks and extent </w:t>
      </w:r>
      <w:r>
        <w:t xml:space="preserve">to which </w:t>
      </w:r>
      <w:r w:rsidRPr="00184277">
        <w:t>defendant knew of unpaid missed meal breaks</w:t>
      </w:r>
      <w:r>
        <w:t xml:space="preserve">); </w:t>
      </w:r>
      <w:r w:rsidRPr="00AD2F44">
        <w:t>Balassiano v. Fogo de Chao Churrascaria (Orlando) LLC, 2020 BL 489957, 2020 WL 7365264 (M.D. Fla. Dec. 15, 2020) (denying conditional certification; finding one group of plaintiffs (gauchos) had two legal grounds for minimum wage violations and another group (servers and bartenders) had one legal ground, that including three categories of tipped workers in a collective had been rejected in at least one other case and that even plaintiffs’ job position required individual inquiry into whether and what shifts gauchos had worked as “kitchen gauchos,” a position that would allegedly invalidate tip pool); Udo v. Lincare, Inc., 2014 WL 5354589, at *11 (M.D. Fla. Sept. 14, 2014) (denying nationwide certification of delivery drivers because of too many individualized inquiries surrounding claims of interrupted meal breaks with auto-deduction for time because of wide variations in schedules worked, meal breaks, and deliveries); Lockman v. Youme Windyhill, LLC, 2014 WL 3908590, at *2 (N.D. Ga. Aug. 11, 2014) (denying certification where differences in job duties, pay provisions, theories of relief, and claim of “certain instances” of failure to pay minimum wage meant that any liability determination would require individualized inquiries); Tyler v. Payless Shoe Source, Inc., 2005 U.S. Dist. LEXIS 31682 (M.D. Ala. Nov. 22, 2005) (a determination of similarly situated would require fact-specific case-by-case analysis of average job duties, number of employees supervised, and classification of each employee); Holt v. Rite Aid Corp., 333 F. Supp. 2d 1265, 1274 (M.D. Ala. 2004) (certification denied after extensive discovery had been conducted and court found that in order to address exemption defense the court would need to examine the job duties actually performed by all of the store managers and assistant managers); Horne v. United Serv. Auto. Ass’n, 279 F. Supp. 2d 1231, 1235–36 (M.D. Ala. 2003) (conditional certification denied despite plaintiff’s assertion that all appraisers were subject to same production goals that could not be completed without working more than 40 hours per week where plaintiff provided no supporting affidavits from other appraisers and record established that some overtime compensation was paid to plaintiff).</w:t>
      </w:r>
    </w:p>
  </w:footnote>
  <w:footnote w:id="147">
    <w:p w14:paraId="251942BC" w14:textId="77777777" w:rsidR="00721CCF" w:rsidRPr="00AD2F44" w:rsidRDefault="00F42107">
      <w:pPr>
        <w:pStyle w:val="14Footnote"/>
      </w:pPr>
      <w:r w:rsidRPr="00AD2F44">
        <w:rPr>
          <w:vertAlign w:val="superscript"/>
        </w:rPr>
        <w:footnoteRef/>
      </w:r>
      <w:r w:rsidRPr="00AD2F44">
        <w:rPr>
          <w:i/>
          <w:iCs/>
        </w:rPr>
        <w:t>See, e.g.,</w:t>
      </w:r>
    </w:p>
    <w:p w14:paraId="5521EF33" w14:textId="77777777" w:rsidR="00721CCF" w:rsidRPr="00AD2F44" w:rsidRDefault="00F42107">
      <w:pPr>
        <w:pStyle w:val="14Footnote"/>
      </w:pPr>
      <w:r w:rsidRPr="00AD2F44">
        <w:rPr>
          <w:i/>
          <w:iCs/>
        </w:rPr>
        <w:t>First Circuit:</w:t>
      </w:r>
      <w:r w:rsidRPr="00AD2F44">
        <w:t xml:space="preserve"> Johnson v. VCG Holding Corp., 802 F. Supp. 2d 227, 238–39 (D. Me. 2011) (denying conditional certification where two plaintiffs failed to show interest by others in joining class, explaining that while the named plaintiffs need not demonstrate the existence of similarly situated persons at every location in the proposed class, they must demonstrate that there existed at least one similarly situated person at a facility other than their own); O’Donnell v. Robert Half Int’l, Inc., 429 F. Supp. 2d 246, 250–51 (D. Mass. 2006) (conditional certification denied where two plaintiffs merely stated that they believed others would opt in and only one opt-in plaintiff had joined the action during the year period following the filing of the complaint).</w:t>
      </w:r>
    </w:p>
    <w:p w14:paraId="11E26D9E" w14:textId="77777777" w:rsidR="00721CCF" w:rsidRPr="00AD2F44" w:rsidRDefault="00F42107">
      <w:pPr>
        <w:pStyle w:val="14Footnote"/>
      </w:pPr>
      <w:r w:rsidRPr="00AD2F44">
        <w:rPr>
          <w:i/>
          <w:iCs/>
        </w:rPr>
        <w:t>Second Circuit:</w:t>
      </w:r>
      <w:r w:rsidRPr="00AD2F44">
        <w:t xml:space="preserve"> Khan v. Airport Mgmt. Servs., LLC, 2011 WL 5597371, at *5 (S.D.N.Y. Nov. 16, 2011) (denying issuance of notice because plaintiff failed to identify others interested in joining lawsuit).</w:t>
      </w:r>
    </w:p>
    <w:p w14:paraId="36940411" w14:textId="06036758" w:rsidR="00721CCF" w:rsidRDefault="00F42107">
      <w:pPr>
        <w:pStyle w:val="14Footnote"/>
      </w:pPr>
      <w:r w:rsidRPr="00AD2F44">
        <w:rPr>
          <w:i/>
          <w:iCs/>
        </w:rPr>
        <w:t>Fifth Circuit:</w:t>
      </w:r>
      <w:r w:rsidRPr="00AD2F44">
        <w:t xml:space="preserve"> Cervantez v. TDT Consulting, LLC, 2019 WL 3948355, at *6–7, 9 (N.D. Tex. July 22, 2019) (recognizing split of authority in district courts in Fifth Circuit on whether plaintiffs must show similarly situated employees want to opt in to suit; holding fact that one other employee filed consent to join supports conditional certification); Clemons v. PHB, Inc., 2018 WL 4539116 (N.D. Tex. Sept. 21, 2018) (granting conditional certification for only the locations where employees expressed interest, and refusing to grant conditional certification as to locations where plaintiff did not provide evidence of interest); Solis v. Baylor Scott &amp; White Health Care, 2018 WL 4076484 (N.D. Tex. July 16, 2018) (refusing to grant conditional certification for a collective of all nurses spanning 12 facilities when plaintiff provided only one affidavit (her own) demonstrating interest in joining the collective action); Shaffer v. M-I, LLC, 2015 WL 7313415 (S.D. Tex. Nov. 19, 2015) (denying conditional certification because plaintiff made only vague statement that others may exist and therefore failed to establish that other individuals wanted to opt in to action); Perez v. Guardian Equity Mgmt., LLC, 2011 WL 2672431, at *8 (S.D. Tex. July 7, 2011) (relaxing the requirement that plaintiff show there are others who wish to join the lawsuit where the plaintiff had limited contact with other potential opt-ins, defendant refused to disclose their identities, and plaintiff testified that other employees were interested in joining but feared retaliation); Songer v. Dillon Res., Inc., 569 F. Supp. 2d 703, 707 (N.D. Tex. 2008) (denying conditional certification, in part, because plaintiffs’ evidence did not show that other similarly situated employees sought to opt in); Simmons v. T-Mobile USA, Inc., 2007 U.S. Dist. LEXIS 5002, at *33–34 (S.D. Tex. Jan. 24, 2007) (“a showing is necessary that at least a few similarly situated individuals seek to join the lawsuit”); Aguirre v. SBC Commc’ns, Inc., 2006 U.S. Dist. LEXIS 22211, at *19 (S.D. Tex. Apr. 11, 2006).</w:t>
      </w:r>
      <w:r w:rsidR="00A5319D" w:rsidRPr="00A5319D">
        <w:rPr>
          <w:b/>
        </w:rPr>
        <w:t xml:space="preserve"> </w:t>
      </w:r>
      <w:r w:rsidR="00A5319D" w:rsidRPr="00AD2F44">
        <w:rPr>
          <w:b/>
        </w:rPr>
        <w:t xml:space="preserve">[Caution: </w:t>
      </w:r>
      <w:r w:rsidR="00A5319D" w:rsidRPr="00AD2F44">
        <w:t xml:space="preserve">The Fifth Circuit later rejected the two-stage process, in </w:t>
      </w:r>
      <w:r w:rsidR="00A5319D" w:rsidRPr="00AD2F44">
        <w:rPr>
          <w:i/>
        </w:rPr>
        <w:t xml:space="preserve">Swales v. KLLM Transport Services, LLC, </w:t>
      </w:r>
      <w:r w:rsidR="00A5319D" w:rsidRPr="00AD2F44">
        <w:t xml:space="preserve">985 F.3d 430 (5th Cir. 2021), in favor of a requirement to “rigorously scrutinize” whether potential opt-ins are similarly situated “from the outset of the case.” </w:t>
      </w:r>
      <w:r w:rsidR="00A5319D" w:rsidRPr="00AD2F44">
        <w:rPr>
          <w:i/>
        </w:rPr>
        <w:t>Id.</w:t>
      </w:r>
      <w:r w:rsidR="00A5319D" w:rsidRPr="00AD2F44">
        <w:t xml:space="preserve"> at 434.</w:t>
      </w:r>
      <w:r w:rsidR="00A5319D" w:rsidRPr="00AD2F44">
        <w:rPr>
          <w:b/>
          <w:bCs/>
        </w:rPr>
        <w:t>]</w:t>
      </w:r>
    </w:p>
    <w:p w14:paraId="07D8BEEE" w14:textId="57CB17D0" w:rsidR="00721CCF" w:rsidRPr="00E069BA" w:rsidRDefault="00F42107">
      <w:pPr>
        <w:pStyle w:val="14Footnote"/>
      </w:pPr>
      <w:r>
        <w:rPr>
          <w:i/>
          <w:iCs/>
        </w:rPr>
        <w:t>Sixth Circuit</w:t>
      </w:r>
      <w:r>
        <w:t xml:space="preserve">: </w:t>
      </w:r>
      <w:r w:rsidRPr="00E069BA">
        <w:t>St. Cloud v. Estes Express Lines, Inc.,</w:t>
      </w:r>
      <w:r>
        <w:t xml:space="preserve"> </w:t>
      </w:r>
      <w:r w:rsidR="00645E6B" w:rsidRPr="00645E6B">
        <w:t>2022 BL 215773</w:t>
      </w:r>
      <w:r w:rsidR="00645E6B">
        <w:t xml:space="preserve">, </w:t>
      </w:r>
      <w:r w:rsidRPr="0052265E">
        <w:t xml:space="preserve">2022 WL 2252957 </w:t>
      </w:r>
      <w:r w:rsidRPr="00E069BA">
        <w:t>(M.D. Tenn. June 22, 2022)</w:t>
      </w:r>
      <w:r>
        <w:t xml:space="preserve"> (denying certification where plaintiffs failed to </w:t>
      </w:r>
      <w:r w:rsidRPr="00E069BA">
        <w:t>demonstrate a likelihood of additional similarly situated individuals</w:t>
      </w:r>
      <w:r>
        <w:t xml:space="preserve">, recognizing </w:t>
      </w:r>
      <w:r w:rsidRPr="00E069BA">
        <w:t>one opt-in with two named plaintiffs</w:t>
      </w:r>
      <w:r>
        <w:t xml:space="preserve"> was insufficient). </w:t>
      </w:r>
    </w:p>
    <w:p w14:paraId="676CC675" w14:textId="77777777" w:rsidR="00721CCF" w:rsidRPr="00AD2F44" w:rsidRDefault="00F42107">
      <w:pPr>
        <w:pStyle w:val="14Footnote"/>
      </w:pPr>
      <w:r w:rsidRPr="00AD2F44">
        <w:rPr>
          <w:i/>
          <w:iCs/>
        </w:rPr>
        <w:t>Seventh Circuit:</w:t>
      </w:r>
      <w:r w:rsidRPr="00AD2F44">
        <w:t xml:space="preserve"> DeKeyser v. Thyssenkrupp Waupaca, Inc., 2008 WL 5263750, at *4 (E.D. Wis. Dec. 18, 2008) (holding that 67 opt-ins demonstrated sufficient interest in litigation to support conditional certification); Lance v. The Scotts Co., 2005 U.S. Dist. LEXIS 14949, at *26–27 (N.D. Ill. July 21, 2005).</w:t>
      </w:r>
    </w:p>
    <w:p w14:paraId="53065EE1" w14:textId="77777777" w:rsidR="00721CCF" w:rsidRPr="00AD2F44" w:rsidRDefault="00F42107">
      <w:pPr>
        <w:pStyle w:val="14Footnote"/>
      </w:pPr>
      <w:r w:rsidRPr="00AD2F44">
        <w:rPr>
          <w:i/>
          <w:iCs/>
        </w:rPr>
        <w:t>Eighth Circuit:</w:t>
      </w:r>
      <w:r w:rsidRPr="00AD2F44">
        <w:t xml:space="preserve"> Butcher v. Delta </w:t>
      </w:r>
      <w:r w:rsidRPr="00AD2F44">
        <w:t>Mem’l Hosp., 2013 WL 1668998, at *3 (E.D. Ark. Apr. 17, 2013) (denying certification where plaintiffs failed to offer evidence that any similarly situated individuals were interested in joining litigation); Parker v. Rowland Express, Inc., 492 F. Supp. 2d 1159, 1165 (D. Minn. 2007).</w:t>
      </w:r>
    </w:p>
    <w:p w14:paraId="3672B88D" w14:textId="77777777" w:rsidR="00721CCF" w:rsidRDefault="00F42107">
      <w:pPr>
        <w:pStyle w:val="14Footnote"/>
      </w:pPr>
      <w:r w:rsidRPr="00AD2F44">
        <w:rPr>
          <w:i/>
          <w:iCs/>
        </w:rPr>
        <w:t>Ninth Circuit:</w:t>
      </w:r>
      <w:r w:rsidRPr="00AD2F44">
        <w:t xml:space="preserve"> Hargrove v. Sykes Enters., Inc., 2009 U.S. Dist. LEXIS 20141, at *13 (D. Or. June 30, 1999).</w:t>
      </w:r>
    </w:p>
    <w:p w14:paraId="40598F32" w14:textId="39BA9471" w:rsidR="00721CCF" w:rsidRPr="00E069BA" w:rsidRDefault="00F42107">
      <w:pPr>
        <w:pStyle w:val="14Footnote"/>
      </w:pPr>
      <w:r>
        <w:rPr>
          <w:i/>
          <w:iCs/>
        </w:rPr>
        <w:t>Tenth Circuit</w:t>
      </w:r>
      <w:r>
        <w:t xml:space="preserve">: </w:t>
      </w:r>
      <w:r w:rsidRPr="00E069BA">
        <w:t>Silva v. Agave Transp. Servs.,</w:t>
      </w:r>
      <w:r>
        <w:t xml:space="preserve"> </w:t>
      </w:r>
      <w:r w:rsidR="00DA6A39" w:rsidRPr="00DA6A39">
        <w:t>2023 BL 53263</w:t>
      </w:r>
      <w:r w:rsidR="00DA6A39">
        <w:t xml:space="preserve">, </w:t>
      </w:r>
      <w:r w:rsidRPr="0052265E">
        <w:t xml:space="preserve">2023 WL 2087955 </w:t>
      </w:r>
      <w:r w:rsidRPr="00E069BA">
        <w:t>(D.N.M. Feb. 18, 2023)</w:t>
      </w:r>
      <w:r>
        <w:t xml:space="preserve"> (holding there was</w:t>
      </w:r>
      <w:r w:rsidRPr="00E069BA">
        <w:t xml:space="preserve"> insufficient evidence</w:t>
      </w:r>
      <w:r>
        <w:t xml:space="preserve"> of</w:t>
      </w:r>
      <w:r w:rsidRPr="00E069BA">
        <w:t xml:space="preserve"> other putative plaintiffs likely to </w:t>
      </w:r>
      <w:r>
        <w:t>opt in</w:t>
      </w:r>
      <w:r w:rsidRPr="00E069BA">
        <w:t xml:space="preserve">, </w:t>
      </w:r>
      <w:r>
        <w:t>with no further</w:t>
      </w:r>
      <w:r w:rsidRPr="00E069BA">
        <w:t xml:space="preserve"> corroborat</w:t>
      </w:r>
      <w:r>
        <w:t>ion to</w:t>
      </w:r>
      <w:r w:rsidRPr="00E069BA">
        <w:t xml:space="preserve"> plaintiff’s declaration</w:t>
      </w:r>
      <w:r>
        <w:t xml:space="preserve">, holding such evidence failed </w:t>
      </w:r>
      <w:r w:rsidRPr="00E069BA">
        <w:t>to establish plaintiff</w:t>
      </w:r>
      <w:r>
        <w:t>’s</w:t>
      </w:r>
      <w:r w:rsidRPr="00E069BA">
        <w:t xml:space="preserve"> knowledge regarding pay </w:t>
      </w:r>
      <w:r>
        <w:t>of</w:t>
      </w:r>
      <w:r w:rsidRPr="00E069BA">
        <w:t xml:space="preserve"> other oilfield drivers</w:t>
      </w:r>
      <w:r>
        <w:t xml:space="preserve">; allowing </w:t>
      </w:r>
      <w:r w:rsidRPr="00E069BA">
        <w:t xml:space="preserve">plaintiff sixty days to conduct discovery </w:t>
      </w:r>
      <w:r>
        <w:t>to show</w:t>
      </w:r>
      <w:r w:rsidRPr="00E069BA">
        <w:t xml:space="preserve"> other putative plaintiffs were likely to exist</w:t>
      </w:r>
      <w:r>
        <w:t xml:space="preserve">). </w:t>
      </w:r>
    </w:p>
    <w:p w14:paraId="6A1ED8C1" w14:textId="0EF7EF04" w:rsidR="00721CCF" w:rsidRPr="00AD2F44" w:rsidRDefault="00F42107">
      <w:pPr>
        <w:pStyle w:val="14Footnote"/>
      </w:pPr>
      <w:r w:rsidRPr="00AD2F44">
        <w:rPr>
          <w:i/>
          <w:iCs/>
        </w:rPr>
        <w:t>Eleventh Circuit:</w:t>
      </w:r>
      <w:r w:rsidRPr="00AD2F44">
        <w:t xml:space="preserve"> Dybach v. Fla. Dep’t of Corr., 942 F.2d 1562, 1567–68 (11th Cir. 1991); Haynes v. Singer Co., Inc., 696 F.2d 884, 887 (11th Cir. 1983); Dix v. RCSH Operations, LLC, 2020 BL 489957, 2020 WL 6915046 (M.D. Fla. Nov. 24, 2020) (denying conditional certification where only one other employee opted in during nine months since lawsuit filing); Metzler v. Medical Mgmt. Int’l Inc., 2020 WL 1674310, at *3 (M.D. Fla. Mar. 4, 2020) (granting conditional certification, finding plaintiffs met their “light” burden to demonstrate “reasonable basis” to claim that others desired to participate where 10 individuals had opted in to the suit); Morris v. Trugreeb Ltd. P’ship, 2018 WL 3651384 (M.D. Fla. June 14, 2018) (refusing to grant conditional certification when plaintiff provided only one opt-in); Holmes v. Swissport Fueling, Inc., 2017 WL 8794900, at *6 (M.D. Fla. Sept. 1, 2017) (granting conditional certification; “Evidence of similarly situated employees who desire to opt in may be based on affidavits of other employees, consents to join the lawsuit filed by other employees, or expert evidence on the existence of other similarly situated employees. … A court must keep in mind that a ‘plaintiff’s or counsel’s belief in the existence of other employees who desire to opt in and unsupported expectations that additional plaintiffs will subsequently come forward are insufficient to justify certification of a collective action and notice to a potential class.’”) (citation omitted); Walker v. Jefferson Cnty. Bd. of Educ., 2016 WL 1117643, at *6 (N.D. Ala. Mar. 22, 2016) (denying conditional certification in part because only two persons had filed consent forms to opt in); Gonzalez v. TZ Ins. Sols., LLC, 2014 WL 1248154, at *2 (M.D. Fla. Mar. 26, 2014) (finding no “magic number requirement for the notice stage,” but that presence of five opt-in plaintiffs, who had filed declarations regarding their working conditions and desire to join suit, was sufficient); Louis-Chares v. Sun-Sentinel Co., 2008 U.S. Dist. LEXIS 20030 (S.D. Fla. Mar. 14, 2008) (plaintiff’s anticipation that others would seek to join the case insufficient); Robinson v. Dolgencorp, Inc., 2006 U.S. Dist. LEXIS 85471 (M.D. Fla. Nov. 20, 2006) (certification denied where affidavits submitted for the two opt-in plaintiffs did not address whether other employees desired to join the case and the affidavit submitted by the named plaintiff only identified three potential opt-in plaintiffs who were interested in joining the case, whereas the employer had provided numerous affidavits indicating that employees were not interested in joining the action).</w:t>
      </w:r>
    </w:p>
    <w:p w14:paraId="3C6E54A8" w14:textId="77777777" w:rsidR="00721CCF" w:rsidRPr="00AD2F44" w:rsidRDefault="00F42107">
      <w:pPr>
        <w:pStyle w:val="14Footnote"/>
      </w:pPr>
      <w:r w:rsidRPr="00AD2F44">
        <w:rPr>
          <w:i/>
          <w:iCs/>
        </w:rPr>
        <w:t>Cf</w:t>
      </w:r>
      <w:r w:rsidRPr="00AD2F44">
        <w:t>.</w:t>
      </w:r>
      <w:r w:rsidRPr="00AD2F44">
        <w:rPr>
          <w:i/>
          <w:iCs/>
        </w:rPr>
        <w:t xml:space="preserve"> </w:t>
      </w:r>
      <w:r w:rsidRPr="00AD2F44">
        <w:t xml:space="preserve">Martin v. Psalms, Inc., 2011 WL 2882387, at *8 (W.D. Tenn. July 15, 2011) (recognizing that Sixth Circuit had not decided whether plaintiff must show interest by other potential class members in opting in, and that Eleventh Circuit required some interest be shown but had not defined how much, and finding that one opt-in was sufficient to demonstrate interest for conditional certification). </w:t>
      </w:r>
    </w:p>
  </w:footnote>
  <w:footnote w:id="148">
    <w:p w14:paraId="6FB28420" w14:textId="77777777" w:rsidR="00721CCF" w:rsidRPr="00AD2F44" w:rsidRDefault="00F42107">
      <w:pPr>
        <w:pStyle w:val="14Footnote"/>
      </w:pPr>
      <w:r w:rsidRPr="00AD2F44">
        <w:rPr>
          <w:vertAlign w:val="superscript"/>
        </w:rPr>
        <w:footnoteRef/>
      </w:r>
      <w:r w:rsidRPr="00AD2F44">
        <w:rPr>
          <w:i/>
          <w:iCs/>
        </w:rPr>
        <w:t>See, e.g.,</w:t>
      </w:r>
    </w:p>
    <w:p w14:paraId="2E83AA53" w14:textId="77777777" w:rsidR="00721CCF" w:rsidRPr="00AD2F44" w:rsidRDefault="00F42107">
      <w:pPr>
        <w:pStyle w:val="14Footnote"/>
      </w:pPr>
      <w:r w:rsidRPr="00AD2F44">
        <w:rPr>
          <w:i/>
          <w:iCs/>
        </w:rPr>
        <w:t>First Circuit:</w:t>
      </w:r>
      <w:r w:rsidRPr="00AD2F44">
        <w:t xml:space="preserve"> Giguere v. Port Res., Inc., 2016 WL 6996133, at *5 (D. Me. Nov. 30, 2016) (granting conditional certification and declining to require plaintiff to identify other individuals with interest in joining suit, where plaintiff was former employee and facilities were scattered throughout Maine, making it difficult for him to find such workers; defendant admitted that other employees followed plaintiff’s schedule that was at issue, and that plaintiff had personal knowledge of work hours and policy at issue in case); Rossello v. Avon Prods., Inc., 2015 WL 3890403 (D.P.R. June 24, 2015) (concluding that conditional certification should not hinge on showing that other employees are interested in joining suit); Trezvant v. Fidelity Emp. Servs. Corp., 434 F. Supp. 2d 40, 45 (D. Mass. 2006) (affidavits beyond the named plaintiffs are not necessary to meet the similarly situated requirement).</w:t>
      </w:r>
    </w:p>
    <w:p w14:paraId="0C29FECF" w14:textId="77777777" w:rsidR="00721CCF" w:rsidRPr="00AD2F44" w:rsidRDefault="00F42107">
      <w:pPr>
        <w:pStyle w:val="14Footnote"/>
      </w:pPr>
      <w:r w:rsidRPr="00AD2F44">
        <w:rPr>
          <w:i/>
          <w:iCs/>
        </w:rPr>
        <w:t>Second Circuit:</w:t>
      </w:r>
      <w:r w:rsidRPr="00AD2F44">
        <w:t xml:space="preserve"> Amendola v. Bristol-Myers Squibb Co., 558 F. Supp. 2d 459, 466 (S.D.N.Y. 2008) (“FLSA plaintiffs are not required to show that putative members of the collective action are interested in the lawsuit in order to obtain authorization for notice of the collective action to be sent to potential plaintiffs.”); Doucoure v. Matlyn Food, Inc., 554 F. Supp. 2d 369, 374 (E.D.N.Y. 2008) (allegations in complaint sufficient to support collective action); Iriarte v. Redwood Deli &amp; Catering, Inc., 2008 WL 2622929, at *3 (E.D.N.Y. June 30, 2008) (rejecting defendant’s argument that plaintiff’s failure to identify others interested in opting in undermined conditional certification, where employer admitted it kept no records of hours worked or wages paid, and plaintiff had testified about observing fellow employees who were not paid overtime); Neary v. Metropolitan Prop. &amp; Cas. Ins. Co., 517 F. Supp. 2d 606, 622 (D. Conn. 2007) (identification of individuals who seek to opt in to the action not required in Second Circuit).</w:t>
      </w:r>
    </w:p>
    <w:p w14:paraId="4220F7B5" w14:textId="77777777" w:rsidR="00721CCF" w:rsidRPr="00AD2F44" w:rsidRDefault="00F42107">
      <w:pPr>
        <w:pStyle w:val="14Footnote"/>
      </w:pPr>
      <w:r w:rsidRPr="00AD2F44">
        <w:rPr>
          <w:i/>
          <w:iCs/>
        </w:rPr>
        <w:t xml:space="preserve">Third Circuit: </w:t>
      </w:r>
      <w:r w:rsidRPr="00AD2F44">
        <w:t>Potoski v. Wyoming Valley Health Care Sys., 2013 WL 6731035 (M.D. Pa. Dec. 19, 2013) (finding that defendants’ eight declarations from plaintiffs’ co-workers expressing disinterest in joining litigation not relevant on motion for conditional certification).</w:t>
      </w:r>
    </w:p>
    <w:p w14:paraId="05CBB08D" w14:textId="77777777" w:rsidR="00721CCF" w:rsidRPr="00AD2F44" w:rsidRDefault="00F42107">
      <w:pPr>
        <w:pStyle w:val="14Footnote"/>
      </w:pPr>
      <w:r w:rsidRPr="00AD2F44">
        <w:rPr>
          <w:i/>
          <w:iCs/>
        </w:rPr>
        <w:t>Fourth Circuit:</w:t>
      </w:r>
      <w:r w:rsidRPr="00AD2F44">
        <w:rPr>
          <w:b/>
          <w:bCs/>
        </w:rPr>
        <w:t xml:space="preserve"> </w:t>
      </w:r>
      <w:r w:rsidRPr="00AD2F44">
        <w:t xml:space="preserve">Govan v. Whiting-Turner Contracting Co., 146 F. Supp. 3d 763, 769 (D.S.C. 2015) (surveying cases within Fourth Circuit and concluding that FLSA plaintiff need not show that others are interested in joining case to obtain conditional certification); Butler v. </w:t>
      </w:r>
      <w:r w:rsidRPr="00AD2F44">
        <w:t>DirectSAT USA, LLC, 876 F. Supp. 2d 560, 572 (D. Md. 2012) (rejecting argument that plaintiffs had to show other potential opt-ins were interested in joining case).</w:t>
      </w:r>
    </w:p>
    <w:p w14:paraId="7240C3DF" w14:textId="761B7C4E" w:rsidR="00721CCF" w:rsidRPr="00AD2F44" w:rsidRDefault="00F42107">
      <w:pPr>
        <w:pStyle w:val="14Footnote"/>
      </w:pPr>
      <w:r w:rsidRPr="00AD2F44">
        <w:rPr>
          <w:i/>
          <w:iCs/>
        </w:rPr>
        <w:t>Fifth Circuit:</w:t>
      </w:r>
      <w:r w:rsidRPr="00AD2F44">
        <w:t xml:space="preserve"> Gremillion v. Cox Commc’ns La., 2017 WL 2688217, at *4 (E.D. La. June 22, 2017) (“[I]t is enough for the plaintiff to present evidence that there </w:t>
      </w:r>
      <w:r w:rsidRPr="00AD2F44">
        <w:rPr>
          <w:i/>
          <w:iCs/>
        </w:rPr>
        <w:t>may</w:t>
      </w:r>
      <w:r w:rsidRPr="00AD2F44">
        <w:t xml:space="preserve"> be other aggrieved individuals to whom a class action notice should be sent, without requiring evidence that those individuals actually intend to join the lawsuit.”) (emphasis in original); Page v. Nova Healthcare Mgmt., LLP, 2013 WL 4782749 (S.D. Tex. Sept. 6, 2013); Villarreal v. St. Luke’s Hosp., 751 F. Supp. 2d 902 (S.D. Tex. 2010) (rejecting requirement that plaintiffs show that others are interested in opting in because it is not statutory requirement, no higher court requires it, there is no numerosity requirement, and it is at odds with liberal construction that must be given to FLSA).</w:t>
      </w:r>
      <w:r w:rsidR="00A5319D" w:rsidRPr="00A5319D">
        <w:rPr>
          <w:b/>
        </w:rPr>
        <w:t xml:space="preserve"> </w:t>
      </w:r>
      <w:r w:rsidR="00A5319D" w:rsidRPr="00AD2F44">
        <w:rPr>
          <w:b/>
        </w:rPr>
        <w:t xml:space="preserve">[Caution: </w:t>
      </w:r>
      <w:r w:rsidR="00A5319D" w:rsidRPr="00AD2F44">
        <w:t xml:space="preserve">The Fifth Circuit later rejected the two-stage process, in </w:t>
      </w:r>
      <w:r w:rsidR="00A5319D" w:rsidRPr="00AD2F44">
        <w:rPr>
          <w:i/>
        </w:rPr>
        <w:t xml:space="preserve">Swales v. KLLM Transport Services, LLC, </w:t>
      </w:r>
      <w:r w:rsidR="00A5319D" w:rsidRPr="00AD2F44">
        <w:t xml:space="preserve">985 F.3d 430 (5th Cir. 2021), in favor of a requirement to “rigorously scrutinize” whether potential opt-ins are similarly situated “from the outset of the case.” </w:t>
      </w:r>
      <w:r w:rsidR="00A5319D" w:rsidRPr="00AD2F44">
        <w:rPr>
          <w:i/>
        </w:rPr>
        <w:t>Id.</w:t>
      </w:r>
      <w:r w:rsidR="00A5319D" w:rsidRPr="00AD2F44">
        <w:t xml:space="preserve"> at 434.</w:t>
      </w:r>
      <w:r w:rsidR="00A5319D" w:rsidRPr="00AD2F44">
        <w:rPr>
          <w:b/>
          <w:bCs/>
        </w:rPr>
        <w:t>]</w:t>
      </w:r>
    </w:p>
    <w:p w14:paraId="39A73A1F" w14:textId="77777777" w:rsidR="00721CCF" w:rsidRPr="00AD2F44" w:rsidRDefault="00F42107">
      <w:pPr>
        <w:pStyle w:val="14Footnote"/>
      </w:pPr>
      <w:r w:rsidRPr="00AD2F44">
        <w:rPr>
          <w:i/>
          <w:iCs/>
        </w:rPr>
        <w:t>Sixth Circuit:</w:t>
      </w:r>
      <w:r w:rsidRPr="00AD2F44">
        <w:t xml:space="preserve"> Ware v. T-Mobile USA, 828 F. Supp. 2d 948, 954–55 (M.D. Tenn. 2011) (rejecting argument that plaintiff must demonstrate others have interest in joining action before approving notice); Jesiek v. Fire Pros, Inc., 275 F.R.D. 242, 247 (W.D. Mich. 2011) (excusing plaintiffs from submitting evidence from other opt-ins showing interest to join, noting Sixth Circuit had not adopted such requirement; plaintiffs introduced evidence that potential opt-ins feared retaliation based on comments from company owner singling out plaintiffs and describing lawsuit as “frivolous,” and had amended complaint to allege retaliation); Douglas v. GE Energy Reuter Stokes, 2007 U.S. Dist. LEXIS 32449, at *24 (N.D. Ohio Apr. 30, 2007).</w:t>
      </w:r>
    </w:p>
    <w:p w14:paraId="5F6D97B1" w14:textId="77777777" w:rsidR="00721CCF" w:rsidRPr="00AD2F44" w:rsidRDefault="00F42107">
      <w:pPr>
        <w:pStyle w:val="14Footnote"/>
      </w:pPr>
      <w:r w:rsidRPr="00AD2F44">
        <w:rPr>
          <w:i/>
          <w:iCs/>
        </w:rPr>
        <w:t>Seventh Circuit:</w:t>
      </w:r>
      <w:r w:rsidRPr="00AD2F44">
        <w:t xml:space="preserve"> Fox v. Martin Transp. Sys., Inc., 2009 WL 3416021, at *2 (N.D. Ind. Oct. 19, 2009) (rejecting requirement that plaintiff show interest in joining case by other putative collective action members at conditional certification stage); Garcia v. Salamanca Grp., Ltd., 2008 U.S. Dist. LEXIS 22852, at *7–11 (N.D. Ill. Mar. 24, 2008); Heckler v. DK Funding, LLC, 502 F. Supp. 2d 777, 780 (N.D. Ill. 2007) (requirement of showing interest does not make sense because it would require plaintiffs or their counsel to solicit opt-in plaintiffs without the benefit of court-approved notice).</w:t>
      </w:r>
    </w:p>
    <w:p w14:paraId="0A6158BD" w14:textId="77777777" w:rsidR="00721CCF" w:rsidRPr="00AD2F44" w:rsidRDefault="00F42107">
      <w:pPr>
        <w:pStyle w:val="14Footnote"/>
      </w:pPr>
      <w:r w:rsidRPr="00AD2F44">
        <w:rPr>
          <w:i/>
          <w:iCs/>
        </w:rPr>
        <w:t>Eighth Circuit:</w:t>
      </w:r>
      <w:r w:rsidRPr="00AD2F44">
        <w:t xml:space="preserve"> Arnold v. DirecTV, 2012 WL 4480723, at *6 (E.D. Mo. Sept. 28, 2012) (rejecting argument that plaintiffs were required to show “desire to opt-in” by potential opt-in plaintiffs); Ondes v. Monsanto Co., 2011 WL 6152858, at *5 (E.D. Mo. Dec. 12, 2011) (rejecting argument that plaintiff must show interest of others in joining the case for case to be conditionally certified); Kautsch v. Premier Commc’ns, 504 F. Supp. 2d 685, 690 n.1 (W.D. Mo. 2007).</w:t>
      </w:r>
    </w:p>
    <w:p w14:paraId="539612AA" w14:textId="77777777" w:rsidR="00721CCF" w:rsidRPr="00AD2F44" w:rsidRDefault="00F42107">
      <w:pPr>
        <w:pStyle w:val="14Footnote"/>
      </w:pPr>
      <w:r w:rsidRPr="00AD2F44">
        <w:rPr>
          <w:i/>
          <w:iCs/>
        </w:rPr>
        <w:t>Ninth Circuit:</w:t>
      </w:r>
      <w:r w:rsidRPr="00AD2F44">
        <w:t xml:space="preserve"> Barrera v. US Airways Grp., Inc., 2013 WL 4654567, at *7 (D. Ariz. Aug. 30, 2013) (noting that requirement of demonstrating interest puts the “cart before the horse” and has almost never applied outside the Eleventh Circuit); Delgado v. Ortho-McNeil, Inc., 2007 WL 2847238, at *2 (C.D. Cal. Aug. 7, 2007) (declining to apply interest requirement because the notice stage is designed to provide notice to potential opt-in plaintiffs who are unaware of the case).</w:t>
      </w:r>
    </w:p>
    <w:p w14:paraId="3F56F2F4" w14:textId="6CF5842D" w:rsidR="00721CCF" w:rsidRPr="00AD2F44" w:rsidRDefault="00F42107">
      <w:pPr>
        <w:pStyle w:val="14Footnote"/>
      </w:pPr>
      <w:r w:rsidRPr="00AD2F44">
        <w:rPr>
          <w:i/>
          <w:iCs/>
        </w:rPr>
        <w:t>Tenth Circuit:</w:t>
      </w:r>
      <w:r w:rsidRPr="00AD2F44">
        <w:t xml:space="preserve"> McCaffrey v. Mortgage Sources, Corp., 2009 WL 2778085, at *4 (D. Kan. Aug. 27, 2009) (refusing to require plaintiff to identify other opt-ins for conditional certification, relying on </w:t>
      </w:r>
      <w:r w:rsidRPr="00AD2F44">
        <w:rPr>
          <w:i/>
          <w:iCs/>
        </w:rPr>
        <w:t>Courtright</w:t>
      </w:r>
      <w:r w:rsidRPr="00AD2F44">
        <w:t xml:space="preserve"> and </w:t>
      </w:r>
      <w:r w:rsidRPr="00AD2F44">
        <w:rPr>
          <w:i/>
          <w:iCs/>
        </w:rPr>
        <w:t>Reab</w:t>
      </w:r>
      <w:r w:rsidRPr="00AD2F44">
        <w:t xml:space="preserve">); Courtwright v. Board of Cnty. Comm’rs of Payne Cnty., 2009 WL 1076778, at *3–4 (W.D. Okla. Apr. 21, 2009) (rejecting requirement that plaintiff identify other potential opt-ins as condition to conditional certification, because it would encourage communications not supervised by court between plaintiff or his counsel and defendant’s employees, raising risks of improperly obtained consents that court is supposed to help avoid in supervising notice under </w:t>
      </w:r>
      <w:r w:rsidRPr="00AD2F44">
        <w:rPr>
          <w:i/>
          <w:iCs/>
        </w:rPr>
        <w:t>Hoffman-La Roche v. Sperling,</w:t>
      </w:r>
      <w:r w:rsidRPr="00AD2F44">
        <w:t xml:space="preserve"> 493 U.S. 165, 170 (1989)); Reab v. Electronic Arts, Inc., 214 F.R.D. 623, 629 (D. Colo. 2002).</w:t>
      </w:r>
    </w:p>
  </w:footnote>
  <w:footnote w:id="149">
    <w:p w14:paraId="05B34366" w14:textId="77777777" w:rsidR="00721CCF" w:rsidRPr="00AD2F44" w:rsidRDefault="00F42107">
      <w:pPr>
        <w:pStyle w:val="14Footnote"/>
      </w:pPr>
      <w:r w:rsidRPr="00AD2F44">
        <w:rPr>
          <w:vertAlign w:val="superscript"/>
        </w:rPr>
        <w:footnoteRef/>
      </w:r>
      <w:r w:rsidRPr="00AD2F44">
        <w:rPr>
          <w:i/>
        </w:rPr>
        <w:t>See, e.g.,</w:t>
      </w:r>
    </w:p>
    <w:p w14:paraId="492D61D7" w14:textId="77777777" w:rsidR="00721CCF" w:rsidRPr="00AD2F44" w:rsidRDefault="00F42107">
      <w:pPr>
        <w:pStyle w:val="14Footnote"/>
      </w:pPr>
      <w:r w:rsidRPr="00AD2F44">
        <w:rPr>
          <w:i/>
          <w:iCs/>
        </w:rPr>
        <w:t>Third Circuit:</w:t>
      </w:r>
      <w:r w:rsidRPr="00AD2F44">
        <w:t xml:space="preserve"> Mott v. Driveline Retail Merch., Inc., 23 F. Supp. 3d 483 (E.D. Pa. 2014) (seven affirmations describing similar work responsibilities and consents filed by 40 opt-in plaintiffs from across the country sufficient to show similarly situated plaintiffs).</w:t>
      </w:r>
    </w:p>
    <w:p w14:paraId="6D0F6160" w14:textId="2D055267" w:rsidR="00721CCF" w:rsidRPr="00AD2F44" w:rsidRDefault="00F42107">
      <w:pPr>
        <w:pStyle w:val="14Footnote"/>
      </w:pPr>
      <w:r w:rsidRPr="00AD2F44">
        <w:rPr>
          <w:i/>
          <w:iCs/>
        </w:rPr>
        <w:t xml:space="preserve">Fifth Circuit: </w:t>
      </w:r>
      <w:r w:rsidRPr="00AD2F44">
        <w:t xml:space="preserve">Lee v. </w:t>
      </w:r>
      <w:r w:rsidRPr="00AD2F44">
        <w:t>Metrocare Servs., 980 F. Supp. 2d 754 (N.D. Tex. 2013) (eight filed written consents and five declarations showed potential class members who desired to opt in).</w:t>
      </w:r>
      <w:r w:rsidR="00A5319D" w:rsidRPr="00A5319D">
        <w:rPr>
          <w:b/>
        </w:rPr>
        <w:t xml:space="preserve"> </w:t>
      </w:r>
      <w:r w:rsidR="00A5319D" w:rsidRPr="00AD2F44">
        <w:rPr>
          <w:b/>
        </w:rPr>
        <w:t xml:space="preserve">[Caution: </w:t>
      </w:r>
      <w:r w:rsidR="00A5319D" w:rsidRPr="00AD2F44">
        <w:t xml:space="preserve">The Fifth Circuit later rejected the two-stage process, in </w:t>
      </w:r>
      <w:r w:rsidR="00A5319D" w:rsidRPr="00AD2F44">
        <w:rPr>
          <w:i/>
        </w:rPr>
        <w:t xml:space="preserve">Swales v. KLLM Transport Services, LLC, </w:t>
      </w:r>
      <w:r w:rsidR="00A5319D" w:rsidRPr="00AD2F44">
        <w:t xml:space="preserve">985 F.3d 430 (5th Cir. 2021), in favor of a requirement to “rigorously scrutinize” whether potential opt-ins are similarly situated “from the outset of the case.” </w:t>
      </w:r>
      <w:r w:rsidR="00A5319D" w:rsidRPr="00AD2F44">
        <w:rPr>
          <w:i/>
        </w:rPr>
        <w:t>Id.</w:t>
      </w:r>
      <w:r w:rsidR="00A5319D" w:rsidRPr="00AD2F44">
        <w:t xml:space="preserve"> at 434.</w:t>
      </w:r>
      <w:r w:rsidR="00A5319D" w:rsidRPr="00AD2F44">
        <w:rPr>
          <w:b/>
          <w:bCs/>
        </w:rPr>
        <w:t>]</w:t>
      </w:r>
    </w:p>
    <w:p w14:paraId="02178BC7" w14:textId="1EF74910" w:rsidR="00721CCF" w:rsidRPr="00AD2F44" w:rsidRDefault="00F42107">
      <w:pPr>
        <w:pStyle w:val="14Footnote"/>
      </w:pPr>
      <w:r w:rsidRPr="00AD2F44">
        <w:rPr>
          <w:i/>
          <w:iCs/>
        </w:rPr>
        <w:t>Eleventh Circuit:</w:t>
      </w:r>
      <w:r w:rsidRPr="00AD2F44">
        <w:t xml:space="preserve"> Davis v. Charoen Pokphand (USA), Inc., 303 F. Supp. 2d 1272, 1277 (M.D. Ala. 2004).</w:t>
      </w:r>
    </w:p>
  </w:footnote>
  <w:footnote w:id="150">
    <w:p w14:paraId="5C59F3FC" w14:textId="3B40CAE6" w:rsidR="00721CCF" w:rsidRPr="00AD2F44" w:rsidRDefault="00F42107" w:rsidP="000B6C5F">
      <w:pPr>
        <w:pStyle w:val="FootnoteText"/>
      </w:pPr>
      <w:r w:rsidRPr="00AD2F44">
        <w:rPr>
          <w:rStyle w:val="FootnoteReference"/>
        </w:rPr>
        <w:footnoteRef/>
      </w:r>
      <w:r w:rsidRPr="00AD2F44">
        <w:rPr>
          <w:i/>
        </w:rPr>
        <w:t xml:space="preserve">See </w:t>
      </w:r>
      <w:r w:rsidRPr="00AD2F44">
        <w:t xml:space="preserve">Deutsch v. My Pillow Inc., 2020 BL 487304, 2020 WL 7351556 (D. Minn. Dec. 15, 2020) (estimating three plaintiffs represented 1–3% of total putative FLSA collective and that percentage was similar to or higher than percentage of interested persons in other cases where courts found sufficient interest for conditional certification; noting that named plaintiff’s relatively short job tenure suggested that he may not know many employees to identify at this stage, distinguishing cases with longer-tenured employees and cases where employees had limited number of opt ins because others had declined affirmatively to join). </w:t>
      </w:r>
    </w:p>
  </w:footnote>
  <w:footnote w:id="151">
    <w:p w14:paraId="01F1E837" w14:textId="77777777" w:rsidR="00721CCF" w:rsidRPr="00AD2F44" w:rsidRDefault="00F42107">
      <w:pPr>
        <w:pStyle w:val="14Footnote"/>
      </w:pPr>
      <w:r w:rsidRPr="00AD2F44">
        <w:rPr>
          <w:vertAlign w:val="superscript"/>
        </w:rPr>
        <w:footnoteRef/>
      </w:r>
      <w:r w:rsidRPr="00AD2F44">
        <w:t>2006 U.S. Dist. LEXIS 23272 (M.D. Fla. Mar. 23, 2006).</w:t>
      </w:r>
    </w:p>
  </w:footnote>
  <w:footnote w:id="152">
    <w:p w14:paraId="38662C0B" w14:textId="77777777" w:rsidR="00721CCF" w:rsidRPr="00AD2F44" w:rsidRDefault="00F42107">
      <w:pPr>
        <w:pStyle w:val="14Footnote"/>
      </w:pPr>
      <w:r w:rsidRPr="00AD2F44">
        <w:rPr>
          <w:vertAlign w:val="superscript"/>
        </w:rPr>
        <w:footnoteRef/>
      </w:r>
      <w:r w:rsidRPr="00AD2F44">
        <w:t>Romero v. La Revise Assocs., 968 F. Supp. 2d 639 (S.D.N.Y. 2013) (affidavit of plaintiff attesting to existence of similarly situated plaintiffs sufficient); Daniel v. Quail Int’l, Inc., 2008 WL 3538564, at *3 (M.D. Ga. Aug. 11, 2008) (sufficient interest demonstrated where one employee besides plaintiff had opted in and plaintiff had pointed court to “some evidence” that others would likely join if they received notice); Tyler v. Payless Shoe Source, Inc., 2005 U.S. Dist. LEXIS 31682 (M.D. Ala. Nov. 23, 2005) (plaintiff established that other store managers and store managers in training were interested in joining the action based on the filing of three consents to join and five affidavits); Holt v. Rite Aid Corp., 333 F. Supp. 2d 1265, 1269–70 (M.D. Ala. 2004) (plaintiffs established that store managers and assistant managers were interested in joining the action because some of these individuals had filed consents to join the case).</w:t>
      </w:r>
    </w:p>
  </w:footnote>
  <w:footnote w:id="153">
    <w:p w14:paraId="42B48654" w14:textId="77777777" w:rsidR="00721CCF" w:rsidRPr="00AD2F44" w:rsidRDefault="00F42107">
      <w:pPr>
        <w:pStyle w:val="14Footnote"/>
      </w:pPr>
      <w:r w:rsidRPr="00AD2F44">
        <w:rPr>
          <w:vertAlign w:val="superscript"/>
        </w:rPr>
        <w:footnoteRef/>
      </w:r>
      <w:r w:rsidRPr="00AD2F44">
        <w:t>2006 U.S. Dist. LEXIS 58484 (S.D. Fla. May 17, 2006).</w:t>
      </w:r>
    </w:p>
  </w:footnote>
  <w:footnote w:id="154">
    <w:p w14:paraId="22921750" w14:textId="77777777" w:rsidR="00721CCF" w:rsidRPr="00AD2F44" w:rsidRDefault="00F42107">
      <w:pPr>
        <w:pStyle w:val="14Footnote"/>
      </w:pPr>
      <w:r w:rsidRPr="00AD2F44">
        <w:rPr>
          <w:vertAlign w:val="superscript"/>
        </w:rPr>
        <w:footnoteRef/>
      </w:r>
      <w:r w:rsidRPr="00AD2F44">
        <w:rPr>
          <w:i/>
          <w:iCs/>
        </w:rPr>
        <w:t xml:space="preserve">Id. </w:t>
      </w:r>
      <w:r w:rsidRPr="00AD2F44">
        <w:t>at *10.</w:t>
      </w:r>
    </w:p>
  </w:footnote>
  <w:footnote w:id="155">
    <w:p w14:paraId="599526E3" w14:textId="77777777" w:rsidR="00721CCF" w:rsidRPr="00AD2F44" w:rsidRDefault="00F42107">
      <w:pPr>
        <w:pStyle w:val="14Footnote"/>
      </w:pPr>
      <w:r w:rsidRPr="00AD2F44">
        <w:rPr>
          <w:vertAlign w:val="superscript"/>
        </w:rPr>
        <w:footnoteRef/>
      </w:r>
      <w:r w:rsidRPr="00AD2F44">
        <w:rPr>
          <w:i/>
        </w:rPr>
        <w:t>See, e.g.,</w:t>
      </w:r>
    </w:p>
    <w:p w14:paraId="4A01AF9A" w14:textId="77777777" w:rsidR="00721CCF" w:rsidRPr="00AD2F44" w:rsidRDefault="00F42107">
      <w:pPr>
        <w:pStyle w:val="14Footnote"/>
      </w:pPr>
      <w:r w:rsidRPr="00AD2F44">
        <w:rPr>
          <w:i/>
          <w:iCs/>
        </w:rPr>
        <w:t>First Circuit:</w:t>
      </w:r>
      <w:r w:rsidRPr="00AD2F44">
        <w:t xml:space="preserve"> Montoya v. CRST Expedited, Inc.,</w:t>
      </w:r>
      <w:r w:rsidRPr="00AD2F44">
        <w:rPr>
          <w:b/>
          <w:bCs/>
        </w:rPr>
        <w:t xml:space="preserve"> </w:t>
      </w:r>
      <w:r w:rsidRPr="00AD2F44">
        <w:t xml:space="preserve">311 F. Supp. 3d 411 (D. Mass. 2018) (granting conditional certification because truck drivers were subject to standard policies and practices, and finding that individualized damages were not a basis for denying conditional certification so long as damages emanated from standard policies and practices); </w:t>
      </w:r>
      <w:r w:rsidRPr="00AD2F44">
        <w:t>Levecque v. Argo Mktg. Grp., 2015 WL 3672647 (D. Me. June 12, 2015) (granting conditional certification, finding that plaintiffs submitted sufficient evidence that customer service representatives and sales personnel at multiple locations worked off the clock and were not paid minimum wage and overtime for such work); Norceide v. Cambridge Health Alliance, 814 F. Supp. 2d 17, 29 (D. Mass. 2011) (granting conditional certification based on evidence that putative class members were all subject to policy of implicitly or explicitly discouraging them from recording time worked pre- and post-shift and during meal breaks, instead paying based on “theoretical schedules”);</w:t>
      </w:r>
      <w:r w:rsidRPr="00AD2F44">
        <w:rPr>
          <w:b/>
          <w:bCs/>
        </w:rPr>
        <w:t xml:space="preserve"> </w:t>
      </w:r>
      <w:r w:rsidRPr="00AD2F44">
        <w:t>Scovil v. FedEx Ground Package Sys., Inc., 811 F. Supp. 2d 516, 519–20 (D. Me. 2011) (granting conditional certification in independent contractor misclassification case where, among other similarities, drivers were subject to same pay-per-package delivered plan with no discretion to adjust rates, which packages they delivered, or delivery dates).</w:t>
      </w:r>
    </w:p>
    <w:p w14:paraId="3DBA7851" w14:textId="77777777" w:rsidR="00721CCF" w:rsidRPr="00AD2F44" w:rsidRDefault="00F42107">
      <w:pPr>
        <w:pStyle w:val="14Footnote"/>
      </w:pPr>
      <w:r w:rsidRPr="00AD2F44">
        <w:rPr>
          <w:i/>
          <w:iCs/>
        </w:rPr>
        <w:t>Second Circuit:</w:t>
      </w:r>
      <w:r w:rsidRPr="00AD2F44">
        <w:t xml:space="preserve"> Chen v. XpresSpa at Terminal 4 JFK, LLC, 2016 WL 5338536, at *4 (E.D.N.Y. Sept. 22, 2016) (granting nationwide conditional certification for claim by purportedly commission-only employees, based on plaintiffs’ affidavits that they were subject to policies and that policy required them to transfer among stores, even though affidavits covered only some of defendant’s locations and were partially based on hearsay, and refusing to consider factual disputes raised by defendant, noting that other district courts in New York had granted certification on evidence “even thinner” than what plaintiffs provided); Hart v. Crab Addison, Inc., 2015 WL 365785, at *3 (W.D.N.Y. Jan. 27, 2015) (evidence consisting of 21 affidavits from tipped servers working at 16 restaurants in 12 different states, all alleging that they were required to spend excessive time on nontipped work, and that corporate trainers had instructed them on completing such work before leaving each day, was sufficient to allow nationwide conditional certification of collective claiming violation of tip-credit rules); Morris v. Lettire Constr. Corp., 896 F. Supp. 2d 265 (S.D.N.Y. 2012) (evidence, including declarations regarding manner of payment and statement by CEO, suggested policy across work locations); Guzelgurgenli v. Prime Time Specials Inc., 883 F. Supp. 2d 340, 351 (E.D.N.Y. 2012) (finding statements of single regional manager and employees of three of seven stores sufficient to “infer the same pattern of behavior” at all of defendant’s locations); Rosario v. Valentine Ave. Discount Store Co., 828 F. Supp. 2d 508, 515–18 (E.D.N.Y. 2011) (finding plaintiffs met modest factual showing of common policy or plan of failing to pay minimum wage and overtime at 27 stores under same ownership, where plaintiffs submitted evidence about experiences at eight stores, including being paid fixed salary regardless of hours worked, being required to clock out at set time regardless of how late they worked, and being charged $4 per week to pay for bathroom to be cleaned; and evidence was that same person owned all stores, controlled all payroll, and actively operated seven stores where plaintiffs worked; that employees transferred regularly among stores; that allegedly unlawful pay policies were the same; and that owner controlled all payroll through central location in Brooklyn); Alonso v. Uncle Jack’s Steakhouse, Inc., 648 F. Supp. 2d 484, 488 (S.D.N.Y. 2009) (approving notice where affidavits from waitstaff alleged that employer had policy to withhold part of employees’ tips while paying less than minimum wage, not paying fully for overtime work, and retaliating against complaining employees).</w:t>
      </w:r>
    </w:p>
    <w:p w14:paraId="35A69F4E" w14:textId="77777777" w:rsidR="00721CCF" w:rsidRPr="00AD2F44" w:rsidRDefault="00F42107">
      <w:pPr>
        <w:pStyle w:val="14Footnote"/>
      </w:pPr>
      <w:r w:rsidRPr="00AD2F44">
        <w:rPr>
          <w:i/>
          <w:iCs/>
        </w:rPr>
        <w:t>Third Circuit:</w:t>
      </w:r>
      <w:r w:rsidRPr="00AD2F44">
        <w:t xml:space="preserve"> Stone v. Troy Constr. LLC, 2015 WL 7736827, at *3 (M.D. Pa. Dec. 1, 2015) (conditional certification granted where plaintiff presented evidence concerning company’s relevant, nationwide compensation policies sufficient to establish required “nexus of facts common to herself and the putative class”); Aboud v. City of Wildwood, 2013 WL 2156248, at *4 (D.N.J. May 17, 2013) (granting conditional certification where plaintiffs sufficiently demonstrated they are similarly situated to putative class because claims pertained to key employment terms and, although class members may have different jobs, they were all police officers, members of same bargaining unit, and subject to same collective bargaining agreement that required they report 15 minutes early for unpaid reporting period); Titchenell v. Apria Healthcare, Inc., 2011 WL 5428559, at *4–6 (E.D. Pa. Nov. 8, 2011) (granting conditional certification based on “unofficial” policy of tacitly endorsing off-the-clock work despite official policy to the contrary; there was evidence that supervisors at several facilities were aware of off-the-clock overtime work and did not correct or discourage it).</w:t>
      </w:r>
    </w:p>
    <w:p w14:paraId="543A520B" w14:textId="57BCC03E" w:rsidR="00721CCF" w:rsidRPr="00AD2F44" w:rsidRDefault="00F42107">
      <w:pPr>
        <w:pStyle w:val="14Footnote"/>
      </w:pPr>
      <w:r w:rsidRPr="00AD2F44">
        <w:rPr>
          <w:i/>
          <w:iCs/>
        </w:rPr>
        <w:t xml:space="preserve">Fourth Circuit: </w:t>
      </w:r>
      <w:r>
        <w:t xml:space="preserve">Njoroge v. PrimaCare Partners, LLC, </w:t>
      </w:r>
      <w:r w:rsidR="00A815AC" w:rsidRPr="00A815AC">
        <w:t>2022 BL 342131</w:t>
      </w:r>
      <w:r w:rsidR="00A815AC">
        <w:t xml:space="preserve">, </w:t>
      </w:r>
      <w:r w:rsidR="002E55FE" w:rsidRPr="002E55FE">
        <w:t xml:space="preserve">2022 WL 4465894 </w:t>
      </w:r>
      <w:r>
        <w:t xml:space="preserve">(D. Md. Sept. 26, 2022) (granting conditional certification where evidence was that plaintiffs and putative plaintiffs used same timekeeping system to clock in and out and the same person was in charge of their schedules and pay); </w:t>
      </w:r>
      <w:r w:rsidRPr="00AD2F44">
        <w:t>Cummins v. Ascellon Corp., 2020 BL 431387, 2020 WL 6544822 (D. Md. Nov. 6, 2020) (granting conditional certification; finding defendant’s answer, admitting that it did not pay overtime wages for hours worked over 40, may be sufficient to establish common policy and that answer, amended complaint, and two declarations submitted by plaintiff were sufficient to establish common compensation policy);</w:t>
      </w:r>
      <w:r w:rsidRPr="00AD2F44">
        <w:rPr>
          <w:i/>
          <w:iCs/>
        </w:rPr>
        <w:t xml:space="preserve"> </w:t>
      </w:r>
      <w:r w:rsidRPr="00AD2F44">
        <w:t>Butler v. DirectSAT USA, LLC, 876 F. Supp. 2d 560, 568 (D. Md. 2012) (granting conditional certification where evidence showed that company subjected putative class members to same timekeeping policies and compensation plans, and had common policy of directing workers not to record more than 40 hours of work, not to record any pre- or post-shift time, or both); McLaurin v. Prestage Foods, Inc., 271 F.R.D. 465, 470 (E.D.N.C. 2010) (granting notice as to production line employees paid on “line time” basis, but rejecting notice for employees near production line not paid on that basis).</w:t>
      </w:r>
    </w:p>
    <w:p w14:paraId="5C6A609D" w14:textId="5504C6FB" w:rsidR="00721CCF" w:rsidRPr="00AD2F44" w:rsidRDefault="00F42107">
      <w:pPr>
        <w:pStyle w:val="14Footnote"/>
      </w:pPr>
      <w:r w:rsidRPr="00AD2F44">
        <w:rPr>
          <w:i/>
          <w:iCs/>
        </w:rPr>
        <w:t>Fifth Circuit:</w:t>
      </w:r>
      <w:r w:rsidRPr="00AD2F44">
        <w:t xml:space="preserve"> Tamez v. BHP Billiton Petroleum (Ams.), Inc., 2015 WL 7075971 (W.D. Tex. Oct. 5, 2015) (conditionally certifying class of all of defendant’s workers who were paid on day-rate system, over defendant’s opposition that some members of proposed class were dissimilar from plaintiffs because they were classified as independent contractors); Behnken v. Luminant Mining Co. LLC, 997 F. Supp. 2d 511 (N.D. Tex. 2014) (employees subject to same shift agreement and collective bargaining agreement were subject to common policy concerning meal breaks); Vargas v. Richardson Trident Co., 2010 WL 730155, at *10 (S.D. Tex. Feb. 22, 2010) (approving notice to employees at all facilities, because evidence showed common policy, plan, or practice of failing to pay proper overtime compensation to hourly laborers); Gandhi v. Dell Inc., 2009 WL 1940144, at *6 (W.D. Tex. July 2, 2009) (granting conditional certification as to business sales representatives in light of uniform compensation structure and job classification). </w:t>
      </w:r>
      <w:r w:rsidR="00A5319D" w:rsidRPr="00AD2F44">
        <w:rPr>
          <w:b/>
        </w:rPr>
        <w:t xml:space="preserve">[Caution: </w:t>
      </w:r>
      <w:r w:rsidR="00A5319D" w:rsidRPr="00AD2F44">
        <w:t xml:space="preserve">The Fifth Circuit later rejected the two-stage process, in </w:t>
      </w:r>
      <w:r w:rsidR="00A5319D" w:rsidRPr="00AD2F44">
        <w:rPr>
          <w:i/>
        </w:rPr>
        <w:t xml:space="preserve">Swales v. KLLM Transport Services, LLC, </w:t>
      </w:r>
      <w:r w:rsidR="00A5319D" w:rsidRPr="00AD2F44">
        <w:t xml:space="preserve">985 F.3d 430 (5th Cir. 2021), in favor of a requirement to “rigorously scrutinize” whether potential opt-ins are similarly situated “from the outset of the case.” </w:t>
      </w:r>
      <w:r w:rsidR="00A5319D" w:rsidRPr="00AD2F44">
        <w:rPr>
          <w:i/>
        </w:rPr>
        <w:t>Id.</w:t>
      </w:r>
      <w:r w:rsidR="00A5319D" w:rsidRPr="00AD2F44">
        <w:t xml:space="preserve"> at 434.</w:t>
      </w:r>
      <w:r w:rsidR="00A5319D" w:rsidRPr="00AD2F44">
        <w:rPr>
          <w:b/>
          <w:bCs/>
        </w:rPr>
        <w:t>]</w:t>
      </w:r>
    </w:p>
    <w:p w14:paraId="78094119" w14:textId="77777777" w:rsidR="00721CCF" w:rsidRPr="00AD2F44" w:rsidRDefault="00F42107">
      <w:pPr>
        <w:pStyle w:val="14Footnote"/>
      </w:pPr>
      <w:r w:rsidRPr="00AD2F44">
        <w:rPr>
          <w:i/>
          <w:iCs/>
        </w:rPr>
        <w:t>Sixth Circuit:</w:t>
      </w:r>
      <w:r w:rsidRPr="00AD2F44">
        <w:t xml:space="preserve"> Boyd v. Schwebel Baking Co., 2016 WL 3555351, at *7 (N.D. Ohio June 30, 2016) (conditionally certifying class of route sales drivers, using “modest plus” standard, given similarity of compensation scheme, including companywide exemption classification); Brown v. Consolidated Rest. Operations, Inc., 2013 WL 4804780 (M.D. Tenn. Sept. 6, 2013) (conditionally certifying collective action of employees at different restaurants based on common uniform policy that could reduce wages below the minimum); Knispel v. Chrysler Grp., LLC, 2012 WL 553722, at *6 (E.D. Mich. Feb. 21, 2012) (granting conditional certification where evidence showed common practices of requiring contract nonunion employees to (1) submit time records that excluded overtime hours worked; (2) take compensatory time in lieu of overtime; (3) work without breaks or lunch; and (4) travel during workday and overnight without properly compensating for hourly pay); Lindberg v. UHS of Lakeside, LLC, 761 F. Supp. 2d 752, 760 (W.D. Tenn. 2011) (granting notice where plaintiffs presented evidence that defendants (1) used automatic meal deduction policy that put burden on employees to make corrections, (2) allowed or forced employees to work unpaid meal period, and (3) ignored or discouraged corrections); Jackson v. Papa John’s USA, Inc., 2009 WL 385580, at *5 (N.D. Ohio Feb. 13, 2009) (granting conditional certification of nationwide misclassification case where training manuals supported plaintiff’s three declarations that assistant managers did not perform sufficient managerial functions to qualify as exempt); Yanni v. Red Brick Mortg., 2008 WL 4619772, at *3 (S.D. Ohio Oct. 16, 2008) (ordering notice issued where evidence showed all mortgage loan officers at location were paid purely on commission basis during relevant time period).</w:t>
      </w:r>
    </w:p>
    <w:p w14:paraId="161342A9" w14:textId="77777777" w:rsidR="00721CCF" w:rsidRPr="00AD2F44" w:rsidRDefault="00F42107">
      <w:pPr>
        <w:pStyle w:val="14Footnote"/>
      </w:pPr>
      <w:r w:rsidRPr="00AD2F44">
        <w:rPr>
          <w:i/>
          <w:iCs/>
        </w:rPr>
        <w:t>Seventh Circuit:</w:t>
      </w:r>
      <w:r w:rsidRPr="00AD2F44">
        <w:t xml:space="preserve"> Brabazon v. Aurora Health Care, Inc., 2011 WL 1131097, at *3 (E.D. Wis. Mar. 28, 2011) (granting notice where evidence showed that opt-in plaintiffs were subject to automatic meal deduction policy despite being forced to monitor radios and be ready to respond, raising potential FLSA violation); Gambo v. Lucent Techs., Inc., 2005 U.S. Dist. LEXIS 37998, at *17 (N.D. Ill. Dec. 22, 2005) (similar payment scheme for on-call work); Garza v. Chicago Transit Auth., 2001 U.S. Dist. LEXIS 6132, at *10 (N.D. Ill. May 11, 2001) (failure to pay for training time).</w:t>
      </w:r>
    </w:p>
    <w:p w14:paraId="7BF11A7E" w14:textId="77777777" w:rsidR="00721CCF" w:rsidRPr="00AD2F44" w:rsidRDefault="00F42107">
      <w:pPr>
        <w:pStyle w:val="14Footnote"/>
      </w:pPr>
      <w:r w:rsidRPr="00AD2F44">
        <w:rPr>
          <w:i/>
          <w:iCs/>
        </w:rPr>
        <w:t>Eighth Circuit:</w:t>
      </w:r>
      <w:r w:rsidRPr="00AD2F44">
        <w:t xml:space="preserve"> Tegtmeier v. PJ Iowa, L.C., 208 F. Supp. 3d 1012, 1019–21 (S.D. Iowa 2016) (granting conditional certification on minimum wage claim regarding alleged policy of inadequate reimbursement for delivery drivers, given common policy, despite disputes over nature and application of policy, and change in fact allegations by plaintiff following his deposition, reasoning that disputes raised were better addressed at decertification stage);</w:t>
      </w:r>
      <w:r w:rsidRPr="00AD2F44">
        <w:rPr>
          <w:i/>
          <w:iCs/>
        </w:rPr>
        <w:t xml:space="preserve"> </w:t>
      </w:r>
      <w:r w:rsidRPr="00AD2F44">
        <w:t>Trogdon v. Kleenco Maint. &amp; Constr., Inc., 2015 WL 2345590, at *2 (W.D. Ark. May 15, 2015) (granting certification where allegations of single plan to treat travel and regular hourly compensation separately to avoid overtime and to automatically deduct meal breaks even if they were not taken, and refusing to consider potential individualized fact issues at conditional certification stage); Bowman v. Doe Run Res. Corp., 2014 WL 3579885, at *4 (E.D. Mo. July 21, 2014) (granting conditional certification in donning and doffing case because putative class members were all subject to same allegedly unlawful practice of donning and doffing clothing and equipment, and relieving co-workers without being paid for it); Le v. Regency Corp., 957 F. Supp. 2d 1079 (D. Minn. 2013) (granting conditional certification where members of proposed class performed same or similar job duties, worked at same location, and were subject to the same timekeeping system and one manner of compensation); Burch v. Qwest, 500 F. Supp. 2d 1181, 1189 (D. Minn. 2007) (certifying companywide class of call center employees where plaintiffs established that all call center employees performed similar duties prior to logging into payroll system and company operated centralized “mission control” that oversaw all work performance of call center employees).</w:t>
      </w:r>
    </w:p>
    <w:p w14:paraId="6B925074" w14:textId="77777777" w:rsidR="00721CCF" w:rsidRPr="00AD2F44" w:rsidRDefault="00F42107">
      <w:pPr>
        <w:pStyle w:val="14Footnote"/>
      </w:pPr>
      <w:r w:rsidRPr="00AD2F44">
        <w:rPr>
          <w:i/>
          <w:iCs/>
        </w:rPr>
        <w:t>Ninth Circuit:</w:t>
      </w:r>
      <w:r w:rsidRPr="00AD2F44">
        <w:t xml:space="preserve"> Hernandez v. Sephora USA, Inc., 2017 WL 6209308, at *3–4 (N.D. Cal. Dec. 8, 2017) (granting conditional certification; holding that cosmetic employees established sufficient common policy or plan where defendant required them to apply their own makeup during off hours and take breaks “off the clock”); Pataky v. Brigantine, Inc., 2017 WL 1855762, at *4 (S.D. Cal. May 8, 2017) (granting conditional certification in tip pooling case across restaurants, despite lack of uniform tip pooling policy in handbook, because existence of handbook, other employment policies, and “tip declaration policy” guidelines issued at all restaurants sufficed, at conditional certification stage, to suggest uniform tip policy at all locations); Longnecker v. American Express Co., 2014 WL 4071662, at *4–5 (D. Ariz. Aug. 18, 2014) (granting conditional certification at one call center because plaintiff’s evidence, at initial notice stage, established that she and other call center workers whose primary function was to handle calls with clients, vendors, or public, were all subject to same policy given that their duties allegedly required uncompensated work pre- and post-shift and during meal breaks); Davis v. Social Serv. Coordinators, Inc., 2012 WL 5361746, at *23 (E.D. Cal. Oct. 30, 2012), </w:t>
      </w:r>
      <w:r w:rsidRPr="00AD2F44">
        <w:rPr>
          <w:i/>
          <w:iCs/>
        </w:rPr>
        <w:t>report and recommendation adopted as modified,</w:t>
      </w:r>
      <w:r w:rsidRPr="00AD2F44">
        <w:t xml:space="preserve"> 2012 WL 5838825 (E.D. Cal. Nov. 15, 2012) (recommending conditional certification where plaintiff presented sufficient evidence of common, centralized policy requiring every class member to meet hours quota of outreach to clients using script that afforded little discretion; issue of discretion and exercise of independent judgment became common to class by virtue of defendant’s policy); Bollinger v. Residential Capital, LLC, 761 F. Supp. 2d 1114, 1120 (W.D. Wash. 2011) (approving nationwide notice to underwriters in exemption case in light of evidence of same job duties, same compensation, and uniform reclassification of employees in wake of Second Circuit decision on underwriters); Schemkes v. Presidential Limousine, 2011 WL 868182, at *3 (D. Nev. Mar. 10, 2011) (granting notice to drivers who alleged they were paid fixed amount per trip, despite multiple defendants, because evidence showed that practices were same across companies, only rate differed); Wren v. RGIS Inventory Specialists, 2007 U.S. Dist. LEXIS 95439, at *6–7 (N.D. Cal. Dec. 19, 2007) (granting conditional certification for various practices common to the putative class: (1) time spent donning required equipment; (2) time spent “engaged to wait” for inventories to begin; (3) time spent waiting for transportation to inventory even after workday had begun; and (4) time spent in work-related transportation to and from inventory sites in single work day).</w:t>
      </w:r>
    </w:p>
    <w:p w14:paraId="67255592" w14:textId="1BB426B4" w:rsidR="00721CCF" w:rsidRPr="00AD2F44" w:rsidRDefault="00F42107">
      <w:pPr>
        <w:pStyle w:val="14Footnote"/>
      </w:pPr>
      <w:r w:rsidRPr="00AD2F44">
        <w:rPr>
          <w:i/>
          <w:iCs/>
        </w:rPr>
        <w:t>Tenth Circuit:</w:t>
      </w:r>
      <w:r w:rsidRPr="00AD2F44">
        <w:t xml:space="preserve"> Robertson v. REP Processing, LLC, 2021 BL 353240, 2021 WL 4255027 (D. Colo. Sept. 16, 2021) (granting conditional certification where plaintiffs presented substantial allegations of single rate schedule policy applied to putative collective); </w:t>
      </w:r>
      <w:r w:rsidRPr="00AD2F44">
        <w:rPr>
          <w:i/>
          <w:iCs/>
        </w:rPr>
        <w:t xml:space="preserve">In re </w:t>
      </w:r>
      <w:r w:rsidRPr="00AD2F44">
        <w:t>Bank of Am. Wage &amp; Hour Emp. Litig., 286 F.R.D. 572, 586 (D. Kan. 2012) (concluding that plaintiffs satisfied their minimal burden for conditional certification of providing substantial allegations that defendant had maintained unofficial policy that required plaintiffs to perform off-the-clock work); Darrow v. WKRP Mgmt., LLC, 18 WH Cases2d 1595, 2012 WL 638119, at *3–4 (D. Colo. Feb. 28, 2012) (granting notice to delivery drivers whose evidence showed, at lenient stage, drivers were required to maintain operational and insured vehicles but were paid same fixed amount per delivery and that amount reimbursed could be insufficient to ensure they received at least minimum wage); Underwood v. NMC Mortg. Corp., 245 F.R.D. 720, 723 (D. Kan. 2007) (“Generally, where putative class members are employed in similar positions, the allegation that defendants engaged in a pattern or practice of not paying overtime is sufficient to allege that plaintiffs were together the victims of a single decision, policy or plan.”); Brown v. Money Tree Mortg., Inc., 222 F.R.D. 676, 680 (D. Kan. 2004) (granting conditional certification where plaintiff alleged that he and other similarly situated employees were paid “flex time” in lieu of overtime compensation even though they were classified as nonexempt under FLSA).</w:t>
      </w:r>
    </w:p>
    <w:p w14:paraId="1E509D61" w14:textId="547A2FE3" w:rsidR="00721CCF" w:rsidRPr="00AD2F44" w:rsidRDefault="00F42107">
      <w:pPr>
        <w:pStyle w:val="14Footnote"/>
      </w:pPr>
      <w:r w:rsidRPr="00AD2F44">
        <w:rPr>
          <w:i/>
          <w:iCs/>
        </w:rPr>
        <w:t>Eleventh Circuit:</w:t>
      </w:r>
      <w:r w:rsidRPr="00AD2F44">
        <w:t xml:space="preserve"> Brown v. 1888 Mills, LLC, 339 F.R.D. 692 (N.D. Ga. 2021) (granting conditional certification, recognizing that putative collective was subject to common timekeeping practice); Thomas v. Waste Pro USA, Inc., 360 F. Supp. 3d 1313 (M.D. Fla. 2018) (granting companywide conditional certification for a class that spanned five regional subsidiaries even though the subsidiaries had hybrid policies, some local and some national, with the court reasoning that the company’s uniform pay practices (i.e., paying daily rates and bonus) met the “fairly lenient” standard for conditional certification); Sala v. St. Petersburg Kennel Club, Inc., 2010 WL 746703, at *2–3 (M.D. Fla. Mar. 2, 2010) (granting conditional certification where plaintiffs had ten opt-ins, and submitted five affidavits, all attesting to alleged policy of taking improper tip credit and forcing tipped employees to share tips with “non-tipped” employees); Ackley v. City of Fort Lauderdale, 2008 U.S. Dist. LEXIS 5214 (S.D. Fla. Jan. 24, 2008) (granting conditional certification where code enforcement employees were not being paid for drive time).</w:t>
      </w:r>
    </w:p>
    <w:p w14:paraId="15B255D4" w14:textId="77777777" w:rsidR="00721CCF" w:rsidRPr="00AD2F44" w:rsidRDefault="00F42107">
      <w:pPr>
        <w:pStyle w:val="14Footnote"/>
      </w:pPr>
      <w:r w:rsidRPr="00AD2F44">
        <w:rPr>
          <w:i/>
          <w:iCs/>
        </w:rPr>
        <w:t>D.C. Circuit:</w:t>
      </w:r>
      <w:r w:rsidRPr="00AD2F44">
        <w:t xml:space="preserve"> Blount v. United States Sec. Assocs., 945 F. Supp. 2d 88, 93 (D.D.C. 2013) (granting conditional certification; explaining that plaintiffs sufficiently pled uniform policy of unlawful meal breaks that were calculated in centralized manner using uniform deductions; holding plaintiffs need not show that policy was uniformly applied for purposes of conditional certification); Cryer v. Intersolutions, Inc., 2007 U.S. Dist. LEXIS 29339 (D.D.C. Apr. 20, 2007) (granting conditional certification for class including all temporary nonexempt employees who performed concierge, leasing, and maintenance services based on allegation that employer refused to pay overtime unless employee worked more than 40 hours at one worksite)</w:t>
      </w:r>
    </w:p>
  </w:footnote>
  <w:footnote w:id="156">
    <w:p w14:paraId="75935358" w14:textId="77777777" w:rsidR="00721CCF" w:rsidRPr="00AD2F44" w:rsidRDefault="00F42107">
      <w:pPr>
        <w:pStyle w:val="14Footnote"/>
      </w:pPr>
      <w:r w:rsidRPr="00AD2F44">
        <w:rPr>
          <w:vertAlign w:val="superscript"/>
        </w:rPr>
        <w:footnoteRef/>
      </w:r>
      <w:r w:rsidRPr="00AD2F44">
        <w:t>2006 U.S. Dist. LEXIS 81640 (S.D. Fla. Nov. 6, 2006).</w:t>
      </w:r>
    </w:p>
  </w:footnote>
  <w:footnote w:id="157">
    <w:p w14:paraId="2FF1530D" w14:textId="77777777" w:rsidR="00721CCF" w:rsidRPr="00AD2F44" w:rsidRDefault="00F42107">
      <w:pPr>
        <w:pStyle w:val="14Footnote"/>
      </w:pPr>
      <w:r w:rsidRPr="00AD2F44">
        <w:rPr>
          <w:vertAlign w:val="superscript"/>
        </w:rPr>
        <w:footnoteRef/>
      </w:r>
      <w:r w:rsidRPr="00AD2F44">
        <w:t>2006 U.S. Dist. LEXIS 58484, at *10 (S.D. Fla. May 17, 2006).</w:t>
      </w:r>
    </w:p>
  </w:footnote>
  <w:footnote w:id="158">
    <w:p w14:paraId="580BEBC5" w14:textId="77777777" w:rsidR="00721CCF" w:rsidRPr="00AD2F44" w:rsidRDefault="00F42107">
      <w:pPr>
        <w:pStyle w:val="14Footnote"/>
      </w:pPr>
      <w:r w:rsidRPr="00AD2F44">
        <w:rPr>
          <w:vertAlign w:val="superscript"/>
        </w:rPr>
        <w:footnoteRef/>
      </w:r>
      <w:r w:rsidRPr="00AD2F44">
        <w:t>2018 WL 3539443 (N.D. Okla. July 23, 2018).</w:t>
      </w:r>
    </w:p>
  </w:footnote>
  <w:footnote w:id="159">
    <w:p w14:paraId="5C60BA6F" w14:textId="77777777" w:rsidR="00721CCF" w:rsidRPr="00AD2F44" w:rsidRDefault="00F42107">
      <w:pPr>
        <w:pStyle w:val="14Footnote"/>
      </w:pPr>
      <w:r w:rsidRPr="00AD2F44">
        <w:rPr>
          <w:vertAlign w:val="superscript"/>
        </w:rPr>
        <w:footnoteRef/>
      </w:r>
      <w:r w:rsidRPr="00AD2F44">
        <w:rPr>
          <w:i/>
        </w:rPr>
        <w:t>See, e.g.,</w:t>
      </w:r>
    </w:p>
    <w:p w14:paraId="05DD1450" w14:textId="77777777" w:rsidR="00721CCF" w:rsidRPr="00AD2F44" w:rsidRDefault="00F42107">
      <w:pPr>
        <w:pStyle w:val="14Footnote"/>
      </w:pPr>
      <w:r w:rsidRPr="00AD2F44">
        <w:rPr>
          <w:i/>
          <w:iCs/>
        </w:rPr>
        <w:t>First Circuit:</w:t>
      </w:r>
      <w:r w:rsidRPr="00AD2F44">
        <w:t xml:space="preserve"> O’Donnell v. Robert Half Int’l, Inc., 429 F. Supp. 2d 246 (D. Mass. 2006) (finding that plaintiffs’ conclusory assertion that employees throughout the country and corporate structure were subject to same “policy” insufficient).</w:t>
      </w:r>
    </w:p>
    <w:p w14:paraId="0D60E854" w14:textId="0DA884AB" w:rsidR="00721CCF" w:rsidRPr="00AD2F44" w:rsidRDefault="00F42107">
      <w:pPr>
        <w:pStyle w:val="14Footnote"/>
      </w:pPr>
      <w:r w:rsidRPr="00AD2F44">
        <w:rPr>
          <w:i/>
          <w:iCs/>
        </w:rPr>
        <w:t>Second Circuit:</w:t>
      </w:r>
      <w:r w:rsidRPr="00AD2F44">
        <w:t xml:space="preserve"> Rosario v. Valentino U.S.A., Inc., 2021 BL 355017, 2021 WL 4267634 (S.D.N.Y. Sept. 20, 2021) (denying conditional certification for failure to present evidence of common policy of exemption misclassification where plaintiffs relied solely on reclassification of their position from exempt to nonexempt and presented no evidence about jobs held or duties performed by putative collective); Balverde v. </w:t>
      </w:r>
      <w:r w:rsidRPr="00AD2F44">
        <w:t>Lunella Ristorante, Inc., 2016 WL 2757430, at *4 (S.D.N.Y. May 11, 2016) (granting former servers’ motion for conditional certification as to “front of the house” servers, bartenders, and runners, but denying inclusion of “back of the house” employees because plaintiffs failed to show that alleged failure to pay overtime was “a corporate policy” that applied to “back of the house” employees); Flores v. Osaka Health Spa, Inc., 2006 WL 695675, at *2 (S.D.N.Y. Mar. 16, 2006) (finding plaintiff’s definition of proposed class inconsistent where she alleged in her complaint class composed of masseuses who worked over 40 hours in a week but were not paid overtime, at another time alleged a class composed of all current and former employees who were not paid overtime and whose tips were misappropriated, and yet another time alleged a class composed of all nonexempt current and former employees who were not paid overtime); Diaz v. Electronics Boutique of Am., Inc., 2005 WL 2654270, at *3 (W.D.N.Y. Oct. 17, 2005) (finding insufficient factual nexus between employees where one group of employees alleged they were misclassified as exempt and another group of employees were nonexempt but were not paid overtime because the two types of claims involved analysis of different factors).</w:t>
      </w:r>
    </w:p>
    <w:p w14:paraId="59BD98E2" w14:textId="77777777" w:rsidR="00721CCF" w:rsidRPr="00AD2F44" w:rsidRDefault="00F42107">
      <w:pPr>
        <w:pStyle w:val="14Footnote"/>
      </w:pPr>
      <w:r w:rsidRPr="00AD2F44">
        <w:rPr>
          <w:i/>
          <w:iCs/>
        </w:rPr>
        <w:t xml:space="preserve">Third Circuit: </w:t>
      </w:r>
      <w:r w:rsidRPr="00AD2F44">
        <w:t>Hunt v. McKesson Corp., 2018 WL 4092065 (W.D. Pa. Aug. 28, 2018) (rejecting plaintiff’s request that the court conditionally certify a collective of all employees in her pay grade based on a showing that her position</w:t>
      </w:r>
      <w:r w:rsidRPr="00AD2F44">
        <w:rPr>
          <w:i/>
          <w:iCs/>
        </w:rPr>
        <w:t xml:space="preserve"> </w:t>
      </w:r>
      <w:r w:rsidRPr="00AD2F44">
        <w:t>was not properly classified as exempt, and instead granting conditional certification as to only plaintiff’s position grade); Blaney v. Charlotte-Mecklenburg Hosp. Auth., 2011 WL 4351631, at *9–10 (W.D.N.C. Sept. 16, 2011) (denying conditional certification in case alleging unpaid or interrupted meal breaks, because common policies of automatic meal break deductions and, separately, not being paid while on call were not unlawful, and alleged unlawful common policy—unwritten rule to pay only for missed as opposed to interrupted breaks, overriding policy to pay for all work—relied on individual violations by supervisors).</w:t>
      </w:r>
    </w:p>
    <w:p w14:paraId="599F030C" w14:textId="0589FF41" w:rsidR="00721CCF" w:rsidRPr="00AD2F44" w:rsidRDefault="00F42107">
      <w:pPr>
        <w:pStyle w:val="14Footnote"/>
      </w:pPr>
      <w:r w:rsidRPr="00AD2F44">
        <w:rPr>
          <w:i/>
          <w:iCs/>
        </w:rPr>
        <w:t>Fifth Circuit:</w:t>
      </w:r>
      <w:r w:rsidRPr="00AD2F44">
        <w:t xml:space="preserve"> Virgen v. Conrad Indus., Inc., 2015 WL 6692120 (W.D. La. Nov. 2, 2015) (denying conditional certification because plaintiff failed to identify existence of uniform pay policy or plan applicable to any staffing companies as each had a different contractual relationship with defendant and each maintained its own payroll); Lay v. Gold’s Gym Int’l, Inc., 2013 WL 5595956 (W.D. Tex. Oct. 4, 2013) (finding evidence of de facto policy among San Antonio-area gyms that encouraged off-the-clock work, but not finding similar national policy and refusing to infer such policy from similar job descriptions and compensation plans applicable nationwide); Songer v. Dillon Res., Inc., 569 F. Supp. 2d 703, 707 (N.D. Tex. 2008) (denying conditional certification in part because plaintiffs failed to provide “substantial allegations” that putative class members were victims of single decision, policy, or plan, where they submitted conclusory affidavits that did not establish personal knowledge beyond their own individual circumstances); Simmons v. T-Mobile USA, Inc., 2007 U.S. Dist. LEXIS 5002, at *33–34 (S.D. Tex. Jan. 24, 2007) (off-the-clock case in which there was no evidence of common policy or practice of requiring off-the-clock work and employer had centralized policy prohibiting such work); Aguirre v. SBC Commc’ns, Inc., 2006 U.S. Dist. LEXIS 22211, at *19 (S.D. Tex. Apr. 11, 2006) (conditional certification denied where extensive record showed employees’ duties and time spent performing them varied across employees and across time).</w:t>
      </w:r>
      <w:r w:rsidR="00A5319D" w:rsidRPr="00A5319D">
        <w:rPr>
          <w:b/>
        </w:rPr>
        <w:t xml:space="preserve"> </w:t>
      </w:r>
      <w:r w:rsidR="00A5319D" w:rsidRPr="00AD2F44">
        <w:rPr>
          <w:b/>
        </w:rPr>
        <w:t xml:space="preserve">[Caution: </w:t>
      </w:r>
      <w:r w:rsidR="00A5319D" w:rsidRPr="00AD2F44">
        <w:t xml:space="preserve">The Fifth Circuit later rejected the two-stage process, in </w:t>
      </w:r>
      <w:r w:rsidR="00A5319D" w:rsidRPr="00AD2F44">
        <w:rPr>
          <w:i/>
        </w:rPr>
        <w:t xml:space="preserve">Swales v. KLLM Transport Services, LLC, </w:t>
      </w:r>
      <w:r w:rsidR="00A5319D" w:rsidRPr="00AD2F44">
        <w:t xml:space="preserve">985 F.3d 430 (5th Cir. 2021), in favor of a requirement to “rigorously scrutinize” whether potential opt-ins are similarly situated “from the outset of the case.” </w:t>
      </w:r>
      <w:r w:rsidR="00A5319D" w:rsidRPr="00AD2F44">
        <w:rPr>
          <w:i/>
        </w:rPr>
        <w:t>Id.</w:t>
      </w:r>
      <w:r w:rsidR="00A5319D" w:rsidRPr="00AD2F44">
        <w:t xml:space="preserve"> at 434.</w:t>
      </w:r>
      <w:r w:rsidR="00A5319D" w:rsidRPr="00AD2F44">
        <w:rPr>
          <w:b/>
          <w:bCs/>
        </w:rPr>
        <w:t>]</w:t>
      </w:r>
    </w:p>
    <w:p w14:paraId="4444C13F" w14:textId="77777777" w:rsidR="00721CCF" w:rsidRPr="00AD2F44" w:rsidRDefault="00F42107">
      <w:pPr>
        <w:pStyle w:val="14Footnote"/>
      </w:pPr>
      <w:r w:rsidRPr="00AD2F44">
        <w:rPr>
          <w:i/>
          <w:iCs/>
        </w:rPr>
        <w:t>Sixth Circuit:</w:t>
      </w:r>
      <w:r w:rsidRPr="00AD2F44">
        <w:t xml:space="preserve"> Turner v. Utiliquest, LLC, 2019 WL 7461197 (M.D. Tenn. July 16, 2019) (denying conditional certification where defendant argued that plaintiff’s claim was based on deviation from company’s written policies against off-the-clock work and plaintiff offered no evidence of policy or plan, but only plaintiff’s and another potential opt-in’s declaration that they had been required to work off the clock); Medley v. Southern Health Partners, Inc., 2017 WL 3485641, at *7 (M.D. Tenn. Aug. 15, 2017) (denying conditional certification of nurses’ off-the-clock work claim where employee’s conclusory statements in declaration that she “personally knew” and was “aware of other employees” who worked off the clock were implausible given that she was the only full-time nurse; also denying conditional certification as to employee’s challenge of employer’s use of fluctuating workweek (FWW) pay method because there was no evidence presented that leave policies resulting in deductions were applied to any other employees paid under FWW pay method); Harrison v. McDonald’s Corp., 411 F. Supp. 2d 862 (S.D. Ohio 2005) (affidavits submitted by single plaintiff and one opt-in plaintiff insufficient to establish storewide policy of deleting time from electronic time clock records).</w:t>
      </w:r>
    </w:p>
    <w:p w14:paraId="1CB65838" w14:textId="77777777" w:rsidR="00721CCF" w:rsidRPr="00AD2F44" w:rsidRDefault="00F42107">
      <w:pPr>
        <w:pStyle w:val="14Footnote"/>
      </w:pPr>
      <w:r w:rsidRPr="00AD2F44">
        <w:rPr>
          <w:i/>
          <w:iCs/>
        </w:rPr>
        <w:t>Seventh Circuit:</w:t>
      </w:r>
      <w:r w:rsidRPr="00AD2F44">
        <w:t xml:space="preserve"> Hadley v. Journal Broad. Grp., Inc., 2012 WL 523752, at *2–4 (E.D. Wis. Feb. 16, 2012) (denying conditional certification where allegations about time shaving were vague, inconsistent, and not suggestive of a company policy, and off-the-clock allegations related to time spent outside of office “thinking” about story ideas would result in individualized inquiries not suitable for collective treatment); Flores v. Lifeway Foods, Inc., 289 F. Supp. 2d 1042 (N.D. Ill. 2003) (evidence that one plaintiff was not paid for one hour and another was not paid for one-half hour does not demonstrate a common policy for 50 employees where evidence only related to named plaintiffs).</w:t>
      </w:r>
    </w:p>
    <w:p w14:paraId="1A631704" w14:textId="77777777" w:rsidR="00721CCF" w:rsidRPr="00AD2F44" w:rsidRDefault="00F42107">
      <w:pPr>
        <w:pStyle w:val="14Footnote"/>
      </w:pPr>
      <w:r w:rsidRPr="00AD2F44">
        <w:rPr>
          <w:i/>
          <w:iCs/>
        </w:rPr>
        <w:t xml:space="preserve">Eighth Circuit: </w:t>
      </w:r>
      <w:r w:rsidRPr="00AD2F44">
        <w:t>Saleen v. Waste Mgmt., Inc., 649 F. Supp. 2d 937, 941–43 (D. Minn. 2009) (denying conditional certification where plaintiffs offered no direct evidence of companywide policy to deny pay for worked meal breaks, plaintiffs’ evidence of working through breaks was minor considering size of company, because mistakes can be expected, and defendants’ evidence of individuals who were paid for worked meal breaks further undermined plaintiffs’ position).</w:t>
      </w:r>
    </w:p>
    <w:p w14:paraId="6676B08B" w14:textId="5E8A4330" w:rsidR="00721CCF" w:rsidRPr="00AD2F44" w:rsidRDefault="00F42107" w:rsidP="000117E7">
      <w:pPr>
        <w:pStyle w:val="14Footnote"/>
      </w:pPr>
      <w:r w:rsidRPr="00AD2F44">
        <w:rPr>
          <w:i/>
          <w:iCs/>
        </w:rPr>
        <w:t>Ninth Circuit:</w:t>
      </w:r>
      <w:r w:rsidRPr="00AD2F44">
        <w:t xml:space="preserve"> Edmonds v. Amazon.com, Inc., 2020 BL 391794, 2020 WL 5993908 (W.D. Wash. Oct. 9, 2020) (denying conditional certification to putative nationwide collective of drivers for third-party delivery service to Amazon for failure to allege common policy or plan to deny overtime pay; holding allegations that Amazon violated FLSA by acting as joint employer were insufficient); Bishop v. Petro-Chem. Transp., LLC, 582 F. Supp. 2d 1290, 1296–97 (E.D. Cal. 2008) (denying conditional certification where there was no evidence of companywide policy to deny overtime, there were no facts about other potential class members, and there were differences in duties among potential class members); Sheffield v. Orius Corp., 211 F.R.D. 411, 417 (D. Or. 2002) (denying notice where plaintiffs were paid differently, held various job classifications, and did not work at same job site).</w:t>
      </w:r>
    </w:p>
    <w:p w14:paraId="725FB842" w14:textId="77777777" w:rsidR="00721CCF" w:rsidRPr="00AD2F44" w:rsidRDefault="00F42107">
      <w:pPr>
        <w:pStyle w:val="14Footnote"/>
      </w:pPr>
      <w:r w:rsidRPr="00AD2F44">
        <w:rPr>
          <w:i/>
          <w:iCs/>
        </w:rPr>
        <w:t>Tenth Circuit:</w:t>
      </w:r>
      <w:r w:rsidRPr="00AD2F44">
        <w:t xml:space="preserve"> Stubbs v. McDonald’s Corp, 227 F.R.D. 661, 665 (D. Kan. 2005) (plaintiff’s attempt to compare his job duties to those of other second assistant managers rebutted by defendant’s affidavits where plaintiff gave only vague description of being required to perform duties of hourly employees).</w:t>
      </w:r>
    </w:p>
    <w:p w14:paraId="5D2CAE2A" w14:textId="3A795C41" w:rsidR="00721CCF" w:rsidRPr="00AD2F44" w:rsidRDefault="00F42107">
      <w:pPr>
        <w:pStyle w:val="14Footnote"/>
      </w:pPr>
      <w:r w:rsidRPr="00AD2F44">
        <w:rPr>
          <w:i/>
          <w:iCs/>
        </w:rPr>
        <w:t>Eleventh Circuit:</w:t>
      </w:r>
      <w:r w:rsidRPr="00AD2F44">
        <w:t xml:space="preserve"> Harapeti v. CBS Television Stations Inc., 2020 BL 501432, 2020 WL 8083695 (S.D. Fla. Dec. 21, 2020) (granting conditional certification but declining to extend scope nationwide, finding plaintiff’s allegation of common nationwide practice of misclassification was insufficient as to employees outside her location); Walker v. Jefferson Cnty. Bd. of Educ., 2016 WL 1117643 (N.D. Ala. Mar. 22, 2016) (denying conditional certification because evidence failed to demonstrate similarity and commonality among plaintiffs as well as with respect to other potential plaintiffs, and no alleged particular pay practice or denial of overtime compensation was evident for either class or potential opt-ins); Saxton v. Title Max of Ala., Inc., 431 F. Supp. 2d 1185, 1188 (N.D. Ala. 2006) (conditional certification denied to class of assistant managers where the plaintiffs failed to provide “any detailed sworn statements or point to any ‘single decision, policy, or plan’” that allegedly resulted in the assistant managers not receiving overtime wages).</w:t>
      </w:r>
    </w:p>
    <w:p w14:paraId="16227A92" w14:textId="5C33CDDA" w:rsidR="00721CCF" w:rsidRPr="00AD2F44" w:rsidRDefault="00F42107">
      <w:pPr>
        <w:pStyle w:val="14Footnote"/>
      </w:pPr>
      <w:r w:rsidRPr="00AD2F44">
        <w:rPr>
          <w:i/>
          <w:iCs/>
        </w:rPr>
        <w:t>D.C. Circuit:</w:t>
      </w:r>
      <w:r w:rsidRPr="00AD2F44">
        <w:t xml:space="preserve"> Dinkel v. MedStar Health, Inc., 880 F. Supp. 2d 49, 54–56 (D.D.C. 2012) (limiting certification of meal break class to hourly employees in two departments where plaintiffs worked, and excluding eight of nine hospitals and all other departments at one hospital that plaintiff sought to include, finding automatic deduction policy itself was not unlawful and therefore did not constitute uniform policy that violates FLSA).</w:t>
      </w:r>
    </w:p>
  </w:footnote>
  <w:footnote w:id="160">
    <w:p w14:paraId="43C4E970" w14:textId="77777777" w:rsidR="00721CCF" w:rsidRPr="00AD2F44" w:rsidRDefault="00F42107">
      <w:pPr>
        <w:pStyle w:val="14Footnote"/>
      </w:pPr>
      <w:r w:rsidRPr="00AD2F44">
        <w:rPr>
          <w:vertAlign w:val="superscript"/>
        </w:rPr>
        <w:footnoteRef/>
      </w:r>
      <w:r w:rsidRPr="00AD2F44">
        <w:t>431 F. Supp. 2d 1185 (N.D. Ala. 2006).</w:t>
      </w:r>
    </w:p>
  </w:footnote>
  <w:footnote w:id="161">
    <w:p w14:paraId="743C4294" w14:textId="77777777" w:rsidR="00721CCF" w:rsidRPr="00AD2F44" w:rsidRDefault="00F42107">
      <w:pPr>
        <w:pStyle w:val="14Footnote"/>
      </w:pPr>
      <w:r w:rsidRPr="00AD2F44">
        <w:rPr>
          <w:vertAlign w:val="superscript"/>
        </w:rPr>
        <w:footnoteRef/>
      </w:r>
      <w:r w:rsidRPr="00AD2F44">
        <w:rPr>
          <w:i/>
          <w:iCs/>
        </w:rPr>
        <w:t>Id</w:t>
      </w:r>
      <w:r w:rsidRPr="00AD2F44">
        <w:t>. at 1188 (emphasis added).</w:t>
      </w:r>
    </w:p>
  </w:footnote>
  <w:footnote w:id="162">
    <w:p w14:paraId="46D32040" w14:textId="77777777" w:rsidR="00721CCF" w:rsidRPr="00AD2F44" w:rsidRDefault="00F42107">
      <w:pPr>
        <w:pStyle w:val="14Footnote"/>
      </w:pPr>
      <w:r w:rsidRPr="00AD2F44">
        <w:rPr>
          <w:vertAlign w:val="superscript"/>
        </w:rPr>
        <w:footnoteRef/>
      </w:r>
      <w:r w:rsidRPr="00AD2F44">
        <w:rPr>
          <w:i/>
        </w:rPr>
        <w:t>See, e.g.,</w:t>
      </w:r>
    </w:p>
    <w:p w14:paraId="2C891416" w14:textId="1AAFCF96" w:rsidR="00721CCF" w:rsidRPr="00AD2F44" w:rsidRDefault="00F42107">
      <w:pPr>
        <w:pStyle w:val="14Footnote"/>
      </w:pPr>
      <w:r w:rsidRPr="00AD2F44">
        <w:rPr>
          <w:i/>
          <w:iCs/>
        </w:rPr>
        <w:t>First Circuit:</w:t>
      </w:r>
      <w:r w:rsidRPr="00AD2F44">
        <w:t xml:space="preserve"> Roberts v. TJX Cos., Inc., 2017 WL 1217114 (D. Mass. Mar. 31, 2017) (granting conditional certification of putative class of 3,000 assistant store managers who worked at 1,300 retail stores; plaintiffs’ evidence demonstrated that assistant store managers were subject to same corporate policies and initial training program, had similar job descriptions, and were subject to uniform classification system that classified all assistant store managers as exempt regardless of store size and location); Rossello v. Avon Prod., Inc., 2015 WL 3890403, at *11 (D.P.R. June 24, 2015) (recognizing </w:t>
      </w:r>
      <w:r w:rsidRPr="00AD2F44">
        <w:t>“[m]isclassification claims are eminently susceptible to collective proof”); Venegas v. Global Aircraft Serv., Inc., 2015 U.S. Dist. LEXIS 24517, at *9 (D. Me. Feb. 5, 2015) (conditionally certifying class of aircraft restoration workers allegedly denied overtime due to misclassification).</w:t>
      </w:r>
    </w:p>
    <w:p w14:paraId="21D46BDB" w14:textId="507A1F51" w:rsidR="00721CCF" w:rsidRPr="00AD2F44" w:rsidRDefault="00F42107">
      <w:pPr>
        <w:pStyle w:val="14Footnote"/>
      </w:pPr>
      <w:r w:rsidRPr="00AD2F44">
        <w:rPr>
          <w:i/>
          <w:iCs/>
        </w:rPr>
        <w:t xml:space="preserve">Second Circuit: </w:t>
      </w:r>
      <w:r w:rsidRPr="00AD2F44">
        <w:t>Strauch v. Computer Scis. Corp., 2015 WL 3727804, at *4 (D. Conn. June 9, 2015) (granting conditional certification to system administrators based on “job structure” as well as evidence from 26 opt-in plaintiffs, which was sufficient at conditional certification stage to show that plaintiffs had “the same … policy-designation as exempt from the FLSA”); Schaefer v. M &amp; T Bank Corp., 122 F. Supp. 3d 189, 197 (S.D.N.Y. 2015) (granting certification of class of information technology employees classified as exempt, reasoning that it was sufficient at conditional certification stage for plaintiffs to offer “generalized proof” of common policy of misclassification, and that plaintiff had provided that through his own declaration based on his nine-year tenure, as well as company’s policy of classifying all individuals in two job positions at issue as exempt, regardless of job title or subdepartment); Heitzenrater v. OfficeMax, Inc., 2014 WL 448502 (W.D.N.Y. Feb. 4, 2014) (granting conditional certification for assistant store managers); Ack v. Manhattan Beer Distribs., Inc., 2012 WL 1710985 (E.D.N.Y. May 15, 2012) (rejecting defendant’s arguments that its alleged outside salespeople were not similar among its sales divisions and granting conditional certification); Jacob v. Duane Reade, Inc., 2012 WL 260230, at *8 (S.D.N.Y. Jan. 27, 2012) (noting that if defendant’s logic were extended, no group of opt-in plaintiffs “would ever be ‘similarly situated’ unless they were clones of one another working in completely identical stores, in identical neighborhoods, with identical clientele”) (quoting Demassia v. Duane Reade, Inc., 2006 WL 2853971, at *21 (S.D.N.Y. Oct. 5, 2006)); Alli v. Boston Mkt. Co., 2011 WL 4006691 (D. Conn. Sept. 8, 2011) (granting plaintiff’s motion for conditional certification over defendant’s assistant general managers, culinary managers, and hospitality managers); Aros v. United Rentals, Inc., 269 F.R.D. 176, 183 (D. Conn. 2010) (granting conditional certification and noting that complaint “makes patent that this case challenges [defendant’s] company-wide policy of classifying Operations Managers as ineligible for overtime pay, and that the putative collective action members are those who held the title of Operations Manager”); Ravenell v. Avis Budget Car Rental, LLC, 2010 WL 2921508 (E.D.N.Y. July 19, 2010) (granting conditional certification for shift managers because there was showing of common policy of depriving plaintiffs of overtime, and differences in how job was performed by others were premature for consideration at notice stage); Henderson v. Transportation Grp., Ltd., 2010 WL 2629568 (S.D.N.Y. July 1, 2010) (granting conditional certification to putative class of financial analysts); Perkins v. Southern New Eng. Tel. Co., 669 F. Supp. 2d 212, 220–21 (D. Conn. 2009) (granting conditional certification because plaintiffs’ evidence showed that they were similarly situated “in the areas of the job that are relevant to the FLSA misclassification inquiry,” such as assigning work, discipline, hiring/firing/promotions, and purchasing, and that “similarities outweigh the differences”); Davis v. Abercrombie &amp; Fitch Co., 2008 WL 4702840, at *10 (S.D.N.Y. Oct. 23, 2008) (granting preliminary certification where plaintiffs provided evidence to support their claim that they, along with all loss-prevention agents in Abercrombie’s New York and New Jersey region, were uniformly misclassified as administratively exempt; “‘Courts typically authorize dissemination of Section 216(b) notice upon a simple showing that other employees may also have been subject to the employers’ practice of misclassifying.’”) (quoting Lynch v. United Serv. Auto. Ass’n, 491 F. Supp. 2d 357, 370 (S.D.N.Y. 2007)); Holbrook v. Smith &amp; Hawken, Ltd., 246 F.R.D. 103, 105–06 (D. Conn. 2007) (granting conditional certification based on evidence of commonality in position, classification, and treatment by company of assistant store managers as exempt under executive exemption).</w:t>
      </w:r>
    </w:p>
    <w:p w14:paraId="6D3A7E8E" w14:textId="485E937B" w:rsidR="00721CCF" w:rsidRPr="00AD2F44" w:rsidRDefault="00F42107">
      <w:pPr>
        <w:pStyle w:val="14Footnote"/>
      </w:pPr>
      <w:r w:rsidRPr="00AD2F44">
        <w:rPr>
          <w:i/>
          <w:iCs/>
        </w:rPr>
        <w:t>Third Circuit:</w:t>
      </w:r>
      <w:r w:rsidRPr="00AD2F44">
        <w:t xml:space="preserve"> McGhee v. TOMS King, LLC, 2021 BL 112484, 2021 WL 1176097, at *4 (W.D. Pa. Mar. 29, 2021) (granting conditional certification based on uniform classification of managers as exempt and not paid overtime but working over 40 hours per week, plaintiffs’ “modest factual showing” that they and others spent 90% of their time on non-exempt work, and that employees in their job position worked under same job description and primary duties regardless of location, such that employer policy affected them and other employees in similar way and declining to make merits-based analysis at this stage); Vasil v. Dunham’s Athleisure Corp., 2015 WL 7871360, at *3–4 (W.D. Pa. Dec. 4, 2015) (granting conditional certification where, among similarities, plaintiffs were all subject to same job description and classification, and plaintiffs provided “some evidence” that they were misclassified; rejecting defendant’s position that policy must facially violate FLSA or be shown to be common to each putative class member); Ornelas v. Hooper Holmes, Inc., 2014 WL 7051868, at *4 (D.N.J. Dec. 12, 2014) (granting conditional certification as to class of paramedical examiners classified as independent contractors); Puglisi v. T.D. Bank, NA, 998 F. Supp. 2d 95 (E.D.N.Y. 2014) (plaintiffs alleged that despite their managerial job titles they primarily performed nonexempt, nonmanagerial job duties and were granted conditional certification); Ruffin v. Avis Budget Car Rental, LLC, 2012 WL 2514841 (D.N.J. June 28, 2012) (conditionally certifying group of Avis shift managers); </w:t>
      </w:r>
      <w:r w:rsidRPr="00AD2F44">
        <w:rPr>
          <w:i/>
          <w:iCs/>
        </w:rPr>
        <w:t xml:space="preserve">In re </w:t>
      </w:r>
      <w:r w:rsidRPr="00AD2F44">
        <w:t>Enterprise Rent-A-Car Wage &amp; Hour Emp. Practices Litig., 2010 WL 3447783, at *24 (W.D. Pa. Aug. 13, 2010) (applying “intermediate standard” and granting nationwide (except California) conditional certification for assistant managers based on evidence that job duties may have failed to satisfy exemption and fact that all such managers were classified as exempt); Craig v. Rite Aid Corp., 2009 WL 4723286, at *3–4 (M.D. Pa. Dec. 9, 2009) (granting conditional certification to nationwide class of salaried assistant managers because they had substantially same job description, were classified as exempt, and worked more than 40 hours per week); Herring v. Hewitt Assocs., Inc., 2007 WL 2121693, at *4–8 (D.N.J. July 24, 2007) (granting notice to assistant managers where they allegedly had same basic job responsibilities and job classification such as demonstrated common scheme or plan to misclassify under executive exemption); Lynch v. United Servs. Auto. Ass’n, 491 F. Supp. 2d 357, 367–70 (S.D.N.Y. 2007) (granting conditional certification where special investigators were uniformly classified as administratively exempt and performed same job duties under same management structure, job description, and performance standards based on misclassification of financial “analysts,” but finding defendant’s “associates” not similarly situated with plaintiff); Aquilino v. Home Depot, Inc., 2006 WL 2583563, at *2–3 (D.N.J. Sept. 7, 2006) (granting conditional certification where managers and assistant managers were allegedly misclassified under executive exemption).</w:t>
      </w:r>
    </w:p>
    <w:p w14:paraId="78161128" w14:textId="77777777" w:rsidR="00721CCF" w:rsidRPr="00AD2F44" w:rsidRDefault="00F42107">
      <w:pPr>
        <w:pStyle w:val="14Footnote"/>
      </w:pPr>
      <w:r w:rsidRPr="00AD2F44">
        <w:rPr>
          <w:i/>
          <w:iCs/>
        </w:rPr>
        <w:t>Fourth Circuit:</w:t>
      </w:r>
      <w:r w:rsidRPr="00AD2F44">
        <w:t xml:space="preserve"> Calderon v. Geico Gen. Ins. Co., 2011 WL 98197, at *8 (D. Md. Jan. 12, 2011) (GEICO security investigators allegedly misclassified).</w:t>
      </w:r>
    </w:p>
    <w:p w14:paraId="019D2A3D" w14:textId="2A0EC29C" w:rsidR="00721CCF" w:rsidRPr="00AD2F44" w:rsidRDefault="00F42107">
      <w:pPr>
        <w:pStyle w:val="14Footnote"/>
      </w:pPr>
      <w:r w:rsidRPr="00AD2F44">
        <w:rPr>
          <w:i/>
          <w:iCs/>
        </w:rPr>
        <w:t>Fifth Circuit:</w:t>
      </w:r>
      <w:r w:rsidRPr="00AD2F44">
        <w:t xml:space="preserve"> Vassallo v. Goodman Networks, Inc., 2015 WL 3793208, at *6 (E.D. Tex. June 17, 2015) (granting conditional certification for construction managers where, at notice stage under lenient standard, evidence that “basic tasks and pay policies were the same” was sufficient to issue notice); Davis v. Mostyn Law Firm, P.C., 2012 WL 163941 (S.D. Tex. Jan. 19, 2012) (rejecting defendant’s argument that conditional certification in a misclassification case was improper because an employer’s classification of a position is not a decision, policy, or plan that supports collective active treatment and approving conditional certification for group of paralegals); Black v. Settlepou, P.C., 2011 WL 609884 (N.D. Tex. Feb. 14, 2011) (granting conditional class certification where the only common policy allegedly in violation of the FLSA was the misclassification of paralegals as “exempt”); Beall v. Tyler Techs., Inc., 2009 WL 1766141, at *3 (E.D. Tex. June 23, 2009) (granting conditional certification in exemption case where plaintiffs presented affidavits that each job position was considered exempt and that they worked over 40 hours, company handbook statement that it sought to create a “uniform system for managing personnel,” and declaration from former vice-president that multiple operating divisions were managed by single division); Prater v. Commerce Equities Mgmt. Co., 2007 WL 4146714, at *6–9 (S.D. Tex. Nov. 19, 2007) (granting conditional certification for two classes of apartment office employees who alleged they were misclassified under administrative exemption and who were similarly situated to each other in terms of position, duties, and payment).</w:t>
      </w:r>
      <w:r w:rsidR="00AE59F9" w:rsidRPr="00AE59F9">
        <w:rPr>
          <w:b/>
        </w:rPr>
        <w:t xml:space="preserve"> </w:t>
      </w:r>
      <w:r w:rsidR="00AE59F9" w:rsidRPr="00AD2F44">
        <w:rPr>
          <w:b/>
        </w:rPr>
        <w:t xml:space="preserve">[Caution: </w:t>
      </w:r>
      <w:r w:rsidR="00AE59F9" w:rsidRPr="00AD2F44">
        <w:t xml:space="preserve">The Fifth Circuit later rejected the two-stage process, in </w:t>
      </w:r>
      <w:r w:rsidR="00AE59F9" w:rsidRPr="00AD2F44">
        <w:rPr>
          <w:i/>
        </w:rPr>
        <w:t xml:space="preserve">Swales v. KLLM Transport Services, LLC, </w:t>
      </w:r>
      <w:r w:rsidR="00AE59F9" w:rsidRPr="00AD2F44">
        <w:t xml:space="preserve">985 F.3d 430 (5th Cir. 2021), in favor of a requirement to “rigorously scrutinize” whether potential opt-ins are similarly situated “from the outset of the case.” </w:t>
      </w:r>
      <w:r w:rsidR="00AE59F9" w:rsidRPr="00AD2F44">
        <w:rPr>
          <w:i/>
        </w:rPr>
        <w:t>Id.</w:t>
      </w:r>
      <w:r w:rsidR="00AE59F9" w:rsidRPr="00AD2F44">
        <w:t xml:space="preserve"> at 434.</w:t>
      </w:r>
      <w:r w:rsidR="00AE59F9" w:rsidRPr="00AD2F44">
        <w:rPr>
          <w:b/>
          <w:bCs/>
        </w:rPr>
        <w:t>]</w:t>
      </w:r>
    </w:p>
    <w:p w14:paraId="056A1FA2" w14:textId="13F69E06" w:rsidR="00721CCF" w:rsidRPr="00AD2F44" w:rsidRDefault="00F42107">
      <w:pPr>
        <w:pStyle w:val="14Footnote"/>
      </w:pPr>
      <w:r w:rsidRPr="00AD2F44">
        <w:rPr>
          <w:i/>
          <w:iCs/>
        </w:rPr>
        <w:t>Sixth Circuit:</w:t>
      </w:r>
      <w:r w:rsidRPr="00AD2F44">
        <w:t xml:space="preserve"> Loomis v. Unum Grp. Corp., 539 F. Supp. 3d 898 (E.D. Tenn. 2021) (granting conditional certification based on disability benefits specialist misclassification allegations and declarations, which showed same job duties, salary with no overtime, and job duties that failed exemption test, but declining to consider variation in job duties, plaintiff’s purported poor performance, or number of opt-ins as demonstrating interest); Roberts v. Corrections Corp. of Am., 2015 WL 3905088, at *12–14 (M.D. Tenn. June 25, 2015) (granting conditional certification for statewide, but not nationwide, class of employees based on declaration and other evidence of, among other things, uniform classification as exempt; evidence beyond Tennessee was insufficient even at notice stage); Larson v. Rush Fitness Corp., 2012 U.S. Dist. LEXIS 189211 (E.D. Tenn. Oct. 17, 2012), </w:t>
      </w:r>
      <w:r w:rsidRPr="00AD2F44">
        <w:rPr>
          <w:i/>
          <w:iCs/>
        </w:rPr>
        <w:t>adopted by</w:t>
      </w:r>
      <w:r w:rsidRPr="00AD2F44">
        <w:t xml:space="preserve"> 2013 U.S. Dist. LEXIS 163541 (E.D. Tenn. Sept. 23, 2013) (finding a sufficient factual showing that the nature of the work performed by the proposed members of the collective action was similar in nature to the work performed by the named plaintiff); Swigart v. Fifth Third Bank, 276 F.R.D. 210, 213 (S.D. Ohio 2011) (granting conditional certification to mortgage loan officers challenging their exempt status based on evidence that they were all classified as exempt, none was paid overtime, and they shared same primary job duty of selling residential mortgage products subject to production goals).</w:t>
      </w:r>
    </w:p>
    <w:p w14:paraId="534C498A" w14:textId="77777777" w:rsidR="00721CCF" w:rsidRPr="00AD2F44" w:rsidRDefault="00F42107">
      <w:pPr>
        <w:pStyle w:val="14Footnote"/>
      </w:pPr>
      <w:r w:rsidRPr="00AD2F44">
        <w:rPr>
          <w:i/>
          <w:iCs/>
        </w:rPr>
        <w:t xml:space="preserve">Seventh Circuit: </w:t>
      </w:r>
      <w:r w:rsidRPr="00AD2F44">
        <w:t>Terry v. TMX Fin. LLC, 2014 WL 2066713 (N.D. Ill. May 19, 2014) (granting conditional certification over defendant’s General Managers in Training from multiple states based on uniform treatment); Schroeder v. Humana Inc., 2012 WL 5931886 (E.D. Wis. Nov. 27, 2012) (granting conditional certification over nationwide group of clinical nurse advisors); Betancourt v. Maxim Healthcare Servs., Inc., 2011 WL 1548964 (N.D. Ill. Apr. 21, 2011) (granting motion for collective certification based on plaintiff’s allegations that defendant had a common plan that misclassified its recruiters); Smallwood v. Illinois Bell Tel. Co., 710 F. Supp. 2d 746, 751–52 (N.D. Ill. 2010) (granting conditional certification to class of engineers, in light of defendant’s reclassification of all engineers in that general job position from exempt to nonexempt and fact that all putative class members operated under same job description, and refusing to consider discrepancies in day-to-day job duties of putative class members at conditional certification stage); Shiner v. Select Comfort Retail Corp., 2009 WL 4884166, at *4 (N.D. Ill. Dec. 9, 2009) (granting conditional certification for class of store managers based on affidavit of plaintiff and corroboration by two other managers, as well as evidence of companywide policy changing manager pay structure and reducing hours of sales force, which allegedly led to overtime work for managers, but cautioning plaintiff to “re-evaluate the merits of his case going forward” because of contradictory evidence submitted by defendant regarding job duties of store managers and higher level of scrutiny at second-stage analysis of certification); Jirak v. Abbott Labs., Inc., 566 F. Supp. 2d 845, 848–50 (N.D. Ill. 2008) (granting conditional certification to class of pharmaceutical representatives where evidence at notice stage showed they had “same essential responsibility” and they were subject to “common policy classifying them as exempt”).</w:t>
      </w:r>
    </w:p>
    <w:p w14:paraId="30AE279B" w14:textId="1B468AC4" w:rsidR="00721CCF" w:rsidRPr="00AD2F44" w:rsidRDefault="00F42107">
      <w:pPr>
        <w:pStyle w:val="14Footnote"/>
      </w:pPr>
      <w:r w:rsidRPr="00AD2F44">
        <w:rPr>
          <w:i/>
          <w:iCs/>
        </w:rPr>
        <w:t>Eighth Circuit:</w:t>
      </w:r>
      <w:r w:rsidRPr="00AD2F44">
        <w:t xml:space="preserve"> Babbitt v. Target Corp., 2022 WL 1715180 (D. Minn. Apr. 5, 2022) (granting conditional certification of nationwide collective of “executive team leaders” where defendant had common policy applied to all in that job title, including stating in job description that they spend time on hourly tasks); Meseck v. TAK Commc’ns, Inc., 2011 WL 1190579 (D. Minn. Mar. 28, 2011) (granting conditional certification based on alleged misclassification of installation technicians); Keef v. M.A. Mortenson Co., 2008 WL 3166302, at *2 (D. Minn. Aug. 4, 2008) (granting conditional certification to field engineers where plaintiff claimed that job description was uniform regardless of where workers were located and that companies’ improper misclassification under professional exemption affected them in a similar fashion); Davis v. Novastar Mortg., Inc., 408 F. Supp. 2d 811, 815–19 (W.D. Mo. 2005) (granting conditional class certification where plaintiffs alleged that defendants had companywide policy of classifying all loan originators as administratively exempt employees and denying them overtime pay); Kalish v. High Tech Inst., Inc., 2005 WL 1073645, at *2–4 (D. Minn. Apr. 22, 2005) (granting conditional certification and notice where college instructors alleged they were all subject to same corporatewide policy to categorize instructors as professionally “exempt” employees and not pay them overtime compensation).</w:t>
      </w:r>
    </w:p>
    <w:p w14:paraId="24323230" w14:textId="77777777" w:rsidR="00721CCF" w:rsidRPr="00AD2F44" w:rsidRDefault="00F42107">
      <w:pPr>
        <w:pStyle w:val="14Footnote"/>
      </w:pPr>
      <w:r w:rsidRPr="00AD2F44">
        <w:rPr>
          <w:i/>
          <w:iCs/>
        </w:rPr>
        <w:t>Ninth Circuit:</w:t>
      </w:r>
      <w:r w:rsidRPr="00AD2F44">
        <w:t xml:space="preserve"> Barrera v. US Airways Grp., Inc., 2013 WL 4654567 (D. Ariz. Aug. 30, 2013) (rejecting the air carrier exemption as inappropriate at the notice stage and granting conditional certification for security guards); Williams v. U.S. Bank Nat’l Ass’n, 290 F.R.D. 600 (E.D. Cal. 2013) (granting conditional certification to mortgage underwriters who had been classified as exempt administrators); Bollinger v. Residential Capital, LLC, 761 F. Supp. 2d 1114, 1121–22 (W.D. Wash. 2011) (certifying collective action based on defendant’s alleged common misclassification policy following the Second Circuit’s decision in </w:t>
      </w:r>
      <w:r w:rsidRPr="00AD2F44">
        <w:rPr>
          <w:i/>
          <w:iCs/>
        </w:rPr>
        <w:t>Davis v. J.P. Morgan Chase</w:t>
      </w:r>
      <w:r w:rsidRPr="00AD2F44">
        <w:t>, 587 F.3d 529 (2d Cir. 2009)); Taylor v. Autozone, Inc., 2011 WL 2038514, at *2 (D. Ariz. May 24, 2011) (certifying class of store managers finding that “common classification supports the conclusion that all class members are similarly situated”); Gee v. Suntrust Mortg., Inc., 2011 WL 722111, at *3 (N.D. Cal. Feb. 18, 2011) (recognizing that uniform classification of employees as exempt is not sufficient for class treatment but was relevant factor in conditional certification; also finding that, at notice stage, job description and evidence from plaintiffs that primary duty was reviewing loan applications, and limitation of differences to amount of loan that could be approved, permitted conditional certification); Campanelli v. Hershey Co., 2010 WL 3219501 (N.D. Cal. Aug. 13, 2010) (granting conditional certification based on allegations that defendant had misclassified its sales representatives as outside salesmen and administrative employees); Carter v. Anderson Merchandisers, LP, 2008 WL 2783193, at *6 (C.D. Cal. July 10, 2008) (granting preliminary certification where plaintiffs “met their burden of setting forth ‘substantial allegations’ that sales representatives who comprise the proposed class, i.e., those who Defendant classified as salaried employees, were victims of a common policy allowing sales representatives to be classified as exempt”); Wong v. HSBC Mortg. Corp. (USA), 2008 WL 753889, at *3–4 (N.D. Cal. Mar. 19, 2008) (granting conditional certification where it was undisputed that defendant misclassified all of its loan officers as administratively exempt, suggesting a “uniformly-applicable basis for defendants’ classification decision”); Beauperthuy v. 24 Hour Fitness USA, Inc., 2007 WL 707475 at *4–7 (N.D. Cal. Mar. 6, 2007) (granting conditional certification to managers where plaintiffs made “substantial allegations” that they were all classified by defendants’ policies as exempt executives and denied overtime); Morden v. T-Mobile USA, Inc., 2006 WL 2620320, at *2–4 (W.D. Wash. Sept. 12, 2006) (holding that plaintiff territory and account representatives met evidentiary burden warranting conditional certification where they “submitted evidence” that putative class members had comparable job descriptions and duties and were compensated under uniform classifications during relevant time periods); Czubara v. Hamilton Mortg. Co., 2006 WL 5526617, at *1 (D. Ariz. June 5, 2006) (granting conditional certification where defendant admitted misclassified employees were victims of single policy, plan, or decision); Avila v. Turlock Irrigation Dist., 2006 WL 3201083, at *3 (E.D. Cal. Nov. 6, 2006) (granting unopposed motion to conditionally certify collective action of power control center operators and assistant power control center operators where defendants imposed uniform plan of overtime hours without compensation in violation of FLSA).</w:t>
      </w:r>
    </w:p>
    <w:p w14:paraId="34BC1CDA" w14:textId="6E6B2DAA" w:rsidR="00721CCF" w:rsidRPr="00AD2F44" w:rsidRDefault="00F42107">
      <w:pPr>
        <w:pStyle w:val="14Footnote"/>
      </w:pPr>
      <w:r w:rsidRPr="00AD2F44">
        <w:rPr>
          <w:i/>
          <w:iCs/>
        </w:rPr>
        <w:t>Tenth Circuit:</w:t>
      </w:r>
      <w:r w:rsidRPr="00AD2F44">
        <w:t xml:space="preserve"> Roggenkamp v. Bold Transp., Inc., 2021 BL 512393, 2021 WL 7209984 (D. Kan. June 16, 2021) (granting conditional certification of “yard hostlers” that operated tractors and moved freight on claim they were misclassified as exempt from overtime, but denying certification of expanded definition of collective later alleged because it was broadened and poorly defined); Gieseke v. First Horizon Home Loan Corp., 408 F. Supp. 2d 1164, 1167–69 (D. Kan. 2006) (granting conditional certification to loan originators with same job duties in respective divisions, all subject to defendant’s policy of nonpayment for overtime because they were uniformly misclassified as exempt administrative employees); Fortna v. QC Holdings, Inc., 2006 WL 2385303, at *1–3 (N.D. Okla. Aug. 17, 2006) (granting conditional certification where complaint and affidavits contained “substantial allegations” that branch managers were “victims of a single decision, policy, or plan”); Baldozier v. American Family Mut. Ins. Co., 375 F. Supp. 2d 1089, 1092–93 (D. Colo. 2005) (granting conditional certification to all claims representatives where they alleged that they were denied overtime pay based on company’s policy of treating them as categorically exempt under administrative exemption).</w:t>
      </w:r>
    </w:p>
    <w:p w14:paraId="2FABA0A0" w14:textId="77777777" w:rsidR="00721CCF" w:rsidRPr="00AD2F44" w:rsidRDefault="00F42107">
      <w:pPr>
        <w:pStyle w:val="14Footnote"/>
      </w:pPr>
      <w:r w:rsidRPr="00AD2F44">
        <w:rPr>
          <w:i/>
          <w:iCs/>
        </w:rPr>
        <w:t>Eleventh Circuit:</w:t>
      </w:r>
      <w:r w:rsidRPr="00AD2F44">
        <w:t xml:space="preserve"> Lytle v. Lowe’s Home Ctrs., Inc., 2014 WL 103463, at *3 (M.D. Fla. Jan. 10, 2014) (granting notice to companywide class of human resources managers and finding that a common policy or plan “may not be required to satisfy the more liberal ‘similarly situated’ requirement” at the notice stage); Palma v. Metro PCS Wireless, Inc., 2013 WL 6597079 (M.D. Fla. Dec. 16, 2013) (granting certification for nationwide group of account service representatives); Lawson v. Bell S. Telecomms., Inc., 2011 WL 3608462 (N.D. Ga. Aug. 16, 2011) (granting conditional certification based on field managers’ “day in the life” document showing the allegedly misclassified employees were similarly situated); Vondriska v. Premier Mortg. Funding, Inc., 564 F. Supp. 2d 1330, 1333–36 (M.D. Fla. 2007) (granting conditional certification where affidavits alleged uniform class of employees whose primary duty was selling loans and that defendant engaged in widespread policy of misclassification under administrative exemption).</w:t>
      </w:r>
    </w:p>
    <w:p w14:paraId="663DF443" w14:textId="63E84C15" w:rsidR="00721CCF" w:rsidRPr="00AD2F44" w:rsidRDefault="00F42107">
      <w:pPr>
        <w:pStyle w:val="14Footnote"/>
      </w:pPr>
      <w:r w:rsidRPr="00AD2F44">
        <w:rPr>
          <w:i/>
          <w:iCs/>
        </w:rPr>
        <w:t>See also</w:t>
      </w:r>
      <w:r w:rsidRPr="00AD2F44">
        <w:t xml:space="preserve"> Gregory v. Belfor USA Grp., Inc., 2012 WL 3062696, at *6 (E.D. Va. July 26, 2012).</w:t>
      </w:r>
    </w:p>
  </w:footnote>
  <w:footnote w:id="163">
    <w:p w14:paraId="71D09BE2" w14:textId="77777777" w:rsidR="00721CCF" w:rsidRPr="00AD2F44" w:rsidRDefault="00F42107">
      <w:pPr>
        <w:pStyle w:val="14Footnote"/>
        <w:rPr>
          <w:i/>
          <w:iCs/>
        </w:rPr>
      </w:pPr>
      <w:r w:rsidRPr="00AD2F44">
        <w:rPr>
          <w:vertAlign w:val="superscript"/>
        </w:rPr>
        <w:footnoteRef/>
      </w:r>
      <w:r w:rsidRPr="00AD2F44">
        <w:t xml:space="preserve">Delgado v. Ortho-McNeil, Inc., 2007 WL 2847238, at *2 (C.D. Cal. Aug. 7, 2007); </w:t>
      </w:r>
      <w:r w:rsidRPr="00AD2F44">
        <w:rPr>
          <w:i/>
          <w:iCs/>
        </w:rPr>
        <w:t>see also</w:t>
      </w:r>
    </w:p>
    <w:p w14:paraId="6AF91C5E" w14:textId="210CF0A9" w:rsidR="00721CCF" w:rsidRPr="00AD2F44" w:rsidRDefault="00F42107">
      <w:pPr>
        <w:pStyle w:val="14Footnote"/>
      </w:pPr>
      <w:r w:rsidRPr="00AD2F44">
        <w:rPr>
          <w:i/>
          <w:iCs/>
        </w:rPr>
        <w:t>Fifth Circuit:</w:t>
      </w:r>
      <w:r w:rsidRPr="00AD2F44">
        <w:t xml:space="preserve"> </w:t>
      </w:r>
      <w:r w:rsidRPr="00AD2F44">
        <w:t>Albanil v. Coast 2 Coast, Inc., 2008 WL 4937565, at *6 (S.D. Tex. Nov. 17, 2008) (“Defendants admitted that all chippers are subject to a common pay policy, in that no chippers have ever received overtime pay for hours worked over forty per week.”).</w:t>
      </w:r>
      <w:r w:rsidR="00AE59F9" w:rsidRPr="00AE59F9">
        <w:rPr>
          <w:b/>
        </w:rPr>
        <w:t xml:space="preserve"> </w:t>
      </w:r>
      <w:r w:rsidR="00AE59F9" w:rsidRPr="00AD2F44">
        <w:rPr>
          <w:b/>
        </w:rPr>
        <w:t xml:space="preserve">[Caution: </w:t>
      </w:r>
      <w:r w:rsidR="00AE59F9" w:rsidRPr="00AD2F44">
        <w:t xml:space="preserve">The Fifth Circuit later rejected the two-stage process, in </w:t>
      </w:r>
      <w:r w:rsidR="00AE59F9" w:rsidRPr="00AD2F44">
        <w:rPr>
          <w:i/>
        </w:rPr>
        <w:t xml:space="preserve">Swales v. KLLM Transport Services, LLC, </w:t>
      </w:r>
      <w:r w:rsidR="00AE59F9" w:rsidRPr="00AD2F44">
        <w:t xml:space="preserve">985 F.3d 430 (5th Cir. 2021), in favor of a requirement to “rigorously scrutinize” whether potential opt-ins are similarly situated “from the outset of the case.” </w:t>
      </w:r>
      <w:r w:rsidR="00AE59F9" w:rsidRPr="00AD2F44">
        <w:rPr>
          <w:i/>
        </w:rPr>
        <w:t>Id.</w:t>
      </w:r>
      <w:r w:rsidR="00AE59F9" w:rsidRPr="00AD2F44">
        <w:t xml:space="preserve"> at 434.</w:t>
      </w:r>
      <w:r w:rsidR="00AE59F9" w:rsidRPr="00AD2F44">
        <w:rPr>
          <w:b/>
          <w:bCs/>
        </w:rPr>
        <w:t>]</w:t>
      </w:r>
    </w:p>
    <w:p w14:paraId="71C2384F" w14:textId="77777777" w:rsidR="00721CCF" w:rsidRPr="00AD2F44" w:rsidRDefault="00F42107">
      <w:pPr>
        <w:pStyle w:val="14Footnote"/>
      </w:pPr>
      <w:r w:rsidRPr="00AD2F44">
        <w:rPr>
          <w:i/>
          <w:iCs/>
        </w:rPr>
        <w:t>Seventh Circuit:</w:t>
      </w:r>
      <w:r w:rsidRPr="00AD2F44">
        <w:t xml:space="preserve"> </w:t>
      </w:r>
      <w:r w:rsidRPr="00AD2F44">
        <w:rPr>
          <w:i/>
          <w:iCs/>
        </w:rPr>
        <w:t>Jirak</w:t>
      </w:r>
      <w:r w:rsidRPr="00AD2F44">
        <w:t>, 566 F. Supp. 2d at 849 (pharmaceutical representatives subject to common policy classifying them as exempt).</w:t>
      </w:r>
    </w:p>
    <w:p w14:paraId="42F719C6" w14:textId="51A4C8E2" w:rsidR="00721CCF" w:rsidRPr="00AD2F44" w:rsidRDefault="00F42107">
      <w:pPr>
        <w:pStyle w:val="14Footnote"/>
      </w:pPr>
      <w:r w:rsidRPr="00AD2F44">
        <w:rPr>
          <w:i/>
          <w:iCs/>
        </w:rPr>
        <w:t>Eighth Circuit:</w:t>
      </w:r>
      <w:r w:rsidRPr="00AD2F44">
        <w:t xml:space="preserve"> </w:t>
      </w:r>
      <w:r w:rsidRPr="00AD2F44">
        <w:rPr>
          <w:i/>
          <w:iCs/>
        </w:rPr>
        <w:t>Davis</w:t>
      </w:r>
      <w:r w:rsidRPr="00AD2F44">
        <w:t>, 408 F. Supp. 2d at 817 (“[P]laintiffs have sufficiently supported their claim … [t]hat the decision to treat all loan originators in all novastar offices as exempt employees was a companywide plan implemented at the direction of the company’s president.”).</w:t>
      </w:r>
    </w:p>
  </w:footnote>
  <w:footnote w:id="164">
    <w:p w14:paraId="1CA48A23" w14:textId="77777777" w:rsidR="00721CCF" w:rsidRPr="00AD2F44" w:rsidRDefault="00F42107">
      <w:pPr>
        <w:pStyle w:val="14Footnote"/>
      </w:pPr>
      <w:r w:rsidRPr="00AD2F44">
        <w:rPr>
          <w:vertAlign w:val="superscript"/>
        </w:rPr>
        <w:footnoteRef/>
      </w:r>
      <w:r w:rsidRPr="00AD2F44">
        <w:t>551 F.3d 1233 (11th Cir. 2008).</w:t>
      </w:r>
    </w:p>
  </w:footnote>
  <w:footnote w:id="165">
    <w:p w14:paraId="6F5425F2" w14:textId="77777777" w:rsidR="00721CCF" w:rsidRPr="00AD2F44" w:rsidRDefault="00F42107">
      <w:pPr>
        <w:pStyle w:val="14Footnote"/>
      </w:pPr>
      <w:r w:rsidRPr="00AD2F44">
        <w:rPr>
          <w:vertAlign w:val="superscript"/>
        </w:rPr>
        <w:footnoteRef/>
      </w:r>
      <w:r w:rsidRPr="00AD2F44">
        <w:rPr>
          <w:i/>
          <w:iCs/>
        </w:rPr>
        <w:t>Id</w:t>
      </w:r>
      <w:r w:rsidRPr="00AD2F44">
        <w:t>. at 1263 (“Rather, the bulk of the evidence demonstrated that the store managers were similarly situated and even Family Dollar perceived no such distinction. Indeed, it exempted all store managers from overtime pay requirements without regard to store size, sales volume, region, district, or hiring and firing authority.”).</w:t>
      </w:r>
    </w:p>
  </w:footnote>
  <w:footnote w:id="166">
    <w:p w14:paraId="0A40AED3" w14:textId="77777777" w:rsidR="00721CCF" w:rsidRPr="00AD2F44" w:rsidRDefault="00F42107">
      <w:pPr>
        <w:pStyle w:val="14Footnote"/>
      </w:pPr>
      <w:r w:rsidRPr="00AD2F44">
        <w:rPr>
          <w:vertAlign w:val="superscript"/>
        </w:rPr>
        <w:footnoteRef/>
      </w:r>
      <w:r w:rsidRPr="00AD2F44">
        <w:rPr>
          <w:i/>
          <w:iCs/>
        </w:rPr>
        <w:t>Id</w:t>
      </w:r>
      <w:r w:rsidRPr="00AD2F44">
        <w:t xml:space="preserve">. at 1264; </w:t>
      </w:r>
      <w:r w:rsidRPr="00AD2F44">
        <w:rPr>
          <w:i/>
          <w:iCs/>
        </w:rPr>
        <w:t>see also</w:t>
      </w:r>
      <w:r w:rsidRPr="00AD2F44">
        <w:t xml:space="preserve"> Nerland v. Caribou Coffee Co., 564 F. Supp. 2d 1010, 1014, 1024 (D. Minn. 2007) </w:t>
      </w:r>
      <w:r w:rsidRPr="00AD2F44">
        <w:t>(“[J]ust as defendant was able to determine on a collective basis that all of its store managers were employed ‘in a bona fide executive … capacity,’ so, too, this Court can determine on a collective basis whether defendant’s decision was correct. … The Court finds it disingenuous for [the employer], on one hand, to collectively and generally decide that all store managers are exempt from overtime compensation without any individualized inquiry, while on the other hand, claiming the plaintiffs cannot proceed collectively to challenge the exemption. [The employer’s] objections are wholly inconsistent with its own internal policies and practices.”).</w:t>
      </w:r>
    </w:p>
  </w:footnote>
  <w:footnote w:id="167">
    <w:p w14:paraId="6E7F9C82" w14:textId="77777777" w:rsidR="00721CCF" w:rsidRPr="00AD2F44" w:rsidRDefault="00F42107">
      <w:pPr>
        <w:pStyle w:val="14Footnote"/>
      </w:pPr>
      <w:r w:rsidRPr="00AD2F44">
        <w:rPr>
          <w:vertAlign w:val="superscript"/>
        </w:rPr>
        <w:footnoteRef/>
      </w:r>
      <w:r w:rsidRPr="00AD2F44">
        <w:rPr>
          <w:i/>
          <w:iCs/>
        </w:rPr>
        <w:t>See, e.g.,</w:t>
      </w:r>
      <w:r w:rsidRPr="00AD2F44">
        <w:t xml:space="preserve"> </w:t>
      </w:r>
    </w:p>
    <w:p w14:paraId="30A4087C" w14:textId="77777777" w:rsidR="00721CCF" w:rsidRPr="00AD2F44" w:rsidRDefault="00F42107">
      <w:pPr>
        <w:pStyle w:val="14Footnote"/>
      </w:pPr>
      <w:r w:rsidRPr="00AD2F44">
        <w:rPr>
          <w:i/>
          <w:iCs/>
        </w:rPr>
        <w:t>First Circuit:</w:t>
      </w:r>
      <w:r w:rsidRPr="00AD2F44">
        <w:t xml:space="preserve"> McKnight v. Honeywell Safety Prods. USA, Inc., 2017 WL 3447894, at *9 (D.R.I. June 13, 2017) (denying conditional certification and noting that “Honeywell’s classification of buyers as exempt, standing alone, is insufficient to satisfy the lenient standard for certification”).</w:t>
      </w:r>
    </w:p>
    <w:p w14:paraId="1FE64E32" w14:textId="77777777" w:rsidR="00721CCF" w:rsidRPr="00AD2F44" w:rsidRDefault="00F42107">
      <w:pPr>
        <w:pStyle w:val="14Footnote"/>
      </w:pPr>
      <w:r w:rsidRPr="002E55FE">
        <w:rPr>
          <w:i/>
          <w:iCs/>
        </w:rPr>
        <w:t>Second Circuit:</w:t>
      </w:r>
      <w:r w:rsidRPr="002E55FE">
        <w:t xml:space="preserve"> Dalton v. GEM Fin. </w:t>
      </w:r>
      <w:r w:rsidRPr="00AD2F44">
        <w:t>Servs., Inc., 2016 WL 3676428 (E.D.N.Y. July 6, 2016) (denying motion to conditionally certify as to exemption misclassification claim because plaintiffs failed to present any evidence articulating exempt employees’ job requirements or pay provisions and to demonstrate that similarity existed among nonexempt and exempt employees); Rosario v. Compass Grp., USA, Inc., 2016 WL 471249, at *5 (D. Conn. Feb. 5, 2016) (denying without prejudice motion for conditional certification of class of assistant managers, finding that conclusory statements in declarations about nonexempt work, coupled with corporate policies and job descriptions, did not create modest factual showing needed for certification, given variations in duties shown in depositions); Nabi v. Hudson Grp. Retail LLC, 310 F.R.D. 119, 123 (S.D.N.Y. 2015) (denying certification for class of exempt managers where plaintiffs’ evidence was limited to their personal knowledge of just three of eight job titles they sought for certification, rejecting uniform exemption classification as insufficient, and noting additional evidence of differences in operations at different types of employer locations); Ahmed v. TJ Maxx Corp., 103 F. Supp. 3d 343, 355–56 (E.D.N.Y. 2015) (adopting magistrate judge’s decision to deny nationwide certification to putative class of assistant store managers where opt-in plaintiffs’ testimony showed that they performed significantly different duties than named plaintiff, including many managerial duties; uniform classification as exempt was not sufficient for certification); Guillen v. Marshalls of MA, Inc., 750 F. Supp. 2d 469, 476–77 (S.D.N.Y. 2010) (denying conditional certification and reasoning that classification of all managers as exempt cannot support conditional certification where challenge is that plaintiffs and putative class operated in contravention to job description with only managerial duties, particularly where plaintiff presented just five affidavits from employees at nine New York City area stores out of 820 stores nationwide); Amendola v. Bristol-Myers Squibb Co., 558 F. Supp. 2d 459 (S.D.N.Y. 2008); Mike v. Safeco Ins. Co., 274 F. Supp. 2d 216, 221 (D. Conn. 2003) (“fact that Safeco decided to re-classify all Claims Representatives … does not provide the necessary common thread” to warrant notice).</w:t>
      </w:r>
    </w:p>
    <w:p w14:paraId="6152A323" w14:textId="77777777" w:rsidR="00721CCF" w:rsidRPr="00AD2F44" w:rsidRDefault="00F42107">
      <w:pPr>
        <w:pStyle w:val="14Footnote"/>
      </w:pPr>
      <w:r w:rsidRPr="00AD2F44">
        <w:rPr>
          <w:i/>
          <w:iCs/>
        </w:rPr>
        <w:t>Fourth Circuit:</w:t>
      </w:r>
      <w:r w:rsidRPr="00AD2F44">
        <w:t xml:space="preserve"> Stone v. SRA Int’l, Inc., 2014 WL 5410628, at *4 (E.D. Va. Oct. 22, 2014) (limiting certification in misclassification claim for network and system administrators to group of employees working on single defense contract, despite nationwide classification of them as exempt and exemption decision being made by single individual, because plaintiffs presented evidence only of activities of employees on that defense contract); Pelczynski v. Orange Lake Country Club, 84 F.R.D. 364 (D.S.C. 2012) (denying certification, finding that the plaintiffs had worked during distinct time periods and a fact finder would have to perform a week-by-week, plaintiff-by-plaintiff assessment that was inappropriate for class treatment).</w:t>
      </w:r>
    </w:p>
    <w:p w14:paraId="3A4960CA" w14:textId="77777777" w:rsidR="00721CCF" w:rsidRPr="00AD2F44" w:rsidRDefault="00F42107">
      <w:pPr>
        <w:pStyle w:val="14Footnote"/>
      </w:pPr>
      <w:r w:rsidRPr="00AD2F44">
        <w:rPr>
          <w:i/>
          <w:iCs/>
        </w:rPr>
        <w:t>Sixth Circuit:</w:t>
      </w:r>
      <w:r w:rsidRPr="00AD2F44">
        <w:t xml:space="preserve"> Tyler v. Taco Bell Corp., 2016 WL 2344229, at *5 (W.D. Tenn. May 3, 2016) (denying nationwide conditional certification for assistant managers, and limiting certification to two stores where plaintiff worked, despite plaintiff’s evidence of nationwide classification and policies, because of lack of evidence about what duties allegedly similarly situated employees performed as well as defendant’s evidence from those additional stores contradicting plaintiff’s allegations about duties performed); Bearden v. AAA Auto Club S., Inc., 2013 WL 1181474, at *8 (W.D. Tenn. Mar. 18, 2013) (denying conditional certification where individualized issues regarding sales representatives existed, including evidence that some met exemption); Olivo v. GMAC </w:t>
      </w:r>
      <w:r w:rsidRPr="00AD2F44">
        <w:t>Mortg. Co., 374 F. Supp. 2d 545 (E.D. Mich. 2004) (finding that because defendant apparently satisfied the outside sales exemption for employees in plaintiff’s job position, she failed to show a common policy or plan of misclassification).</w:t>
      </w:r>
    </w:p>
    <w:p w14:paraId="2C12EE84" w14:textId="77777777" w:rsidR="00721CCF" w:rsidRPr="00AD2F44" w:rsidRDefault="00F42107">
      <w:pPr>
        <w:pStyle w:val="14Footnote"/>
      </w:pPr>
      <w:r w:rsidRPr="00AD2F44">
        <w:rPr>
          <w:i/>
          <w:iCs/>
        </w:rPr>
        <w:t>Eighth Circuit:</w:t>
      </w:r>
      <w:r w:rsidRPr="00AD2F44">
        <w:t xml:space="preserve"> Sutton-Price v. Daugherty Sys., Inc., 2013 WL 3324364 (E.D. Mo. July 1, 2013) (denying plaintiff’s motion on the basis that plaintiff had sought certification over a diverse group of consulting and support employees with differing job responsibilities and titles); Smith v. Frac Tech Servs., Ltd., 2009 WL 4251017, at *7 (E.D. Ark. Nov. 24, 2009) (rejecting conditional certification for all salaried employees in exemption case, because different job duties would require too much individual examination of job duties, but certifying class as to one position because of sufficient evidence in form of nine affidavits from various locations attesting to similarity of job duties); King v. West Corp., 2006 WL 118577 (D. Neb. Jan. 12, 2006) (simple fact of classifying group of employees as exempt does not satisfy similarly situated requirement on its own); Freeman v. Wal-Mart Stores, Inc., 256 F. Supp. 2d 941, 945 (W.D. Ark. 2003) (“Adopting Plaintiff’s position would require us to conclude that if an employer has two or more non-officer, salaried employees who allegedly are not being paid overtime as required by the Act, then a collective action would be appropriate under 216(b).”).</w:t>
      </w:r>
    </w:p>
    <w:p w14:paraId="6D54FC37" w14:textId="77777777" w:rsidR="00721CCF" w:rsidRPr="00AD2F44" w:rsidRDefault="00F42107">
      <w:pPr>
        <w:pStyle w:val="14Footnote"/>
      </w:pPr>
      <w:r w:rsidRPr="00AD2F44">
        <w:rPr>
          <w:i/>
          <w:iCs/>
        </w:rPr>
        <w:t>Ninth Circuit:</w:t>
      </w:r>
      <w:r w:rsidRPr="00AD2F44">
        <w:t xml:space="preserve"> Trinh v. JP Morgan Chase &amp; Co., 2008 WL 1860161, at *3–5 (S.D. Cal. Apr. 22, 2008).</w:t>
      </w:r>
    </w:p>
    <w:p w14:paraId="705CC802" w14:textId="32C8BC84" w:rsidR="00721CCF" w:rsidRPr="00AD2F44" w:rsidRDefault="00F42107">
      <w:pPr>
        <w:pStyle w:val="14Footnote"/>
      </w:pPr>
      <w:r w:rsidRPr="00AD2F44">
        <w:rPr>
          <w:i/>
          <w:iCs/>
        </w:rPr>
        <w:t>Eleventh Circuit:</w:t>
      </w:r>
      <w:r w:rsidRPr="00AD2F44">
        <w:t xml:space="preserve"> Butz v. Amware Distribution Warehouses of Ga., Inc., 2014 WL 1513172 (N.D. Ga. Apr. 16, 2014) (denying class certification where the two employees who brought the claim had worked distinct positions from the employees in the class they sought to represent); Holt v. Rite Aid Corp., 333 F. Supp. 2d 1265 (M.D. Ala. 2004) (fact of classifying managers as exempt was not sufficient to justify conditional certification).</w:t>
      </w:r>
    </w:p>
  </w:footnote>
  <w:footnote w:id="168">
    <w:p w14:paraId="3271E2A6" w14:textId="77777777" w:rsidR="00721CCF" w:rsidRPr="00AD2F44" w:rsidRDefault="00F42107">
      <w:pPr>
        <w:pStyle w:val="14Footnote"/>
      </w:pPr>
      <w:r w:rsidRPr="00AD2F44">
        <w:rPr>
          <w:vertAlign w:val="superscript"/>
        </w:rPr>
        <w:footnoteRef/>
      </w:r>
      <w:r w:rsidRPr="00AD2F44">
        <w:t xml:space="preserve">2008 WL 1860161. </w:t>
      </w:r>
    </w:p>
  </w:footnote>
  <w:footnote w:id="169">
    <w:p w14:paraId="5610BFC3" w14:textId="77777777" w:rsidR="00721CCF" w:rsidRPr="00AD2F44" w:rsidRDefault="00F42107">
      <w:pPr>
        <w:pStyle w:val="14Footnote"/>
      </w:pPr>
      <w:r w:rsidRPr="00AD2F44">
        <w:rPr>
          <w:vertAlign w:val="superscript"/>
        </w:rPr>
        <w:footnoteRef/>
      </w:r>
      <w:r w:rsidRPr="00AD2F44">
        <w:rPr>
          <w:i/>
          <w:iCs/>
        </w:rPr>
        <w:t xml:space="preserve">Id. </w:t>
      </w:r>
      <w:r w:rsidRPr="00AD2F44">
        <w:t>at *4 (footnote omitted).</w:t>
      </w:r>
    </w:p>
  </w:footnote>
  <w:footnote w:id="170">
    <w:p w14:paraId="5B99844A"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171">
    <w:p w14:paraId="2B74ECAA" w14:textId="77777777" w:rsidR="00721CCF" w:rsidRPr="00AD2F44" w:rsidRDefault="00F42107">
      <w:pPr>
        <w:pStyle w:val="14Footnote"/>
      </w:pPr>
      <w:r w:rsidRPr="00AD2F44">
        <w:rPr>
          <w:vertAlign w:val="superscript"/>
        </w:rPr>
        <w:footnoteRef/>
      </w:r>
      <w:r w:rsidRPr="00AD2F44">
        <w:rPr>
          <w:i/>
        </w:rPr>
        <w:t>See, e.g.,</w:t>
      </w:r>
    </w:p>
    <w:p w14:paraId="3FA8112C" w14:textId="77777777" w:rsidR="00721CCF" w:rsidRPr="00AD2F44" w:rsidRDefault="00F42107">
      <w:pPr>
        <w:pStyle w:val="14Footnote"/>
      </w:pPr>
      <w:r w:rsidRPr="00AD2F44">
        <w:rPr>
          <w:i/>
          <w:iCs/>
        </w:rPr>
        <w:t xml:space="preserve">First Circuit: </w:t>
      </w:r>
      <w:r w:rsidRPr="00AD2F44">
        <w:t>Curtis v. Scholarship Storage, Inc., 2015 WL 1241365, at *4 (D. Me. Mar. 18, 2015) (granting conditional certification to shuttle drivers allegedly misclassified as independent contractors); Scovil v. FedEx Ground Package Sys., Inc., 811 F. Supp. 2d 516, 518 (D. Me. 2011) (granting initial notice for putative class of delivery drivers based on common policy of allegedly being misclassified as independent contractors; workers had similar job duties, were subject to common pay structure, and reported to FedEx managers).</w:t>
      </w:r>
    </w:p>
    <w:p w14:paraId="2DA78F8A" w14:textId="77777777" w:rsidR="00721CCF" w:rsidRPr="00AD2F44" w:rsidRDefault="00F42107">
      <w:pPr>
        <w:pStyle w:val="14Footnote"/>
      </w:pPr>
      <w:r w:rsidRPr="00AD2F44">
        <w:rPr>
          <w:i/>
          <w:iCs/>
        </w:rPr>
        <w:t>Second Circuit:</w:t>
      </w:r>
      <w:r w:rsidRPr="00AD2F44">
        <w:t xml:space="preserve"> </w:t>
      </w:r>
      <w:r w:rsidRPr="00AD2F44">
        <w:t xml:space="preserve">Djurdjevich v. Flat Rater Movers, Ltd., 2018 WL 5919519 (S.D.N.Y. Nov. 13, 2018) (granting conditional certification for putative class of independent contractors based on plaintiff’s “modest factual showing” that putative class members were subject to a common policy that violated the law); Vasto v. Credico (USA) LLC, 2016 WL 2658172, at *12–14 (S.D.N.Y. May 5, 2016) (granting conditional certification to face-to-face marketing representatives of independent sales offices, given declaration and corporate document evidence of centralized control and uniform policy of pay and hours worked set by putative employer); Mark v. Gawker Media LLC, 2014 WL 4058417, at *4 (S.D.N.Y. Aug. 15, 2014) (collecting cases); D’Antuono v. C &amp; G of Groton, Inc., 2011 WL 5878045 (D. Conn. Nov. 23, 2011) (granting conditional certification for group of exotic dancers); </w:t>
      </w:r>
      <w:r w:rsidRPr="00AD2F44">
        <w:rPr>
          <w:i/>
          <w:iCs/>
        </w:rPr>
        <w:t>In re</w:t>
      </w:r>
      <w:r w:rsidRPr="00AD2F44">
        <w:t xml:space="preserve"> Penthouse Exec. Club Comp. Litig., 2010 WL 4340255, at *3 (S.D.N.Y. Oct. 27, 2010) (rejecting defendants’ argument that “certification is improper because the issue of whether [defendant] properly classified dancers as independent contractors will require an ‘individualized, fact intensive inquiry’ into the nature of each dancer’s relationship with [defendant]”).</w:t>
      </w:r>
    </w:p>
    <w:p w14:paraId="103A70B6" w14:textId="77777777" w:rsidR="00721CCF" w:rsidRPr="00AD2F44" w:rsidRDefault="00F42107">
      <w:pPr>
        <w:pStyle w:val="14Footnote"/>
      </w:pPr>
      <w:r w:rsidRPr="00AD2F44">
        <w:rPr>
          <w:i/>
          <w:iCs/>
        </w:rPr>
        <w:t>Third Circuit:</w:t>
      </w:r>
      <w:r w:rsidRPr="00AD2F44">
        <w:t xml:space="preserve"> Sullivan-Blake v. FedEx Ground Package Sys., Inc., 2019 WL 4750141 (W.D. Pa. Sept. 30, 2019) (granting conditional certification of class of FedEx drivers who were employed through a third party based on a showing that employees were similarly situated); Hodzic v. FedEx Package Sys., Inc., 2016 WL 6248078 (W.D. Pa. Oct. 26, 2016) (granting in part conditional certification of class of FedEx drivers who alleged that they were misclassified as independent contractors, but denying nationwide class and instead limiting notice to drivers of one facility in Pennsylvania); Kim v. Dongbu Tour &amp; Travel, Inc., 2013 U.S. Dist. LEXIS 148549 (D.N.J. Oct. 16, 2013) (finding that the plaintiffs demonstrated the putative class was subject to the defendant’s uniform policy of misclassifying tour guides as independent contractors); Scott v. Bimbo Bakeries, USA, 2012 WL 645905, at *7–8 (E.D. Pa. Feb. 29, 2012) (granting conditional certification to nationwide putative class of delivery drivers, finding that plaintiffs had met their modest burden based on, among other things, evidence of similar job duties, similar business relationship with company, and similar distribution agreements that classified them and putative class members as independent contractors).</w:t>
      </w:r>
    </w:p>
    <w:p w14:paraId="2D02A5D9" w14:textId="77777777" w:rsidR="00721CCF" w:rsidRPr="00AD2F44" w:rsidRDefault="00F42107">
      <w:pPr>
        <w:pStyle w:val="14Footnote"/>
      </w:pPr>
      <w:r w:rsidRPr="00AD2F44">
        <w:rPr>
          <w:i/>
          <w:iCs/>
        </w:rPr>
        <w:t>Fourth Circuit:</w:t>
      </w:r>
      <w:r w:rsidRPr="00AD2F44">
        <w:t xml:space="preserve"> Rehberg v. Flowers Foods, Inc., 2013 WL 1190290, at *2 (W.D.N.C. Mar. 22, 2013); Williams v. XE Servs., LLC, 2011 WL 52353, at *3 (E.D.N.C. Jan. 4, 2011).</w:t>
      </w:r>
    </w:p>
    <w:p w14:paraId="59A1445B" w14:textId="6B5DE98D" w:rsidR="00721CCF" w:rsidRPr="00AD2F44" w:rsidRDefault="00F42107">
      <w:pPr>
        <w:pStyle w:val="14Footnote"/>
      </w:pPr>
      <w:r w:rsidRPr="00AD2F44">
        <w:rPr>
          <w:i/>
          <w:iCs/>
        </w:rPr>
        <w:t>Fifth Circuit:</w:t>
      </w:r>
      <w:r w:rsidRPr="00AD2F44">
        <w:t xml:space="preserve"> Hobbs v. Cable Marketing &amp; Installation of Louisiana, Inc., 290 F. Supp. 3d 589 (E.D. La. 2018) (granting conditional certification of class of independent contractor technicians, finding that they were sufficiently similarly situated); Vaughn v. The Document Grp., Inc., 250 F. Supp. 3d 236 (S.D. Tex. 2017) (granting conditional certification of class of litigation support workers and declining to apply economic realities test in step one of conditional certification analysis); Richard v. Flower Foods, Inc., 222 F. Supp. 3d 516 (W.D. La. 2016) (granting conditional certification for class of allegedly misclassified “distributors” who delivered bakery products from defendant’s warehouses to retailers); Prejean v. O’Brien’s Response Mgmt., Inc., 2013 WL 5960674 (E.D. La. Nov. 6, 2013) (conditionally certifying case for oil spill response workers that had been considered independent contractors); White v. Integrated Elec. Section Techns., Inc., 2013 WL 2903070 (E.D. La. June 13, 2013) (relying on </w:t>
      </w:r>
      <w:r w:rsidRPr="00AD2F44">
        <w:rPr>
          <w:i/>
          <w:iCs/>
        </w:rPr>
        <w:t>Lang v. Directv, Inc.</w:t>
      </w:r>
      <w:r w:rsidRPr="00AD2F44">
        <w:t xml:space="preserve">, 2011 WL 6934607 (E.D. La. Dec. 30, 2011), and granting conditional certification of satellite television technicians classified as independent contractors); Heeg v. Adams Harris, Inc., 907 F. Supp. 2d 856 (S.D. Tex. 2012) (granting conditional certification to putative class of computer professionals—both independent contractors and employees—based on their being similarly situated); Walker v. Honghua Am., LLC, 870 F. Supp. 2d 462, 470–72 (S.D. Tex. 2012) (granting conditional certification to putative classes of crane operators and roughnecks/outriggers alleging misclassification as independent contractors, reasoning that evaluation of economic realities test at conditional certification stage was inappropriate (collecting cases reasoning both ways), but finding that each group of plaintiffs had shown based on evidence (“albeit minimal”) that they were sufficiently similarly situated with respect to each of the five factors under the economic realities test in that they performed similar work, all at defendant’s facility, and were not paid overtime).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1AC83EB0" w14:textId="77777777" w:rsidR="00721CCF" w:rsidRPr="00AD2F44" w:rsidRDefault="00F42107">
      <w:pPr>
        <w:pStyle w:val="14Footnote"/>
      </w:pPr>
      <w:r w:rsidRPr="00AD2F44">
        <w:rPr>
          <w:i/>
          <w:iCs/>
        </w:rPr>
        <w:t>Sixth Circuit:</w:t>
      </w:r>
      <w:r w:rsidRPr="00AD2F44">
        <w:t xml:space="preserve"> Hall v. U.S. Cargo &amp; Courier Serv., LLC, 299 F. Supp. 3d 888, 896 (S.D. Ohio 2018) (granting conditional certification using “modest plus” standard where discovery commenced (which required elevated factual showing) because delivery drivers who claimed to be misclassified as independent contractors were all required to comply with grooming and appearance standards, received routes directly from defendant, were paid according to miles and stops at rate determined by defendant, and signed same independent contractor agreement); Williams v. King Bee Delivery, LLC, 2017 WL 987452 (E.D. Ky. Mar. 14, 2017) (granting conditional certification of class of allegedly misclassified delivery drivers who delivered product to pharmacies and hospitals); Coats v. Nashville Limo Bus, LLC, 2011 WL 308403, at *2 (M.D. Tenn. Jan. 27, 2011) (conditionally certifying a class “consisting of all those similarly situated drivers who were improperly classified and treated as independent contractors for tax purposes and from whom Defendants withheld appropriate hourly and overtime wages”).</w:t>
      </w:r>
    </w:p>
    <w:p w14:paraId="0F19A16F" w14:textId="77777777" w:rsidR="00721CCF" w:rsidRPr="00AD2F44" w:rsidRDefault="00F42107">
      <w:pPr>
        <w:pStyle w:val="14Footnote"/>
      </w:pPr>
      <w:r w:rsidRPr="00AD2F44">
        <w:rPr>
          <w:i/>
          <w:iCs/>
        </w:rPr>
        <w:t>Seventh Circuit:</w:t>
      </w:r>
      <w:r w:rsidRPr="00AD2F44">
        <w:t xml:space="preserve"> Perez v. Comcast, 2011 WL 5979769, at *2 (N.D. Ill. Nov. 29, 2011).</w:t>
      </w:r>
    </w:p>
    <w:p w14:paraId="6552DB57" w14:textId="77777777" w:rsidR="00721CCF" w:rsidRPr="00AD2F44" w:rsidRDefault="00F42107">
      <w:pPr>
        <w:pStyle w:val="14Footnote"/>
      </w:pPr>
      <w:r w:rsidRPr="00AD2F44">
        <w:rPr>
          <w:i/>
          <w:iCs/>
        </w:rPr>
        <w:t>Eighth Circuit:</w:t>
      </w:r>
      <w:r w:rsidRPr="00AD2F44">
        <w:t xml:space="preserve"> Edwards v. Multiband Corp., 2011 WL 117232 (D. Minn. Jan. 13, 2011) (granting conditional certification over class of cable installers); Putnam v. Galaxy 1 Mktg., Inc., 276 F.R.D. 264, 274 (S.D. Iowa 2011) (rejecting defendant’s argument that employees were subject to different management styles or policies because there was a common practice or policy in treating satellite installation technicians as independent contractors instead of employees).</w:t>
      </w:r>
    </w:p>
    <w:p w14:paraId="36B58567" w14:textId="77777777" w:rsidR="00721CCF" w:rsidRPr="00AD2F44" w:rsidRDefault="00F42107">
      <w:pPr>
        <w:pStyle w:val="14Footnote"/>
      </w:pPr>
      <w:r w:rsidRPr="00AD2F44">
        <w:rPr>
          <w:i/>
          <w:iCs/>
        </w:rPr>
        <w:t>Ninth Circuit:</w:t>
      </w:r>
      <w:r w:rsidRPr="00AD2F44">
        <w:t xml:space="preserve"> Flores v. Velocity Exp., Inc., 2013 WL 2468362, at *10 (N.D. Cal. June 7, 2013) (delivery drivers allegedly misclassified as independent contractors).</w:t>
      </w:r>
    </w:p>
    <w:p w14:paraId="6CCB905D" w14:textId="77777777" w:rsidR="00721CCF" w:rsidRPr="00AD2F44" w:rsidRDefault="00F42107">
      <w:pPr>
        <w:pStyle w:val="14Footnote"/>
      </w:pPr>
      <w:r w:rsidRPr="00AD2F44">
        <w:rPr>
          <w:i/>
          <w:iCs/>
        </w:rPr>
        <w:t>Tenth Circuit:</w:t>
      </w:r>
      <w:r w:rsidRPr="00AD2F44">
        <w:t xml:space="preserve"> Hose v. Henry Indus., Inc., 49 F. Supp. 3d 906, 918 (D. Kan. 2014), </w:t>
      </w:r>
      <w:r w:rsidRPr="00AD2F44">
        <w:rPr>
          <w:i/>
          <w:iCs/>
        </w:rPr>
        <w:t xml:space="preserve">order clarified sub nom. </w:t>
      </w:r>
      <w:r w:rsidRPr="00AD2F44">
        <w:t>Hose v. Henry Indus., 2014 WL 5510927 (D. Kan. Oct. 31, 2014).</w:t>
      </w:r>
    </w:p>
    <w:p w14:paraId="586E38B8" w14:textId="77777777" w:rsidR="00721CCF" w:rsidRPr="00AD2F44" w:rsidRDefault="00F42107">
      <w:pPr>
        <w:pStyle w:val="14Footnote"/>
      </w:pPr>
      <w:r w:rsidRPr="00AD2F44">
        <w:rPr>
          <w:i/>
          <w:iCs/>
        </w:rPr>
        <w:t>Eleventh Circuit:</w:t>
      </w:r>
      <w:r w:rsidRPr="00AD2F44">
        <w:t xml:space="preserve"> Pena v. Handy Wash, Inc., 28 F. Supp. 3d 1289, 1298–99 (S.D. Fla. 2014) (granting conditional certification for class of allegedly misclassified paratransit drivers, considering five factors: that putative class worked in same geographic location, during same time period, were subject to same policy of being denied overtime and it was implemented in same way, and were all classified as independent contractors); Whitaker v. Kablelink Commc’ns, LLC, 2013 WL 5919351, at *1 (M.D. Fla. Nov. 4, 2013) (cable installers granted conditional certification based on common allegation they were misclassified as independent contractors); Stevenson v. Great Am. Dream, 2013 WL 4217128 (N.D. Ga. Aug. 14, 2013) (granting conditional certification to group of adult entertainers); Bobbitt v. Broadband Interactive, Inc., 2012 WL 1898636, at *3–5 (M.D. Fla. May 23, 2012) (granting conditional certification to putative collective of cable technicians, finding persuasive cases that permitted conditional certification in challenges to employee status by workers classified as independent contractors, and finding sufficient evidence of similar job duties and similar pay provisions—50–60 hours of work and no overtime, and piece-rate payments that excluded unsuccessful stops at customer houses—to warrant notice).</w:t>
      </w:r>
    </w:p>
    <w:p w14:paraId="1782CB47" w14:textId="77777777" w:rsidR="00721CCF" w:rsidRPr="00AD2F44" w:rsidRDefault="00F42107">
      <w:pPr>
        <w:pStyle w:val="14Footnote"/>
      </w:pPr>
      <w:r w:rsidRPr="00AD2F44">
        <w:rPr>
          <w:i/>
          <w:iCs/>
        </w:rPr>
        <w:t>D.C. Circuit:</w:t>
      </w:r>
      <w:r w:rsidRPr="00AD2F44">
        <w:t xml:space="preserve"> Douglas v. Chariots for Hire, 918 F. Supp. 2d 24 (D.D.C. 2013) (conditionally certifying collective of limousine drivers who were treated as independent contractors).</w:t>
      </w:r>
    </w:p>
  </w:footnote>
  <w:footnote w:id="172">
    <w:p w14:paraId="0FBD33DE" w14:textId="3C788708" w:rsidR="00721CCF" w:rsidRPr="00AD2F44" w:rsidRDefault="00F42107">
      <w:pPr>
        <w:pStyle w:val="14Footnote"/>
      </w:pPr>
      <w:r w:rsidRPr="00AD2F44">
        <w:rPr>
          <w:vertAlign w:val="superscript"/>
        </w:rPr>
        <w:footnoteRef/>
      </w:r>
      <w:r w:rsidRPr="00AD2F44">
        <w:rPr>
          <w:i/>
          <w:iCs/>
        </w:rPr>
        <w:t>See, e.g.,</w:t>
      </w:r>
      <w:r w:rsidRPr="00AD2F44">
        <w:t xml:space="preserve"> </w:t>
      </w:r>
      <w:r w:rsidRPr="009A61BF">
        <w:t xml:space="preserve">Eltahir v. Nomi Health, Inc., </w:t>
      </w:r>
      <w:r w:rsidR="00E95FCB" w:rsidRPr="00E95FCB">
        <w:t>2022 BL 468162</w:t>
      </w:r>
      <w:r w:rsidR="00E95FCB">
        <w:t xml:space="preserve">, </w:t>
      </w:r>
      <w:r w:rsidRPr="009A61BF">
        <w:t>2022 WL 17987170, at *7 (S.D. Fla. Sept. 12, 2022)</w:t>
      </w:r>
      <w:r>
        <w:t xml:space="preserve"> (denying conditional certification due to lack of evidence employees</w:t>
      </w:r>
      <w:r>
        <w:t xml:space="preserve"> were similarly situated as to the multi-factor economic realities test); </w:t>
      </w:r>
      <w:r w:rsidRPr="00AD2F44">
        <w:t>Andel v. Patterson-UTI Drilling Co., 280 F.R.D. 287, 290 (S.D. Tex. 2012) (rejecting conditional certification because evaluation of independent contractor status would require individualized inquiries; employer’s classification is insufficient where “proof to demonstrate” whether classification was proper “can[not] be applied to the class as a whole”).</w:t>
      </w:r>
    </w:p>
  </w:footnote>
  <w:footnote w:id="173">
    <w:p w14:paraId="687B93A7" w14:textId="77777777" w:rsidR="00721CCF" w:rsidRPr="00AD2F44" w:rsidRDefault="00F42107">
      <w:pPr>
        <w:pStyle w:val="14Footnote"/>
      </w:pPr>
      <w:r w:rsidRPr="00AD2F44">
        <w:rPr>
          <w:vertAlign w:val="superscript"/>
        </w:rPr>
        <w:footnoteRef/>
      </w:r>
      <w:r w:rsidRPr="00AD2F44">
        <w:rPr>
          <w:i/>
        </w:rPr>
        <w:t>See, e.g.,</w:t>
      </w:r>
    </w:p>
    <w:p w14:paraId="67DC5CDC" w14:textId="77777777" w:rsidR="00721CCF" w:rsidRPr="00AD2F44" w:rsidRDefault="00F42107">
      <w:pPr>
        <w:pStyle w:val="14Footnote"/>
      </w:pPr>
      <w:r w:rsidRPr="00AD2F44">
        <w:rPr>
          <w:i/>
          <w:iCs/>
        </w:rPr>
        <w:t>Second Circuit:</w:t>
      </w:r>
      <w:r w:rsidRPr="00AD2F44">
        <w:t xml:space="preserve"> Guttentag v. Ruby Tuesdays, Inc., 2013 WL 2602521 (S.D.N.Y. June 11, 2013) (conditional certification granted when plaintiffs alleged defendant maintained uniform policies, such as a prohibition against overtime, which forced its employees to work before and after their recorded shifts without compensation).</w:t>
      </w:r>
    </w:p>
    <w:p w14:paraId="0BE3530B" w14:textId="3971A8CA" w:rsidR="00721CCF" w:rsidRPr="00AD2F44" w:rsidRDefault="00F42107">
      <w:pPr>
        <w:pStyle w:val="14Footnote"/>
      </w:pPr>
      <w:r w:rsidRPr="00AD2F44">
        <w:rPr>
          <w:i/>
          <w:iCs/>
        </w:rPr>
        <w:t xml:space="preserve">Third Circuit: </w:t>
      </w:r>
      <w:r w:rsidRPr="00AD2F44">
        <w:t>Bruno v. Wells Fargo Bank, 2021 BL 91043, 2021 WL 964938, at *4</w:t>
      </w:r>
      <w:r w:rsidRPr="00AD2F44">
        <w:rPr>
          <w:b/>
          <w:bCs/>
        </w:rPr>
        <w:t xml:space="preserve"> </w:t>
      </w:r>
      <w:r w:rsidRPr="00AD2F44">
        <w:t xml:space="preserve">(W.D. Pa. Mar. 15, 2021) (granting conditional certification in home mortgage consultants’ off-the-clock case, declining to consider defendant’s evidence that would make court “weigh evidence and resolve factual disputes” where plaintiffs provided sufficient declaration evidence of nationwide common practice to meet its “modest factual showing” burden); Piersall-Dineen v. Freedom </w:t>
      </w:r>
      <w:r w:rsidRPr="00AD2F44">
        <w:t>Mortg. Corp., 27 F. Supp. 3d 567 (D.N.J. 2014) (granting conditional certification based on nine declarations that showed similar duties, assignment of large workload with discipline for failing to complete assignments, and instruction by supervisors to not report all hours worked).</w:t>
      </w:r>
    </w:p>
    <w:p w14:paraId="2AF58EC9" w14:textId="77777777" w:rsidR="00721CCF" w:rsidRPr="00AD2F44" w:rsidRDefault="00F42107">
      <w:pPr>
        <w:pStyle w:val="14Footnote"/>
      </w:pPr>
      <w:r w:rsidRPr="00AD2F44">
        <w:rPr>
          <w:i/>
          <w:iCs/>
        </w:rPr>
        <w:t xml:space="preserve">Fourth Circuit: </w:t>
      </w:r>
      <w:r w:rsidRPr="00AD2F44">
        <w:t>Danford v. Lowe’s Home Ctrs., LLC, 2019 WL 4874823, at *6–7 (W.D.N.C. Oct. 2, 2019) (granting conditional certification in off-the-clock case where plaintiffs alleged that defendant’s systematic use of same timekeeping system, virtually identical job descriptions, and substantial similarity in job responsibilities as set forth in job postings); Reynolds v. Wyndham Vacation Resorts, Inc., 2015 WL 8042021, at *4 (D.S.C. Dec. 4, 2015) (conditionally certifying class, using decertification standard, based on evidence that there was common policy of employees working off the clock, even if theories behind individual plaintiffs’ claims varied); Desmond v. Alliance, Inc., 2015 WL 2165115 (D. Md. May 7, 2015) (certifying Maryland collective action where declarations of six individuals asserted that they were overworked due to understaffing and that not allowing proper overtime reporting had been discussed at companywide meetings).</w:t>
      </w:r>
    </w:p>
    <w:p w14:paraId="29737AEE" w14:textId="0AA3743B" w:rsidR="00721CCF" w:rsidRPr="00AD2F44" w:rsidRDefault="00F42107">
      <w:pPr>
        <w:pStyle w:val="14Footnote"/>
      </w:pPr>
      <w:r w:rsidRPr="00AD2F44">
        <w:rPr>
          <w:i/>
          <w:iCs/>
        </w:rPr>
        <w:t>Fifth Circuit:</w:t>
      </w:r>
      <w:r w:rsidRPr="00AD2F44">
        <w:t xml:space="preserve"> Loy v. Rehab Synergies, LLC, 366 F. Supp. 3d 847 (S.D. Tex. 2019) (granting conditional certification based on plaintiff’s claim that production standards required substantial off-the-clock work, noting that at stage one, plaintiff need not provide evidence that off-the-clock work was occurring for the entire collective, but instead simply that other employees were subject to the same productivity requirements); Lay v. Gold’s Gym Int’l, Inc., 2013 WL 5595956 (W.D. Tex. Oct. 4, 2013) (noting that the national gym chain had written policies prohibiting off-the-clock work, the court found sufficient evidence of a de facto policy among San Antonio-area gyms that encouraged off-the-clock work to grant conditional certification).</w:t>
      </w:r>
      <w:r w:rsidR="00AE59F9" w:rsidRPr="00AE59F9">
        <w:rPr>
          <w:b/>
        </w:rPr>
        <w:t xml:space="preserve"> </w:t>
      </w:r>
      <w:r w:rsidR="00AE59F9" w:rsidRPr="00AD2F44">
        <w:rPr>
          <w:b/>
        </w:rPr>
        <w:t xml:space="preserve">[Caution: </w:t>
      </w:r>
      <w:r w:rsidR="00AE59F9" w:rsidRPr="00AD2F44">
        <w:t xml:space="preserve">The Fifth Circuit later rejected the two-stage process, in </w:t>
      </w:r>
      <w:r w:rsidR="00AE59F9" w:rsidRPr="00AD2F44">
        <w:rPr>
          <w:i/>
        </w:rPr>
        <w:t xml:space="preserve">Swales v. KLLM Transport Services, LLC, </w:t>
      </w:r>
      <w:r w:rsidR="00AE59F9" w:rsidRPr="00AD2F44">
        <w:t xml:space="preserve">985 F.3d 430 (5th Cir. 2021), in favor of a requirement to “rigorously scrutinize” whether potential opt-ins are similarly situated “from the outset of the case.” </w:t>
      </w:r>
      <w:r w:rsidR="00AE59F9" w:rsidRPr="00AD2F44">
        <w:rPr>
          <w:i/>
        </w:rPr>
        <w:t>Id.</w:t>
      </w:r>
      <w:r w:rsidR="00AE59F9" w:rsidRPr="00AD2F44">
        <w:t xml:space="preserve"> at 434.</w:t>
      </w:r>
      <w:r w:rsidR="00AE59F9" w:rsidRPr="00AD2F44">
        <w:rPr>
          <w:b/>
          <w:bCs/>
        </w:rPr>
        <w:t>]</w:t>
      </w:r>
    </w:p>
    <w:p w14:paraId="4E3FC1FE" w14:textId="77777777" w:rsidR="00721CCF" w:rsidRPr="00AD2F44" w:rsidRDefault="00F42107">
      <w:pPr>
        <w:pStyle w:val="14Footnote"/>
      </w:pPr>
      <w:r w:rsidRPr="00AD2F44">
        <w:rPr>
          <w:i/>
          <w:iCs/>
        </w:rPr>
        <w:t>Sixth Circuit</w:t>
      </w:r>
      <w:r w:rsidRPr="00AD2F44">
        <w:t xml:space="preserve">: Comer v. Wal-Mart Stores, Inc., 454 F.3d 544, 546–47 (6th Cir. 2006) (conditional certification appropriate where plaintiffs subject to a common policy); Foster v. Sitel Operating Corp., 2020 WL 1640427, at *5–6 (M.D. Tenn. Apr. 2, 2020) (certifying class of call center workers that provided 25 declarations, including two from supervisors, and alleged there was companywide unwritten policy that employees performed work to get “call ready” while off the clock). </w:t>
      </w:r>
    </w:p>
    <w:p w14:paraId="7F021CB0" w14:textId="77777777" w:rsidR="00721CCF" w:rsidRPr="00AD2F44" w:rsidRDefault="00F42107">
      <w:pPr>
        <w:pStyle w:val="14Footnote"/>
      </w:pPr>
      <w:r w:rsidRPr="00AD2F44">
        <w:rPr>
          <w:i/>
          <w:iCs/>
        </w:rPr>
        <w:t>Seventh Circuit:</w:t>
      </w:r>
      <w:r w:rsidRPr="00AD2F44">
        <w:t xml:space="preserve"> Bitner v. Wyndham Vacation Resorts, Inc., 301 F.R.D. 354 (W.D. Wis. 2014) (granting conditional certification of Wisconsin workers where employees demonstrated they were instructed by multiple supervisors to report only 40 hours or to clock out and keep working); Campbell v. Advantage Sales &amp; Mktg., LLC, 2010 WL 3326752, at *5 (S.D. Ind. Aug. 24, 2010) (granting conditional certification where plaintiffs presented evidence they were subject to policy of denying overtime compensation, but limiting class to employees who reported time on one of three timekeeping systems, because plaintiffs alleged as part of their evidence that managers made downward adjustments to time, and only one of three timekeeping systems allowed for such manual adjustments).</w:t>
      </w:r>
    </w:p>
    <w:p w14:paraId="0F138FF7" w14:textId="77777777" w:rsidR="00721CCF" w:rsidRPr="00AD2F44" w:rsidRDefault="00F42107">
      <w:pPr>
        <w:pStyle w:val="14Footnote"/>
      </w:pPr>
      <w:r w:rsidRPr="00AD2F44">
        <w:rPr>
          <w:i/>
          <w:iCs/>
        </w:rPr>
        <w:t>Eighth Circuit:</w:t>
      </w:r>
      <w:r w:rsidRPr="00AD2F44">
        <w:t xml:space="preserve"> Schmaltz v. O’Reilly Auto. Stores, Inc., 2013 WL 943752 (E.D. Mo. Mar. 11, 2013) (granting conditional certification where company maintained policy and practice of altering time records); Nobles v. State Farm Mut. Auto. Ins. Co., 2011 WL 3794021, at *9 (W.D. Mo. Aug. 25, 2011) (granting conditional certification where allegation was that company’s written policy paid putative class members based on standard of 38.75 hours plus scheduled overtime, without regard to hours worked, and there was record evidence of policies and log on/log off data suggesting additional work).</w:t>
      </w:r>
    </w:p>
    <w:p w14:paraId="7C86AC4D" w14:textId="77777777" w:rsidR="00721CCF" w:rsidRPr="00AD2F44" w:rsidRDefault="00F42107">
      <w:pPr>
        <w:pStyle w:val="14Footnote"/>
      </w:pPr>
      <w:r w:rsidRPr="00AD2F44">
        <w:rPr>
          <w:i/>
          <w:iCs/>
        </w:rPr>
        <w:t>Ninth Circuit:</w:t>
      </w:r>
      <w:r w:rsidRPr="00AD2F44">
        <w:t xml:space="preserve"> Alvarez v. Farmers Ins. Exch., 2014 WL 4685031 (N.D. Cal. Sept. 19, 2014) (conditional certification of all-California class granted based on declarations from nine individuals at five locations where declarations asserted that high-volume workload caused them to work overtime without pay); Adams v. Inter-Con Sec. Sys., Inc., 242 F.R.D. 530, 537 (N.D. Cal. 2007) (rejecting that off-the-clock cases are inappropriate for collective treatment and granting conditional certification of class of security guards); Goudie v. Cable Commc’ns, Inc., 2008 WL 4628394 (D. Or. Oct. 14, 2008) (granting conditional certification where there were no declarations provided, but the complaint contained detailed allegations and plaintiffs provided deposition testimony from defendant’s employees demonstrating similarity among the potential class members).</w:t>
      </w:r>
    </w:p>
    <w:p w14:paraId="558D014E" w14:textId="77777777" w:rsidR="00721CCF" w:rsidRPr="00AD2F44" w:rsidRDefault="00F42107">
      <w:pPr>
        <w:pStyle w:val="14Footnote"/>
      </w:pPr>
      <w:r w:rsidRPr="00AD2F44">
        <w:rPr>
          <w:i/>
          <w:iCs/>
        </w:rPr>
        <w:t>Tenth Circuit:</w:t>
      </w:r>
      <w:r w:rsidRPr="00AD2F44">
        <w:t xml:space="preserve"> Thiessen v. General Elec. Capital Corp., 267 F.3d 1095, 1102 (10th Cir. 2001) (at the notice stage, “a court require[s] nothing more than substantial allegations that the putative class members were together the victims of a single decision, policy, or plan” (quotation marks and citation omitted)); </w:t>
      </w:r>
      <w:r w:rsidRPr="00AD2F44">
        <w:rPr>
          <w:i/>
          <w:iCs/>
        </w:rPr>
        <w:t>In re</w:t>
      </w:r>
      <w:r w:rsidRPr="00AD2F44">
        <w:t xml:space="preserve"> Bank of Am. Wage &amp; Hour Emp. Litig., 286 F.R.D. 572, 586 (D. Kan. 2012) (granting conditional certification where plaintiffs provided substantial allegations that defendant maintained unofficial policy of requiring off-the-clock work across locations and divisions).</w:t>
      </w:r>
    </w:p>
    <w:p w14:paraId="1D77E694" w14:textId="574ADD34" w:rsidR="00721CCF" w:rsidRPr="00AD2F44" w:rsidRDefault="00F42107">
      <w:pPr>
        <w:pStyle w:val="14Footnote"/>
      </w:pPr>
      <w:r w:rsidRPr="00AD2F44">
        <w:rPr>
          <w:i/>
          <w:iCs/>
        </w:rPr>
        <w:t>Eleventh Circuit:</w:t>
      </w:r>
      <w:r w:rsidRPr="00AD2F44">
        <w:t xml:space="preserve"> Devries v. Morgan Stanley &amp; Co., 2014 WL 505157, at *3 (S.D. Fla. Feb. 7, 2014) (applying a “more searching standard of review,” and rejecting defendant’s claims that its policy requiring all employees to accurately record hours prevented certification).</w:t>
      </w:r>
    </w:p>
  </w:footnote>
  <w:footnote w:id="174">
    <w:p w14:paraId="1BD57C0E" w14:textId="77777777" w:rsidR="00721CCF" w:rsidRPr="00AD2F44" w:rsidRDefault="00F42107">
      <w:pPr>
        <w:pStyle w:val="14Footnote"/>
      </w:pPr>
      <w:r w:rsidRPr="00AD2F44">
        <w:rPr>
          <w:vertAlign w:val="superscript"/>
        </w:rPr>
        <w:footnoteRef/>
      </w:r>
      <w:r w:rsidRPr="00AD2F44">
        <w:rPr>
          <w:i/>
        </w:rPr>
        <w:t>See, e.g.,</w:t>
      </w:r>
    </w:p>
    <w:p w14:paraId="6804F914" w14:textId="77777777" w:rsidR="00721CCF" w:rsidRPr="00AD2F44" w:rsidRDefault="00F42107">
      <w:pPr>
        <w:pStyle w:val="14Footnote"/>
      </w:pPr>
      <w:r w:rsidRPr="00AD2F44">
        <w:rPr>
          <w:i/>
          <w:iCs/>
        </w:rPr>
        <w:t xml:space="preserve">Second Circuit: </w:t>
      </w:r>
      <w:r w:rsidRPr="00AD2F44">
        <w:t xml:space="preserve">Hamadou v. Hess, 915 F. Supp. 2d 651, 664–66 (S.D.N.Y. 2013) (denying statewide certification of issues by limiting class to off-the-clock issues of modification of time cards and “managerial laxity” at two divisions where plaintiffs worked); </w:t>
      </w:r>
      <w:r w:rsidRPr="00AD2F44">
        <w:t>Prizmic v. Armour Inc., 2006 WL 166216 (E.D.N.Y. June 12, 2006) (denying conditional certification where the complaint contained only general allegations and plaintiff submitted no declarations or any other evidence demonstrating he and the other potential class members were victims of a common policy or plan).</w:t>
      </w:r>
    </w:p>
    <w:p w14:paraId="21D465DC" w14:textId="77777777" w:rsidR="00721CCF" w:rsidRDefault="00F42107">
      <w:pPr>
        <w:pStyle w:val="14Footnote"/>
      </w:pPr>
      <w:r w:rsidRPr="00AD2F44">
        <w:rPr>
          <w:i/>
          <w:iCs/>
        </w:rPr>
        <w:t xml:space="preserve">Third Circuit: </w:t>
      </w:r>
      <w:r w:rsidRPr="00AD2F44">
        <w:t>Kronick v. Bebe Stores, Inc., 2008 WL 4546368, at *2 (D.N.J. Oct. 2, 2008) (denying conditional certification under “modest factual showing” standard where plaintiffs’ three affidavits were general, vague, conclusory, and speculative about alleged time shaving, thus failing to establish nexus between their circumstances and putative class).</w:t>
      </w:r>
    </w:p>
    <w:p w14:paraId="72BB51C8" w14:textId="76E101B7" w:rsidR="00721CCF" w:rsidRPr="00AE57A6" w:rsidRDefault="00F42107">
      <w:pPr>
        <w:pStyle w:val="14Footnote"/>
      </w:pPr>
      <w:r>
        <w:rPr>
          <w:i/>
          <w:iCs/>
        </w:rPr>
        <w:t xml:space="preserve">Fourth Circuit: </w:t>
      </w:r>
      <w:r w:rsidRPr="00AE57A6">
        <w:t xml:space="preserve">Hughes v. NVR, Inc., </w:t>
      </w:r>
      <w:r w:rsidR="00C47855" w:rsidRPr="00C47855">
        <w:t>2022 BL 351411</w:t>
      </w:r>
      <w:r w:rsidR="00C47855">
        <w:t xml:space="preserve">, </w:t>
      </w:r>
      <w:r w:rsidRPr="00AE57A6">
        <w:t>2022 WL 4856197, at *6 (E.D. Va. Sept. 30, 2022)</w:t>
      </w:r>
      <w:r>
        <w:t xml:space="preserve"> (denying conditional certification where plaintiffs failed to show defendant </w:t>
      </w:r>
      <w:r w:rsidRPr="00AE57A6">
        <w:t>consistent</w:t>
      </w:r>
      <w:r>
        <w:t xml:space="preserve">ly applied an unwritten policy of requiring off the clock work). </w:t>
      </w:r>
    </w:p>
    <w:p w14:paraId="6C546A7B" w14:textId="77777777" w:rsidR="00721CCF" w:rsidRPr="00AD2F44" w:rsidRDefault="00F42107">
      <w:pPr>
        <w:pStyle w:val="14Footnote"/>
      </w:pPr>
      <w:r w:rsidRPr="00AD2F44">
        <w:rPr>
          <w:i/>
          <w:iCs/>
        </w:rPr>
        <w:t>Ninth Circuit:</w:t>
      </w:r>
      <w:r w:rsidRPr="00AD2F44">
        <w:t xml:space="preserve"> Velasquez v. HSBC Fin. Corp., 266 F.R.D. 424 (N.D. Cal. 2010) (denying conditional certification of off-the-clock claims for 10,000 employees, reasoning that evidence from 11 plaintiffs showed at most individual violations of FLSA, but did not suggest a companywide policy, given that testimony showed no more than one dozen instances of off-the-clock work, and sometimes for purposes of achieving better bonuses rather than due to strict sales quotas; management bonus incentives were too attenuated to control of overtime to suggest policy of making employees work off the clock driven by management bonus achievement).</w:t>
      </w:r>
    </w:p>
    <w:p w14:paraId="7D85EE69" w14:textId="77777777" w:rsidR="00721CCF" w:rsidRPr="00AD2F44" w:rsidRDefault="00F42107">
      <w:pPr>
        <w:pStyle w:val="14Footnote"/>
      </w:pPr>
      <w:r w:rsidRPr="00AD2F44">
        <w:rPr>
          <w:i/>
          <w:iCs/>
        </w:rPr>
        <w:t xml:space="preserve">Tenth Circuit: </w:t>
      </w:r>
      <w:r w:rsidRPr="00AD2F44">
        <w:t>Avendano v. Averus, Inc., 2015 WL 1529354 (D. Colo. Mar. 31, 2015) (companywide certification denied where want ads from other locations demonstrated similar duties but not whether individuals worked more than 40 hours or whether company had practice beyond Denver location to not pay for overtime work).</w:t>
      </w:r>
    </w:p>
    <w:p w14:paraId="16182A8F" w14:textId="5F3CC11D" w:rsidR="00721CCF" w:rsidRPr="00AD2F44" w:rsidRDefault="00F42107">
      <w:pPr>
        <w:pStyle w:val="14Footnote"/>
      </w:pPr>
      <w:r w:rsidRPr="00AD2F44">
        <w:rPr>
          <w:i/>
          <w:iCs/>
        </w:rPr>
        <w:t xml:space="preserve">Eleventh Circuit: </w:t>
      </w:r>
      <w:r w:rsidRPr="00AD2F44">
        <w:t>Thedford v. Drive In of Evansville, Inc., 2014 WL 5520954 (N.D. Ala. Oct. 31, 2014) (denying conditional certification under heightened standard where plaintiffs failed to identify specific instances of off-the-clock work and where declarations from other employees showed that they were properly compensated).</w:t>
      </w:r>
    </w:p>
  </w:footnote>
  <w:footnote w:id="175">
    <w:p w14:paraId="38255F88" w14:textId="77777777" w:rsidR="00721CCF" w:rsidRPr="00AD2F44" w:rsidRDefault="00F42107">
      <w:pPr>
        <w:pStyle w:val="14Footnote"/>
      </w:pPr>
      <w:r w:rsidRPr="00AD2F44">
        <w:rPr>
          <w:vertAlign w:val="superscript"/>
        </w:rPr>
        <w:footnoteRef/>
      </w:r>
      <w:r w:rsidRPr="00AD2F44">
        <w:t xml:space="preserve">374 F. Supp. 2d 196 (D.D.C. 2005). </w:t>
      </w:r>
    </w:p>
  </w:footnote>
  <w:footnote w:id="176">
    <w:p w14:paraId="0CCEA4FF" w14:textId="77777777" w:rsidR="00721CCF" w:rsidRPr="00AD2F44" w:rsidRDefault="00F42107">
      <w:pPr>
        <w:pStyle w:val="14Footnote"/>
      </w:pPr>
      <w:r w:rsidRPr="00AD2F44">
        <w:rPr>
          <w:vertAlign w:val="superscript"/>
        </w:rPr>
        <w:footnoteRef/>
      </w:r>
      <w:r w:rsidRPr="00AD2F44">
        <w:rPr>
          <w:i/>
          <w:iCs/>
        </w:rPr>
        <w:t xml:space="preserve">Id. </w:t>
      </w:r>
      <w:r w:rsidRPr="00AD2F44">
        <w:t xml:space="preserve">at 201 (plaintiffs claimed that they were required to work overtime hours for which they were not compensated); </w:t>
      </w:r>
      <w:r w:rsidRPr="00AD2F44">
        <w:rPr>
          <w:i/>
          <w:iCs/>
        </w:rPr>
        <w:t>see also</w:t>
      </w:r>
      <w:r w:rsidRPr="00AD2F44">
        <w:t xml:space="preserve"> Dietrich v. Liberty Square, LLC, 230 F.R.D. 574 (N.D. Iowa 2005) (indicating defendant raised valid concerns that the named plaintiffs were not similarly situated and that individual assessment was required because the nature of employees’ job duties was at issue, and the existence of disparate individual defense, but determining the consideration of those issues was more appropriate for the decertification stage).</w:t>
      </w:r>
    </w:p>
  </w:footnote>
  <w:footnote w:id="177">
    <w:p w14:paraId="6E9C9424" w14:textId="77777777" w:rsidR="00721CCF" w:rsidRPr="00AD2F44" w:rsidRDefault="00F42107">
      <w:pPr>
        <w:pStyle w:val="14Footnote"/>
      </w:pPr>
      <w:r w:rsidRPr="00AD2F44">
        <w:rPr>
          <w:vertAlign w:val="superscript"/>
        </w:rPr>
        <w:footnoteRef/>
      </w:r>
      <w:r w:rsidRPr="00AD2F44">
        <w:rPr>
          <w:i/>
        </w:rPr>
        <w:t xml:space="preserve">See, e.g., </w:t>
      </w:r>
    </w:p>
    <w:p w14:paraId="07EC0A30" w14:textId="77777777" w:rsidR="00721CCF" w:rsidRPr="00AD2F44" w:rsidRDefault="00F42107">
      <w:pPr>
        <w:pStyle w:val="14Footnote"/>
      </w:pPr>
      <w:r w:rsidRPr="00AD2F44">
        <w:rPr>
          <w:i/>
          <w:iCs/>
        </w:rPr>
        <w:t>Second Circuit:</w:t>
      </w:r>
      <w:r w:rsidRPr="00AD2F44">
        <w:t xml:space="preserve"> Brickey v. Dolgencorp, Inc., 272 F.R.D. 344, 347–48 (W.D.N.Y. 2011) (rejecting conditional certification because plaintiffs did not make modest factual showing of unlawful policy or practice; refusing to hold that “facially lawful policies” that encourage effective employee time management and indirectly encourage minimization of overtime can support conditional certification absent evidence that employer “intended, compelled or condoned unlawful consequences” that flowed directly from policy).</w:t>
      </w:r>
    </w:p>
    <w:p w14:paraId="054F9681" w14:textId="77777777" w:rsidR="00721CCF" w:rsidRPr="00AD2F44" w:rsidRDefault="00F42107">
      <w:pPr>
        <w:pStyle w:val="14Footnote"/>
      </w:pPr>
      <w:r w:rsidRPr="00AD2F44">
        <w:rPr>
          <w:i/>
          <w:iCs/>
        </w:rPr>
        <w:t>Eighth Circuit:</w:t>
      </w:r>
      <w:r w:rsidRPr="00AD2F44">
        <w:t xml:space="preserve"> West v. Border Foods, Inc., 2006 WL 1892527, at *9 (D. Minn. 2006) (denying conditional certification where plaintiffs were responsible for punching themselves in and out, and the company’s official policy required compensation for all working time).</w:t>
      </w:r>
    </w:p>
    <w:p w14:paraId="594D75C7" w14:textId="07EC9C4E" w:rsidR="00721CCF" w:rsidRPr="00AD2F44" w:rsidRDefault="00F42107">
      <w:pPr>
        <w:pStyle w:val="14Footnote"/>
      </w:pPr>
      <w:r w:rsidRPr="00AD2F44">
        <w:rPr>
          <w:i/>
          <w:iCs/>
        </w:rPr>
        <w:t>Ninth Circuit:</w:t>
      </w:r>
      <w:r w:rsidRPr="00AD2F44">
        <w:t xml:space="preserve"> Castle v. Wells Fargo Fin., Inc., 2008 WL 495705 (N.D. Cal. Feb. 20, 2008) (existence of official written policy supports denial of motion for conditional certification).</w:t>
      </w:r>
    </w:p>
  </w:footnote>
  <w:footnote w:id="178">
    <w:p w14:paraId="5692DF9E" w14:textId="77777777" w:rsidR="00AE59F9" w:rsidRDefault="00F42107">
      <w:pPr>
        <w:pStyle w:val="14Footnote"/>
      </w:pPr>
      <w:r w:rsidRPr="00AD2F44">
        <w:rPr>
          <w:vertAlign w:val="superscript"/>
        </w:rPr>
        <w:footnoteRef/>
      </w:r>
      <w:r w:rsidRPr="00AD2F44">
        <w:rPr>
          <w:i/>
          <w:iCs/>
        </w:rPr>
        <w:t>See, e.g.,</w:t>
      </w:r>
      <w:r w:rsidRPr="00AD2F44">
        <w:t xml:space="preserve"> </w:t>
      </w:r>
    </w:p>
    <w:p w14:paraId="75636F2F" w14:textId="77777777" w:rsidR="00AE59F9" w:rsidRDefault="00F42107">
      <w:pPr>
        <w:pStyle w:val="14Footnote"/>
      </w:pPr>
      <w:r>
        <w:rPr>
          <w:i/>
          <w:iCs/>
        </w:rPr>
        <w:t xml:space="preserve">Fourth Circuit: </w:t>
      </w:r>
      <w:r w:rsidR="00721CCF" w:rsidRPr="00AD2F44">
        <w:rPr>
          <w:i/>
          <w:iCs/>
        </w:rPr>
        <w:t>Reynolds</w:t>
      </w:r>
      <w:r w:rsidR="00721CCF" w:rsidRPr="00AD2F44">
        <w:t xml:space="preserve">, 2015 WL 8042021, at *4–5 (granting conditional certification in off-the-clock case despite existence of policy prohibiting off-the-clock work, given declaration evidence of practice of violating that policy); </w:t>
      </w:r>
    </w:p>
    <w:p w14:paraId="416516AD" w14:textId="4B47F492" w:rsidR="00AE59F9" w:rsidRDefault="00F42107">
      <w:pPr>
        <w:pStyle w:val="14Footnote"/>
        <w:rPr>
          <w:b/>
          <w:bCs/>
        </w:rPr>
      </w:pPr>
      <w:r>
        <w:rPr>
          <w:i/>
          <w:iCs/>
        </w:rPr>
        <w:t xml:space="preserve">Fifth Circuit: </w:t>
      </w:r>
      <w:r w:rsidR="00721CCF" w:rsidRPr="00AD2F44">
        <w:t xml:space="preserve">Griffith v. Wells Fargo Bank, N.A., 2012 WL 3985093, at *2 (S.D. Tex. Sept. 12, 2012) (denying certification because putative class members were not similarly situated where defendant’s timekeeping software did not prohibit loan processors from recording all hours worked and bank policy required employees to record all hours worked);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776532EA" w14:textId="77777777" w:rsidR="00AE59F9" w:rsidRDefault="00F42107">
      <w:pPr>
        <w:pStyle w:val="14Footnote"/>
      </w:pPr>
      <w:r>
        <w:rPr>
          <w:i/>
          <w:iCs/>
        </w:rPr>
        <w:t xml:space="preserve">Eighth Circuit: </w:t>
      </w:r>
      <w:r w:rsidR="00721CCF" w:rsidRPr="00AD2F44">
        <w:t xml:space="preserve">Thompson v. Speedway </w:t>
      </w:r>
      <w:r w:rsidR="00721CCF" w:rsidRPr="00AD2F44">
        <w:t xml:space="preserve">Superamerica LLC, 2009 WL 130069, at *2 (D. Minn. Jan. 20, 2009) (denying conditional certification of claim for failure to pay for time spent on certain tasks where corporate policy required payment for all time worked and evidence of violations for 8,000 putative class members consisted of only “handful” of incidents). </w:t>
      </w:r>
    </w:p>
    <w:p w14:paraId="017BDF36" w14:textId="77777777" w:rsidR="00AE59F9" w:rsidRDefault="00F42107">
      <w:pPr>
        <w:pStyle w:val="14Footnote"/>
      </w:pPr>
      <w:r w:rsidRPr="002E55FE">
        <w:rPr>
          <w:i/>
          <w:iCs/>
        </w:rPr>
        <w:t>But see</w:t>
      </w:r>
      <w:r w:rsidRPr="00AD2F44">
        <w:t xml:space="preserve"> </w:t>
      </w:r>
    </w:p>
    <w:p w14:paraId="0BAC45DD" w14:textId="1338BB75" w:rsidR="00721CCF" w:rsidRPr="00AD2F44" w:rsidRDefault="00F42107">
      <w:pPr>
        <w:pStyle w:val="14Footnote"/>
      </w:pPr>
      <w:r>
        <w:rPr>
          <w:i/>
          <w:iCs/>
        </w:rPr>
        <w:t xml:space="preserve">Third Circuit: </w:t>
      </w:r>
      <w:r w:rsidRPr="00AD2F44">
        <w:t xml:space="preserve">Piersall-Dineen v. Freedom Mortg. Corp., 27 F. Supp. 3d 567 (D.N.J. 2014) (finding consideration of policy requiring accurate reporting of time was premature at initial conditional certification stage); </w:t>
      </w:r>
      <w:r w:rsidRPr="00AD2F44">
        <w:rPr>
          <w:i/>
          <w:iCs/>
        </w:rPr>
        <w:t>Bitner</w:t>
      </w:r>
      <w:r w:rsidRPr="00AD2F44">
        <w:t>, 301 F.R.D. at 360 (finding that rules against unreported overtime are not defense to certification and, where managers allegedly require unreported overtime, such policies are policies “in name only”); Pereira v. Foot Locker, Inc., 261 F.R.D. 60, 67 (E.D. Pa. 2009) (discounting defendant’s policy prohibiting off-the-clock work at initial notice stage, and conditionally certifying nationwide collective action).</w:t>
      </w:r>
    </w:p>
  </w:footnote>
  <w:footnote w:id="179">
    <w:p w14:paraId="6B00D858" w14:textId="77777777" w:rsidR="00721CCF" w:rsidRPr="00AD2F44" w:rsidRDefault="00F42107">
      <w:pPr>
        <w:pStyle w:val="14Footnote"/>
      </w:pPr>
      <w:r w:rsidRPr="00AD2F44">
        <w:rPr>
          <w:vertAlign w:val="superscript"/>
        </w:rPr>
        <w:footnoteRef/>
      </w:r>
      <w:r w:rsidRPr="00AD2F44">
        <w:t>146 F. Supp. 3d 552 (S.D.N.Y. 2015).</w:t>
      </w:r>
    </w:p>
  </w:footnote>
  <w:footnote w:id="180">
    <w:p w14:paraId="1A78967E" w14:textId="77777777" w:rsidR="00721CCF" w:rsidRPr="00AD2F44" w:rsidRDefault="00F42107">
      <w:pPr>
        <w:pStyle w:val="14Footnote"/>
      </w:pPr>
      <w:r w:rsidRPr="00AD2F44">
        <w:rPr>
          <w:vertAlign w:val="superscript"/>
        </w:rPr>
        <w:footnoteRef/>
      </w:r>
      <w:r w:rsidRPr="00AD2F44">
        <w:rPr>
          <w:i/>
          <w:iCs/>
        </w:rPr>
        <w:t>Id.</w:t>
      </w:r>
      <w:r w:rsidRPr="00AD2F44">
        <w:t xml:space="preserve"> at 562–63.</w:t>
      </w:r>
    </w:p>
  </w:footnote>
  <w:footnote w:id="181">
    <w:p w14:paraId="1F321041" w14:textId="77777777" w:rsidR="00721CCF" w:rsidRPr="00AD2F44" w:rsidRDefault="00F42107">
      <w:pPr>
        <w:pStyle w:val="14Footnote"/>
      </w:pPr>
      <w:r w:rsidRPr="00AD2F44">
        <w:rPr>
          <w:vertAlign w:val="superscript"/>
        </w:rPr>
        <w:footnoteRef/>
      </w:r>
      <w:r w:rsidRPr="00AD2F44">
        <w:rPr>
          <w:i/>
          <w:iCs/>
        </w:rPr>
        <w:t>Id</w:t>
      </w:r>
      <w:r w:rsidRPr="00AD2F44">
        <w:t xml:space="preserve">. </w:t>
      </w:r>
      <w:r w:rsidRPr="00AD2F44">
        <w:rPr>
          <w:i/>
          <w:iCs/>
        </w:rPr>
        <w:t>See also</w:t>
      </w:r>
      <w:r w:rsidRPr="00AD2F44">
        <w:t xml:space="preserve"> Fasanelli v. Heartland Brewery, Inc., 516 F. Supp. 2d 317, 321 (S.D.N.Y. 2007) (granting conditional certification where restaurant workers had alleged various wage hour violations, all of which fell into a broad practice of failing to pay employees for all of their time worked); Harper v. Lovett’s Buffet, Inc., 185 F.R.D. 358 (M.D. Ala. 1999) (limiting notice to a single location, but permitting conditional certification where plaintiffs alleged defendant violated various aspects of the wage and hour laws as part of a policy and procedure designed to minimize labor costs); </w:t>
      </w:r>
      <w:r w:rsidRPr="00AD2F44">
        <w:t>Realite v. Ark Rests. Corp., 7 F. Supp. 2d 303, 304, 307 (S.D.N.Y. 1998) (permitting notice to potential class members from 15 restaurants owned and/or managed by defendant when plaintiffs held a variety of positions and alleged varying practices that demonstrated a “basic scheme—to avoid paying overtime and minimum wages—was undertaken” at defendant’s restaurants).</w:t>
      </w:r>
    </w:p>
  </w:footnote>
  <w:footnote w:id="182">
    <w:p w14:paraId="5EA65518" w14:textId="77777777" w:rsidR="00721CCF" w:rsidRPr="00AD2F44" w:rsidRDefault="00F42107">
      <w:pPr>
        <w:pStyle w:val="14Footnote"/>
      </w:pPr>
      <w:r w:rsidRPr="00AD2F44">
        <w:rPr>
          <w:vertAlign w:val="superscript"/>
        </w:rPr>
        <w:footnoteRef/>
      </w:r>
      <w:r w:rsidRPr="00AD2F44">
        <w:t>2006 WL 1892527 (D. Minn. July 10, 2006).</w:t>
      </w:r>
    </w:p>
  </w:footnote>
  <w:footnote w:id="183">
    <w:p w14:paraId="2E1B5E80" w14:textId="77777777" w:rsidR="00721CCF" w:rsidRPr="00AD2F44" w:rsidRDefault="00F42107">
      <w:pPr>
        <w:pStyle w:val="14Footnote"/>
      </w:pPr>
      <w:r w:rsidRPr="00AD2F44">
        <w:rPr>
          <w:vertAlign w:val="superscript"/>
        </w:rPr>
        <w:footnoteRef/>
      </w:r>
      <w:r w:rsidRPr="00AD2F44">
        <w:rPr>
          <w:i/>
          <w:iCs/>
        </w:rPr>
        <w:t>Id</w:t>
      </w:r>
      <w:r w:rsidRPr="00AD2F44">
        <w:t xml:space="preserve">.; </w:t>
      </w:r>
      <w:r w:rsidRPr="00AD2F44">
        <w:rPr>
          <w:i/>
          <w:iCs/>
        </w:rPr>
        <w:t>see also</w:t>
      </w:r>
      <w:r w:rsidRPr="00AD2F44">
        <w:t xml:space="preserve"> Castle v. Wells Fargo Fin., Inc., 2008 WL 495705 (N.D. Cal. Feb. 20, 2008) (denying conditional certification where declarants described different company policies or practices that caused the alleged off-the-clock work).</w:t>
      </w:r>
    </w:p>
  </w:footnote>
  <w:footnote w:id="184">
    <w:p w14:paraId="6B0513BD" w14:textId="77777777" w:rsidR="00721CCF" w:rsidRPr="00AD2F44" w:rsidRDefault="00F42107">
      <w:pPr>
        <w:pStyle w:val="14Footnote"/>
      </w:pPr>
      <w:r w:rsidRPr="00AD2F44">
        <w:rPr>
          <w:vertAlign w:val="superscript"/>
        </w:rPr>
        <w:footnoteRef/>
      </w:r>
      <w:r w:rsidRPr="00AD2F44">
        <w:rPr>
          <w:i/>
        </w:rPr>
        <w:t>See, e.g.,</w:t>
      </w:r>
    </w:p>
    <w:p w14:paraId="3CD31F30" w14:textId="77777777" w:rsidR="00721CCF" w:rsidRPr="00AD2F44" w:rsidRDefault="00F42107">
      <w:pPr>
        <w:pStyle w:val="14Footnote"/>
      </w:pPr>
      <w:r w:rsidRPr="00AD2F44">
        <w:rPr>
          <w:i/>
          <w:iCs/>
        </w:rPr>
        <w:t>Second Circuit:</w:t>
      </w:r>
      <w:r w:rsidRPr="00AD2F44">
        <w:t xml:space="preserve"> Tutein v. Esteemed Patrol, Inc., 2013 WL 8115441 (E.D.N.Y. June 10, 2013) (conditionally certifying class challenging unpaid pre-shift meetings); Hens v. </w:t>
      </w:r>
      <w:r w:rsidRPr="00AD2F44">
        <w:t>Clientlogic Operating Corp., 2006 WL 2795620, at *4–5 (W.D.N.Y. Sept. 26, 2006).</w:t>
      </w:r>
    </w:p>
    <w:p w14:paraId="0A605313" w14:textId="77777777" w:rsidR="00721CCF" w:rsidRPr="00AD2F44" w:rsidRDefault="00F42107">
      <w:pPr>
        <w:pStyle w:val="14Footnote"/>
      </w:pPr>
      <w:r w:rsidRPr="00AD2F44">
        <w:rPr>
          <w:i/>
          <w:iCs/>
        </w:rPr>
        <w:t xml:space="preserve">Third Circuit: </w:t>
      </w:r>
      <w:r w:rsidRPr="00AD2F44">
        <w:t>Wright v. Lehigh Valley Hosp. &amp; Health Network, 2011 WL 221770, at *5 (E.D. Pa. Jan. 20, 2011) (conditionally certifying class of nurses who had to attend pre- and post-shift meetings).</w:t>
      </w:r>
    </w:p>
    <w:p w14:paraId="2C5FC331" w14:textId="77777777" w:rsidR="00721CCF" w:rsidRPr="00AD2F44" w:rsidRDefault="00F42107">
      <w:pPr>
        <w:pStyle w:val="14Footnote"/>
      </w:pPr>
      <w:r w:rsidRPr="00AD2F44">
        <w:rPr>
          <w:i/>
          <w:iCs/>
        </w:rPr>
        <w:t>Fourth Circuit:</w:t>
      </w:r>
      <w:r w:rsidRPr="00AD2F44">
        <w:t xml:space="preserve"> Byard v. Verizon W. Va., Inc., 287 F.R.D. 365, 367–70 (N.D. W. Va. 2012) (granting conditional certification of employees seeking overtime compensation for time spent logging on and off the computer system, opening software applications, reading daily company emails and Internet messages, setting up “call backs,” and performing other follow-up work for customers); Horne v. Smithfield Packing Co., 2011 WL 4443034, at *1 (E.D.N.C. Sept. 23, 2011) (certifying a class of employees who were not compensated for all of their time spent engaged in required pre-shift and post-shift activities, as well as required activities during unpaid meal breaks).</w:t>
      </w:r>
    </w:p>
    <w:p w14:paraId="70CFE69F" w14:textId="27E094B8" w:rsidR="00721CCF" w:rsidRPr="00AD2F44" w:rsidRDefault="00F42107">
      <w:pPr>
        <w:pStyle w:val="14Footnote"/>
      </w:pPr>
      <w:r w:rsidRPr="00AD2F44">
        <w:rPr>
          <w:i/>
          <w:iCs/>
        </w:rPr>
        <w:t>Fifth Circuit:</w:t>
      </w:r>
      <w:r w:rsidRPr="00AD2F44">
        <w:t xml:space="preserve"> Jones v. Xerox Commercial Sols., LLC, 2013 WL 5945652 (S.D. Tex. Nov. 6, 2013) (call center employees won conditional certification despite the fact that defendant presented uncontroverted evidence that different timekeeping systems were employed at different locations; that local workforce employees decided when to log plaintiffs out of the timekeeping system; and that plaintiffs were required to report, and supervisors were required to correct, any time-keeping errors); Mims v. Carrier Corp., 2008 WL 906335, at *2, 4–5 (E.D. Tex. Mar. 31, 2008); Nelson v. American Standard, Inc., 2008 WL 906324, at *1, 4 (E.D. Tex. Mar. 31, 2008); Lopez v. Sam Kane Beef Processors, Inc., 2008 WL 565115, at *1–2 (S.D. Tex. Feb. 29, 2008); King v. Koch Foods LLC, 2007 WL 1098488 (S.D. Miss. Apr. 10, 2007); Allen v. McWane, Inc.¸ 2006 WL 3246531 (E.D. Tex. Nov. 7, 2006).</w:t>
      </w:r>
      <w:r w:rsidR="00EB0414" w:rsidRPr="00EB0414">
        <w:rPr>
          <w:b/>
        </w:rPr>
        <w:t xml:space="preserve"> </w:t>
      </w:r>
      <w:r w:rsidR="00EB0414" w:rsidRPr="00AD2F44">
        <w:rPr>
          <w:b/>
        </w:rPr>
        <w:t xml:space="preserve">[Caution: </w:t>
      </w:r>
      <w:r w:rsidR="00EB0414" w:rsidRPr="00AD2F44">
        <w:t xml:space="preserve">The Fifth Circuit later rejected the two-stage process, in </w:t>
      </w:r>
      <w:r w:rsidR="00EB0414" w:rsidRPr="00AD2F44">
        <w:rPr>
          <w:i/>
        </w:rPr>
        <w:t xml:space="preserve">Swales v. KLLM Transport Services, LLC, </w:t>
      </w:r>
      <w:r w:rsidR="00EB0414" w:rsidRPr="00AD2F44">
        <w:t xml:space="preserve">985 F.3d 430 (5th Cir. 2021), in favor of a requirement to “rigorously scrutinize” whether potential opt-ins are similarly situated “from the outset of the case.” </w:t>
      </w:r>
      <w:r w:rsidR="00EB0414" w:rsidRPr="00AD2F44">
        <w:rPr>
          <w:i/>
        </w:rPr>
        <w:t>Id.</w:t>
      </w:r>
      <w:r w:rsidR="00EB0414" w:rsidRPr="00AD2F44">
        <w:t xml:space="preserve"> at 434.</w:t>
      </w:r>
      <w:r w:rsidR="00EB0414" w:rsidRPr="00AD2F44">
        <w:rPr>
          <w:b/>
          <w:bCs/>
        </w:rPr>
        <w:t>]</w:t>
      </w:r>
    </w:p>
    <w:p w14:paraId="72CF47F6" w14:textId="77777777" w:rsidR="00721CCF" w:rsidRPr="00AD2F44" w:rsidRDefault="00F42107">
      <w:pPr>
        <w:pStyle w:val="14Footnote"/>
      </w:pPr>
      <w:r w:rsidRPr="00AD2F44">
        <w:rPr>
          <w:i/>
          <w:iCs/>
        </w:rPr>
        <w:t>Sixth Circuit:</w:t>
      </w:r>
      <w:r w:rsidRPr="00AD2F44">
        <w:t xml:space="preserve"> Ware v. T-Mobile USA, 828 F. Supp. 2d 948, 953–54 (M.D. Tenn. 2011) (granting conditional certification at two call centers based on evidence that employer did not pay employees for pre-shift work and work performed during meal breaks); Garrett v. Sitel Operating Corp., 2011 WL 5827240, at *5 (W.D. Tenn. Nov. 18, 2011) (granting conditional certification to call center employees where evidence showed “unwritten policy” that employees had to boot up and shut down computers and perform other tasks before and after clocking in and out); Heaps v. Safelite Sols., LLC, 2011 WL 1325207, at *5 (S.D. Ohio Apr. 5, 2011); White v. MPW Indus. Serv., Inc., 236 F.R.D. 363, 365–68, 370–74 (E.D. Tenn. 2006).</w:t>
      </w:r>
    </w:p>
    <w:p w14:paraId="15089F48" w14:textId="77777777" w:rsidR="00721CCF" w:rsidRPr="00AD2F44" w:rsidRDefault="00F42107">
      <w:pPr>
        <w:pStyle w:val="14Footnote"/>
      </w:pPr>
      <w:r w:rsidRPr="00AD2F44">
        <w:rPr>
          <w:i/>
          <w:iCs/>
        </w:rPr>
        <w:t>Seventh Circuit:</w:t>
      </w:r>
      <w:r w:rsidRPr="00AD2F44">
        <w:t xml:space="preserve"> Freeman v. Total Sec. Mgmt., 2013 WL 4049542 (W.D. Wis. Aug. 9, 2013); Sjoblom v. Charter Commc’ns, LLC, 571 F. Supp. 2d 961, 964–66, 971–72 (W.D. Wis. 2008); Musch v. Domtar Indus., Inc., 252 F.R.D. 456, 458 (W.D. Wis. 2008); Russell v. Illinois Bell Tel. Co., 2008 WL 4191763, at *2–5 (N.D. Ill. Sept. 15, 2008).</w:t>
      </w:r>
    </w:p>
    <w:p w14:paraId="06D34AD3" w14:textId="77777777" w:rsidR="00721CCF" w:rsidRPr="00AD2F44" w:rsidRDefault="00F42107">
      <w:pPr>
        <w:pStyle w:val="14Footnote"/>
      </w:pPr>
      <w:r w:rsidRPr="00AD2F44">
        <w:rPr>
          <w:i/>
          <w:iCs/>
        </w:rPr>
        <w:t>Eighth Circuit:</w:t>
      </w:r>
      <w:r w:rsidRPr="00AD2F44">
        <w:t xml:space="preserve"> Bilskey v. Bluff City Ice, Inc., 2014 WL 320568, at *1–3 (E.D. Mo. Jan. 29, 2014) (ice cream delivery drivers granted conditional certification based on allegations of pre-shift “prep work,” such as making sure their trucks were functional and ensuring their inventory was accurate, and post-shift “check-out work,” such as filling out paperwork); Simmons v. Enterprise Holdings, Inc., 2011 U.S. Dist. LEXIS 23984 (E.D. Mo. Mar. 9, 2011) (granting conditional certification for call center representatives based on allegations that they were required to perform unpaid pre-shift overtime work); Lopez v. Tyson Foods, 2008 WL 3485289, at *9–10 (D. Neb. Aug. 7, 2008); Brennan v. Qwest Commc’ns Int’l, 2008 WL 819773, at *3–4 (D. Minn. Mar. 25, 2008); </w:t>
      </w:r>
      <w:r w:rsidRPr="00AD2F44">
        <w:rPr>
          <w:i/>
          <w:iCs/>
        </w:rPr>
        <w:t>In re</w:t>
      </w:r>
      <w:r w:rsidRPr="00AD2F44">
        <w:t xml:space="preserve"> Pilgrim’s Pride Fair Labor Standards Act Litig., 2008 WL 4877239 (W.D. Ark. Mar. 13, 2008); Burch v. Qwest Commc’ns Int’l, Inc., 500 F. Supp. 2d 1181 (D. Minn. 2007); Dege v. Hutchinson Tech., Inc., 2007 WL 586787 (D. Minn. Feb. 22, 2007); Frank v. Gold ‘n Plump Poultry, Inc., 2005 WL 2240336, at *3 (D. Minn. Sept. 14, 2005).</w:t>
      </w:r>
    </w:p>
    <w:p w14:paraId="72EA46EF" w14:textId="77777777" w:rsidR="00721CCF" w:rsidRPr="00AD2F44" w:rsidRDefault="00F42107">
      <w:pPr>
        <w:pStyle w:val="14Footnote"/>
      </w:pPr>
      <w:r w:rsidRPr="00AD2F44">
        <w:rPr>
          <w:i/>
          <w:iCs/>
        </w:rPr>
        <w:t>Ninth Circuit:</w:t>
      </w:r>
      <w:r w:rsidRPr="00AD2F44">
        <w:t xml:space="preserve"> Escobar v. Whiteside Constr. Corp., 2008 WL 3915715, at *4–5 (N.D. Cal. Aug. 21, 2008); Centurioni v. City &amp; Cnty. of S.F., 2008 WL 295096, at *2 (N.D. Cal. Feb. 1, 2008); Wren v. RGIS Inventory Specialists, 2007 WL 4532218, at *6 (N.D. Cal. Dec. 19, 2007).</w:t>
      </w:r>
    </w:p>
    <w:p w14:paraId="20B02734" w14:textId="77777777" w:rsidR="00721CCF" w:rsidRPr="00AD2F44" w:rsidRDefault="00F42107">
      <w:pPr>
        <w:pStyle w:val="14Footnote"/>
      </w:pPr>
      <w:r w:rsidRPr="00AD2F44">
        <w:rPr>
          <w:i/>
          <w:iCs/>
        </w:rPr>
        <w:t>Tenth Circuit:</w:t>
      </w:r>
      <w:r w:rsidRPr="00AD2F44">
        <w:t xml:space="preserve"> Cannon v. Time Warner NY Cable, LLC, 2014 WL 4401313 (D. Colo. Sept. 5, 2014) (granting conditional certification for time spent booting up and shutting down computers at single call center); Miller v. Startek USA, Inc., 2011 WL 1883012, at *2 (D. Colo. May 17, 2011) (granting conditional certification of companywide class for time spent booting up and shutting down computers at call centers); Gipson v. Southwestern Bell Tel. Co., 2009 WL 1044941, at *3 (D. Kan. Apr. 20, 2009) (granting conditional certification at facilities in five-state region, not just three facilities from which declarations in support of plaintiffs were submitted, because evidence suggested uniform policy of not paying overtime for pre- and post-shift work).</w:t>
      </w:r>
    </w:p>
    <w:p w14:paraId="20DCAA6B" w14:textId="7CAA1596" w:rsidR="00721CCF" w:rsidRPr="00AD2F44" w:rsidRDefault="00F42107">
      <w:pPr>
        <w:pStyle w:val="14Footnote"/>
      </w:pPr>
      <w:r w:rsidRPr="00AD2F44">
        <w:rPr>
          <w:i/>
          <w:iCs/>
        </w:rPr>
        <w:t>Eleventh Circuit:</w:t>
      </w:r>
      <w:r w:rsidRPr="00AD2F44">
        <w:t xml:space="preserve"> Robinson v. Ryla Teleservs., Inc., 2011 WL 6667338, at *3 (S.D. Ala. Dec. 21, 2011) (granting conditional certification to call center employees based on evidence that they performed essentially identical duties and were allegedly required to perform work before their shifts); Daniel v. Quail Int’l, Inc., 2008 WL 3538564, at *2–3 (M.D. Ga. Aug. 11, 2008).</w:t>
      </w:r>
    </w:p>
  </w:footnote>
  <w:footnote w:id="185">
    <w:p w14:paraId="4C828B02" w14:textId="77777777" w:rsidR="00721CCF" w:rsidRPr="00AD2F44" w:rsidRDefault="00F42107">
      <w:pPr>
        <w:pStyle w:val="14Footnote"/>
      </w:pPr>
      <w:r w:rsidRPr="00AD2F44">
        <w:rPr>
          <w:vertAlign w:val="superscript"/>
        </w:rPr>
        <w:footnoteRef/>
      </w:r>
      <w:r w:rsidRPr="00AD2F44">
        <w:rPr>
          <w:i/>
          <w:iCs/>
        </w:rPr>
        <w:t>See, e.g.,</w:t>
      </w:r>
      <w:r w:rsidRPr="00AD2F44">
        <w:t xml:space="preserve"> Bowe v. </w:t>
      </w:r>
      <w:r w:rsidRPr="00AD2F44">
        <w:t>Enviropro Basement Sys., 2013 WL 6280873 (D.N.J. Dec. 4, 2013).</w:t>
      </w:r>
    </w:p>
  </w:footnote>
  <w:footnote w:id="186">
    <w:p w14:paraId="471BB826" w14:textId="77777777" w:rsidR="00721CCF" w:rsidRPr="00AD2F44" w:rsidRDefault="00F42107">
      <w:pPr>
        <w:pStyle w:val="14Footnote"/>
      </w:pPr>
      <w:r w:rsidRPr="00AD2F44">
        <w:rPr>
          <w:vertAlign w:val="superscript"/>
        </w:rPr>
        <w:footnoteRef/>
      </w:r>
      <w:r w:rsidRPr="00AD2F44">
        <w:rPr>
          <w:i/>
          <w:iCs/>
        </w:rPr>
        <w:t>See, e.g.,</w:t>
      </w:r>
    </w:p>
    <w:p w14:paraId="0D745D47" w14:textId="77777777" w:rsidR="00721CCF" w:rsidRPr="00AD2F44" w:rsidRDefault="00F42107">
      <w:pPr>
        <w:pStyle w:val="14Footnote"/>
      </w:pPr>
      <w:r w:rsidRPr="00AD2F44">
        <w:rPr>
          <w:i/>
          <w:iCs/>
        </w:rPr>
        <w:t>First Circuit:</w:t>
      </w:r>
      <w:r w:rsidRPr="00AD2F44">
        <w:t xml:space="preserve"> Trezvant v. Fidelity Emp. Servs. Corp., 434 F. Supp. 2d 40, 51 (D. Mass. 2006) (concluding that “[t]he Employees failed to show that Fidelity’s policies … are company-wide. … [where] the affidavits were all from employees that worked in the company’s New Hampshire office [and n]one of the Employees submitting affidavits purported to know the policies of other branches of the company”).</w:t>
      </w:r>
    </w:p>
    <w:p w14:paraId="442B2D9B" w14:textId="77777777" w:rsidR="00721CCF" w:rsidRPr="00AD2F44" w:rsidRDefault="00F42107">
      <w:pPr>
        <w:pStyle w:val="14Footnote"/>
      </w:pPr>
      <w:r w:rsidRPr="00AD2F44">
        <w:rPr>
          <w:i/>
          <w:iCs/>
        </w:rPr>
        <w:t>Second Circuit:</w:t>
      </w:r>
      <w:r w:rsidRPr="00AD2F44">
        <w:t xml:space="preserve"> Hens v. </w:t>
      </w:r>
      <w:r w:rsidRPr="00AD2F44">
        <w:t>Clientlogic Operating Corp., 2006 WL 2795620, at *4–5 (W.D.N.Y. Sept. 26, 2006) (certifying claims by customer service employees at eight call centers from which plaintiffs submitted declarations for pre- and post-shift log-on/log-off time and work during unpaid break periods but denying conditional certification at remaining nine centers without supporting declarations).</w:t>
      </w:r>
    </w:p>
    <w:p w14:paraId="478171B8" w14:textId="6C12CD93" w:rsidR="00721CCF" w:rsidRPr="00AD2F44" w:rsidRDefault="00F42107">
      <w:pPr>
        <w:pStyle w:val="14Footnote"/>
      </w:pPr>
      <w:r w:rsidRPr="00AD2F44">
        <w:rPr>
          <w:i/>
          <w:iCs/>
        </w:rPr>
        <w:t>Fifth Circuit:</w:t>
      </w:r>
      <w:r w:rsidRPr="00AD2F44">
        <w:t xml:space="preserve"> Mims v. Carrier Corp., 2008 WL 906335, at *2, 4–5 (E.D. Tex. Mar. 31, 2008) (granting certification to line employees at five of nine facilities on donning and doffing claims where plaintiffs submitted declarations from those five facilities, but denying certification of remaining facilities).</w:t>
      </w:r>
      <w:r w:rsidR="00A16E12" w:rsidRPr="00A16E12">
        <w:rPr>
          <w:b/>
        </w:rPr>
        <w:t xml:space="preserve"> </w:t>
      </w:r>
      <w:r w:rsidR="00A16E12" w:rsidRPr="00AD2F44">
        <w:rPr>
          <w:b/>
        </w:rPr>
        <w:t xml:space="preserve">[Caution: </w:t>
      </w:r>
      <w:r w:rsidR="00A16E12" w:rsidRPr="00AD2F44">
        <w:t xml:space="preserve">The Fifth Circuit later rejected the two-stage process, in </w:t>
      </w:r>
      <w:r w:rsidR="00A16E12" w:rsidRPr="00AD2F44">
        <w:rPr>
          <w:i/>
        </w:rPr>
        <w:t xml:space="preserve">Swales v. KLLM Transport Services, LLC, </w:t>
      </w:r>
      <w:r w:rsidR="00A16E12" w:rsidRPr="00AD2F44">
        <w:t xml:space="preserve">985 F.3d 430 (5th Cir. 2021), in favor of a requirement to “rigorously scrutinize” whether potential opt-ins are similarly situated “from the outset of the case.” </w:t>
      </w:r>
      <w:r w:rsidR="00A16E12" w:rsidRPr="00AD2F44">
        <w:rPr>
          <w:i/>
        </w:rPr>
        <w:t>Id.</w:t>
      </w:r>
      <w:r w:rsidR="00A16E12" w:rsidRPr="00AD2F44">
        <w:t xml:space="preserve"> at 434.</w:t>
      </w:r>
      <w:r w:rsidR="00A16E12" w:rsidRPr="00AD2F44">
        <w:rPr>
          <w:b/>
          <w:bCs/>
        </w:rPr>
        <w:t>]</w:t>
      </w:r>
    </w:p>
    <w:p w14:paraId="4BF47496" w14:textId="77777777" w:rsidR="00721CCF" w:rsidRPr="00AD2F44" w:rsidRDefault="00F42107">
      <w:pPr>
        <w:pStyle w:val="14Footnote"/>
      </w:pPr>
      <w:r w:rsidRPr="00AD2F44">
        <w:rPr>
          <w:i/>
          <w:iCs/>
        </w:rPr>
        <w:t>Sixth Circuit:</w:t>
      </w:r>
      <w:r w:rsidRPr="00AD2F44">
        <w:t xml:space="preserve"> Shabazz v. Asurion Ins. Serv., 2008 WL 1730318, at *1, 4–5 (M.D. Tenn. Apr. 10, 2008) (granting certification to employees at two call centers where named plaintiff had worked and declarations had been submitted, but denying certification at one center where only evidence was hearsay statement that employees there reported similar violations to him).</w:t>
      </w:r>
    </w:p>
    <w:p w14:paraId="7C298909" w14:textId="77777777" w:rsidR="00721CCF" w:rsidRPr="00AD2F44" w:rsidRDefault="00F42107">
      <w:pPr>
        <w:pStyle w:val="14Footnote"/>
      </w:pPr>
      <w:r w:rsidRPr="00AD2F44">
        <w:rPr>
          <w:i/>
          <w:iCs/>
        </w:rPr>
        <w:t>Seventh Circuit:</w:t>
      </w:r>
      <w:r w:rsidRPr="00AD2F44">
        <w:t xml:space="preserve"> Brand v. Comcast Corp., 2012 WL 4482124, at *9 (N.D. Ill. Sept. 26, 2012) (certifying off-the-clock case but only for the facility in which the plaintiffs worked, rather than companywide).</w:t>
      </w:r>
    </w:p>
    <w:p w14:paraId="607B29B6" w14:textId="67F22722" w:rsidR="00721CCF" w:rsidRPr="00AD2F44" w:rsidRDefault="00F42107">
      <w:pPr>
        <w:pStyle w:val="14Footnote"/>
      </w:pPr>
      <w:r w:rsidRPr="00AD2F44">
        <w:rPr>
          <w:i/>
          <w:iCs/>
        </w:rPr>
        <w:t>Eighth Circuit:</w:t>
      </w:r>
      <w:r w:rsidRPr="00AD2F44">
        <w:t xml:space="preserve"> Martinez v. Cargill Meat Sols., 265 F.R.D. 490, 498 (D. Neb. 2009) (limiting certification to employees paid on gang time, but excluding any employees not paid on that system).</w:t>
      </w:r>
    </w:p>
  </w:footnote>
  <w:footnote w:id="187">
    <w:p w14:paraId="6FFC064D" w14:textId="131A5D2D" w:rsidR="00721CCF" w:rsidRPr="00AD2F44" w:rsidRDefault="00F42107">
      <w:pPr>
        <w:pStyle w:val="14Footnote"/>
      </w:pPr>
      <w:r w:rsidRPr="00AD2F44">
        <w:rPr>
          <w:vertAlign w:val="superscript"/>
        </w:rPr>
        <w:footnoteRef/>
      </w:r>
      <w:r w:rsidRPr="00AD2F44">
        <w:rPr>
          <w:i/>
          <w:iCs/>
        </w:rPr>
        <w:t>See, e.g.,</w:t>
      </w:r>
      <w:r w:rsidRPr="00AD2F44">
        <w:t xml:space="preserve"> Ramirez v. </w:t>
      </w:r>
      <w:r w:rsidRPr="00AD2F44">
        <w:t xml:space="preserve">Ghilotti Bros., 941 F. Supp. 2d 1197 (N.D. Cal. 2013) (granting conditional certification based on common policy of not paying for time spent loading and unloading trucks); Escobar v. Whiteside Constr. Corp., 2008 WL 3915715, at *4–5 (N.D. Cal. Aug. 21, 2008) (conditionally certifying collective action by laborers and truck drivers alleging unpaid overtime for pre-shift time where they were required to report to work one hour before their start time and for post-shift time spent traveling back to yard and unloading trucks); White v. MPW Indus. Serv., Inc., 236 F.R.D. 363, 365–68, 370–74 (E.D. Tenn. 2006) (granting companywide certification to industrial cleaning workers on claims for unpaid work performed at branch location preparing for work, traveling to and from first and last job site respectively, and securing equipment at branch location after last job). </w:t>
      </w:r>
      <w:r w:rsidRPr="00AD2F44">
        <w:rPr>
          <w:i/>
          <w:iCs/>
        </w:rPr>
        <w:t>Cf</w:t>
      </w:r>
      <w:r w:rsidRPr="00AD2F44">
        <w:t>.</w:t>
      </w:r>
      <w:r w:rsidRPr="00AD2F44">
        <w:rPr>
          <w:i/>
          <w:iCs/>
        </w:rPr>
        <w:t xml:space="preserve"> </w:t>
      </w:r>
      <w:r w:rsidRPr="00AD2F44">
        <w:t>Gibson v. NCRC, Inc., 2011 WL 2837506, at *5 (S.D. Tex. July 18, 2011) (granting conditional certification based on evidence of “consistent policy” of not paying wages for or counting as hours worked certain time spent driving between job sites during workday).</w:t>
      </w:r>
      <w:r w:rsidR="00A16E12" w:rsidRPr="00A16E12">
        <w:rPr>
          <w:b/>
        </w:rPr>
        <w:t xml:space="preserve"> </w:t>
      </w:r>
      <w:r w:rsidR="00A16E12" w:rsidRPr="00AD2F44">
        <w:rPr>
          <w:b/>
        </w:rPr>
        <w:t xml:space="preserve">[Caution: </w:t>
      </w:r>
      <w:r w:rsidR="00A16E12" w:rsidRPr="00AD2F44">
        <w:t xml:space="preserve">The Fifth Circuit later rejected the two-stage process, in </w:t>
      </w:r>
      <w:r w:rsidR="00A16E12" w:rsidRPr="00AD2F44">
        <w:rPr>
          <w:i/>
        </w:rPr>
        <w:t xml:space="preserve">Swales v. KLLM Transport Services, LLC, </w:t>
      </w:r>
      <w:r w:rsidR="00A16E12" w:rsidRPr="00AD2F44">
        <w:t xml:space="preserve">985 F.3d 430 (5th Cir. 2021), in favor of a requirement to “rigorously scrutinize” whether potential opt-ins are similarly situated “from the outset of the case.” </w:t>
      </w:r>
      <w:r w:rsidR="00A16E12" w:rsidRPr="00AD2F44">
        <w:rPr>
          <w:i/>
        </w:rPr>
        <w:t>Id.</w:t>
      </w:r>
      <w:r w:rsidR="00A16E12" w:rsidRPr="00AD2F44">
        <w:t xml:space="preserve"> at 434.</w:t>
      </w:r>
      <w:r w:rsidR="00A16E12" w:rsidRPr="00AD2F44">
        <w:rPr>
          <w:b/>
          <w:bCs/>
        </w:rPr>
        <w:t>]</w:t>
      </w:r>
    </w:p>
  </w:footnote>
  <w:footnote w:id="188">
    <w:p w14:paraId="328ABA59" w14:textId="77777777" w:rsidR="00721CCF" w:rsidRPr="00AD2F44" w:rsidRDefault="00F42107">
      <w:pPr>
        <w:pStyle w:val="14Footnote"/>
      </w:pPr>
      <w:r w:rsidRPr="00AD2F44">
        <w:rPr>
          <w:vertAlign w:val="superscript"/>
        </w:rPr>
        <w:footnoteRef/>
      </w:r>
      <w:r w:rsidRPr="00AD2F44">
        <w:t>2007 WL 4532218 (N.D. Cal. Dec. 19, 2007).</w:t>
      </w:r>
    </w:p>
  </w:footnote>
  <w:footnote w:id="189">
    <w:p w14:paraId="0F1BC446" w14:textId="77777777" w:rsidR="00721CCF" w:rsidRPr="00AD2F44" w:rsidRDefault="00F42107">
      <w:pPr>
        <w:pStyle w:val="14Footnote"/>
      </w:pPr>
      <w:r w:rsidRPr="00AD2F44">
        <w:rPr>
          <w:vertAlign w:val="superscript"/>
        </w:rPr>
        <w:footnoteRef/>
      </w:r>
      <w:r w:rsidRPr="00AD2F44">
        <w:rPr>
          <w:i/>
          <w:iCs/>
        </w:rPr>
        <w:t>Id</w:t>
      </w:r>
      <w:r w:rsidRPr="00AD2F44">
        <w:t>. at *6.</w:t>
      </w:r>
    </w:p>
  </w:footnote>
  <w:footnote w:id="190">
    <w:p w14:paraId="37456009" w14:textId="77777777" w:rsidR="00721CCF" w:rsidRPr="00AD2F44" w:rsidRDefault="00F42107">
      <w:pPr>
        <w:pStyle w:val="14Footnote"/>
      </w:pPr>
      <w:r w:rsidRPr="00AD2F44">
        <w:rPr>
          <w:vertAlign w:val="superscript"/>
        </w:rPr>
        <w:footnoteRef/>
      </w:r>
      <w:r w:rsidRPr="00AD2F44">
        <w:rPr>
          <w:i/>
          <w:iCs/>
        </w:rPr>
        <w:t>Id</w:t>
      </w:r>
      <w:r w:rsidRPr="00AD2F44">
        <w:t>. at *7.</w:t>
      </w:r>
    </w:p>
  </w:footnote>
  <w:footnote w:id="191">
    <w:p w14:paraId="7B82125B" w14:textId="77777777" w:rsidR="00721CCF" w:rsidRPr="00AD2F44" w:rsidRDefault="00F42107">
      <w:pPr>
        <w:pStyle w:val="14Footnote"/>
      </w:pPr>
      <w:r w:rsidRPr="00AD2F44">
        <w:rPr>
          <w:vertAlign w:val="superscript"/>
        </w:rPr>
        <w:footnoteRef/>
      </w:r>
      <w:r w:rsidRPr="00AD2F44">
        <w:rPr>
          <w:i/>
          <w:iCs/>
        </w:rPr>
        <w:t>See, e.g.,</w:t>
      </w:r>
      <w:r w:rsidRPr="00AD2F44">
        <w:t xml:space="preserve"> Sjoblom v. Charter Commc’ns LLC, 571 F. Supp. 2d 961, 964–66, 971–72 (W.D. Wis. 2008) (certifying nationwide collective action of field technicians for pre-shift work, including cleaning and restocking vehicles and completing paperwork, where employees were not explicitly told to complete tasks off the clock, but were led to believe that they had to be ready to go at the start of their shift); Brennan v. Qwest Commc’ns Int’l, 2008 WL 819773, at *3–4 (D. Minn. 2008) (certifying claims by communications technicians at multiple facilities for unpaid pre-shift duties including reviewing assigned work, cleaning and stocking truck, and contacting customers, where supervisors were aware or ordered unreported overtime and plaintiffs’ declarations alleged tasks were required to comply with company polices).</w:t>
      </w:r>
    </w:p>
  </w:footnote>
  <w:footnote w:id="192">
    <w:p w14:paraId="48072C23" w14:textId="77777777" w:rsidR="00721CCF" w:rsidRPr="00AD2F44" w:rsidRDefault="00F42107">
      <w:pPr>
        <w:pStyle w:val="14Footnote"/>
      </w:pPr>
      <w:r w:rsidRPr="00AD2F44">
        <w:rPr>
          <w:vertAlign w:val="superscript"/>
        </w:rPr>
        <w:footnoteRef/>
      </w:r>
      <w:r w:rsidRPr="00AD2F44">
        <w:rPr>
          <w:i/>
        </w:rPr>
        <w:t>See, e.g.,</w:t>
      </w:r>
    </w:p>
    <w:p w14:paraId="563516F3" w14:textId="77777777" w:rsidR="00721CCF" w:rsidRPr="00AD2F44" w:rsidRDefault="00F42107">
      <w:pPr>
        <w:pStyle w:val="14Footnote"/>
      </w:pPr>
      <w:r w:rsidRPr="00AD2F44">
        <w:rPr>
          <w:i/>
          <w:iCs/>
        </w:rPr>
        <w:t>Third Circuit:</w:t>
      </w:r>
      <w:r w:rsidRPr="00AD2F44">
        <w:t xml:space="preserve"> Hall v. Guardsmark, LLC, 2012 WL 3580086, at *1, 5 (W.D. Pa. Aug. 17, 2012) (rejecting certification where company had official policy to pay employees for all hours worked and prohibited them from reporting to premises prior to and after scheduled time, finding plaintiffs failed to provide evidentiary support for their claims).</w:t>
      </w:r>
    </w:p>
    <w:p w14:paraId="4DBE591E" w14:textId="251D3BF7" w:rsidR="00721CCF" w:rsidRPr="00AD2F44" w:rsidRDefault="00F42107">
      <w:pPr>
        <w:pStyle w:val="14Footnote"/>
      </w:pPr>
      <w:r w:rsidRPr="00AD2F44">
        <w:rPr>
          <w:i/>
          <w:iCs/>
        </w:rPr>
        <w:t>Sixth Circuit:</w:t>
      </w:r>
      <w:r w:rsidRPr="00AD2F44">
        <w:t xml:space="preserve"> Pippen v. Global Tech. Recruiters Inc., 2021 BL 222265, 2021 WL 2430707 (N.D. Ohio June 15, 2021) (denying conditional certification on donning and doffing claim for failure to describe job duties with sufficiency, and on pre-shift off-the-clock claim for failure to provide more than conclusory allegations); Pacheco v. Boar’s Head Provisions Co., 671 F. Supp. 2d 957, 966 (W.D. Mich. 2009) (rejecting conditional certification in donning and doffing action, where company had express policy of paying for donning and doffing time, and plaintiffs could not produce evidence of widespread violation of that policy to establish common policy in violation of FLSA).</w:t>
      </w:r>
    </w:p>
    <w:p w14:paraId="1A6DC2DF" w14:textId="77777777" w:rsidR="00721CCF" w:rsidRPr="00AD2F44" w:rsidRDefault="00F42107">
      <w:pPr>
        <w:pStyle w:val="14Footnote"/>
      </w:pPr>
      <w:r w:rsidRPr="00AD2F44">
        <w:rPr>
          <w:i/>
          <w:iCs/>
        </w:rPr>
        <w:t>Seventh Circuit:</w:t>
      </w:r>
      <w:r w:rsidRPr="00AD2F44">
        <w:t xml:space="preserve"> Allen v. Payday Loan Store of Ind., Inc., 2013 WL 6237852, at *8 (N.D. Ind. Dec. 3, 2013) (conditional certification denied where despite naming 16 other employees they observed, the plaintiffs gave “no substantive allegation as to which employee, if any, was required to do which task and when” and failed to provide evidence of a single decision, policy, or plan resulting in the alleged FLSA violations).</w:t>
      </w:r>
    </w:p>
    <w:p w14:paraId="7FD998DC" w14:textId="77777777" w:rsidR="00721CCF" w:rsidRPr="00AD2F44" w:rsidRDefault="00F42107">
      <w:pPr>
        <w:pStyle w:val="14Footnote"/>
      </w:pPr>
      <w:r w:rsidRPr="00AD2F44">
        <w:rPr>
          <w:i/>
          <w:iCs/>
        </w:rPr>
        <w:t>Eighth Circuit:</w:t>
      </w:r>
      <w:r w:rsidRPr="00AD2F44">
        <w:t xml:space="preserve"> Salazar v. </w:t>
      </w:r>
      <w:r w:rsidRPr="00AD2F44">
        <w:t>Agriprocessors, Inc., 2008 WL 782803, at *6–7 (N.D. Iowa Mar. 17, 2008) (denying conditional certification without prejudice on donning and doffing claims where plaintiffs failed to provide evidence beyond complaint, and defendant’s evidence indicated that employees in production and support positions had different job duties, pay structures, and department policies).</w:t>
      </w:r>
    </w:p>
    <w:p w14:paraId="59CA246F" w14:textId="77777777" w:rsidR="00721CCF" w:rsidRPr="00AD2F44" w:rsidRDefault="00F42107">
      <w:pPr>
        <w:pStyle w:val="14Footnote"/>
      </w:pPr>
      <w:r w:rsidRPr="00AD2F44">
        <w:rPr>
          <w:i/>
          <w:iCs/>
        </w:rPr>
        <w:t>Ninth Circuit:</w:t>
      </w:r>
      <w:r w:rsidRPr="00AD2F44">
        <w:t xml:space="preserve"> Felix v. Davis Moreno Constr., Inc., 2008 WL 4104261, at *6–7 (E.D. Cal. Sept. 3, 2008) (denying conditional certification to action by construction worker alleging uncompensated roll-out/roll-up time prior to shift start time where plaintiff worked with few other carpenters, identified only one of nine job sites where such time was uncompensated, and failed to offer affidavit of any other carpenter). </w:t>
      </w:r>
    </w:p>
  </w:footnote>
  <w:footnote w:id="193">
    <w:p w14:paraId="3AE4A18C" w14:textId="77777777" w:rsidR="00721CCF" w:rsidRPr="00AD2F44" w:rsidRDefault="00F42107">
      <w:pPr>
        <w:pStyle w:val="14Footnote"/>
      </w:pPr>
      <w:r w:rsidRPr="00AD2F44">
        <w:rPr>
          <w:vertAlign w:val="superscript"/>
        </w:rPr>
        <w:footnoteRef/>
      </w:r>
      <w:r w:rsidRPr="00AD2F44">
        <w:t>2005 WL 3783598 (N.D. Tex. Nov. 17, 2005).</w:t>
      </w:r>
    </w:p>
  </w:footnote>
  <w:footnote w:id="194">
    <w:p w14:paraId="70164EEC" w14:textId="77777777" w:rsidR="00721CCF" w:rsidRPr="00AD2F44" w:rsidRDefault="00F42107">
      <w:pPr>
        <w:pStyle w:val="14Footnote"/>
      </w:pPr>
      <w:r w:rsidRPr="00AD2F44">
        <w:rPr>
          <w:vertAlign w:val="superscript"/>
        </w:rPr>
        <w:footnoteRef/>
      </w:r>
      <w:r w:rsidRPr="00AD2F44">
        <w:rPr>
          <w:i/>
          <w:iCs/>
        </w:rPr>
        <w:t>Id.</w:t>
      </w:r>
      <w:r w:rsidRPr="00AD2F44">
        <w:t xml:space="preserve"> at *5–6.</w:t>
      </w:r>
    </w:p>
  </w:footnote>
  <w:footnote w:id="195">
    <w:p w14:paraId="22DEB67D" w14:textId="77777777" w:rsidR="00721CCF" w:rsidRPr="00AD2F44" w:rsidRDefault="00F42107">
      <w:pPr>
        <w:pStyle w:val="14Footnote"/>
      </w:pPr>
      <w:r w:rsidRPr="00AD2F44">
        <w:rPr>
          <w:vertAlign w:val="superscript"/>
        </w:rPr>
        <w:footnoteRef/>
      </w:r>
      <w:r w:rsidRPr="00AD2F44">
        <w:rPr>
          <w:i/>
          <w:iCs/>
        </w:rPr>
        <w:t>Id</w:t>
      </w:r>
      <w:r w:rsidRPr="00AD2F44">
        <w:t>. at *6.</w:t>
      </w:r>
    </w:p>
  </w:footnote>
  <w:footnote w:id="196">
    <w:p w14:paraId="550B8B89"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197">
    <w:p w14:paraId="36F4F477" w14:textId="77777777" w:rsidR="00721CCF" w:rsidRPr="00AD2F44" w:rsidRDefault="00F42107">
      <w:pPr>
        <w:pStyle w:val="14Footnote"/>
      </w:pPr>
      <w:r w:rsidRPr="00AD2F44">
        <w:rPr>
          <w:vertAlign w:val="superscript"/>
        </w:rPr>
        <w:footnoteRef/>
      </w:r>
      <w:r w:rsidRPr="00AD2F44">
        <w:rPr>
          <w:i/>
        </w:rPr>
        <w:t>See, e.g.,</w:t>
      </w:r>
    </w:p>
    <w:p w14:paraId="6E535012" w14:textId="310BB215" w:rsidR="00721CCF" w:rsidRPr="00AD2F44" w:rsidRDefault="00F42107">
      <w:pPr>
        <w:pStyle w:val="14Footnote"/>
      </w:pPr>
      <w:r w:rsidRPr="00AD2F44">
        <w:rPr>
          <w:i/>
          <w:iCs/>
        </w:rPr>
        <w:t>Second Circuit:</w:t>
      </w:r>
      <w:r w:rsidRPr="00AD2F44">
        <w:t xml:space="preserve"> </w:t>
      </w:r>
      <w:r>
        <w:t xml:space="preserve">Watterson v. RUI Mgmt. Servs., </w:t>
      </w:r>
      <w:r w:rsidR="00F72A66" w:rsidRPr="00F72A66">
        <w:t>2022 BL 305442</w:t>
      </w:r>
      <w:r w:rsidR="00F72A66">
        <w:t xml:space="preserve">, </w:t>
      </w:r>
      <w:r w:rsidR="002E55FE" w:rsidRPr="002E55FE">
        <w:t>2022 WL 3867755</w:t>
      </w:r>
      <w:r w:rsidR="002E55FE">
        <w:t>, at *6</w:t>
      </w:r>
      <w:r w:rsidR="002E55FE" w:rsidRPr="002E55FE">
        <w:t xml:space="preserve"> </w:t>
      </w:r>
      <w:r>
        <w:t>(E.D.N.Y.</w:t>
      </w:r>
      <w:r>
        <w:t xml:space="preserve"> Aug. 30, 2022) (granting certification to debt collection agents who were “requested” to arrive before their shift); </w:t>
      </w:r>
      <w:r w:rsidRPr="00AD2F44">
        <w:t>Sherrill v. Sutherland Global Serv., Inc., 487 F. Supp. 2d 344, 351 (W.D.N.Y. 2007) (granting conditional certification to telemarketing agents at call centers where plaintiffs submitted affidavits from workers at 10 of 11 facilities alleging uncompensated work during breaks, but denying certification to proposed class of all hourly employees because affidavits submitted only by telemarketers).</w:t>
      </w:r>
    </w:p>
    <w:p w14:paraId="0D33B063" w14:textId="77777777" w:rsidR="00721CCF" w:rsidRPr="00AD2F44" w:rsidRDefault="00F42107">
      <w:pPr>
        <w:pStyle w:val="14Footnote"/>
      </w:pPr>
      <w:r w:rsidRPr="00AD2F44">
        <w:rPr>
          <w:i/>
          <w:iCs/>
        </w:rPr>
        <w:t>Fourth Circuit:</w:t>
      </w:r>
      <w:r w:rsidRPr="00AD2F44">
        <w:t xml:space="preserve"> Byard v. Verizon W. Va., Inc., 287 F.R.D. 365, 367–70 (N.D. W. Va. 2012) (granting conditional certification of employees seeking overtime compensation for time spent logging on and off the computer system, opening software applications, reading daily company emails and Internet messages, setting up “call backs,” and performing other follow-up work for customers).</w:t>
      </w:r>
    </w:p>
    <w:p w14:paraId="13028488" w14:textId="77777777" w:rsidR="00721CCF" w:rsidRPr="00AD2F44" w:rsidRDefault="00F42107">
      <w:pPr>
        <w:pStyle w:val="14Footnote"/>
      </w:pPr>
      <w:r w:rsidRPr="00AD2F44">
        <w:rPr>
          <w:i/>
          <w:iCs/>
        </w:rPr>
        <w:t>Sixth Circuit:</w:t>
      </w:r>
      <w:r w:rsidRPr="00AD2F44">
        <w:t xml:space="preserve"> Serbay v. DialogDirect, Inc., 2017 WL 163866 (E.D. Mich. Jan. 17, 2017) (granting conditional certification of class of customer service representatives at 14 call centers regarding allegations that employees were not compensated for off-the-clock time spent logging onto and off of computers); Garrett v. Sitel Operating Corp., 2011 WL 5827240, at *3, 5 (W.D. Tenn. Nov. 18, 2011) (granting conditional certification to call center employees where evidence at lenient stage showed “unwritten policy” that employees had to boot up and shut down computers, and perform other tasks, before and after clocking in and out); Heaps v. Safelite Sols., LLC, 2011 WL 1325207, at *5 (S.D. Ohio Apr. 5, 2011) (granting conditional certification for class of customer service representatives at defendant’s three facilities, through declarations of five employees that company policy was for employees to boot up and shut down computer systems when not clocked in, that policy applied to all putative class members, and that lawful policy pointed out by defendant was result of post-litigation modification); Shabazz v. Asurion Ins. Serv., 2008 WL 1730318, at *1, 4–5 (M.D. Tenn. Apr. 10, 2008) (granting conditional certification to employees at call center who were not paid compensable time spent preparing for work or finishing work as customer service representatives, claims representatives, verification representatives, quality assurance coordinators, technical support representatives, and/or any similar nonexempt hourly positions, but limited class to one of two call centers at issue because plaintiffs provided no declaration from any employee who worked in second call center).</w:t>
      </w:r>
    </w:p>
    <w:p w14:paraId="62A32295" w14:textId="77777777" w:rsidR="00721CCF" w:rsidRPr="00AD2F44" w:rsidRDefault="00F42107">
      <w:pPr>
        <w:pStyle w:val="14Footnote"/>
      </w:pPr>
      <w:r w:rsidRPr="00AD2F44">
        <w:rPr>
          <w:i/>
          <w:iCs/>
        </w:rPr>
        <w:t>Seventh Circuit:</w:t>
      </w:r>
      <w:r w:rsidRPr="00AD2F44">
        <w:t xml:space="preserve"> Russell v. Illinois Bell Tel. Co., 2008 WL 4191763, at *2–5 (N.D. Ill. Sept. 15, 2008) (granting conditional certification where plaintiffs provided nearly 40 affidavits from employees at three of four call centers, which reflected widespread view that employees were expected to work uncompensated overtime, rejecting defendant’s claim that differences in job duties and practices at different centers defeated certification).</w:t>
      </w:r>
    </w:p>
    <w:p w14:paraId="27728B6B" w14:textId="77777777" w:rsidR="00721CCF" w:rsidRPr="00AD2F44" w:rsidRDefault="00F42107">
      <w:pPr>
        <w:pStyle w:val="14Footnote"/>
      </w:pPr>
      <w:r w:rsidRPr="00AD2F44">
        <w:rPr>
          <w:i/>
          <w:iCs/>
        </w:rPr>
        <w:t>Eighth Circuit:</w:t>
      </w:r>
      <w:r w:rsidRPr="00AD2F44">
        <w:t xml:space="preserve"> Burch v. Qwest Commc’ns Int’l, 500 F. Supp. 2d 1181, 1191–92 (D. Minn. 2007) (granting conditional certification and authorizing nationwide notice to 8,000 call center employees, where plaintiffs alleged that defendant relied on uniform system of time monitoring, based on time logged into phone system, and plaintiffs submitted declarations from employees in five states making similar allegations, despite substantial variation in off-the-clock time claimed).</w:t>
      </w:r>
    </w:p>
    <w:p w14:paraId="705B40D0" w14:textId="77777777" w:rsidR="00721CCF" w:rsidRPr="00AD2F44" w:rsidRDefault="00F42107">
      <w:pPr>
        <w:pStyle w:val="14Footnote"/>
      </w:pPr>
      <w:r w:rsidRPr="00AD2F44">
        <w:rPr>
          <w:i/>
          <w:iCs/>
        </w:rPr>
        <w:t>Tenth Circuit:</w:t>
      </w:r>
      <w:r w:rsidRPr="00AD2F44">
        <w:t xml:space="preserve"> Cannon v. Time Warner NY Cable, LLC, 2014 WL 4401313 (D. Colo. Sept. 5, 2014) (granting conditional certification for time spent booting up and shutting down computers at single call center); Pegues v. Carecentrix, Inc., 2013 WL 1896994, at *4 (D. Kan. May 6, 2013) (same).</w:t>
      </w:r>
    </w:p>
    <w:p w14:paraId="77D26D8F" w14:textId="77777777" w:rsidR="00721CCF" w:rsidRPr="00AD2F44" w:rsidRDefault="00F42107">
      <w:pPr>
        <w:pStyle w:val="14Footnote"/>
      </w:pPr>
      <w:r w:rsidRPr="00AD2F44">
        <w:rPr>
          <w:i/>
          <w:iCs/>
        </w:rPr>
        <w:t>Eleventh Circuit:</w:t>
      </w:r>
      <w:r w:rsidRPr="00AD2F44">
        <w:t xml:space="preserve"> Gonzalez v. TZ Ins. Sols., LLC, 2014 WL 1248154 (M.D. Fla. Mar. 26, 2014) (conditionally certifying collective action for time sales specialists spent before and after their shifts answering telephones and logging onto their computers); Robinson v. Ryla Teleservs., Inc., 2011 WL 6667338, at *3 (S.D. Ala. Dec. 21, 2011) (granting conditional certification to call center employees based on evidence that they performed essentially identical duties and alleged they performed unpaid work before their shifts).</w:t>
      </w:r>
    </w:p>
    <w:p w14:paraId="5EC20CD8" w14:textId="2AE157C0" w:rsidR="00721CCF" w:rsidRPr="00AD2F44" w:rsidRDefault="00F42107">
      <w:pPr>
        <w:pStyle w:val="14Footnote"/>
      </w:pPr>
      <w:r w:rsidRPr="00AD2F44">
        <w:rPr>
          <w:i/>
          <w:iCs/>
        </w:rPr>
        <w:t>But see</w:t>
      </w:r>
      <w:r w:rsidRPr="00AD2F44">
        <w:t xml:space="preserve"> Adair v. Wisconsin Bell, Inc., 2008 WL 4224360, at *5–9 (E.D. Wis. Sept. 11, 2008) (denying conditional certification to call center employees across four facilities where plaintiffs failed to provide factual support for their allegation that employer had common policy requiring call center workers to work beyond their scheduled shift time, and defendant demonstrated that it did not compensate plaintiffs according to time logged into phone system as plaintiffs had originally alleged).</w:t>
      </w:r>
    </w:p>
  </w:footnote>
  <w:footnote w:id="198">
    <w:p w14:paraId="5573AB16" w14:textId="77777777" w:rsidR="00721CCF" w:rsidRPr="00AD2F44" w:rsidRDefault="00F42107">
      <w:pPr>
        <w:pStyle w:val="14Footnote"/>
      </w:pPr>
      <w:r w:rsidRPr="00AD2F44">
        <w:rPr>
          <w:vertAlign w:val="superscript"/>
        </w:rPr>
        <w:footnoteRef/>
      </w:r>
      <w:r w:rsidRPr="00AD2F44">
        <w:t>500 F. Supp. 2d 1181 (D. Minn. 2007).</w:t>
      </w:r>
    </w:p>
  </w:footnote>
  <w:footnote w:id="199">
    <w:p w14:paraId="5177450E" w14:textId="77777777" w:rsidR="00721CCF" w:rsidRPr="00AD2F44" w:rsidRDefault="00F42107">
      <w:pPr>
        <w:pStyle w:val="14Footnote"/>
      </w:pPr>
      <w:r w:rsidRPr="00AD2F44">
        <w:rPr>
          <w:vertAlign w:val="superscript"/>
        </w:rPr>
        <w:footnoteRef/>
      </w:r>
      <w:r w:rsidRPr="00AD2F44">
        <w:t>2008 WL 4224360.</w:t>
      </w:r>
    </w:p>
  </w:footnote>
  <w:footnote w:id="200">
    <w:p w14:paraId="67A110A9" w14:textId="77777777" w:rsidR="00721CCF" w:rsidRPr="00AD2F44" w:rsidRDefault="00F42107">
      <w:pPr>
        <w:pStyle w:val="14Footnote"/>
      </w:pPr>
      <w:r w:rsidRPr="00AD2F44">
        <w:rPr>
          <w:vertAlign w:val="superscript"/>
        </w:rPr>
        <w:footnoteRef/>
      </w:r>
      <w:r w:rsidRPr="00AD2F44">
        <w:rPr>
          <w:i/>
          <w:iCs/>
        </w:rPr>
        <w:t>Id</w:t>
      </w:r>
      <w:r w:rsidRPr="00AD2F44">
        <w:t xml:space="preserve">. at *5–9; </w:t>
      </w:r>
      <w:r w:rsidRPr="00AD2F44">
        <w:rPr>
          <w:i/>
          <w:iCs/>
        </w:rPr>
        <w:t>see also</w:t>
      </w:r>
      <w:r w:rsidRPr="00AD2F44">
        <w:t xml:space="preserve"> Tussing v. Quality Res., Inc., 2009 WL 4350253, at *3 (M.D. Fla. Nov. 25, 2009) (denying conditional certification to putative class of “call center representatives,” where six affidavits submitted were “not substantial and detailed enough” to satisfy lenient standard for initial notice, plaintiffs sought to treat all jobs as fungible, which was not plausible, and plaintiffs even tried to include exempt employees).</w:t>
      </w:r>
    </w:p>
  </w:footnote>
  <w:footnote w:id="201">
    <w:p w14:paraId="290916C9" w14:textId="77777777" w:rsidR="00721CCF" w:rsidRPr="00AD2F44" w:rsidRDefault="00F42107">
      <w:pPr>
        <w:pStyle w:val="14Footnote"/>
      </w:pPr>
      <w:r w:rsidRPr="00AD2F44">
        <w:rPr>
          <w:vertAlign w:val="superscript"/>
        </w:rPr>
        <w:footnoteRef/>
      </w:r>
      <w:r w:rsidRPr="00AD2F44">
        <w:t xml:space="preserve">In addition to pre- and post-shift donning or doffing time, many of these cases also involve similar work-related activities performed during unpaid meal breaks. </w:t>
      </w:r>
      <w:r w:rsidRPr="00AD2F44">
        <w:rPr>
          <w:i/>
          <w:iCs/>
        </w:rPr>
        <w:t>See, e.g.,</w:t>
      </w:r>
      <w:r w:rsidRPr="00AD2F44">
        <w:t xml:space="preserve"> Alvarez v. IBP, Inc., 339 F.3d 894, 913–14 (9th Cir. 2003), </w:t>
      </w:r>
      <w:r w:rsidRPr="00AD2F44">
        <w:rPr>
          <w:i/>
          <w:iCs/>
        </w:rPr>
        <w:t>aff’d</w:t>
      </w:r>
      <w:r w:rsidRPr="00AD2F44">
        <w:t>, IBP, Inc. v. Alvarez, 546 U.S. 21 (2005). See also Chapter 8, Compensable Hours, §IV.A [Application of Principles; Preparatory and Concluding Activities, As Distinct From Preliminary and Postliminary Activities].</w:t>
      </w:r>
    </w:p>
  </w:footnote>
  <w:footnote w:id="202">
    <w:p w14:paraId="5CBBEC5E" w14:textId="77777777" w:rsidR="00721CCF" w:rsidRPr="00AD2F44" w:rsidRDefault="00F42107">
      <w:pPr>
        <w:pStyle w:val="14Footnote"/>
      </w:pPr>
      <w:r w:rsidRPr="00AD2F44">
        <w:rPr>
          <w:vertAlign w:val="superscript"/>
        </w:rPr>
        <w:footnoteRef/>
      </w:r>
      <w:r w:rsidRPr="00AD2F44">
        <w:rPr>
          <w:i/>
        </w:rPr>
        <w:t>See, e.g.,</w:t>
      </w:r>
    </w:p>
    <w:p w14:paraId="3067B9B3" w14:textId="77777777" w:rsidR="00721CCF" w:rsidRPr="00AD2F44" w:rsidRDefault="00F42107">
      <w:pPr>
        <w:pStyle w:val="14Footnote"/>
      </w:pPr>
      <w:r w:rsidRPr="00AD2F44">
        <w:rPr>
          <w:i/>
          <w:iCs/>
        </w:rPr>
        <w:t>Third Circuit:</w:t>
      </w:r>
      <w:r w:rsidRPr="00AD2F44">
        <w:t xml:space="preserve"> Potoski v. Wyoming Valley Health Care Sys., 2013 WL 6731035, at *1­–2 (M.D. Pa. Dec. 19, 2013) (conditionally certifying a “uniform maintenance class” because the employees made a sufficient showing that they were not permitted to maintain their uniforms “on the clock” or at work, they were not given access to equipment or facilities to perform the work during their shifts, and they spent eight hours each month washing, spot cleaning, drying, and ironing their uniforms).</w:t>
      </w:r>
    </w:p>
    <w:p w14:paraId="164BE2EB" w14:textId="138B7B6F" w:rsidR="00721CCF" w:rsidRPr="00AD2F44" w:rsidRDefault="00F42107">
      <w:pPr>
        <w:pStyle w:val="14Footnote"/>
      </w:pPr>
      <w:r w:rsidRPr="00AD2F44">
        <w:rPr>
          <w:i/>
          <w:iCs/>
        </w:rPr>
        <w:t>Fifth Circuit:</w:t>
      </w:r>
      <w:r w:rsidRPr="00AD2F44">
        <w:t xml:space="preserve"> Lopez v. Sam Kane Beef Processors, Inc., 2008 WL 565115, at *1–2 (S.D. Tex. Feb. 29, 2008) (granting conditional certification in action alleging uncompensated donning, doffing, waiting, and cleaning time on behalf of class of hourly employees, finding that defendant’s description of its “gang time” scheduling system and calculation of work time suggested a plantwide policy).</w:t>
      </w:r>
      <w:r w:rsidR="00A16E12" w:rsidRPr="00A16E12">
        <w:rPr>
          <w:b/>
        </w:rPr>
        <w:t xml:space="preserve"> </w:t>
      </w:r>
      <w:r w:rsidR="00A16E12" w:rsidRPr="00AD2F44">
        <w:rPr>
          <w:b/>
        </w:rPr>
        <w:t xml:space="preserve">[Caution: </w:t>
      </w:r>
      <w:r w:rsidR="00A16E12" w:rsidRPr="00AD2F44">
        <w:t xml:space="preserve">The Fifth Circuit later rejected the two-stage process, in </w:t>
      </w:r>
      <w:r w:rsidR="00A16E12" w:rsidRPr="00AD2F44">
        <w:rPr>
          <w:i/>
        </w:rPr>
        <w:t xml:space="preserve">Swales v. KLLM Transport Services, LLC, </w:t>
      </w:r>
      <w:r w:rsidR="00A16E12" w:rsidRPr="00AD2F44">
        <w:t xml:space="preserve">985 F.3d 430 (5th Cir. 2021), in favor of a requirement to “rigorously scrutinize” whether potential opt-ins are similarly situated “from the outset of the case.” </w:t>
      </w:r>
      <w:r w:rsidR="00A16E12" w:rsidRPr="00AD2F44">
        <w:rPr>
          <w:i/>
        </w:rPr>
        <w:t>Id.</w:t>
      </w:r>
      <w:r w:rsidR="00A16E12" w:rsidRPr="00AD2F44">
        <w:t xml:space="preserve"> at 434.</w:t>
      </w:r>
      <w:r w:rsidR="00A16E12" w:rsidRPr="00AD2F44">
        <w:rPr>
          <w:b/>
          <w:bCs/>
        </w:rPr>
        <w:t>]</w:t>
      </w:r>
    </w:p>
    <w:p w14:paraId="784D1182" w14:textId="77777777" w:rsidR="00721CCF" w:rsidRPr="00AD2F44" w:rsidRDefault="00F42107">
      <w:pPr>
        <w:pStyle w:val="14Footnote"/>
      </w:pPr>
      <w:r w:rsidRPr="00AD2F44">
        <w:rPr>
          <w:i/>
          <w:iCs/>
        </w:rPr>
        <w:t>Seventh Circuit:</w:t>
      </w:r>
      <w:r w:rsidRPr="00AD2F44">
        <w:t xml:space="preserve"> </w:t>
      </w:r>
      <w:r w:rsidRPr="00AD2F44">
        <w:t>Musch v. Domtar Indus., Inc., 252 F.R.D. 456, 458 (W.D. Wis. 2008) (granting certification to hourly maintenance employees at two paper mills who worked with hazardous chemicals and sought compensation for pre-shift time spent shaving face and donning protective equipment, and for post-shift time spent bathing and doffing protective equipment).</w:t>
      </w:r>
    </w:p>
    <w:p w14:paraId="3FA594A6" w14:textId="77777777" w:rsidR="00721CCF" w:rsidRPr="00AD2F44" w:rsidRDefault="00F42107">
      <w:pPr>
        <w:pStyle w:val="14Footnote"/>
      </w:pPr>
      <w:r w:rsidRPr="00AD2F44">
        <w:rPr>
          <w:i/>
          <w:iCs/>
        </w:rPr>
        <w:t xml:space="preserve">Eighth Circuit: </w:t>
      </w:r>
      <w:r w:rsidRPr="00AD2F44">
        <w:t>Bowman v. Doe Run Res. Corp., 2014 WL 3579885 (E.D. Mo. July 21, 2014) (granting conditional certification based on showing of policy or plan requiring donning and doffing of clothing and equipment without pay).</w:t>
      </w:r>
    </w:p>
    <w:p w14:paraId="4E4477D9" w14:textId="77777777" w:rsidR="00721CCF" w:rsidRPr="00AD2F44" w:rsidRDefault="00F42107">
      <w:pPr>
        <w:pStyle w:val="14Footnote"/>
      </w:pPr>
      <w:r w:rsidRPr="00AD2F44">
        <w:rPr>
          <w:i/>
          <w:iCs/>
        </w:rPr>
        <w:t>Ninth Circuit:</w:t>
      </w:r>
      <w:r w:rsidRPr="00AD2F44">
        <w:t xml:space="preserve"> Talavera v. Sun-Maid Growers of Cal., 2016 WL 1073253, at *3 (E.D. Cal. Mar. 18, 2016) (granting conditional certification in donning/doffing case, based on evidence of company policies requiring use of gear and plaintiff’s two declarations that donning of such gear was uncompensated); Lewis v. Nevada Prop. 1, LLC, 2013 WL 1379696 (D. Nev. Apr. 8, 2014).</w:t>
      </w:r>
    </w:p>
    <w:p w14:paraId="33B6ADFA" w14:textId="77777777" w:rsidR="00721CCF" w:rsidRPr="00AD2F44" w:rsidRDefault="00F42107">
      <w:pPr>
        <w:pStyle w:val="14Footnote"/>
      </w:pPr>
      <w:r w:rsidRPr="00AD2F44">
        <w:rPr>
          <w:i/>
          <w:iCs/>
        </w:rPr>
        <w:t>Eleventh Circuit:</w:t>
      </w:r>
      <w:r w:rsidRPr="00AD2F44">
        <w:t xml:space="preserve"> Daniel v. Quail Int’l, Inc., 2008 WL 3538564, at *2–3 (M.D. Ga. Aug. 11, 2008) (granting conditional certification to quail-processing workers for uncompensated donning, doffing, and cleaning activities).</w:t>
      </w:r>
    </w:p>
    <w:p w14:paraId="023D2A1D" w14:textId="77777777" w:rsidR="00721CCF" w:rsidRPr="00AD2F44" w:rsidRDefault="00F42107">
      <w:pPr>
        <w:pStyle w:val="14Footnote"/>
      </w:pPr>
      <w:r w:rsidRPr="00AD2F44">
        <w:rPr>
          <w:i/>
        </w:rPr>
        <w:t>But see</w:t>
      </w:r>
    </w:p>
    <w:p w14:paraId="7F854949" w14:textId="77777777" w:rsidR="00721CCF" w:rsidRPr="00AD2F44" w:rsidRDefault="00F42107">
      <w:pPr>
        <w:pStyle w:val="14Footnote"/>
      </w:pPr>
      <w:r w:rsidRPr="00AD2F44">
        <w:rPr>
          <w:i/>
          <w:iCs/>
        </w:rPr>
        <w:t xml:space="preserve">Third Circuit: </w:t>
      </w:r>
      <w:r w:rsidRPr="00AD2F44">
        <w:t xml:space="preserve">Chandler v. Heartland Emp. </w:t>
      </w:r>
      <w:r w:rsidRPr="002E55FE">
        <w:t xml:space="preserve">Servs., LLC, 2014 WL 1681989 (E.D. Pa. </w:t>
      </w:r>
      <w:r w:rsidRPr="00AD2F44">
        <w:t>Apr. 28, 2014) (denying certification because the plaintiffs failed to articulate how many facilities and employees were included in their proposed class, or that the putative class members were required to wear similar uniforms).</w:t>
      </w:r>
    </w:p>
    <w:p w14:paraId="375982EA" w14:textId="3B00A0C0" w:rsidR="00721CCF" w:rsidRPr="00AD2F44" w:rsidRDefault="00F42107">
      <w:pPr>
        <w:pStyle w:val="14Footnote"/>
      </w:pPr>
      <w:r w:rsidRPr="00AD2F44">
        <w:rPr>
          <w:i/>
          <w:iCs/>
        </w:rPr>
        <w:t xml:space="preserve">Sixth Circuit: </w:t>
      </w:r>
      <w:r w:rsidRPr="00AD2F44">
        <w:t>Pacheco v. Boar’s Head Provisions, Inc., 671 F. Supp. 2d 957, 966 (W.D. Mich. 2009) (rejecting conditional certification in donning and doffing case, where company had express policy of paying for donning and doffing time, and plaintiffs could not produce evidence of widespread violation of that policy to establish a common policy in violation of FLSA).</w:t>
      </w:r>
    </w:p>
  </w:footnote>
  <w:footnote w:id="203">
    <w:p w14:paraId="00000C20" w14:textId="77777777" w:rsidR="00721CCF" w:rsidRPr="00AD2F44" w:rsidRDefault="00F42107">
      <w:pPr>
        <w:pStyle w:val="14Footnote"/>
      </w:pPr>
      <w:r w:rsidRPr="00AD2F44">
        <w:rPr>
          <w:vertAlign w:val="superscript"/>
        </w:rPr>
        <w:footnoteRef/>
      </w:r>
      <w:r w:rsidRPr="00AD2F44">
        <w:t>2005 WL 2240336 (D. Minn. Sept. 14, 2005).</w:t>
      </w:r>
    </w:p>
  </w:footnote>
  <w:footnote w:id="204">
    <w:p w14:paraId="1CDDD52F" w14:textId="77777777" w:rsidR="00721CCF" w:rsidRPr="00AD2F44" w:rsidRDefault="00F42107">
      <w:pPr>
        <w:pStyle w:val="14Footnote"/>
      </w:pPr>
      <w:r w:rsidRPr="00AD2F44">
        <w:rPr>
          <w:vertAlign w:val="superscript"/>
        </w:rPr>
        <w:footnoteRef/>
      </w:r>
      <w:r w:rsidRPr="00AD2F44">
        <w:rPr>
          <w:i/>
          <w:iCs/>
        </w:rPr>
        <w:t>Id.</w:t>
      </w:r>
      <w:r w:rsidRPr="00AD2F44">
        <w:t xml:space="preserve"> at *3.</w:t>
      </w:r>
    </w:p>
  </w:footnote>
  <w:footnote w:id="205">
    <w:p w14:paraId="05483057" w14:textId="77777777" w:rsidR="00721CCF" w:rsidRPr="00AD2F44" w:rsidRDefault="00F42107">
      <w:pPr>
        <w:pStyle w:val="14Footnote"/>
      </w:pPr>
      <w:r w:rsidRPr="00AD2F44">
        <w:rPr>
          <w:vertAlign w:val="superscript"/>
        </w:rPr>
        <w:footnoteRef/>
      </w:r>
      <w:r w:rsidRPr="00AD2F44">
        <w:t>Busler v. Enersys Energy Prods., 2009 WL 2998970, at *4 (W.D. Mo. Sept. 16, 2009) (reasoning that differences in pay policies at various plants did not defeat conditional certification where plaintiffs submitted sufficient evidence of common policy of not paying for donning, doffing, or showering); Lopez v. Tyson Foods, 2008 WL 3485289, at *9–10 (D. Neb. Aug. 7, 2008) (granting certification to poultry processing workers for uncompensated donning, doffing, cleaning, and walking time, finding similarities predominated even where workers used different equipment and were paid by varying methods and supervisors had discretion on overtime pay).</w:t>
      </w:r>
    </w:p>
  </w:footnote>
  <w:footnote w:id="206">
    <w:p w14:paraId="3D7326B6" w14:textId="77777777" w:rsidR="00721CCF" w:rsidRPr="00AD2F44" w:rsidRDefault="00F42107">
      <w:pPr>
        <w:pStyle w:val="14Footnote"/>
      </w:pPr>
      <w:r w:rsidRPr="00AD2F44">
        <w:rPr>
          <w:vertAlign w:val="superscript"/>
        </w:rPr>
        <w:footnoteRef/>
      </w:r>
      <w:r w:rsidRPr="00AD2F44">
        <w:rPr>
          <w:i/>
        </w:rPr>
        <w:t>See, e.g.,</w:t>
      </w:r>
    </w:p>
    <w:p w14:paraId="05A0FB4C" w14:textId="0A013AA4" w:rsidR="00721CCF" w:rsidRPr="00AD2F44" w:rsidRDefault="00F42107">
      <w:pPr>
        <w:pStyle w:val="14Footnote"/>
      </w:pPr>
      <w:r w:rsidRPr="00AD2F44">
        <w:rPr>
          <w:i/>
          <w:iCs/>
        </w:rPr>
        <w:t>Fifth Circuit:</w:t>
      </w:r>
      <w:r w:rsidRPr="00AD2F44">
        <w:t xml:space="preserve"> West v. Lowes Homes </w:t>
      </w:r>
      <w:r w:rsidRPr="00AD2F44">
        <w:t xml:space="preserve">Ctrs., Inc., 2010 WL 5582941, at *1 (W.D. La. Dec. 16, 2010), </w:t>
      </w:r>
      <w:r w:rsidRPr="00AD2F44">
        <w:rPr>
          <w:i/>
          <w:iCs/>
        </w:rPr>
        <w:t>report and recommendation adopted sub nom.</w:t>
      </w:r>
      <w:r w:rsidRPr="00AD2F44">
        <w:t xml:space="preserve"> West v. Lowes Home Ctrs., Inc., 2011 WL 126908 (W.D. La. Jan. 14, 2011); King v. Koch Foods LLC, 2007 WL 1098488 (S.D. Miss. Apr. 10, 2007) (granting certification of donning and doffing claims to include both production and nonproduction hourly workers).</w:t>
      </w:r>
      <w:r w:rsidR="00A16E12" w:rsidRPr="00A16E12">
        <w:rPr>
          <w:b/>
        </w:rPr>
        <w:t xml:space="preserve"> </w:t>
      </w:r>
      <w:r w:rsidR="00A16E12" w:rsidRPr="00AD2F44">
        <w:rPr>
          <w:b/>
        </w:rPr>
        <w:t xml:space="preserve">[Caution: </w:t>
      </w:r>
      <w:r w:rsidR="00A16E12" w:rsidRPr="00AD2F44">
        <w:t xml:space="preserve">The Fifth Circuit later rejected the two-stage process, in </w:t>
      </w:r>
      <w:r w:rsidR="00A16E12" w:rsidRPr="00AD2F44">
        <w:rPr>
          <w:i/>
        </w:rPr>
        <w:t xml:space="preserve">Swales v. KLLM Transport Services, LLC, </w:t>
      </w:r>
      <w:r w:rsidR="00A16E12" w:rsidRPr="00AD2F44">
        <w:t xml:space="preserve">985 F.3d 430 (5th Cir. 2021), in favor of a requirement to “rigorously scrutinize” whether potential opt-ins are similarly situated “from the outset of the case.” </w:t>
      </w:r>
      <w:r w:rsidR="00A16E12" w:rsidRPr="00AD2F44">
        <w:rPr>
          <w:i/>
        </w:rPr>
        <w:t>Id.</w:t>
      </w:r>
      <w:r w:rsidR="00A16E12" w:rsidRPr="00AD2F44">
        <w:t xml:space="preserve"> at 434.</w:t>
      </w:r>
      <w:r w:rsidR="00A16E12" w:rsidRPr="00AD2F44">
        <w:rPr>
          <w:b/>
          <w:bCs/>
        </w:rPr>
        <w:t>]</w:t>
      </w:r>
    </w:p>
    <w:p w14:paraId="0BD54AA9" w14:textId="77777777" w:rsidR="00721CCF" w:rsidRPr="00AD2F44" w:rsidRDefault="00F42107">
      <w:pPr>
        <w:pStyle w:val="14Footnote"/>
      </w:pPr>
      <w:r w:rsidRPr="00AD2F44">
        <w:rPr>
          <w:i/>
          <w:iCs/>
        </w:rPr>
        <w:t>Eighth Circuit:</w:t>
      </w:r>
      <w:r w:rsidRPr="00AD2F44">
        <w:t xml:space="preserve"> Martinez v. Cargill Meat Sols., 265 F.R.D. 490, 498 (D. Neb. 2009) (granting conditional certification and notice to all employees at facility paid on “gang time” despite disparities in job duties, equipment worn, choice to don and doff certain equipment at work, character of equipment as integral and indispensable, and time spent on donning and doffing as de minimis); Dege v. Hutchinson Tech., Inc., 2007 WL 586787 (D. Minn. Feb. 22, 2007) (allowing plaintiffs to expand collective action by production employees who donned and doffed protective gear to avoid product contamination of medical devices and disk drives to include maintenance and other nonproduction employees).</w:t>
      </w:r>
    </w:p>
    <w:p w14:paraId="109DE3C7" w14:textId="766FA5AF" w:rsidR="00721CCF" w:rsidRPr="00AD2F44" w:rsidRDefault="00F42107">
      <w:pPr>
        <w:pStyle w:val="14Footnote"/>
      </w:pPr>
      <w:r w:rsidRPr="00AD2F44">
        <w:rPr>
          <w:i/>
          <w:iCs/>
        </w:rPr>
        <w:t>Ninth Circuit:</w:t>
      </w:r>
      <w:r w:rsidRPr="00AD2F44">
        <w:t xml:space="preserve"> Centurioni v. City &amp; Cnty. of S.F., 2008 WL 295096, at *2 (N.D. Cal. Feb. 1, 2008) (certifying a collective action by police officers over employer’s objection that pre- and post-shift activities may vary by employee’s job position).</w:t>
      </w:r>
    </w:p>
  </w:footnote>
  <w:footnote w:id="207">
    <w:p w14:paraId="14380D7B" w14:textId="6EC93122" w:rsidR="00721CCF" w:rsidRPr="00AD2F44" w:rsidRDefault="00F42107">
      <w:pPr>
        <w:pStyle w:val="14Footnote"/>
      </w:pPr>
      <w:r w:rsidRPr="00AD2F44">
        <w:rPr>
          <w:vertAlign w:val="superscript"/>
        </w:rPr>
        <w:footnoteRef/>
      </w:r>
      <w:r w:rsidRPr="00AD2F44">
        <w:rPr>
          <w:i/>
          <w:iCs/>
        </w:rPr>
        <w:t>See, e.g.,</w:t>
      </w:r>
      <w:r w:rsidRPr="00AD2F44">
        <w:t xml:space="preserve"> </w:t>
      </w:r>
      <w:r w:rsidRPr="00AD2F44">
        <w:rPr>
          <w:i/>
          <w:iCs/>
        </w:rPr>
        <w:t>In re</w:t>
      </w:r>
      <w:r w:rsidRPr="00AD2F44">
        <w:t xml:space="preserve"> Pilgrim’s Pride Fair Labor Standards Act Litig., 2008 WL 4877239 (W.D. Ark. Mar. 13, 2008) (granting companywide conditional certification to poultry processing workers at 21 facilities in multiple actions consolidated in multidistrict proceeding where workers from 18 facilities provided declarations and those from 20 facilities filed consents); Allen v. McWane, Inc.¸ 2006 WL 3246531 (E.D. Tex. Nov. 7, 2006) (granting conditional certification in action by manufacturing workers for unpaid donning, doffing, and walking time on behalf of class of employees at 13 facilities based on declarations from workers at six of facilities).</w:t>
      </w:r>
      <w:r w:rsidR="00A16E12" w:rsidRPr="00A16E12">
        <w:rPr>
          <w:b/>
        </w:rPr>
        <w:t xml:space="preserve"> </w:t>
      </w:r>
      <w:r w:rsidR="00A16E12" w:rsidRPr="00AD2F44">
        <w:rPr>
          <w:b/>
        </w:rPr>
        <w:t xml:space="preserve">[Caution: </w:t>
      </w:r>
      <w:r w:rsidR="00A16E12" w:rsidRPr="00AD2F44">
        <w:t xml:space="preserve">The Fifth Circuit later rejected the two-stage process, in </w:t>
      </w:r>
      <w:r w:rsidR="00A16E12" w:rsidRPr="00AD2F44">
        <w:rPr>
          <w:i/>
        </w:rPr>
        <w:t xml:space="preserve">Swales v. KLLM Transport Services, LLC, </w:t>
      </w:r>
      <w:r w:rsidR="00A16E12" w:rsidRPr="00AD2F44">
        <w:t xml:space="preserve">985 F.3d 430 (5th Cir. 2021), in favor of a requirement to “rigorously scrutinize” whether potential opt-ins are similarly situated “from the outset of the case.” </w:t>
      </w:r>
      <w:r w:rsidR="00A16E12" w:rsidRPr="00AD2F44">
        <w:rPr>
          <w:i/>
        </w:rPr>
        <w:t>Id.</w:t>
      </w:r>
      <w:r w:rsidR="00A16E12" w:rsidRPr="00AD2F44">
        <w:t xml:space="preserve"> at 434.</w:t>
      </w:r>
      <w:r w:rsidR="00A16E12" w:rsidRPr="00AD2F44">
        <w:rPr>
          <w:b/>
          <w:bCs/>
        </w:rPr>
        <w:t>]</w:t>
      </w:r>
    </w:p>
  </w:footnote>
  <w:footnote w:id="208">
    <w:p w14:paraId="4569E666" w14:textId="77777777" w:rsidR="00721CCF" w:rsidRPr="00AD2F44" w:rsidRDefault="00F42107">
      <w:pPr>
        <w:pStyle w:val="14Footnote"/>
      </w:pPr>
      <w:r w:rsidRPr="00AD2F44">
        <w:rPr>
          <w:vertAlign w:val="superscript"/>
        </w:rPr>
        <w:footnoteRef/>
      </w:r>
      <w:r w:rsidRPr="00AD2F44">
        <w:rPr>
          <w:i/>
        </w:rPr>
        <w:t xml:space="preserve">See, e.g., </w:t>
      </w:r>
    </w:p>
    <w:p w14:paraId="0AB8B22C" w14:textId="721122C8" w:rsidR="00721CCF" w:rsidRPr="00AD2F44" w:rsidRDefault="00F42107">
      <w:pPr>
        <w:pStyle w:val="14Footnote"/>
      </w:pPr>
      <w:r w:rsidRPr="00AD2F44">
        <w:rPr>
          <w:i/>
          <w:iCs/>
        </w:rPr>
        <w:t xml:space="preserve">Fifth Circuit: </w:t>
      </w:r>
      <w:r w:rsidRPr="00AD2F44">
        <w:t xml:space="preserve">Nelson v. American Standard, Inc., 2008 WL 906324, at *1, 4 (E.D. Tex. Mar. 31, 2008) (granting certification to employees at 8 of 17 facilities in donning and doffing action brought by hourly line employees, but denying certification at remaining facilities). </w:t>
      </w:r>
      <w:r w:rsidR="00A16E12" w:rsidRPr="00AD2F44">
        <w:rPr>
          <w:b/>
        </w:rPr>
        <w:t xml:space="preserve">[Caution: </w:t>
      </w:r>
      <w:r w:rsidR="00A16E12" w:rsidRPr="00AD2F44">
        <w:t xml:space="preserve">The Fifth Circuit later rejected the two-stage process, in </w:t>
      </w:r>
      <w:r w:rsidR="00A16E12" w:rsidRPr="00AD2F44">
        <w:rPr>
          <w:i/>
        </w:rPr>
        <w:t xml:space="preserve">Swales v. KLLM Transport Services, LLC, </w:t>
      </w:r>
      <w:r w:rsidR="00A16E12" w:rsidRPr="00AD2F44">
        <w:t xml:space="preserve">985 F.3d 430 (5th Cir. 2021), in favor of a requirement to “rigorously scrutinize” whether potential opt-ins are similarly situated “from the outset of the case.” </w:t>
      </w:r>
      <w:r w:rsidR="00A16E12" w:rsidRPr="00AD2F44">
        <w:rPr>
          <w:i/>
        </w:rPr>
        <w:t>Id.</w:t>
      </w:r>
      <w:r w:rsidR="00A16E12" w:rsidRPr="00AD2F44">
        <w:t xml:space="preserve"> at 434.</w:t>
      </w:r>
      <w:r w:rsidR="00A16E12" w:rsidRPr="00AD2F44">
        <w:rPr>
          <w:b/>
          <w:bCs/>
        </w:rPr>
        <w:t>]</w:t>
      </w:r>
    </w:p>
    <w:p w14:paraId="6A97F0AA" w14:textId="77777777" w:rsidR="00721CCF" w:rsidRPr="00AD2F44" w:rsidRDefault="00F42107">
      <w:pPr>
        <w:pStyle w:val="14Footnote"/>
      </w:pPr>
      <w:r w:rsidRPr="00AD2F44">
        <w:rPr>
          <w:i/>
          <w:iCs/>
        </w:rPr>
        <w:t xml:space="preserve">Sixth Circuit: </w:t>
      </w:r>
      <w:r w:rsidRPr="00AD2F44">
        <w:t>Carlson v. Leprino Foods Co., 2006 WL 1851245, at *2–3, 5–6 (W.D. Mich. June 30, 2006) (denying nationwide notice to workers in nine facilities, but authorizing notice to single plant from which employees submitted affidavits; finding that factual differences in compensation policies and donning and doffing practices frustrated judicial economy).</w:t>
      </w:r>
    </w:p>
    <w:p w14:paraId="61F889D0" w14:textId="77777777" w:rsidR="00721CCF" w:rsidRPr="00AD2F44" w:rsidRDefault="00F42107">
      <w:pPr>
        <w:pStyle w:val="14Footnote"/>
      </w:pPr>
      <w:r w:rsidRPr="00AD2F44">
        <w:rPr>
          <w:i/>
          <w:iCs/>
        </w:rPr>
        <w:t xml:space="preserve">Seventh Circuit: </w:t>
      </w:r>
      <w:r w:rsidRPr="00AD2F44">
        <w:t>Solsol v. Scrub, Inc., 2015 WL 1943888 (N.D. Ill. Apr. 27, 2015) (granting conditional certification to janitors at O’Hare airport but denying certification to non-airport workers as no evidence presented concerning non-airport locations).</w:t>
      </w:r>
    </w:p>
  </w:footnote>
  <w:footnote w:id="209">
    <w:p w14:paraId="16CBEB86" w14:textId="77777777" w:rsidR="00721CCF" w:rsidRPr="00AD2F44" w:rsidRDefault="00F42107">
      <w:pPr>
        <w:pStyle w:val="14Footnote"/>
      </w:pPr>
      <w:r w:rsidRPr="00AD2F44">
        <w:rPr>
          <w:vertAlign w:val="superscript"/>
        </w:rPr>
        <w:footnoteRef/>
      </w:r>
      <w:r w:rsidRPr="00AD2F44">
        <w:rPr>
          <w:i/>
        </w:rPr>
        <w:t>See, e.g.,</w:t>
      </w:r>
    </w:p>
    <w:p w14:paraId="281729EE" w14:textId="77777777" w:rsidR="00721CCF" w:rsidRPr="00AD2F44" w:rsidRDefault="00F42107">
      <w:pPr>
        <w:pStyle w:val="14Footnote"/>
      </w:pPr>
      <w:r w:rsidRPr="00AD2F44">
        <w:rPr>
          <w:i/>
          <w:iCs/>
        </w:rPr>
        <w:t>Second Circuit:</w:t>
      </w:r>
      <w:r w:rsidRPr="00AD2F44">
        <w:t xml:space="preserve"> Hanchard-James v. Brookdale Family Care </w:t>
      </w:r>
      <w:r w:rsidRPr="00AD2F44">
        <w:t>Ctrs., 2012 WL 3288810 (E.D.N.Y. Aug. 9, 2012).</w:t>
      </w:r>
    </w:p>
    <w:p w14:paraId="1BB0566C" w14:textId="77777777" w:rsidR="00721CCF" w:rsidRPr="00AD2F44" w:rsidRDefault="00F42107">
      <w:pPr>
        <w:pStyle w:val="14Footnote"/>
      </w:pPr>
      <w:r w:rsidRPr="00AD2F44">
        <w:rPr>
          <w:i/>
          <w:iCs/>
        </w:rPr>
        <w:t>Third Circuit:</w:t>
      </w:r>
      <w:r w:rsidRPr="00AD2F44">
        <w:t xml:space="preserve"> Aboud v. City of Wildwood, 2013 WL 2156248, at *5–6 (D.N.J. May 17, 2013) (granting conditional certification where plaintiffs sufficiently demonstrated that their meal breaks were compensable, because collective bargaining agreements specified that they were subject to recall during their breaks).</w:t>
      </w:r>
    </w:p>
    <w:p w14:paraId="56F0213C" w14:textId="77777777" w:rsidR="00721CCF" w:rsidRPr="00AD2F44" w:rsidRDefault="00F42107">
      <w:pPr>
        <w:pStyle w:val="14Footnote"/>
      </w:pPr>
      <w:r w:rsidRPr="00AD2F44">
        <w:rPr>
          <w:i/>
          <w:iCs/>
        </w:rPr>
        <w:t xml:space="preserve">Fourth Circuit: </w:t>
      </w:r>
      <w:r w:rsidRPr="00AD2F44">
        <w:t>Flores v. Unity Disposal &amp; Recycling, LLC, 2015 WL 1523018 (D. Md. Apr. 2, 2015) (granting conditional certification where company automatically deducted 30-minute meal break).</w:t>
      </w:r>
    </w:p>
    <w:p w14:paraId="5537D6E2" w14:textId="037CE951" w:rsidR="00721CCF" w:rsidRPr="00AD2F44" w:rsidRDefault="00F42107">
      <w:pPr>
        <w:pStyle w:val="14Footnote"/>
      </w:pPr>
      <w:r w:rsidRPr="00AD2F44">
        <w:rPr>
          <w:i/>
          <w:iCs/>
        </w:rPr>
        <w:t>Fifth Circuit:</w:t>
      </w:r>
      <w:r w:rsidRPr="00AD2F44">
        <w:t xml:space="preserve"> Behnken v. Luminant Mining Co., LLC, 997 F. Supp. 2d 511, 514 (N.D. Tex. 2014) (granting conditional certification where plaintiffs showed that meal break policies were same for all employees in class); Corcione v. Methodist Hosp., 2014 WL 6388039 (S.D. Tex. Nov. 14, 2014) (granting conditional certification for nurses at three locations based on policy of automatically deducting meal breaks).</w:t>
      </w:r>
      <w:r w:rsidR="00A16E12" w:rsidRPr="00A16E12">
        <w:rPr>
          <w:b/>
        </w:rPr>
        <w:t xml:space="preserve"> </w:t>
      </w:r>
      <w:r w:rsidR="00A16E12" w:rsidRPr="00AD2F44">
        <w:rPr>
          <w:b/>
        </w:rPr>
        <w:t xml:space="preserve">[Caution: </w:t>
      </w:r>
      <w:r w:rsidR="00A16E12" w:rsidRPr="00AD2F44">
        <w:t xml:space="preserve">The Fifth Circuit later rejected the two-stage process, in </w:t>
      </w:r>
      <w:r w:rsidR="00A16E12" w:rsidRPr="00AD2F44">
        <w:rPr>
          <w:i/>
        </w:rPr>
        <w:t xml:space="preserve">Swales v. KLLM Transport Services, LLC, </w:t>
      </w:r>
      <w:r w:rsidR="00A16E12" w:rsidRPr="00AD2F44">
        <w:t xml:space="preserve">985 F.3d 430 (5th Cir. 2021), in favor of a requirement to “rigorously scrutinize” whether potential opt-ins are similarly situated “from the outset of the case.” </w:t>
      </w:r>
      <w:r w:rsidR="00A16E12" w:rsidRPr="00AD2F44">
        <w:rPr>
          <w:i/>
        </w:rPr>
        <w:t>Id.</w:t>
      </w:r>
      <w:r w:rsidR="00A16E12" w:rsidRPr="00AD2F44">
        <w:t xml:space="preserve"> at 434.</w:t>
      </w:r>
      <w:r w:rsidR="00A16E12" w:rsidRPr="00AD2F44">
        <w:rPr>
          <w:b/>
          <w:bCs/>
        </w:rPr>
        <w:t>]</w:t>
      </w:r>
    </w:p>
    <w:p w14:paraId="5A3B7F01" w14:textId="6B61D1B7" w:rsidR="00721CCF" w:rsidRPr="00AD2F44" w:rsidRDefault="00F42107">
      <w:pPr>
        <w:pStyle w:val="14Footnote"/>
      </w:pPr>
      <w:r w:rsidRPr="00AD2F44">
        <w:rPr>
          <w:i/>
          <w:iCs/>
        </w:rPr>
        <w:t>Sixth Circuit:</w:t>
      </w:r>
      <w:r w:rsidRPr="00AD2F44">
        <w:t xml:space="preserve"> Knecht v. C&amp;W Facility Servs., 534 F. Supp. 3d 870 (S.D. Ohio 2021) (granting conditional certification on unpaid overtime claims based on meal break violations, but narrowing collective definition to hourly, non-exempt maintenance employees who worked more than 40 hours in a workweek, had 30-minute meal periods automatically deducted from their work time, and were unable to take full meal break); Stine v. FedEx Ground Package Sys., Inc., 2019 WL 2518127, at *3–5 (E.D. Ky. June 18, 2019) (granting conditional certification in meal-break violation case where plaintiff produced one declaration in support of motion, noting that courts do not weigh competing evidence, inquire into plaintiff’s credibility, or consider factual disputes at notice stage); Miller v. Jackson, 2011 WL 1060737, at *7 (M.D. Tenn. Mar. 21, 2011) (granting conditional certification for nonexempt employees subject to automatic meal period deduction policy based on allegations that plaintiffs had to work through meal periods); Crawford v. Lexington-Fayette Urban Cnty. Gov’t, 2007 WL 293865 (E.D. Ky. Jan. 26, 2007) (finding a common policy of failure to pay for time worked during meal breaks where employer had no policy on breaks and employee treatment depended on individual commander, but plaintiffs provided a reasonable basis to demonstrate they were similarly situated by testifying that the employer had a common policy of requiring work during breaks and where a survey, although inadmissible hearsay, demonstrated most respondents had missed or worked during breaks).</w:t>
      </w:r>
    </w:p>
    <w:p w14:paraId="37844093" w14:textId="77777777" w:rsidR="00721CCF" w:rsidRPr="00AD2F44" w:rsidRDefault="00F42107">
      <w:pPr>
        <w:pStyle w:val="14Footnote"/>
      </w:pPr>
      <w:r w:rsidRPr="00AD2F44">
        <w:rPr>
          <w:i/>
          <w:iCs/>
        </w:rPr>
        <w:t>Seventh Circuit:</w:t>
      </w:r>
      <w:r w:rsidRPr="00AD2F44">
        <w:t xml:space="preserve"> Ballou v. iTalk, LLC, 2013 WL 3944193 (N.D. Ill. July 31, 2013); Blakes v. Illinois Bell Tel. Co., 2011 WL 2446598, at *3–4 (N.D. Ill. June 15, 2011) (granting conditional certification to putative class of cable splicers alleging that they had to enter 30-minute meal breaks on their timesheets, but that they were forced to work through their meal breaks because they had to maintain safety of worksite and travel from worksite to worksite, reasoning that common policy was shown for purposes of conditional certification primarily on strength of allegation that employees “were required to maintain the safety of their work site throughout their presence at the assigned location, and that this requirement routinely force[d] them to work through their lunch break” and, “on shakier ground,” that their travel from worksite to worksite prevented them from taking a lunch break); Brabazon v. Aurora Health Care, Inc., 2011 WL 1131097, at *3 (E.D. Wis. Mar. 28, 2011) (granting conditional certification for security officers based on two policies—automatic meal period deduction policy and policy to remain available to respond to emergencies at all times—where it was undisputed both policies applied to all security guards, because even though automatic deduction policy is not sufficient on its own to warrant conditional certification, having to be available potentially violated FLSA).</w:t>
      </w:r>
    </w:p>
    <w:p w14:paraId="67AE20DD" w14:textId="77777777" w:rsidR="00721CCF" w:rsidRPr="00AD2F44" w:rsidRDefault="00F42107">
      <w:pPr>
        <w:pStyle w:val="14Footnote"/>
      </w:pPr>
      <w:r w:rsidRPr="00AD2F44">
        <w:rPr>
          <w:i/>
          <w:iCs/>
        </w:rPr>
        <w:t>Eighth Circuit:</w:t>
      </w:r>
      <w:r w:rsidRPr="00AD2F44">
        <w:t xml:space="preserve"> Knaak v. Armour-Eckrich Meats, LLC, 991 F. Supp. 2d 1052 (D. Minn. 2014).</w:t>
      </w:r>
    </w:p>
    <w:p w14:paraId="1E2FB9D8" w14:textId="77777777" w:rsidR="00721CCF" w:rsidRPr="00AD2F44" w:rsidRDefault="00F42107">
      <w:pPr>
        <w:pStyle w:val="14Footnote"/>
      </w:pPr>
      <w:r w:rsidRPr="00AD2F44">
        <w:rPr>
          <w:i/>
          <w:iCs/>
        </w:rPr>
        <w:t>Ninth Circuit:</w:t>
      </w:r>
      <w:r w:rsidRPr="00AD2F44">
        <w:t xml:space="preserve"> Edwards v. City of Long Beach, 467 F. Supp. 2d 986 (C.D. Cal. 2006).</w:t>
      </w:r>
    </w:p>
    <w:p w14:paraId="27F95B1A" w14:textId="46F9993E" w:rsidR="00721CCF" w:rsidRPr="00AD2F44" w:rsidRDefault="00F42107">
      <w:pPr>
        <w:pStyle w:val="14Footnote"/>
      </w:pPr>
      <w:r w:rsidRPr="00AD2F44">
        <w:rPr>
          <w:i/>
          <w:iCs/>
        </w:rPr>
        <w:t>Eleventh Circuit:</w:t>
      </w:r>
      <w:r w:rsidRPr="00AD2F44">
        <w:t xml:space="preserve"> Ohsann v. L.V. Stabler Hosp., 2008 WL 2468559, at *1–2 (M.D. Ala. June 17, 2008).</w:t>
      </w:r>
    </w:p>
  </w:footnote>
  <w:footnote w:id="210">
    <w:p w14:paraId="2428C0CD" w14:textId="77777777" w:rsidR="00721CCF" w:rsidRPr="00AD2F44" w:rsidRDefault="00F42107">
      <w:pPr>
        <w:pStyle w:val="14Footnote"/>
      </w:pPr>
      <w:r w:rsidRPr="00AD2F44">
        <w:rPr>
          <w:vertAlign w:val="superscript"/>
        </w:rPr>
        <w:footnoteRef/>
      </w:r>
      <w:r w:rsidRPr="00AD2F44">
        <w:t>2007 WL 3145980 (W.D. Ky. Oct. 25, 2007).</w:t>
      </w:r>
    </w:p>
  </w:footnote>
  <w:footnote w:id="211">
    <w:p w14:paraId="4A792F78" w14:textId="77777777" w:rsidR="00721CCF" w:rsidRPr="00AD2F44" w:rsidRDefault="00F42107">
      <w:pPr>
        <w:pStyle w:val="14Footnote"/>
      </w:pPr>
      <w:r w:rsidRPr="00AD2F44">
        <w:rPr>
          <w:vertAlign w:val="superscript"/>
        </w:rPr>
        <w:footnoteRef/>
      </w:r>
      <w:r w:rsidRPr="00AD2F44">
        <w:rPr>
          <w:i/>
          <w:iCs/>
        </w:rPr>
        <w:t>Id</w:t>
      </w:r>
      <w:r w:rsidRPr="00AD2F44">
        <w:t>. at *3.</w:t>
      </w:r>
    </w:p>
  </w:footnote>
  <w:footnote w:id="212">
    <w:p w14:paraId="261EF4DF" w14:textId="77777777" w:rsidR="00721CCF" w:rsidRPr="00AD2F44" w:rsidRDefault="00F42107">
      <w:pPr>
        <w:pStyle w:val="14Footnote"/>
      </w:pPr>
      <w:r w:rsidRPr="00AD2F44">
        <w:rPr>
          <w:vertAlign w:val="superscript"/>
        </w:rPr>
        <w:footnoteRef/>
      </w:r>
      <w:r w:rsidRPr="00AD2F44">
        <w:t>465 F. Supp. 2d 224 (W.D.N.Y. 2006).</w:t>
      </w:r>
    </w:p>
  </w:footnote>
  <w:footnote w:id="213">
    <w:p w14:paraId="0CA4E688" w14:textId="77777777" w:rsidR="00721CCF" w:rsidRPr="00AD2F44" w:rsidRDefault="00F42107">
      <w:pPr>
        <w:pStyle w:val="14Footnote"/>
      </w:pPr>
      <w:r w:rsidRPr="00AD2F44">
        <w:rPr>
          <w:vertAlign w:val="superscript"/>
        </w:rPr>
        <w:footnoteRef/>
      </w:r>
      <w:r w:rsidRPr="00AD2F44">
        <w:rPr>
          <w:i/>
          <w:iCs/>
        </w:rPr>
        <w:t>Id.</w:t>
      </w:r>
      <w:r w:rsidRPr="00AD2F44">
        <w:t xml:space="preserve"> at 230. </w:t>
      </w:r>
    </w:p>
  </w:footnote>
  <w:footnote w:id="214">
    <w:p w14:paraId="2D2CA8E1" w14:textId="77777777" w:rsidR="00721CCF" w:rsidRPr="00AD2F44" w:rsidRDefault="00F42107">
      <w:pPr>
        <w:pStyle w:val="14Footnote"/>
      </w:pPr>
      <w:r w:rsidRPr="00AD2F44">
        <w:rPr>
          <w:vertAlign w:val="superscript"/>
        </w:rPr>
        <w:footnoteRef/>
      </w:r>
      <w:r w:rsidRPr="00AD2F44">
        <w:rPr>
          <w:i/>
          <w:iCs/>
        </w:rPr>
        <w:t>See, e.g.,</w:t>
      </w:r>
      <w:r w:rsidRPr="00AD2F44">
        <w:t xml:space="preserve"> Trembley v. Chevron Stations, Inc., 2008 WL 2020514 (N.D. Cal. May 8, 2008) (granting conditional certification for time worked during breaks by employees who worked graveyard shifts).</w:t>
      </w:r>
    </w:p>
  </w:footnote>
  <w:footnote w:id="215">
    <w:p w14:paraId="25577F6E" w14:textId="77777777" w:rsidR="00721CCF" w:rsidRPr="00AD2F44" w:rsidRDefault="00F42107">
      <w:pPr>
        <w:pStyle w:val="14Footnote"/>
      </w:pPr>
      <w:r w:rsidRPr="00AD2F44">
        <w:rPr>
          <w:vertAlign w:val="superscript"/>
        </w:rPr>
        <w:footnoteRef/>
      </w:r>
      <w:r w:rsidRPr="00AD2F44">
        <w:rPr>
          <w:i/>
        </w:rPr>
        <w:t>See, e.g.,</w:t>
      </w:r>
    </w:p>
    <w:p w14:paraId="28C06193" w14:textId="77777777" w:rsidR="00721CCF" w:rsidRPr="00AD2F44" w:rsidRDefault="00F42107">
      <w:pPr>
        <w:pStyle w:val="14Footnote"/>
      </w:pPr>
      <w:r w:rsidRPr="00AD2F44">
        <w:rPr>
          <w:i/>
          <w:iCs/>
        </w:rPr>
        <w:t>Third Circuit:</w:t>
      </w:r>
      <w:r w:rsidRPr="00AD2F44">
        <w:t xml:space="preserve"> </w:t>
      </w:r>
      <w:r w:rsidRPr="00AD2F44">
        <w:t>Camesi v. University of Pittsburgh Med. Ctr., 2009 WL 1361265, at *5 (W.D. Pa. May 14, 2009) (granting conditional certification where employer’s policy automatically deducted 30 minutes for lunch for all hourly employees, even if only nurses submitted affidavits).</w:t>
      </w:r>
    </w:p>
    <w:p w14:paraId="776C0A3C" w14:textId="77777777" w:rsidR="00721CCF" w:rsidRPr="00AD2F44" w:rsidRDefault="00F42107">
      <w:pPr>
        <w:pStyle w:val="14Footnote"/>
      </w:pPr>
      <w:r w:rsidRPr="00AD2F44">
        <w:rPr>
          <w:i/>
          <w:iCs/>
        </w:rPr>
        <w:t>Sixth Circuit:</w:t>
      </w:r>
      <w:r w:rsidRPr="00AD2F44">
        <w:t xml:space="preserve"> Tyler v. Taco Bell Corp., 2016 U.S. Dist. Lexis 58549 (W.D. Tenn. May 3, 2016) (granting conditional certification as to certain locations, limiting it to those where plaintiff showed that assistant general managers were misclassified); Lindberg v. UHS of Lakeside, LLC, 761 F. Supp. 2d 752, 763–64 (W.D. Tenn. 2011) (conditionally certifying class of nonexempt employees, refusing to limit scope to direct care positions, because putative class members were all subject to same alleged unlawful practice of performing work during unpaid meal breaks).</w:t>
      </w:r>
    </w:p>
    <w:p w14:paraId="06D184BB" w14:textId="77777777" w:rsidR="00721CCF" w:rsidRDefault="00F42107">
      <w:pPr>
        <w:pStyle w:val="14Footnote"/>
      </w:pPr>
      <w:r w:rsidRPr="00AD2F44">
        <w:rPr>
          <w:i/>
          <w:iCs/>
        </w:rPr>
        <w:t>Seventh Circuit:</w:t>
      </w:r>
      <w:r w:rsidRPr="00AD2F44">
        <w:t xml:space="preserve"> Fosbinder-Bittorf v. SSM Health Care of Wis., Inc., 2013 WL 3287634, at *5–7 (W.D. Wis. Mar. 21, 2013) (granting conditional certification on meal break claims involving automatic meal-period deduction, based on allegation that nurses regularly had to work through breaks or were interrupted so often that employer knew or should have known breaks were compensable, and holding any individual factual determinations were not necessary to determine at initial stage); Craft v. Ray’s, LLC, 2008 WL 4810546, at *2 (S.D. Ind. Oct. 29, 2008) (conditionally certifying class of drivers and “slingers” for trash removal service where plaintiffs submitted evidence that they were all subject to automatic 20-minute meal break deduction, regardless of whether they took meal break).</w:t>
      </w:r>
    </w:p>
    <w:p w14:paraId="2AE5556C" w14:textId="28BB98FC" w:rsidR="00721CCF" w:rsidRPr="00EB29EE" w:rsidRDefault="00F42107">
      <w:pPr>
        <w:pStyle w:val="14Footnote"/>
      </w:pPr>
      <w:r>
        <w:rPr>
          <w:i/>
          <w:iCs/>
        </w:rPr>
        <w:t>Eighth Circuit:</w:t>
      </w:r>
      <w:r>
        <w:t xml:space="preserve"> Peck v. Mercy Health, </w:t>
      </w:r>
      <w:r w:rsidR="00E35884" w:rsidRPr="00E35884">
        <w:t>2022 BL 462015</w:t>
      </w:r>
      <w:r w:rsidR="00E35884">
        <w:t xml:space="preserve">, </w:t>
      </w:r>
      <w:r w:rsidR="002E55FE" w:rsidRPr="002E55FE">
        <w:t>2022 WL 17961184</w:t>
      </w:r>
      <w:r w:rsidR="002E55FE">
        <w:t>, at *5</w:t>
      </w:r>
      <w:r>
        <w:t xml:space="preserve"> (E.D. Mo. Dec. 27, 2022) (granting conditional certification to direct patient care personnel based on sufficient evidence and the “low standard” at this stage that they were subject to an automatic meal-break deduction policy, often unable to take breaks based on the workload, and were discouraged from canceling the automatic deduction if they could not take the break).</w:t>
      </w:r>
    </w:p>
    <w:p w14:paraId="2EDDA0D3" w14:textId="7CD09972" w:rsidR="00721CCF" w:rsidRPr="00AD2F44" w:rsidRDefault="00F42107">
      <w:pPr>
        <w:pStyle w:val="14Footnote"/>
      </w:pPr>
      <w:r w:rsidRPr="00AD2F44">
        <w:rPr>
          <w:i/>
          <w:iCs/>
        </w:rPr>
        <w:t>Eleventh Circuit:</w:t>
      </w:r>
      <w:r w:rsidRPr="00AD2F44">
        <w:t xml:space="preserve"> </w:t>
      </w:r>
      <w:r w:rsidRPr="00AD2F44">
        <w:rPr>
          <w:i/>
          <w:iCs/>
        </w:rPr>
        <w:t>Ohsann</w:t>
      </w:r>
      <w:r w:rsidRPr="00AD2F44">
        <w:t>, 2008 WL 2468559, at *1–2 (granting collective action certification to nurses, clerks, pharmacy technicians, and emergency room admission technicians where employer automatically deducted meal periods and workers asserted they were required to work during unpaid breaks due to a heavy workload in understaffed facility); Brown v. Maximum Efficiency Squared, LLC, 2008 WL 1924983, at *1–2 (M.D. Ala. Apr. 30, 2008) (granting conditional certification for time worked during lunch periods where workers had different job duties but automatic deduction of lunch period from pay was the same).</w:t>
      </w:r>
    </w:p>
  </w:footnote>
  <w:footnote w:id="216">
    <w:p w14:paraId="076F7C8C" w14:textId="77777777" w:rsidR="00721CCF" w:rsidRPr="00AD2F44" w:rsidRDefault="00F42107">
      <w:pPr>
        <w:pStyle w:val="14Footnote"/>
      </w:pPr>
      <w:r w:rsidRPr="00AD2F44">
        <w:rPr>
          <w:vertAlign w:val="superscript"/>
        </w:rPr>
        <w:footnoteRef/>
      </w:r>
      <w:r w:rsidRPr="00AD2F44">
        <w:rPr>
          <w:i/>
          <w:iCs/>
        </w:rPr>
        <w:t>See, e.g.,</w:t>
      </w:r>
      <w:r w:rsidRPr="00AD2F44">
        <w:t xml:space="preserve"> Edwards v. City of Long Beach, 467 F. Supp. 2d 986 (C.D. Cal. 2006) (granting conditional certification to officers ranked lieutenant and below where plaintiffs submitted affidavits and supporting exhibits that named plaintiff and others routinely worked through breaks).</w:t>
      </w:r>
    </w:p>
  </w:footnote>
  <w:footnote w:id="217">
    <w:p w14:paraId="5B09BBAF" w14:textId="77777777" w:rsidR="00721CCF" w:rsidRPr="00AD2F44" w:rsidRDefault="00F42107">
      <w:pPr>
        <w:pStyle w:val="14Footnote"/>
      </w:pPr>
      <w:r w:rsidRPr="00AD2F44">
        <w:rPr>
          <w:vertAlign w:val="superscript"/>
        </w:rPr>
        <w:footnoteRef/>
      </w:r>
      <w:r w:rsidRPr="00AD2F44">
        <w:rPr>
          <w:i/>
          <w:iCs/>
        </w:rPr>
        <w:t>See, e.g.,</w:t>
      </w:r>
      <w:r w:rsidRPr="00AD2F44">
        <w:t xml:space="preserve"> Phelps v. Parsons Tech. Support, Inc., 2010 WL 4386918, at *5 (S.D. Ind. Oct. 29, 2010) (limiting conditional certification to others in same job position, because plaintiffs did not show that individuals in other job positions were similarly situated “with respect to the work-related activities for which [plaintiffs] allege they were not paid overtime”); Sherrill v. Sutherland Global Serv., Inc., 487 F. Supp. 2d 344 (W.D.N.Y. 2007) (granting conditional certification to telemarketing agents at call centers where plaintiffs submitted affidavits from workers at 10 of 11 facilities alleging uncompensated work during breaks, but denying certification to proposed class of all hourly employees because affidavits submitted only by telemarketers).</w:t>
      </w:r>
    </w:p>
  </w:footnote>
  <w:footnote w:id="218">
    <w:p w14:paraId="1F720497" w14:textId="6C13E972" w:rsidR="00721CCF" w:rsidRPr="00AD2F44" w:rsidRDefault="00F42107">
      <w:pPr>
        <w:pStyle w:val="14Footnote"/>
      </w:pPr>
      <w:r w:rsidRPr="00AD2F44">
        <w:rPr>
          <w:vertAlign w:val="superscript"/>
        </w:rPr>
        <w:footnoteRef/>
      </w:r>
      <w:r w:rsidRPr="00AD2F44">
        <w:rPr>
          <w:i/>
          <w:iCs/>
        </w:rPr>
        <w:t>See, e.g.,</w:t>
      </w:r>
      <w:r w:rsidRPr="00AD2F44">
        <w:t xml:space="preserve"> </w:t>
      </w:r>
      <w:r w:rsidRPr="00AD2F44">
        <w:t>Updite v. Delta Beverage Grp., Inc., 2006 WL 3718229 (W.D. La. Dec. 15, 2006) (granting plaintiffs’ motion to expand certified action from one to two facilities based on one affidavit by an employee at second facility alleging that she and 10 to 15 other employees had been uncompensated, noting judicial economy favored certification since defendant would otherwise face two suits).</w:t>
      </w:r>
      <w:r w:rsidR="00A16E12" w:rsidRPr="00A16E12">
        <w:rPr>
          <w:b/>
        </w:rPr>
        <w:t xml:space="preserve"> </w:t>
      </w:r>
      <w:r w:rsidR="00A16E12" w:rsidRPr="00AD2F44">
        <w:rPr>
          <w:b/>
        </w:rPr>
        <w:t xml:space="preserve">[Caution: </w:t>
      </w:r>
      <w:r w:rsidR="00A16E12" w:rsidRPr="00AD2F44">
        <w:t xml:space="preserve">The Fifth Circuit later rejected the two-stage process, in </w:t>
      </w:r>
      <w:r w:rsidR="00A16E12" w:rsidRPr="00AD2F44">
        <w:rPr>
          <w:i/>
        </w:rPr>
        <w:t xml:space="preserve">Swales v. KLLM Transport Services, LLC, </w:t>
      </w:r>
      <w:r w:rsidR="00A16E12" w:rsidRPr="00AD2F44">
        <w:t xml:space="preserve">985 F.3d 430 (5th Cir. 2021), in favor of a requirement to “rigorously scrutinize” whether potential opt-ins are similarly situated “from the outset of the case.” </w:t>
      </w:r>
      <w:r w:rsidR="00A16E12" w:rsidRPr="00AD2F44">
        <w:rPr>
          <w:i/>
        </w:rPr>
        <w:t>Id.</w:t>
      </w:r>
      <w:r w:rsidR="00A16E12" w:rsidRPr="00AD2F44">
        <w:t xml:space="preserve"> at 434.</w:t>
      </w:r>
      <w:r w:rsidR="00A16E12" w:rsidRPr="00AD2F44">
        <w:rPr>
          <w:b/>
          <w:bCs/>
        </w:rPr>
        <w:t>]</w:t>
      </w:r>
    </w:p>
  </w:footnote>
  <w:footnote w:id="219">
    <w:p w14:paraId="7426CA6D" w14:textId="77777777" w:rsidR="00721CCF" w:rsidRPr="00AD2F44" w:rsidRDefault="00F42107">
      <w:pPr>
        <w:pStyle w:val="14Footnote"/>
      </w:pPr>
      <w:r w:rsidRPr="00AD2F44">
        <w:rPr>
          <w:vertAlign w:val="superscript"/>
        </w:rPr>
        <w:footnoteRef/>
      </w:r>
      <w:r w:rsidRPr="00AD2F44">
        <w:rPr>
          <w:i/>
          <w:iCs/>
        </w:rPr>
        <w:t>See, e.g.,</w:t>
      </w:r>
      <w:r w:rsidRPr="00AD2F44">
        <w:t xml:space="preserve"> Colozzi v. St. Joseph’s Hosp. Health Ctr., 595 F. Supp. 2d 200 (N.D.N.Y. 2009) (granting conditional certification but limiting putative class to nurses with direct patient care responsibilities and who were subject to automatic meal period deduction); Mares v. Caesars Entm’t, Inc., 2007 WL 118877 (S.D. Ind. Jan. 10, 2007) (limiting certification of claims alleging failure to compensate security guards for mandatory 15-minute pre-shift meetings and work performed during break periods to the casino where plaintiff worked, and denying certification to officers at other casinos nationwide, finding insufficient plaintiff’s hearsay testimony based on conversations with officers at other casinos).</w:t>
      </w:r>
    </w:p>
  </w:footnote>
  <w:footnote w:id="220">
    <w:p w14:paraId="0F30B2EF" w14:textId="77777777" w:rsidR="00721CCF" w:rsidRPr="00AD2F44" w:rsidRDefault="00F42107">
      <w:pPr>
        <w:pStyle w:val="14Footnote"/>
      </w:pPr>
      <w:r w:rsidRPr="00AD2F44">
        <w:rPr>
          <w:vertAlign w:val="superscript"/>
        </w:rPr>
        <w:footnoteRef/>
      </w:r>
      <w:r w:rsidRPr="00AD2F44">
        <w:t xml:space="preserve">Weil v. Metal Techs., Inc., 2016 WL 286396, at *9 (S.D. Ind. Jan. 25, 2016); </w:t>
      </w:r>
      <w:r w:rsidRPr="00AD2F44">
        <w:rPr>
          <w:i/>
          <w:iCs/>
        </w:rPr>
        <w:t>see also</w:t>
      </w:r>
      <w:r w:rsidRPr="00AD2F44">
        <w:t xml:space="preserve"> Hypolite v. Health Care Servs. of N.Y., Inc., 256 F. Supp. 3d 485, 495–96 (S.D.N.Y. 2017) (denying conditional certification where plaintiff failed to provide evidence that alleged policies applied to other workers). </w:t>
      </w:r>
    </w:p>
  </w:footnote>
  <w:footnote w:id="221">
    <w:p w14:paraId="5A4D2DB3" w14:textId="77777777" w:rsidR="00721CCF" w:rsidRPr="00AD2F44" w:rsidRDefault="00F42107">
      <w:pPr>
        <w:pStyle w:val="14Footnote"/>
      </w:pPr>
      <w:r w:rsidRPr="00AD2F44">
        <w:rPr>
          <w:vertAlign w:val="superscript"/>
        </w:rPr>
        <w:footnoteRef/>
      </w:r>
      <w:r w:rsidRPr="00AD2F44">
        <w:rPr>
          <w:i/>
          <w:iCs/>
        </w:rPr>
        <w:t>Weil</w:t>
      </w:r>
      <w:r w:rsidRPr="00AD2F44">
        <w:t xml:space="preserve">, 2016 WL 286396, at *9. </w:t>
      </w:r>
    </w:p>
  </w:footnote>
  <w:footnote w:id="222">
    <w:p w14:paraId="5DDF12AD" w14:textId="77777777" w:rsidR="00721CCF" w:rsidRPr="00AD2F44" w:rsidRDefault="00F42107">
      <w:pPr>
        <w:pStyle w:val="14Footnote"/>
      </w:pPr>
      <w:r w:rsidRPr="00AD2F44">
        <w:rPr>
          <w:vertAlign w:val="superscript"/>
        </w:rPr>
        <w:footnoteRef/>
      </w:r>
      <w:r w:rsidRPr="00AD2F44">
        <w:t>2005 WL 1140605, at *1–2 (W.D. Tex. May 16, 2005).</w:t>
      </w:r>
    </w:p>
  </w:footnote>
  <w:footnote w:id="223">
    <w:p w14:paraId="51DC7134" w14:textId="77777777" w:rsidR="00721CCF" w:rsidRPr="00AD2F44" w:rsidRDefault="00F42107">
      <w:pPr>
        <w:pStyle w:val="14Footnote"/>
      </w:pPr>
      <w:r w:rsidRPr="00AD2F44">
        <w:rPr>
          <w:vertAlign w:val="superscript"/>
        </w:rPr>
        <w:footnoteRef/>
      </w:r>
      <w:r w:rsidRPr="00AD2F44">
        <w:rPr>
          <w:i/>
        </w:rPr>
        <w:t>See, e.g.,</w:t>
      </w:r>
    </w:p>
    <w:p w14:paraId="10EFC97C" w14:textId="77777777" w:rsidR="00721CCF" w:rsidRPr="00AD2F44" w:rsidRDefault="00F42107">
      <w:pPr>
        <w:pStyle w:val="14Footnote"/>
      </w:pPr>
      <w:r w:rsidRPr="00AD2F44">
        <w:rPr>
          <w:i/>
          <w:iCs/>
        </w:rPr>
        <w:t>First Circuit:</w:t>
      </w:r>
      <w:r w:rsidRPr="00AD2F44">
        <w:t xml:space="preserve"> Botero v. Commonwealth Limousine Serv. Inc., 2013 WL 3929785 (D. Mass. July 25, 2013).</w:t>
      </w:r>
    </w:p>
    <w:p w14:paraId="5A115B9C" w14:textId="77777777" w:rsidR="00721CCF" w:rsidRPr="00AD2F44" w:rsidRDefault="00F42107">
      <w:pPr>
        <w:pStyle w:val="14Footnote"/>
      </w:pPr>
      <w:r w:rsidRPr="00AD2F44">
        <w:rPr>
          <w:i/>
          <w:iCs/>
        </w:rPr>
        <w:t>Fourth Circuit: In re</w:t>
      </w:r>
      <w:r w:rsidRPr="00AD2F44">
        <w:t xml:space="preserve"> Family Dollar FLSA Litig., 2014 WL 1091356 (W.D.N.C. Mar. 18, 2014) (finding that plaintiff and opt-in plaintiff were not similarly situated to other putative class members because of variations in job duties); Blaney v. Charlotte-Mecklenburg Hosp. Auth., 2011 WL 4351631, at *7 (W.D.N.C. Sept. 16, 2011) (denying conditional certification on claim of off-the-clock work during unpaid meal breaks because evidence of automatic deduction policy was not sufficient for certification; there was no common policy of employees having to be on call during meal breaks).</w:t>
      </w:r>
    </w:p>
    <w:p w14:paraId="66F44709" w14:textId="77777777" w:rsidR="00721CCF" w:rsidRPr="00AD2F44" w:rsidRDefault="00F42107">
      <w:pPr>
        <w:pStyle w:val="14Footnote"/>
      </w:pPr>
      <w:r w:rsidRPr="00AD2F44">
        <w:rPr>
          <w:i/>
          <w:iCs/>
        </w:rPr>
        <w:t>Seventh Circuit:</w:t>
      </w:r>
      <w:r w:rsidRPr="00AD2F44">
        <w:t xml:space="preserve"> Boelk v. AT&amp;T </w:t>
      </w:r>
      <w:r w:rsidRPr="00AD2F44">
        <w:t>Teleholdings, Inc., 2013 WL 261265, at *15 (W.D. Wis. Jan. 10, 2013) (denying certification in meal break overtime claim involving automatic meal break deduction policy because break time analysis was unable to be resolved on classwide basis where experiences of technicians differed substantially and local supervisors had significant discretion).</w:t>
      </w:r>
    </w:p>
    <w:p w14:paraId="44561C88" w14:textId="77777777" w:rsidR="00721CCF" w:rsidRPr="00AD2F44" w:rsidRDefault="00F42107">
      <w:pPr>
        <w:pStyle w:val="14Footnote"/>
      </w:pPr>
      <w:r w:rsidRPr="00AD2F44">
        <w:rPr>
          <w:i/>
          <w:iCs/>
        </w:rPr>
        <w:t>Eighth Circuit:</w:t>
      </w:r>
      <w:r w:rsidRPr="00AD2F44">
        <w:t xml:space="preserve"> Saleen v. Waste Mgmt., Inc., 649 F. Supp. 2d 937, 941–43 (D. Minn. 2009) (denying conditional certification on claim of being unpaid for worked meal breaks where plaintiffs offered no direct evidence of companywide policy to deny pay for worked meal breaks, plaintiffs’ evidence of working through breaks was minor considering size of company, because mistakes can be expected, and defendants’ evidence of individuals who were paid for worked meal breaks further undermined plaintiffs’ position); Wacker v. Personal Touch Home Care, Inc., 2008 WL 4838146, at *3–4 (E.D. Mo. Nov. 6, 2008) (denying conditional certification on claim of working through meal breaks where plaintiffs’ only evidence was sole affidavit from former regional manager at one location, whose affidavit was conclusory, whose personal knowledge of and statements about working through meal breaks were refuted by 17 affidavits from current management officials, and where plaintiff offered no evidence of companywide policy of working through meal breaks).</w:t>
      </w:r>
    </w:p>
    <w:p w14:paraId="36915557" w14:textId="77777777" w:rsidR="00721CCF" w:rsidRPr="00AD2F44" w:rsidRDefault="00F42107">
      <w:pPr>
        <w:pStyle w:val="14Footnote"/>
      </w:pPr>
      <w:r w:rsidRPr="00AD2F44">
        <w:rPr>
          <w:i/>
          <w:iCs/>
        </w:rPr>
        <w:t>Ninth Circuit:</w:t>
      </w:r>
      <w:r w:rsidRPr="00AD2F44">
        <w:t xml:space="preserve"> Gessele v. Jack in the Box, Inc., 2013 WL 1326563, at *26–28 (D. Or. Jan. 28, 2013), </w:t>
      </w:r>
      <w:r w:rsidRPr="00AD2F44">
        <w:rPr>
          <w:i/>
          <w:iCs/>
        </w:rPr>
        <w:t>report and recommendation adopted</w:t>
      </w:r>
      <w:r w:rsidRPr="00AD2F44">
        <w:t>, 2013 WL 1326538, at *6 (D. Or. Apr. 1, 2013) (denying certification, utilizing “intermediate” review standard, despite defendant’s uniform nationwide employee break policy and timekeeping system because whether employee whose break was interrupted was unpaid depended on individualized assessment).</w:t>
      </w:r>
    </w:p>
    <w:p w14:paraId="0083AC79" w14:textId="331AD8CA" w:rsidR="00721CCF" w:rsidRPr="00AD2F44" w:rsidRDefault="00F42107">
      <w:pPr>
        <w:pStyle w:val="14Footnote"/>
      </w:pPr>
      <w:r w:rsidRPr="00AD2F44">
        <w:rPr>
          <w:i/>
          <w:iCs/>
        </w:rPr>
        <w:t>Eleventh Circuit:</w:t>
      </w:r>
      <w:r w:rsidRPr="00AD2F44">
        <w:t xml:space="preserve"> Udo v. Lincare, Inc., 2014 WL 5354589 (M.D. Fla. Sept. 14, 2014) (denying nationwide notice where automatic meal deduction policy was alleged because significant variances in scheduling, number of hours worked, and delivery routes and routines, as well as manner in which defendant’s meal policies were enforced, would require fact-specific and individualized inquiries); Ledbetter v. Pruitt Corp., 2007 WL 496451, at *4 (M.D. Ga. Feb. 12, 2007) (denying certification statewide where plaintiff failed to meet burden to provide “substantial and detailed allegations” and evidence to support claim, and employees worked in different facilities, had different job duties, and worked under different conditions).</w:t>
      </w:r>
    </w:p>
  </w:footnote>
  <w:footnote w:id="224">
    <w:p w14:paraId="567C4478" w14:textId="77777777" w:rsidR="00721CCF" w:rsidRPr="00AD2F44" w:rsidRDefault="00F42107">
      <w:pPr>
        <w:pStyle w:val="14Footnote"/>
      </w:pPr>
      <w:r w:rsidRPr="00AD2F44">
        <w:rPr>
          <w:vertAlign w:val="superscript"/>
        </w:rPr>
        <w:footnoteRef/>
      </w:r>
      <w:r w:rsidRPr="00AD2F44">
        <w:t>574 F. Supp. 2d 618 (N.D. Tex. 2008).</w:t>
      </w:r>
    </w:p>
  </w:footnote>
  <w:footnote w:id="225">
    <w:p w14:paraId="785B975E" w14:textId="77777777" w:rsidR="00721CCF" w:rsidRPr="00AD2F44" w:rsidRDefault="00F42107">
      <w:pPr>
        <w:pStyle w:val="14Footnote"/>
      </w:pPr>
      <w:r w:rsidRPr="00AD2F44">
        <w:rPr>
          <w:vertAlign w:val="superscript"/>
        </w:rPr>
        <w:footnoteRef/>
      </w:r>
      <w:r w:rsidRPr="00AD2F44">
        <w:t>29 C.F.R. §785.48; see also Chapter 8, Compensable Hours, §V [Recording Working Time</w:t>
      </w:r>
      <w:r w:rsidRPr="00AD2F44">
        <w:rPr>
          <w:smallCaps/>
        </w:rPr>
        <w:t>].</w:t>
      </w:r>
    </w:p>
  </w:footnote>
  <w:footnote w:id="226">
    <w:p w14:paraId="6CCAEC67" w14:textId="77777777" w:rsidR="00721CCF" w:rsidRPr="00AD2F44" w:rsidRDefault="00F42107">
      <w:pPr>
        <w:pStyle w:val="14Footnote"/>
      </w:pPr>
      <w:r w:rsidRPr="00AD2F44">
        <w:rPr>
          <w:vertAlign w:val="superscript"/>
        </w:rPr>
        <w:footnoteRef/>
      </w:r>
      <w:r w:rsidRPr="00AD2F44">
        <w:t xml:space="preserve">However, testimony from company representatives as to the company’s decentralized practices will not necessarily defeat conditional certification. </w:t>
      </w:r>
      <w:r w:rsidRPr="00AD2F44">
        <w:rPr>
          <w:i/>
          <w:iCs/>
        </w:rPr>
        <w:t>See</w:t>
      </w:r>
      <w:r w:rsidRPr="00AD2F44">
        <w:t xml:space="preserve"> Gil v. Solectron Corp., 2009 U.S. Dist. LEXIS 3413, at *10–11 (N.D. Cal. Jan. 7, 2009) (granting conditional certification even though company representatives</w:t>
      </w:r>
      <w:r w:rsidRPr="00AD2F44">
        <w:t xml:space="preserve"> asserted that there was no companywide policy to underpay its employees in rounding case where practices were decentralized because “[f]urther discovery with notice to the class will ideally clarify the policies of each facility”).</w:t>
      </w:r>
    </w:p>
  </w:footnote>
  <w:footnote w:id="227">
    <w:p w14:paraId="3FDC23FA" w14:textId="3572D2E6" w:rsidR="00721CCF" w:rsidRPr="00AD2F44" w:rsidRDefault="00F42107">
      <w:pPr>
        <w:pStyle w:val="14Footnote"/>
      </w:pPr>
      <w:r w:rsidRPr="00AD2F44">
        <w:rPr>
          <w:vertAlign w:val="superscript"/>
        </w:rPr>
        <w:footnoteRef/>
      </w:r>
      <w:r w:rsidRPr="00AD2F44">
        <w:t>2006 U.S. Dist. LEXIS 91454 (S.D. Tex. Dec. 19, 2006).</w:t>
      </w:r>
      <w:r w:rsidR="00A16E12" w:rsidRPr="00A16E12">
        <w:rPr>
          <w:b/>
        </w:rPr>
        <w:t xml:space="preserve"> </w:t>
      </w:r>
      <w:r w:rsidR="00A16E12" w:rsidRPr="00AD2F44">
        <w:rPr>
          <w:b/>
        </w:rPr>
        <w:t xml:space="preserve">[Caution: </w:t>
      </w:r>
      <w:r w:rsidR="00A16E12" w:rsidRPr="00AD2F44">
        <w:t xml:space="preserve">The Fifth Circuit later rejected the two-stage process, in </w:t>
      </w:r>
      <w:r w:rsidR="00A16E12" w:rsidRPr="00AD2F44">
        <w:rPr>
          <w:i/>
        </w:rPr>
        <w:t xml:space="preserve">Swales v. KLLM Transport Services, LLC, </w:t>
      </w:r>
      <w:r w:rsidR="00A16E12" w:rsidRPr="00AD2F44">
        <w:t xml:space="preserve">985 F.3d 430 (5th Cir. 2021), in favor of a requirement to “rigorously scrutinize” whether potential opt-ins are similarly situated “from the outset of the case.” </w:t>
      </w:r>
      <w:r w:rsidR="00A16E12" w:rsidRPr="00AD2F44">
        <w:rPr>
          <w:i/>
        </w:rPr>
        <w:t>Id.</w:t>
      </w:r>
      <w:r w:rsidR="00A16E12" w:rsidRPr="00AD2F44">
        <w:t xml:space="preserve"> at 434.</w:t>
      </w:r>
      <w:r w:rsidR="00A16E12" w:rsidRPr="00AD2F44">
        <w:rPr>
          <w:b/>
          <w:bCs/>
        </w:rPr>
        <w:t>]</w:t>
      </w:r>
    </w:p>
  </w:footnote>
  <w:footnote w:id="228">
    <w:p w14:paraId="7B5D11B2" w14:textId="77777777" w:rsidR="00721CCF" w:rsidRPr="00AD2F44" w:rsidRDefault="00F42107">
      <w:pPr>
        <w:pStyle w:val="14Footnote"/>
      </w:pPr>
      <w:r w:rsidRPr="00AD2F44">
        <w:rPr>
          <w:vertAlign w:val="superscript"/>
        </w:rPr>
        <w:footnoteRef/>
      </w:r>
      <w:r w:rsidRPr="00AD2F44">
        <w:t>595 F. Supp. 2d 1218 (S.D. Ala. 2008).</w:t>
      </w:r>
    </w:p>
  </w:footnote>
  <w:footnote w:id="229">
    <w:p w14:paraId="3C7CDEBD" w14:textId="77777777" w:rsidR="00721CCF" w:rsidRPr="00AD2F44" w:rsidRDefault="00F42107">
      <w:pPr>
        <w:pStyle w:val="14Footnote"/>
        <w:rPr>
          <w:i/>
          <w:iCs/>
        </w:rPr>
      </w:pPr>
      <w:r w:rsidRPr="00AD2F44">
        <w:rPr>
          <w:vertAlign w:val="superscript"/>
        </w:rPr>
        <w:footnoteRef/>
      </w:r>
      <w:r w:rsidRPr="00AD2F44">
        <w:rPr>
          <w:i/>
          <w:iCs/>
        </w:rPr>
        <w:t>Id</w:t>
      </w:r>
      <w:r w:rsidRPr="00AD2F44">
        <w:t xml:space="preserve">. at 1241; </w:t>
      </w:r>
      <w:r w:rsidRPr="00AD2F44">
        <w:rPr>
          <w:i/>
          <w:iCs/>
        </w:rPr>
        <w:t>see also</w:t>
      </w:r>
    </w:p>
    <w:p w14:paraId="7922FB7E" w14:textId="5B7FDC7C" w:rsidR="00721CCF" w:rsidRPr="002F69CA" w:rsidRDefault="00F42107">
      <w:pPr>
        <w:pStyle w:val="14Footnote"/>
      </w:pPr>
      <w:r>
        <w:rPr>
          <w:i/>
          <w:iCs/>
        </w:rPr>
        <w:t>Second Circuit:</w:t>
      </w:r>
      <w:r>
        <w:t xml:space="preserve"> Onate v. A</w:t>
      </w:r>
      <w:r w:rsidR="002E55FE">
        <w:t>HRC</w:t>
      </w:r>
      <w:r>
        <w:t xml:space="preserve"> Health Care, Inc., </w:t>
      </w:r>
      <w:r w:rsidR="00E35884" w:rsidRPr="00E35884">
        <w:t>2023 BL 137311</w:t>
      </w:r>
      <w:r w:rsidR="00E35884">
        <w:t xml:space="preserve">, </w:t>
      </w:r>
      <w:r>
        <w:t xml:space="preserve">(S.D.N.Y. Jan. 5, 2023) (granting conditional certification where plaintiffs’ declarations and company witness stated time was rounded down to pay only scheduled hours, and also meal breaks were deducted regardless of whether they were taken and there was no process for seeking payment if the meal break was missed). </w:t>
      </w:r>
    </w:p>
    <w:p w14:paraId="1D79C2EB" w14:textId="00805876" w:rsidR="00721CCF" w:rsidRPr="00AD2F44" w:rsidRDefault="00F42107">
      <w:pPr>
        <w:pStyle w:val="14Footnote"/>
      </w:pPr>
      <w:r w:rsidRPr="00AD2F44">
        <w:rPr>
          <w:i/>
          <w:iCs/>
        </w:rPr>
        <w:t xml:space="preserve">Fifth Circuit: </w:t>
      </w:r>
      <w:r w:rsidRPr="00AD2F44">
        <w:t>Kelly v. Healthcare Servs. Grp., Inc., 2014 WL 3612681 (E.D. Tex. July 22, 2014) (granting nationwide conditional certification where employer admitted nationwide policy of rounding and that practice had been in place for seven years).</w:t>
      </w:r>
      <w:r w:rsidR="00A16E12" w:rsidRPr="00A16E12">
        <w:rPr>
          <w:b/>
        </w:rPr>
        <w:t xml:space="preserve"> </w:t>
      </w:r>
      <w:r w:rsidR="00A16E12" w:rsidRPr="00AD2F44">
        <w:rPr>
          <w:b/>
        </w:rPr>
        <w:t xml:space="preserve">[Caution: </w:t>
      </w:r>
      <w:r w:rsidR="00A16E12" w:rsidRPr="00AD2F44">
        <w:t xml:space="preserve">The Fifth Circuit later rejected the two-stage process, in </w:t>
      </w:r>
      <w:r w:rsidR="00A16E12" w:rsidRPr="00AD2F44">
        <w:rPr>
          <w:i/>
        </w:rPr>
        <w:t xml:space="preserve">Swales v. KLLM Transport Services, LLC, </w:t>
      </w:r>
      <w:r w:rsidR="00A16E12" w:rsidRPr="00AD2F44">
        <w:t xml:space="preserve">985 F.3d 430 (5th Cir. 2021), in favor of a requirement to “rigorously scrutinize” whether potential opt-ins are similarly situated “from the outset of the case.” </w:t>
      </w:r>
      <w:r w:rsidR="00A16E12" w:rsidRPr="00AD2F44">
        <w:rPr>
          <w:i/>
        </w:rPr>
        <w:t>Id.</w:t>
      </w:r>
      <w:r w:rsidR="00A16E12" w:rsidRPr="00AD2F44">
        <w:t xml:space="preserve"> at 434.</w:t>
      </w:r>
      <w:r w:rsidR="00A16E12" w:rsidRPr="00AD2F44">
        <w:rPr>
          <w:b/>
          <w:bCs/>
        </w:rPr>
        <w:t>]</w:t>
      </w:r>
    </w:p>
    <w:p w14:paraId="63376512" w14:textId="77777777" w:rsidR="00721CCF" w:rsidRPr="00AD2F44" w:rsidRDefault="00F42107">
      <w:pPr>
        <w:pStyle w:val="14Footnote"/>
      </w:pPr>
      <w:r w:rsidRPr="00AD2F44">
        <w:rPr>
          <w:i/>
          <w:iCs/>
        </w:rPr>
        <w:t>Sixth Circuit:</w:t>
      </w:r>
      <w:r w:rsidRPr="00AD2F44">
        <w:t xml:space="preserve"> Hall v. U.S. Cargo &amp; Courier Serv., LLC, 299 F. Supp. 3d 888 (S.D. Ohio 2018) (granting conditional certification based, in part, on testimony from opt-in plaintiffs); Fisher v. Michigan Bell Tel. Co., 665 F. Supp. 2d 819, 827 (E.D. Mich. 2009) (noting that deposition testimony of opt-ins and declaration evidence sufficiently supported claim that defendant’s rounding policy regularly disadvantaged them and contributed to conditional certification of off-the-clock claim).</w:t>
      </w:r>
    </w:p>
    <w:p w14:paraId="5F2D4A1D" w14:textId="77777777" w:rsidR="00721CCF" w:rsidRPr="00AD2F44" w:rsidRDefault="00F42107">
      <w:pPr>
        <w:pStyle w:val="14Footnote"/>
      </w:pPr>
      <w:r w:rsidRPr="00AD2F44">
        <w:rPr>
          <w:i/>
          <w:iCs/>
        </w:rPr>
        <w:t>Seventh Circuit:</w:t>
      </w:r>
      <w:r w:rsidRPr="00AD2F44">
        <w:t xml:space="preserve"> Clements v. WP Operations, LLC, 2021 WL 2134910 (W.D. Wis. May 26, 2021) (granting conditional certification in rounding case involving mining company’s production employees, concluding that plaintiff offered sufficient evidence that defendant’s rounding policy did not fully compensate employees, resolving factual disputes in plaintiffs’ favor at this stage); Abukar v. Reynolds Mach. Co. LLC, 2019 WL 68996154 (E.D. Wis. Dec. 18, 2019) (granting conditional certification in rounding case where plaintiffs showed that the company’s rounding policy applied to them and each suffered a compensation shortfall); Schneider v. Union Hosp.,</w:t>
      </w:r>
      <w:r w:rsidRPr="00AD2F44">
        <w:rPr>
          <w:i/>
          <w:iCs/>
        </w:rPr>
        <w:t xml:space="preserve"> </w:t>
      </w:r>
      <w:r w:rsidRPr="00AD2F44">
        <w:t>Inc., 2016 WL 6037085 (S.D. Ind. Oct. 14, 2016) (granting conditional certification in rounding case where expert provided testimony that he analyzed time and payroll records for 10% of class and concluded that defendant’s rounding policies always benefitted defendant); Weil v. Metal Techs., Inc., 2016 WL 286396, at *6–7 (S.D. Ind. Jan. 25, 2016) (granting conditional certification of collective alleging improper rounding policy despite some differences in amount of time rounded and employer evidence of employees not clocking in early or out late to perform work, where employer admitted that it rounded employees’ punch time to scheduled hours, employer’s policy permitted clocking in early, and plaintiffs presented evidence that rounding benefitted employer); Binissia v. ABM Indus., Inc., WL 793111 (N.D. Ill. Feb. 26, 2014) (granting conditional certification where court found that the rounding policy appeared to favor the defendants over time, and that the evidence showed that janitors typically performed work after they punched in but before the start of their scheduled shifts)</w:t>
      </w:r>
      <w:r w:rsidRPr="00AD2F44">
        <w:rPr>
          <w:smallCaps/>
        </w:rPr>
        <w:t>;</w:t>
      </w:r>
      <w:r w:rsidRPr="00AD2F44">
        <w:rPr>
          <w:i/>
          <w:iCs/>
        </w:rPr>
        <w:t xml:space="preserve"> </w:t>
      </w:r>
      <w:r w:rsidRPr="00AD2F44">
        <w:t>Nehmelman v. Penn Nat’l Gaming, Inc., 822 F. Supp. 2d 745, 754–58 (N.D. Ill. 2011) (granting conditional certification where plaintiffs’ evidence showed that rounding policy worked in employer’s favor, and rejecting argument that individual inquiries about whether work was performed in “gap periods” of rounded time would prevent classwide adjudication); Smith v. Safety-Kleen Sys., Inc., 2011 WL 1429203, at *4–5 (N.D. Ill. Apr. 14, 2011) (certifying uncompensated worktime claims based on company policies that prohibited employees from clocking in more than seven minutes before their scheduled shift and rounded employees’ time down—but never up—to nearest quarter hour).</w:t>
      </w:r>
    </w:p>
    <w:p w14:paraId="67812DEC" w14:textId="77777777" w:rsidR="00721CCF" w:rsidRPr="00AD2F44" w:rsidRDefault="00F42107">
      <w:pPr>
        <w:pStyle w:val="14Footnote"/>
      </w:pPr>
      <w:r w:rsidRPr="00AD2F44">
        <w:rPr>
          <w:i/>
          <w:iCs/>
        </w:rPr>
        <w:t>Tenth Circuit:</w:t>
      </w:r>
      <w:r w:rsidRPr="00AD2F44">
        <w:t xml:space="preserve"> Shockey v. Huhtamaki, Inc., 730 F. Supp. 2d 1298 (D. Kan. 2010) (granting certification based on plaintiffs’ allegations that defendant rounded time only in its favor at four facilities and in greater than 15-minute increments at five facilities).</w:t>
      </w:r>
    </w:p>
    <w:p w14:paraId="61CBAC72" w14:textId="10F5E1A8" w:rsidR="00721CCF" w:rsidRPr="00AD2F44" w:rsidRDefault="00F42107">
      <w:pPr>
        <w:pStyle w:val="14Footnote"/>
      </w:pPr>
      <w:r w:rsidRPr="00AD2F44">
        <w:rPr>
          <w:i/>
          <w:iCs/>
        </w:rPr>
        <w:t>Eleventh Circuit:</w:t>
      </w:r>
      <w:r w:rsidRPr="00AD2F44">
        <w:t xml:space="preserve"> Holmes v. Swissport Fueling, Inc., 2017 WL 8794900 (M.D. Fla. Sept. 1, 2017) (granting conditional certification regarding claims challenging employer’s implementation of rounding policy but limiting scope to plaintiff’s work location because plaintiff failed to show that employees at other locations were similarly situated).</w:t>
      </w:r>
    </w:p>
  </w:footnote>
  <w:footnote w:id="230">
    <w:p w14:paraId="5DA378F7" w14:textId="77777777" w:rsidR="00721CCF" w:rsidRPr="00AD2F44" w:rsidRDefault="00F42107">
      <w:pPr>
        <w:pStyle w:val="14Footnote"/>
      </w:pPr>
      <w:r w:rsidRPr="00AD2F44">
        <w:rPr>
          <w:vertAlign w:val="superscript"/>
        </w:rPr>
        <w:footnoteRef/>
      </w:r>
      <w:r w:rsidRPr="00AD2F44">
        <w:t>2005 WL 2492932 (D. Or. Oct. 7, 2005).</w:t>
      </w:r>
    </w:p>
  </w:footnote>
  <w:footnote w:id="231">
    <w:p w14:paraId="6364769E" w14:textId="77777777" w:rsidR="00721CCF" w:rsidRPr="00AD2F44" w:rsidRDefault="00F42107">
      <w:pPr>
        <w:pStyle w:val="14Footnote"/>
      </w:pPr>
      <w:r w:rsidRPr="00AD2F44">
        <w:rPr>
          <w:vertAlign w:val="superscript"/>
        </w:rPr>
        <w:footnoteRef/>
      </w:r>
      <w:r w:rsidRPr="00AD2F44">
        <w:rPr>
          <w:i/>
          <w:iCs/>
        </w:rPr>
        <w:t xml:space="preserve">Id. </w:t>
      </w:r>
      <w:r w:rsidRPr="00AD2F44">
        <w:t xml:space="preserve">at *5. </w:t>
      </w:r>
    </w:p>
  </w:footnote>
  <w:footnote w:id="232">
    <w:p w14:paraId="202771E7" w14:textId="3CBD5611" w:rsidR="00721CCF" w:rsidRPr="00AD2F44" w:rsidRDefault="00F42107">
      <w:pPr>
        <w:pStyle w:val="14Footnote"/>
      </w:pPr>
      <w:r w:rsidRPr="00AD2F44">
        <w:rPr>
          <w:vertAlign w:val="superscript"/>
        </w:rPr>
        <w:footnoteRef/>
      </w:r>
      <w:r w:rsidRPr="00AD2F44">
        <w:rPr>
          <w:i/>
          <w:iCs/>
        </w:rPr>
        <w:t>Id</w:t>
      </w:r>
      <w:r w:rsidRPr="00AD2F44">
        <w:t xml:space="preserve">.; </w:t>
      </w:r>
      <w:r w:rsidRPr="00AD2F44">
        <w:rPr>
          <w:i/>
          <w:iCs/>
        </w:rPr>
        <w:t>see also</w:t>
      </w:r>
      <w:r w:rsidRPr="00AD2F44">
        <w:t xml:space="preserve"> </w:t>
      </w:r>
      <w:r w:rsidRPr="00DD5E11">
        <w:t xml:space="preserve">Harris v. Georgia-Pac. Wood Prod. LLC, </w:t>
      </w:r>
      <w:r w:rsidR="00181457" w:rsidRPr="00181457">
        <w:t>2023 BL 95805</w:t>
      </w:r>
      <w:r w:rsidR="00181457">
        <w:t xml:space="preserve">, </w:t>
      </w:r>
      <w:r w:rsidRPr="00DD5E11">
        <w:t>2023 WL 2611723, at *5 (N.D. Ga. Mar. 23, 2023)</w:t>
      </w:r>
      <w:r>
        <w:t xml:space="preserve"> (conditional certification denied due to individualized issues as to whether employees were working during rounded time); </w:t>
      </w:r>
      <w:r w:rsidRPr="00AD2F44">
        <w:t>Adair v. Wisconsin Bell, Inc., 2008 WL 4224360 (E.D. Wis. Sept. 11, 2008) (deeming the existence of a statewide rounding policy that applied to all employees not sufficient where plaintiffs had not alleged they were denied pay for time spent working more often than they were paid for more time than they actually worked).</w:t>
      </w:r>
    </w:p>
  </w:footnote>
  <w:footnote w:id="233">
    <w:p w14:paraId="244970FA" w14:textId="77777777" w:rsidR="00721CCF" w:rsidRPr="00AD2F44" w:rsidRDefault="00F42107">
      <w:pPr>
        <w:pStyle w:val="14Footnote"/>
      </w:pPr>
      <w:r w:rsidRPr="00AD2F44">
        <w:rPr>
          <w:vertAlign w:val="superscript"/>
        </w:rPr>
        <w:footnoteRef/>
      </w:r>
      <w:r w:rsidRPr="00AD2F44">
        <w:rPr>
          <w:i/>
          <w:iCs/>
        </w:rPr>
        <w:t>See, e.g.,</w:t>
      </w:r>
      <w:r w:rsidRPr="00AD2F44">
        <w:t xml:space="preserve"> Pearson v. CSK Auto, Inc., 2014 WL 1333273 (N.D. Ohio Mar. 28, 2014); Ayala v. Tito Contractors, 12 F. Supp. 3d 167 (D.D.C. 2014).</w:t>
      </w:r>
    </w:p>
  </w:footnote>
  <w:footnote w:id="234">
    <w:p w14:paraId="307FFA4B" w14:textId="77777777" w:rsidR="00721CCF" w:rsidRPr="00AD2F44" w:rsidRDefault="00F42107">
      <w:pPr>
        <w:pStyle w:val="14Footnote"/>
      </w:pPr>
      <w:r w:rsidRPr="00AD2F44">
        <w:rPr>
          <w:vertAlign w:val="superscript"/>
        </w:rPr>
        <w:footnoteRef/>
      </w:r>
      <w:r w:rsidRPr="00AD2F44">
        <w:rPr>
          <w:i/>
          <w:iCs/>
        </w:rPr>
        <w:t>Pearson</w:t>
      </w:r>
      <w:r w:rsidRPr="00AD2F44">
        <w:t>, 2014 WL 1333273, at *2–3 (alteration in original) (quoting O’Brien v. Ed Donnelly Enters., Inc., 575 F.3d 567, 584 (6th Cir. 2009)).</w:t>
      </w:r>
    </w:p>
  </w:footnote>
  <w:footnote w:id="235">
    <w:p w14:paraId="38B1D00F" w14:textId="77777777" w:rsidR="00721CCF" w:rsidRPr="00AD2F44" w:rsidRDefault="00F42107">
      <w:pPr>
        <w:pStyle w:val="14Footnote"/>
      </w:pPr>
      <w:r w:rsidRPr="00AD2F44">
        <w:rPr>
          <w:vertAlign w:val="superscript"/>
        </w:rPr>
        <w:footnoteRef/>
      </w:r>
      <w:r w:rsidRPr="00AD2F44">
        <w:rPr>
          <w:i/>
        </w:rPr>
        <w:t xml:space="preserve">See, e.g., </w:t>
      </w:r>
    </w:p>
    <w:p w14:paraId="1887ADDD" w14:textId="77777777" w:rsidR="00721CCF" w:rsidRPr="00AD2F44" w:rsidRDefault="00F42107">
      <w:pPr>
        <w:pStyle w:val="14Footnote"/>
      </w:pPr>
      <w:r w:rsidRPr="00AD2F44">
        <w:rPr>
          <w:i/>
          <w:iCs/>
        </w:rPr>
        <w:t>Fourth Circuit:</w:t>
      </w:r>
      <w:r w:rsidRPr="00AD2F44">
        <w:t xml:space="preserve"> Shaver v. Gills Eldersburg, Inc., 2015 WL 5897463, at *8 (D. Md. Oct. 6, 2015) (granting conditional certification of time shaving (and off-the-clock) claims where there was admission from manager that he was told to and did manually reduce time recorded by hourly employees).</w:t>
      </w:r>
    </w:p>
    <w:p w14:paraId="2825A5AB" w14:textId="6A6996A0" w:rsidR="00721CCF" w:rsidRPr="00AD2F44" w:rsidRDefault="00F42107">
      <w:pPr>
        <w:pStyle w:val="14Footnote"/>
      </w:pPr>
      <w:r w:rsidRPr="00AD2F44">
        <w:rPr>
          <w:i/>
          <w:iCs/>
        </w:rPr>
        <w:t>Fifth Circuit:</w:t>
      </w:r>
      <w:r w:rsidRPr="00AD2F44">
        <w:t xml:space="preserve"> Lay v. Gold’s Gym Int’l, Inc., 2013 WL 5595956 (W.D. Tex. Oct. 4, 2013).</w:t>
      </w:r>
      <w:r w:rsidR="00A16E12" w:rsidRPr="00A16E12">
        <w:rPr>
          <w:b/>
        </w:rPr>
        <w:t xml:space="preserve"> </w:t>
      </w:r>
      <w:r w:rsidR="00A16E12" w:rsidRPr="00AD2F44">
        <w:rPr>
          <w:b/>
        </w:rPr>
        <w:t xml:space="preserve">[Caution: </w:t>
      </w:r>
      <w:r w:rsidR="00A16E12" w:rsidRPr="00AD2F44">
        <w:t xml:space="preserve">The Fifth Circuit later rejected the two-stage process, in </w:t>
      </w:r>
      <w:r w:rsidR="00A16E12" w:rsidRPr="00AD2F44">
        <w:rPr>
          <w:i/>
        </w:rPr>
        <w:t xml:space="preserve">Swales v. KLLM Transport Services, LLC, </w:t>
      </w:r>
      <w:r w:rsidR="00A16E12" w:rsidRPr="00AD2F44">
        <w:t xml:space="preserve">985 F.3d 430 (5th Cir. 2021), in favor of a requirement to “rigorously scrutinize” whether potential opt-ins are similarly situated “from the outset of the case.” </w:t>
      </w:r>
      <w:r w:rsidR="00A16E12" w:rsidRPr="00AD2F44">
        <w:rPr>
          <w:i/>
        </w:rPr>
        <w:t>Id.</w:t>
      </w:r>
      <w:r w:rsidR="00A16E12" w:rsidRPr="00AD2F44">
        <w:t xml:space="preserve"> at 434.</w:t>
      </w:r>
      <w:r w:rsidR="00A16E12" w:rsidRPr="00AD2F44">
        <w:rPr>
          <w:b/>
          <w:bCs/>
        </w:rPr>
        <w:t>]</w:t>
      </w:r>
    </w:p>
    <w:p w14:paraId="4751554E" w14:textId="77777777" w:rsidR="00721CCF" w:rsidRPr="00AD2F44" w:rsidRDefault="00F42107">
      <w:pPr>
        <w:pStyle w:val="14Footnote"/>
      </w:pPr>
      <w:r w:rsidRPr="00AD2F44">
        <w:rPr>
          <w:i/>
          <w:iCs/>
        </w:rPr>
        <w:t>Seventh Circuit:</w:t>
      </w:r>
      <w:r w:rsidRPr="00AD2F44">
        <w:t xml:space="preserve"> Freeman v. Total Sec. Mgmt., 2013 WL 4049542 (W.D. Wis. Aug. 9, 2013) (emphasizing that court must settle all disputed evidence in plaintiffs’ favor for purposes of conditional certification).</w:t>
      </w:r>
    </w:p>
    <w:p w14:paraId="1642766B" w14:textId="20276FD9" w:rsidR="00721CCF" w:rsidRPr="00AD2F44" w:rsidRDefault="00F42107">
      <w:pPr>
        <w:pStyle w:val="14Footnote"/>
      </w:pPr>
      <w:r w:rsidRPr="00AD2F44">
        <w:rPr>
          <w:i/>
          <w:iCs/>
        </w:rPr>
        <w:t>Eighth Circuit:</w:t>
      </w:r>
      <w:r w:rsidRPr="00AD2F44">
        <w:t xml:space="preserve"> Shoots v. </w:t>
      </w:r>
      <w:r w:rsidRPr="00AD2F44">
        <w:t>iQor Holdings US, Inc., 2015 WL 6150862, at *18–19 (D. Minn. Oct. 19, 2015) (granting conditional certification to class of employees alleging that they were denied overtime pay because of defendant’s policy of deducting “idle time” (more than two minutes of inactive time) on computer during workday, despite evidence that some employees could get time added back through manager request); Le v. Regency Corp., 957 F. Supp. 2d 1079 (D. Minn. 2013) (conditional certification granted where admissions agreement representatives alleged their hours were not reported because at first their employer did not have a time clock, and after their employer instituted a time clock system, they were encouraged to work before clocking in for their shift, continue working after clocking out, and work on weekends without reporting their time).</w:t>
      </w:r>
    </w:p>
  </w:footnote>
  <w:footnote w:id="236">
    <w:p w14:paraId="0EC59BA0" w14:textId="77777777" w:rsidR="00721CCF" w:rsidRPr="00AD2F44" w:rsidRDefault="00F42107">
      <w:pPr>
        <w:pStyle w:val="14Footnote"/>
      </w:pPr>
      <w:r w:rsidRPr="00AD2F44">
        <w:rPr>
          <w:vertAlign w:val="superscript"/>
        </w:rPr>
        <w:footnoteRef/>
      </w:r>
      <w:r w:rsidRPr="00AD2F44">
        <w:rPr>
          <w:i/>
          <w:iCs/>
        </w:rPr>
        <w:t>See</w:t>
      </w:r>
      <w:r w:rsidRPr="00AD2F44">
        <w:t xml:space="preserve"> Banks v. </w:t>
      </w:r>
      <w:r w:rsidRPr="00AD2F44">
        <w:t>Radioshack Corp., 2014 WL 1724856, at *1 (E.D. Pa. Apr. 25, 2014) (finding that plaintiffs’ claim that employer modified employee time records by adding or lengthening unpaid breaks and adjusting clock-out times such that they were not paid for all hours they worked not subject to common proof because each modification of a time record was discrete action of an individual manager; without a systematic method for identifying false modifications, each modification would have to be adjudicated separately).</w:t>
      </w:r>
    </w:p>
  </w:footnote>
  <w:footnote w:id="237">
    <w:p w14:paraId="4DEFF7CE" w14:textId="77777777" w:rsidR="00721CCF" w:rsidRPr="00AD2F44" w:rsidRDefault="00F42107">
      <w:pPr>
        <w:pStyle w:val="14Footnote"/>
      </w:pPr>
      <w:r w:rsidRPr="00AD2F44">
        <w:rPr>
          <w:vertAlign w:val="superscript"/>
        </w:rPr>
        <w:footnoteRef/>
      </w:r>
      <w:r w:rsidRPr="00AD2F44">
        <w:rPr>
          <w:i/>
          <w:iCs/>
        </w:rPr>
        <w:t>See, e.g.,</w:t>
      </w:r>
      <w:r w:rsidRPr="00AD2F44">
        <w:t xml:space="preserve"> Sharma v. Burberry Ltd., 52 F. Supp. 3d 443 (E.D.N.Y. 2014); Robles v. Liberty Rest. Supply, 2013 WL 6684954 (E.D.N.Y. Dec. 18, 2013).</w:t>
      </w:r>
    </w:p>
  </w:footnote>
  <w:footnote w:id="238">
    <w:p w14:paraId="0A0279E6" w14:textId="77777777" w:rsidR="00721CCF" w:rsidRPr="00AD2F44" w:rsidRDefault="00F42107">
      <w:pPr>
        <w:pStyle w:val="14Footnote"/>
      </w:pPr>
      <w:r w:rsidRPr="00AD2F44">
        <w:rPr>
          <w:vertAlign w:val="superscript"/>
        </w:rPr>
        <w:footnoteRef/>
      </w:r>
      <w:r w:rsidRPr="00AD2F44">
        <w:rPr>
          <w:i/>
          <w:iCs/>
        </w:rPr>
        <w:t>See, e.g.,</w:t>
      </w:r>
      <w:r w:rsidRPr="00AD2F44">
        <w:t xml:space="preserve"> Trogdon v. </w:t>
      </w:r>
      <w:r w:rsidRPr="00AD2F44">
        <w:t>Kleenco Maint. &amp; Constr., Inc. 2015 WL 2345590, at *2 (W.D. Ark. May 15, 2015) (employer allegedly treated travel time separately from regular hourly compensation to avoid paying overtime); Knispel v. Chrysler Grp., LLC, 2012 WL 553722, at *6 (E.D. Mich. Feb. 21, 2012) (granting conditional certification in case where employer allegedly did not pay for travel during workday and overnight); Wren v. RGIS Inventory Specialists, 2007 U.S. Dist. LEXIS 95439 (N.D. Cal. Dec. 19, 2007) (granting conditional certification where employer allegedly did not compensate for travel to and from inventory sites in a single workday).</w:t>
      </w:r>
    </w:p>
  </w:footnote>
  <w:footnote w:id="239">
    <w:p w14:paraId="1C0B1ACA" w14:textId="77777777" w:rsidR="00721CCF" w:rsidRPr="00AD2F44" w:rsidRDefault="00F42107" w:rsidP="000B6C5F">
      <w:pPr>
        <w:pStyle w:val="FootnoteText"/>
      </w:pPr>
      <w:r w:rsidRPr="00AD2F44">
        <w:rPr>
          <w:rStyle w:val="FootnoteReference"/>
        </w:rPr>
        <w:footnoteRef/>
      </w:r>
      <w:r w:rsidRPr="00AD2F44">
        <w:t>See</w:t>
      </w:r>
    </w:p>
    <w:p w14:paraId="710F6DA1" w14:textId="367F8CE5" w:rsidR="00721CCF" w:rsidRPr="00AD2F44" w:rsidRDefault="00F42107" w:rsidP="00397917">
      <w:pPr>
        <w:pStyle w:val="14Footnote"/>
      </w:pPr>
      <w:r w:rsidRPr="00AD2F44">
        <w:rPr>
          <w:i/>
          <w:iCs/>
        </w:rPr>
        <w:t>Second Circuit:</w:t>
      </w:r>
      <w:r w:rsidRPr="00AD2F44">
        <w:t xml:space="preserve"> Hart v. Crab Addison, Inc., 2015 BL 19091, 2015 WL 365785, at *3 (W.D.N.Y. Jan. 27, 2015) (granting nationwide conditional certification of collective claiming violation of tip credit rules). </w:t>
      </w:r>
    </w:p>
    <w:p w14:paraId="3C510BF6" w14:textId="30C16D1A" w:rsidR="00721CCF" w:rsidRPr="00AD2F44" w:rsidRDefault="00F42107" w:rsidP="00FE0DD6">
      <w:pPr>
        <w:pStyle w:val="14Footnote"/>
      </w:pPr>
      <w:r w:rsidRPr="00AD2F44">
        <w:rPr>
          <w:i/>
          <w:iCs/>
        </w:rPr>
        <w:t>Third Circuit:</w:t>
      </w:r>
      <w:r w:rsidRPr="00AD2F44">
        <w:t xml:space="preserve"> Williams v. Bob Evans Rests., 2022 BL 130930, 2022 WL 1120048 (W.D. Pa. Apr. 14, 2022) (granting conditional certification on dual jobs claim, finding common, centrally developed policy). </w:t>
      </w:r>
    </w:p>
    <w:p w14:paraId="77EDA6CE" w14:textId="5F6B8EC5" w:rsidR="00721CCF" w:rsidRPr="00AD2F44" w:rsidRDefault="00F42107" w:rsidP="00FE0DD6">
      <w:pPr>
        <w:pStyle w:val="14Footnote"/>
      </w:pPr>
      <w:r w:rsidRPr="00AD2F44">
        <w:rPr>
          <w:i/>
          <w:iCs/>
        </w:rPr>
        <w:t xml:space="preserve">Sixth Circuit: </w:t>
      </w:r>
      <w:r w:rsidRPr="00AD2F44">
        <w:t>Crace v. Viking Grp. Inc.,</w:t>
      </w:r>
      <w:r w:rsidRPr="00AD2F44">
        <w:rPr>
          <w:rFonts w:eastAsia="Cambria"/>
        </w:rPr>
        <w:t xml:space="preserve"> 2021 BL 69247, </w:t>
      </w:r>
      <w:r w:rsidRPr="00AD2F44">
        <w:t>2021 WL 764072 (S.D. Ohio Feb. 26, 2021) (granting conditional certification in delivery tip credit case based on personal knowledge of plaintiff working in two locations where defendant did not dispute that plaintiff’s allegations regarding his work responsibilities and compensation were representative of other putative members; declining to consider merits issue surrounding change in DOL guidance on tips); James v. Boyd Gaming Corp., 522 F. Supp. 3d 892</w:t>
      </w:r>
      <w:r w:rsidRPr="00AD2F44">
        <w:rPr>
          <w:b/>
          <w:bCs/>
        </w:rPr>
        <w:t xml:space="preserve"> </w:t>
      </w:r>
      <w:r w:rsidRPr="00AD2F44">
        <w:t>(D. Kan. 2021) (granting conditional certification in tip credit case where defendant posted tip policy in multiple casino locations).</w:t>
      </w:r>
    </w:p>
    <w:p w14:paraId="73252DA3" w14:textId="0D6218FB" w:rsidR="00721CCF" w:rsidRPr="00AD2F44" w:rsidRDefault="00F42107" w:rsidP="00397917">
      <w:pPr>
        <w:pStyle w:val="14Footnote"/>
      </w:pPr>
      <w:r w:rsidRPr="00AD2F44">
        <w:rPr>
          <w:i/>
          <w:iCs/>
        </w:rPr>
        <w:t xml:space="preserve">Seventh Circuit: </w:t>
      </w:r>
      <w:r w:rsidRPr="00AD2F44">
        <w:t>Black v. P.F. Chang’s China Bistro, Inc., 2017 BL 161825, 2017 WL 2080408, at *5 (N.D. Ill. May 15, 2017) (granting conditional certification for claim of improper tip credit notice based on uniform tip credit reporting agreement that allegedly stated improper information about cash and tipped minimum wages).</w:t>
      </w:r>
    </w:p>
    <w:p w14:paraId="7454A958" w14:textId="3F097B1E" w:rsidR="00721CCF" w:rsidRPr="00AD2F44" w:rsidRDefault="00F42107" w:rsidP="00397917">
      <w:pPr>
        <w:pStyle w:val="14Footnote"/>
      </w:pPr>
      <w:r w:rsidRPr="00AD2F44">
        <w:rPr>
          <w:i/>
          <w:iCs/>
        </w:rPr>
        <w:t xml:space="preserve">Eleventh Circuit: </w:t>
      </w:r>
      <w:r w:rsidRPr="00AD2F44">
        <w:t>Campbell v. Pincher’s Beach Bar Grill Inc., 2016 BL 219130, 2016 WL 3626219, at *4 (M.D. Fla. July 7, 2016) (limiting conditional certification in tip credit and pooling notice case to one restaurant).</w:t>
      </w:r>
    </w:p>
    <w:p w14:paraId="69C4F29B" w14:textId="1142BC1B" w:rsidR="00721CCF" w:rsidRPr="00AD2F44" w:rsidRDefault="00F42107" w:rsidP="00F23572">
      <w:pPr>
        <w:pStyle w:val="14Footnote"/>
      </w:pPr>
      <w:r w:rsidRPr="00AD2F44">
        <w:rPr>
          <w:i/>
          <w:iCs/>
        </w:rPr>
        <w:t>D.C. Circuit:</w:t>
      </w:r>
      <w:r w:rsidRPr="00AD2F44">
        <w:t xml:space="preserve"> Guzman v. GF, Inc., 2021 BL 222620, 2021 WL 2439277 (D.D.C. June 14, 2021) (granting conditional certification claim of failure to allow employees to retain all tips by use of fines). </w:t>
      </w:r>
    </w:p>
  </w:footnote>
  <w:footnote w:id="240">
    <w:p w14:paraId="3EDB2CA4" w14:textId="77777777" w:rsidR="00721CCF" w:rsidRPr="00AD2F44" w:rsidRDefault="00F42107">
      <w:pPr>
        <w:pStyle w:val="14Footnote"/>
      </w:pPr>
      <w:r w:rsidRPr="00AD2F44">
        <w:rPr>
          <w:vertAlign w:val="superscript"/>
        </w:rPr>
        <w:footnoteRef/>
      </w:r>
      <w:r w:rsidRPr="00AD2F44">
        <w:rPr>
          <w:i/>
          <w:iCs/>
        </w:rPr>
        <w:t>See</w:t>
      </w:r>
      <w:r w:rsidRPr="00AD2F44">
        <w:t xml:space="preserve"> </w:t>
      </w:r>
    </w:p>
    <w:p w14:paraId="6E45F15D" w14:textId="17726DF8" w:rsidR="00721CCF" w:rsidRPr="00AD2F44" w:rsidRDefault="00F42107">
      <w:pPr>
        <w:pStyle w:val="14Footnote"/>
        <w:rPr>
          <w:i/>
          <w:iCs/>
        </w:rPr>
      </w:pPr>
      <w:r w:rsidRPr="00AD2F44">
        <w:rPr>
          <w:i/>
          <w:iCs/>
        </w:rPr>
        <w:t xml:space="preserve">Second Circuit: </w:t>
      </w:r>
      <w:r w:rsidRPr="00AD2F44">
        <w:t xml:space="preserve">Gillian v. </w:t>
      </w:r>
      <w:r w:rsidRPr="00AD2F44">
        <w:t>Starjem Rest. Corp., 2011 BL 441954, 2011 WL 4639842, at *6 (S.D.N.Y. Oct. 4, 2011) (denying conditional certification in tip credit and tip pool case because, among other reasons, minimum wage and overtime claims required examination of each individual’s hours worked each shift and each week).</w:t>
      </w:r>
    </w:p>
    <w:p w14:paraId="2CC1BB33" w14:textId="5374883C" w:rsidR="00721CCF" w:rsidRPr="00AD2F44" w:rsidRDefault="00F42107">
      <w:pPr>
        <w:pStyle w:val="14Footnote"/>
      </w:pPr>
      <w:r w:rsidRPr="00AD2F44">
        <w:rPr>
          <w:i/>
          <w:iCs/>
        </w:rPr>
        <w:t>Third Circuit</w:t>
      </w:r>
      <w:r w:rsidRPr="00AD2F44">
        <w:t xml:space="preserve">: </w:t>
      </w:r>
      <w:r w:rsidRPr="00AD2F44">
        <w:rPr>
          <w:i/>
          <w:iCs/>
        </w:rPr>
        <w:t>Bob Evans Restaurants,</w:t>
      </w:r>
      <w:r w:rsidRPr="00AD2F44">
        <w:t xml:space="preserve"> 2022 BL 130930, 2022 WL 1120048 (denying conditional certification on tip credit notice claim, finding lack of evidence of common policy).</w:t>
      </w:r>
    </w:p>
    <w:p w14:paraId="6EF17ACB" w14:textId="37B04F65" w:rsidR="00721CCF" w:rsidRPr="00AD2F44" w:rsidRDefault="00F42107">
      <w:pPr>
        <w:pStyle w:val="14Footnote"/>
      </w:pPr>
      <w:r w:rsidRPr="00AD2F44">
        <w:rPr>
          <w:i/>
          <w:iCs/>
        </w:rPr>
        <w:t xml:space="preserve">Fourth Circuit: </w:t>
      </w:r>
      <w:r w:rsidRPr="00AD2F44">
        <w:t xml:space="preserve">Graham v. Famous Dave’s of Am., Inc., 2020 BL 364487, 2020 WL 5653231 (D. Md. Sept. 23, 2020) (denying conditional certification for failure to provide sufficient support to show tip credit practices were common where plaintiff only had knowledge of his own restaurant location). </w:t>
      </w:r>
    </w:p>
  </w:footnote>
  <w:footnote w:id="241">
    <w:p w14:paraId="4100B841" w14:textId="77777777" w:rsidR="00721CCF" w:rsidRPr="00AD2F44" w:rsidRDefault="00F42107">
      <w:pPr>
        <w:pStyle w:val="14Footnote"/>
      </w:pPr>
      <w:r w:rsidRPr="00AD2F44">
        <w:rPr>
          <w:vertAlign w:val="superscript"/>
        </w:rPr>
        <w:footnoteRef/>
      </w:r>
      <w:r w:rsidRPr="00AD2F44">
        <w:rPr>
          <w:i/>
          <w:iCs/>
        </w:rPr>
        <w:t>See</w:t>
      </w:r>
      <w:r w:rsidRPr="00AD2F44">
        <w:t xml:space="preserve"> </w:t>
      </w:r>
    </w:p>
    <w:p w14:paraId="53A96EDA" w14:textId="77777777" w:rsidR="00721CCF" w:rsidRPr="00AD2F44" w:rsidRDefault="00F42107">
      <w:pPr>
        <w:pStyle w:val="14Footnote"/>
        <w:rPr>
          <w:spacing w:val="2"/>
        </w:rPr>
      </w:pPr>
      <w:r w:rsidRPr="00AD2F44">
        <w:rPr>
          <w:i/>
          <w:iCs/>
        </w:rPr>
        <w:t>Fourth Circuit:</w:t>
      </w:r>
      <w:r w:rsidRPr="00AD2F44">
        <w:rPr>
          <w:i/>
        </w:rPr>
        <w:t xml:space="preserve"> </w:t>
      </w:r>
      <w:r w:rsidRPr="00AD2F44">
        <w:t xml:space="preserve">Turner v. BFI Waste Servs., LLC, 268 F. Supp. 3d 831, 842 (D.S.C. 2017) (granting conditional certification in case where the plaintiffs had alleged that the employer had improperly calculated the regular rate for overtime purposes). </w:t>
      </w:r>
    </w:p>
    <w:p w14:paraId="260E87D9" w14:textId="760AF50D" w:rsidR="00721CCF" w:rsidRPr="00AD2F44" w:rsidRDefault="00F42107">
      <w:pPr>
        <w:pStyle w:val="14Footnote"/>
        <w:rPr>
          <w:i/>
          <w:iCs/>
        </w:rPr>
      </w:pPr>
      <w:r w:rsidRPr="00AD2F44">
        <w:rPr>
          <w:i/>
          <w:iCs/>
          <w:spacing w:val="2"/>
        </w:rPr>
        <w:t xml:space="preserve">Fifth Circuit: </w:t>
      </w:r>
      <w:r w:rsidRPr="00AD2F44">
        <w:t>Donohue v. Francis Servs., Inc., 2004 U.S. Dist. LEXIS 9355 (E.D. La. May 25, 2004) (certification included multiple jobs that were allegedly affected by failure to include bonuses in regular rate)</w:t>
      </w:r>
      <w:r w:rsidRPr="00AD2F44">
        <w:rPr>
          <w:i/>
          <w:iCs/>
        </w:rPr>
        <w:t>.</w:t>
      </w:r>
      <w:r w:rsidR="00A16E12" w:rsidRPr="00A16E12">
        <w:rPr>
          <w:b/>
        </w:rPr>
        <w:t xml:space="preserve"> </w:t>
      </w:r>
      <w:r w:rsidR="00A16E12" w:rsidRPr="00AD2F44">
        <w:rPr>
          <w:b/>
        </w:rPr>
        <w:t xml:space="preserve">[Caution: </w:t>
      </w:r>
      <w:r w:rsidR="00A16E12" w:rsidRPr="00AD2F44">
        <w:t xml:space="preserve">The Fifth Circuit later rejected the two-stage process, in </w:t>
      </w:r>
      <w:r w:rsidR="00A16E12" w:rsidRPr="00AD2F44">
        <w:rPr>
          <w:i/>
        </w:rPr>
        <w:t xml:space="preserve">Swales v. KLLM Transport Services, LLC, </w:t>
      </w:r>
      <w:r w:rsidR="00A16E12" w:rsidRPr="00AD2F44">
        <w:t xml:space="preserve">985 F.3d 430 (5th Cir. 2021), in favor of a requirement to “rigorously scrutinize” whether potential opt-ins are similarly situated “from the outset of the case.” </w:t>
      </w:r>
      <w:r w:rsidR="00A16E12" w:rsidRPr="00AD2F44">
        <w:rPr>
          <w:i/>
        </w:rPr>
        <w:t>Id.</w:t>
      </w:r>
      <w:r w:rsidR="00A16E12" w:rsidRPr="00AD2F44">
        <w:t xml:space="preserve"> at 434.</w:t>
      </w:r>
      <w:r w:rsidR="00A16E12" w:rsidRPr="00AD2F44">
        <w:rPr>
          <w:b/>
          <w:bCs/>
        </w:rPr>
        <w:t>]</w:t>
      </w:r>
      <w:r w:rsidRPr="00AD2F44">
        <w:rPr>
          <w:i/>
          <w:iCs/>
        </w:rPr>
        <w:t xml:space="preserve"> </w:t>
      </w:r>
    </w:p>
    <w:p w14:paraId="167E63D4" w14:textId="77777777" w:rsidR="00721CCF" w:rsidRPr="00AD2F44" w:rsidRDefault="00F42107">
      <w:pPr>
        <w:pStyle w:val="14Footnote"/>
      </w:pPr>
      <w:r w:rsidRPr="00AD2F44">
        <w:rPr>
          <w:i/>
          <w:iCs/>
          <w:spacing w:val="2"/>
        </w:rPr>
        <w:t xml:space="preserve">Ninth Circuit: </w:t>
      </w:r>
      <w:r w:rsidRPr="00AD2F44">
        <w:t xml:space="preserve">Newell v. Ensign U.S. Drilling (Cal.), Inc., 2020 WL 2060399, at *8 (E.D. Cal. Apr. 29, 2020) (granting conditional certification for oil field workers’ overtime claims alleging failure to include value of lodging and meals in regular rate). </w:t>
      </w:r>
    </w:p>
    <w:p w14:paraId="09C8873F" w14:textId="77777777" w:rsidR="00721CCF" w:rsidRPr="00AD2F44" w:rsidRDefault="00F42107">
      <w:pPr>
        <w:pStyle w:val="14Footnote"/>
      </w:pPr>
      <w:r w:rsidRPr="00AD2F44">
        <w:rPr>
          <w:i/>
          <w:iCs/>
        </w:rPr>
        <w:t>Eleventh Circuit:</w:t>
      </w:r>
      <w:r w:rsidRPr="00AD2F44">
        <w:rPr>
          <w:i/>
        </w:rPr>
        <w:t xml:space="preserve"> </w:t>
      </w:r>
      <w:r w:rsidRPr="00AD2F44">
        <w:rPr>
          <w:spacing w:val="2"/>
        </w:rPr>
        <w:t>Guerra v. Big Johnson Concrete Pumping, Inc.,</w:t>
      </w:r>
      <w:r w:rsidRPr="00AD2F44">
        <w:t xml:space="preserve"> 2006 U.S. Dist. LEXIS 58484, at *10 (S.D. Fla. May 17, 2006) (</w:t>
      </w:r>
      <w:r w:rsidRPr="00AD2F44">
        <w:rPr>
          <w:spacing w:val="2"/>
        </w:rPr>
        <w:t>the court conditionally certified a collective action based on the plaintiff’s allegation that the company had a practice of reducing an employee’s regular rate to minimum wage during the employee’s last week of employment, which resulted in the improper payment of overtime compensation for hours worked over 40).</w:t>
      </w:r>
    </w:p>
  </w:footnote>
  <w:footnote w:id="242">
    <w:p w14:paraId="5ADBD3DF" w14:textId="4CB8F5AB" w:rsidR="00721CCF" w:rsidRPr="00AD2F44" w:rsidRDefault="00F42107" w:rsidP="00F23572">
      <w:pPr>
        <w:pStyle w:val="14Footnote"/>
      </w:pPr>
      <w:r w:rsidRPr="00AD2F44">
        <w:rPr>
          <w:rStyle w:val="FootnoteReference"/>
        </w:rPr>
        <w:footnoteRef/>
      </w:r>
      <w:r w:rsidRPr="00AD2F44">
        <w:rPr>
          <w:i/>
          <w:iCs/>
        </w:rPr>
        <w:t>Bob Evans Restaurants,</w:t>
      </w:r>
      <w:r w:rsidRPr="00AD2F44">
        <w:t xml:space="preserve"> 2022 WL 1120048, at *10 (denying conditional certification on claim of failure to calculate overtime properly where plaintiffs failed to show any common policy beyond “speculation”). </w:t>
      </w:r>
    </w:p>
  </w:footnote>
  <w:footnote w:id="243">
    <w:p w14:paraId="6CF93D72" w14:textId="77777777" w:rsidR="00721CCF" w:rsidRPr="00AD2F44" w:rsidRDefault="00F42107">
      <w:pPr>
        <w:pStyle w:val="14Footnote"/>
      </w:pPr>
      <w:r w:rsidRPr="00AD2F44">
        <w:rPr>
          <w:vertAlign w:val="superscript"/>
        </w:rPr>
        <w:footnoteRef/>
      </w:r>
      <w:r w:rsidRPr="00AD2F44">
        <w:rPr>
          <w:i/>
          <w:iCs/>
        </w:rPr>
        <w:t>See, e.g.,</w:t>
      </w:r>
    </w:p>
    <w:p w14:paraId="30B73C25" w14:textId="77777777" w:rsidR="00721CCF" w:rsidRPr="00AD2F44" w:rsidRDefault="00F42107">
      <w:pPr>
        <w:pStyle w:val="14Footnote"/>
      </w:pPr>
      <w:r w:rsidRPr="00AD2F44">
        <w:rPr>
          <w:i/>
          <w:iCs/>
        </w:rPr>
        <w:t>Second Circuit:</w:t>
      </w:r>
      <w:r w:rsidRPr="00AD2F44">
        <w:t xml:space="preserve"> Jeong Woo Kim v. 511 E. 5th Street, LLC, 985 F. Supp. 2d 439 (S.D.N.Y. 2013) (finding defendants’ argument that plaintiff was independent contractor rather than employee, and if employee, properly classified as exempt, premature or irrelevant at conditional certification stage); Laroque v. Domino’s Pizza, LLC, 557 F. Supp. 2d 346, 354 (E.D.N.Y. 2008) (“The standard in this circuit is clear; the merits of plaintiffs’ claim are not at issue in a motion for conditional certification.”); Ruggeri v. Boehringer Ingelheim Pharm., Inc., 585 F. Supp. 2d 254, 276–77 (D. Conn. 2008) (disagreeing with and distinguishing the conclusion of the court in </w:t>
      </w:r>
      <w:r w:rsidRPr="00AD2F44">
        <w:rPr>
          <w:i/>
          <w:iCs/>
        </w:rPr>
        <w:t>Amendola v. Bristol-Myers Squibb Co</w:t>
      </w:r>
      <w:r w:rsidRPr="00AD2F44">
        <w:t xml:space="preserve">., 558 F. Supp. 2d 459 (S.D.N.Y. 2008), on the merits); </w:t>
      </w:r>
      <w:r w:rsidRPr="00AD2F44">
        <w:t>Scholtisek v. Eldre Corp., 229 F.R.D. 381, 391 (W.D.N.Y. 2005) (defendant’s arguments “go to the merits of plaintiff’s claims, which are not relevant at this stage”); Ayers v. SGS Control Servs., 2004 WL 2978296, at *2 (S.D.N.Y. Dec. 21, 2004) (rejecting defendant’s argument “that notice should not be given before dispositive issues concerning the merits of plaintiffs’ claims were resolved, in order to obviate the need to unduly burden defendants’ employees and disrupt defendants’ business … [and that] notice should not be authorized until dispositive issues concerning the merits of plaintiffs’ claims were ‘fully briefed, and considered and determined by the Court’”).</w:t>
      </w:r>
    </w:p>
    <w:p w14:paraId="008B297E" w14:textId="50A5223E" w:rsidR="00721CCF" w:rsidRPr="00AD2F44" w:rsidRDefault="00F42107">
      <w:pPr>
        <w:pStyle w:val="14Footnote"/>
      </w:pPr>
      <w:r w:rsidRPr="00AD2F44">
        <w:rPr>
          <w:i/>
          <w:iCs/>
        </w:rPr>
        <w:t>Fourth Circuit</w:t>
      </w:r>
      <w:r w:rsidRPr="00AD2F44">
        <w:t xml:space="preserve">: Lancaster v. FQSR, 2020 BL 347852, 2020 WL 5500227, at *7 (D. Md. Sept. 11, 2020) (holding existence and enforceability of arbitration agreement is merit-based inquiry not addressed at conditional certification stage). </w:t>
      </w:r>
    </w:p>
    <w:p w14:paraId="75C37646" w14:textId="3A90BB45" w:rsidR="00721CCF" w:rsidRPr="00AD2F44" w:rsidRDefault="00F42107">
      <w:pPr>
        <w:pStyle w:val="14Footnote"/>
      </w:pPr>
      <w:r w:rsidRPr="00AD2F44">
        <w:rPr>
          <w:i/>
          <w:iCs/>
        </w:rPr>
        <w:t xml:space="preserve">Fifth Circuit: </w:t>
      </w:r>
      <w:r w:rsidRPr="00AD2F44">
        <w:t>Behnken v. Luminant Min. Co., LLC, 2014 WL 585333 (N.D. Tex. Feb. 14, 2014) (rejecting employer argument that certification should be denied because policy in question was lawful, and distinguishing cases where dispositive issues were addressed at time of conditional certification on basis that plaintiffs in those cases had adequate opportunity to conduct discovery on the merits).</w:t>
      </w:r>
      <w:r w:rsidR="00A16E12" w:rsidRPr="00A16E12">
        <w:rPr>
          <w:b/>
        </w:rPr>
        <w:t xml:space="preserve"> </w:t>
      </w:r>
      <w:r w:rsidR="00A16E12" w:rsidRPr="00AD2F44">
        <w:rPr>
          <w:b/>
        </w:rPr>
        <w:t xml:space="preserve">[Caution: </w:t>
      </w:r>
      <w:r w:rsidR="00A16E12" w:rsidRPr="00AD2F44">
        <w:t xml:space="preserve">The Fifth Circuit later rejected the two-stage process, in </w:t>
      </w:r>
      <w:r w:rsidR="00A16E12" w:rsidRPr="00AD2F44">
        <w:rPr>
          <w:i/>
        </w:rPr>
        <w:t xml:space="preserve">Swales v. KLLM Transport Services, LLC, </w:t>
      </w:r>
      <w:r w:rsidR="00A16E12" w:rsidRPr="00AD2F44">
        <w:t xml:space="preserve">985 F.3d 430 (5th Cir. 2021), in favor of a requirement to “rigorously scrutinize” whether potential opt-ins are similarly situated “from the outset of the case.” </w:t>
      </w:r>
      <w:r w:rsidR="00A16E12" w:rsidRPr="00AD2F44">
        <w:rPr>
          <w:i/>
        </w:rPr>
        <w:t>Id.</w:t>
      </w:r>
      <w:r w:rsidR="00A16E12" w:rsidRPr="00AD2F44">
        <w:t xml:space="preserve"> at 434.</w:t>
      </w:r>
      <w:r w:rsidR="00A16E12" w:rsidRPr="00AD2F44">
        <w:rPr>
          <w:b/>
          <w:bCs/>
        </w:rPr>
        <w:t>]</w:t>
      </w:r>
    </w:p>
    <w:p w14:paraId="669D61C6" w14:textId="6F53CB9A" w:rsidR="00721CCF" w:rsidRPr="00AD2F44" w:rsidRDefault="00F42107">
      <w:pPr>
        <w:pStyle w:val="14Footnote"/>
      </w:pPr>
      <w:r w:rsidRPr="00AD2F44">
        <w:rPr>
          <w:i/>
          <w:iCs/>
        </w:rPr>
        <w:t>Sixth Circuit</w:t>
      </w:r>
      <w:r w:rsidRPr="00AD2F44">
        <w:t xml:space="preserve">: Bradford v. Team Pizza, Inc., 2020 BL 242132, 2020 WL 3496150, at *5 (S.D. Ohio June 29, 2020) (in granting conditional certification, refusing to determine existence and enforceability of arbitration agreements). </w:t>
      </w:r>
    </w:p>
    <w:p w14:paraId="3EBCE888" w14:textId="77777777" w:rsidR="00721CCF" w:rsidRPr="00AD2F44" w:rsidRDefault="00F42107">
      <w:pPr>
        <w:pStyle w:val="14Footnote"/>
      </w:pPr>
      <w:r w:rsidRPr="00AD2F44">
        <w:rPr>
          <w:i/>
          <w:iCs/>
        </w:rPr>
        <w:t>Eighth Circuit:</w:t>
      </w:r>
      <w:r w:rsidRPr="00AD2F44">
        <w:t xml:space="preserve"> Wacker v. Personal Touch Home Care, Inc., 2008 WL 4838146, at *2 (E.D. Mo. Nov. 6, 2008) (“District courts in this circuit have often used a two-step procedure, where plaintiffs first seek early conditional certification, and then later the court considers the merits … .”) (collecting cases); Huang v. Gateway Hotel Holdings, 248 F.R.D. 225, 227 (E.D. Mo. Jan. 4, 2008) (“A plaintiff’s burden when seeking conditional certification is not onerous and the merits of a plaintiff’s claims are not considered.”).</w:t>
      </w:r>
    </w:p>
    <w:p w14:paraId="7031900E" w14:textId="28030FD5" w:rsidR="00721CCF" w:rsidRPr="00AD2F44" w:rsidRDefault="00F42107">
      <w:pPr>
        <w:pStyle w:val="14Footnote"/>
      </w:pPr>
      <w:r w:rsidRPr="00AD2F44">
        <w:rPr>
          <w:i/>
          <w:iCs/>
        </w:rPr>
        <w:t>Ninth Circuit:</w:t>
      </w:r>
      <w:r w:rsidRPr="00AD2F44">
        <w:t xml:space="preserve"> </w:t>
      </w:r>
      <w:r w:rsidRPr="00AD2F44">
        <w:rPr>
          <w:bCs/>
        </w:rPr>
        <w:t>Droesch v. Wells Fargo Bank N.A.</w:t>
      </w:r>
      <w:r w:rsidRPr="00AD2F44">
        <w:t xml:space="preserve">, 2021 BL 168635, </w:t>
      </w:r>
      <w:r w:rsidRPr="00AD2F44">
        <w:rPr>
          <w:bCs/>
        </w:rPr>
        <w:t xml:space="preserve">2021 WL 1817058 (N.D. Cal. May 6, 2021) (refusing to address whether notice should be sent to employees with arbitration agreements during conditional certification stage despite having granted motion to stay and send to arbitration claims of named plaintiff and six opt-in plaintiffs prior to ruling on conditional certification); Bruno v. Wells Fargo Bank, N.A., 2021 BL 91043, 2021 WL 964938 (W.D. Pa. Mar. 15, 2021) (refusing to prevent notice to potential opt ins who may have signed arbitration agreements, given that no current opt ins or plaintiffs were signatories and determining issue for potential opt ins would cause delays in notice process); </w:t>
      </w:r>
      <w:r w:rsidRPr="00AD2F44">
        <w:t>Bishop v. Petro-Chem. Transp., LLC, 582 F. Supp. 2d 1290, 1295, 1297 (E.D. Cal. 2008) (evaluating evidence regarding Motor Carrier Act exemption for purposes of determining whether conditional certification was warranted, but refusing to decide merits of issue and noting that it had denied summary judgment as premature in prior ruling); Mowdy v. Beneto Bulk Transp., 2008 WL 901546, at *6 (N.D. Cal. Mar. 31, 2008) (“at this first stage of conditional certification, it is inappropriate for the court to entertain an inquiry on the merits”); Centurioni v. City &amp; Cnty. of S.F., 2008 WL 295096, at *2 (N.D. Cal. Feb. 1, 2008) (“Under this first step, courts do not consider the merits of the claims.”); Adams v. Inter-Con Sec. Sys., 242 F.R.D. 530, 535 (N.D. Cal. 2007) (rejecting employer’s request to stay decision regarding conditional certification until after motion to dismiss action had been heard).</w:t>
      </w:r>
    </w:p>
    <w:p w14:paraId="38706372" w14:textId="77777777" w:rsidR="00721CCF" w:rsidRPr="00AD2F44" w:rsidRDefault="00F42107">
      <w:pPr>
        <w:pStyle w:val="14Footnote"/>
      </w:pPr>
      <w:r w:rsidRPr="00AD2F44">
        <w:rPr>
          <w:i/>
          <w:iCs/>
        </w:rPr>
        <w:t>Tenth Circuit:</w:t>
      </w:r>
      <w:r w:rsidRPr="00AD2F44">
        <w:t xml:space="preserve"> Kaiser v. At the Beach, Inc., 2009 WL 4506152, at *4 (N.D. Okla. Nov. 24, 2009) (rejecting argument that conditional certification was inappropriate because putative collective action members had waived their claims by accepting payments in resolution of such claims, because defense, which was raised via motion to dismiss converted to summary judgment motion, could not be evaluated until later in proceedings and pursuant to evidentiary analysis); Renfro v. Spartan Comput. Servs., Inc., 243 F.R.D. 431, 435 (D. Kan. 2007) (“On the motion for conditional certification, however, the Court will not reach the merits of plaintiffs’ claim.”); Gieseke v. First Horizon Home Loan Corp., 408 F. Supp. 2d 1164, 1168 (D. Kan. 2006) (“But [c]onditional certification of a collective action and the issuance of a notice do not require this Court to adjudicate the merits … .”) (alteration in original; quotation marks and citation omitted); Geer v. Challenge Fin. Investors Corp., 2006 WL 523201, at *1 (D. Kan. Mar. 3, 2006) (explaining that possibility of dismissal on motion “does not outweigh … [c]ourt’s concern about the effect a delay in sending notice might ultimately have on potential claims by [employees] who might wish to opt in to this case”); Vaszlavik v. Storage Tech. Corp., 175 F.R.D. 672, 680 (D. Colo. 1997) (“[W]hether plaintiffs can meet their burden in the liability phase … is irrelevant to the question of §216(b) certification.”).</w:t>
      </w:r>
    </w:p>
    <w:p w14:paraId="4AA3D7B7" w14:textId="541DA63D" w:rsidR="00721CCF" w:rsidRPr="00AD2F44" w:rsidRDefault="00F42107">
      <w:pPr>
        <w:pStyle w:val="14Footnote"/>
      </w:pPr>
      <w:r w:rsidRPr="00AD2F44">
        <w:rPr>
          <w:i/>
          <w:iCs/>
        </w:rPr>
        <w:t>Eleventh Circuit:</w:t>
      </w:r>
      <w:r w:rsidRPr="00AD2F44">
        <w:t xml:space="preserve"> Kreher v. City of Atlanta, 2006 WL 739572, at *4 (N.D. Ga. Mar. 20, 2008) (rejecting defendant’s “attack on the merits”: “The focus of this inquiry … is not on whether there has been a violation of law but rather on whether the proposed plaintiffs are similarly situated … .”) (quotation marks and citation omitted).</w:t>
      </w:r>
    </w:p>
    <w:p w14:paraId="0A977661" w14:textId="77777777" w:rsidR="00721CCF" w:rsidRPr="00AD2F44" w:rsidRDefault="00F42107">
      <w:pPr>
        <w:pStyle w:val="14Footnote"/>
      </w:pPr>
      <w:r w:rsidRPr="00AD2F44">
        <w:t>See also §X.E [The Collective Action Mechanism in Arbitration; Conditional Certification When Putative Class Members May Be Subject to Arbitration Agreements] of this chapter for cases discussing motions to compel arbitration at the conditional certification stage.</w:t>
      </w:r>
    </w:p>
  </w:footnote>
  <w:footnote w:id="244">
    <w:p w14:paraId="6FA5141E" w14:textId="77777777" w:rsidR="00721CCF" w:rsidRPr="00AD2F44" w:rsidRDefault="00F42107">
      <w:pPr>
        <w:pStyle w:val="14Footnote"/>
      </w:pPr>
      <w:r w:rsidRPr="00AD2F44">
        <w:rPr>
          <w:vertAlign w:val="superscript"/>
        </w:rPr>
        <w:footnoteRef/>
      </w:r>
      <w:r w:rsidRPr="00AD2F44">
        <w:rPr>
          <w:i/>
          <w:iCs/>
        </w:rPr>
        <w:t>See, e.g.,</w:t>
      </w:r>
    </w:p>
    <w:p w14:paraId="2B01BB89" w14:textId="77777777" w:rsidR="00721CCF" w:rsidRPr="00AD2F44" w:rsidRDefault="00F42107">
      <w:pPr>
        <w:pStyle w:val="14Footnote"/>
      </w:pPr>
      <w:r w:rsidRPr="00AD2F44">
        <w:rPr>
          <w:i/>
          <w:iCs/>
        </w:rPr>
        <w:t>Second Circuit</w:t>
      </w:r>
      <w:r w:rsidRPr="00AD2F44">
        <w:t>: Amendola v. Bristol-Myers Squibb Co., 558 F. Supp. 2d 459 (S.D.N.Y. 2008) (denial of conditional certification was premised on the court’s conclusion that defendants were likely to prevail on the merits of the action); Myers v. Hertz Corp., 2007 WL 2126264 (E.D.N.Y. July 24, 2007) (court first partially granted and partially denied the defendant’s motion for summary judgment, and later denied conditional certification).</w:t>
      </w:r>
    </w:p>
    <w:p w14:paraId="7C843B53" w14:textId="77777777" w:rsidR="00721CCF" w:rsidRPr="00AD2F44" w:rsidRDefault="00F42107">
      <w:pPr>
        <w:pStyle w:val="14Footnote"/>
      </w:pPr>
      <w:r w:rsidRPr="00AD2F44">
        <w:rPr>
          <w:i/>
          <w:iCs/>
        </w:rPr>
        <w:t xml:space="preserve">Third Circuit: </w:t>
      </w:r>
      <w:r w:rsidRPr="00AD2F44">
        <w:t>Zanes v. Flagship Resort Dev., LLC, 2010 WL 4687814 (D.N.J. Nov. 9, 2010) (assessing and rejecting argument made by defendant prior to conditional certification that plaintiffs lacked standing because they were exempt employees).</w:t>
      </w:r>
    </w:p>
    <w:p w14:paraId="77E4E712" w14:textId="65D2AB5E" w:rsidR="00721CCF" w:rsidRPr="00AD2F44" w:rsidRDefault="00F42107">
      <w:pPr>
        <w:pStyle w:val="14Footnote"/>
      </w:pPr>
      <w:r w:rsidRPr="00AD2F44">
        <w:rPr>
          <w:i/>
          <w:iCs/>
        </w:rPr>
        <w:t>Fourth Circuit:</w:t>
      </w:r>
      <w:r w:rsidRPr="00AD2F44">
        <w:rPr>
          <w:b/>
          <w:bCs/>
        </w:rPr>
        <w:t xml:space="preserve"> </w:t>
      </w:r>
      <w:r w:rsidRPr="00AD2F44">
        <w:t>Wai Man</w:t>
      </w:r>
      <w:r w:rsidRPr="00AD2F44">
        <w:rPr>
          <w:b/>
          <w:bCs/>
        </w:rPr>
        <w:t xml:space="preserve"> </w:t>
      </w:r>
      <w:r w:rsidRPr="00AD2F44">
        <w:t>Tom v. Hospitality Ventures LLC, 980 F.3d 1027 (4th Cir. 2020) (affirming in part, vacated in part, and remanded lower court’s grant of summary judgment to employer; district court denied conditional certification as moot; holding fixed, automatic gratuities are not tips, remanding for determination of whether requirements of 207(i) exemption were met);</w:t>
      </w:r>
      <w:r w:rsidRPr="00AD2F44">
        <w:rPr>
          <w:b/>
          <w:bCs/>
        </w:rPr>
        <w:t xml:space="preserve"> </w:t>
      </w:r>
      <w:r w:rsidRPr="00AD2F44">
        <w:t xml:space="preserve">Withrow v. Sedgwick Claims Mgmt. Serv., Inc., 841 F. Supp. 2d 972, 987–88 (S.D. W. Va. 2012) (granting summary judgment on administrative exemption as to eight plaintiffs in case and denying as moot conditional certification motion that was filed concurrently); Romero v. Mountaire Farms, Inc., 796 F. Supp. 2d 700, 708 (E.D.N.C. 2011) (narrowing conditionally certified class by dismissing claims regarding pre- and post-meal period donning and doffing, based on Fourth Circuit authority holding that such time was </w:t>
      </w:r>
      <w:r w:rsidRPr="00AD2F44">
        <w:t>noncompensable).</w:t>
      </w:r>
    </w:p>
    <w:p w14:paraId="23818A90" w14:textId="2DDD1992" w:rsidR="00721CCF" w:rsidRPr="00AD2F44" w:rsidRDefault="00F42107">
      <w:pPr>
        <w:pStyle w:val="14Footnote"/>
      </w:pPr>
      <w:r w:rsidRPr="00AD2F44">
        <w:rPr>
          <w:i/>
          <w:iCs/>
        </w:rPr>
        <w:t>Fifth Circuit:</w:t>
      </w:r>
      <w:r w:rsidRPr="00AD2F44">
        <w:t xml:space="preserve"> Crawford v. Saks &amp; Co., 2016 WL 3090781, at *2, 9 (S.D. Tex. June 2, 2016) (granting defendant’s motion for summary judgment as to named plaintiffs as exempt under §217(i) because there had been extensive merits discovery of their claims, including written discovery and depositions of named plaintiffs and defendant’s corporate representative; denying conditional certification motion and dismissing case because there were no remaining plaintiffs in case, reasoning that court lacked continuing jurisdiction over case under </w:t>
      </w:r>
      <w:r w:rsidRPr="00AD2F44">
        <w:rPr>
          <w:i/>
          <w:iCs/>
        </w:rPr>
        <w:t>Genesis Healthcare Corp</w:t>
      </w:r>
      <w:r w:rsidRPr="00AD2F44">
        <w:t>.</w:t>
      </w:r>
      <w:r w:rsidRPr="00AD2F44">
        <w:rPr>
          <w:i/>
          <w:iCs/>
        </w:rPr>
        <w:t xml:space="preserve"> v</w:t>
      </w:r>
      <w:r w:rsidRPr="00AD2F44">
        <w:t>.</w:t>
      </w:r>
      <w:r w:rsidRPr="00AD2F44">
        <w:rPr>
          <w:i/>
          <w:iCs/>
        </w:rPr>
        <w:t xml:space="preserve"> Symczyk</w:t>
      </w:r>
      <w:r w:rsidRPr="00AD2F44">
        <w:t>, 569 U.S. 66, 69 (2013)); Cash v. Conn Appliances, 2 F. Supp. 2d 884 (E.D. Tex. 1997) (granting defendant’s motion for summary judgment with respect to whether defendant should have used the fluctuating workweek method and denying plaintiffs’ motion for certification as a collective action based on that issue).</w:t>
      </w:r>
      <w:r w:rsidR="00A16E12" w:rsidRPr="00A16E12">
        <w:rPr>
          <w:b/>
        </w:rPr>
        <w:t xml:space="preserve"> </w:t>
      </w:r>
      <w:r w:rsidR="00A16E12" w:rsidRPr="00AD2F44">
        <w:rPr>
          <w:b/>
        </w:rPr>
        <w:t xml:space="preserve">[Caution: </w:t>
      </w:r>
      <w:r w:rsidR="00A16E12" w:rsidRPr="00AD2F44">
        <w:t xml:space="preserve">The Fifth Circuit later rejected the two-stage process, in </w:t>
      </w:r>
      <w:r w:rsidR="00A16E12" w:rsidRPr="00AD2F44">
        <w:rPr>
          <w:i/>
        </w:rPr>
        <w:t xml:space="preserve">Swales v. KLLM Transport Services, LLC, </w:t>
      </w:r>
      <w:r w:rsidR="00A16E12" w:rsidRPr="00AD2F44">
        <w:t xml:space="preserve">985 F.3d 430 (5th Cir. 2021), in favor of a requirement to “rigorously scrutinize” whether potential opt-ins are similarly situated “from the outset of the case.” </w:t>
      </w:r>
      <w:r w:rsidR="00A16E12" w:rsidRPr="00AD2F44">
        <w:rPr>
          <w:i/>
        </w:rPr>
        <w:t>Id.</w:t>
      </w:r>
      <w:r w:rsidR="00A16E12" w:rsidRPr="00AD2F44">
        <w:t xml:space="preserve"> at 434.</w:t>
      </w:r>
      <w:r w:rsidR="00A16E12" w:rsidRPr="00AD2F44">
        <w:rPr>
          <w:b/>
          <w:bCs/>
        </w:rPr>
        <w:t>]</w:t>
      </w:r>
    </w:p>
    <w:p w14:paraId="3BAD74E1" w14:textId="77777777" w:rsidR="00721CCF" w:rsidRPr="00AD2F44" w:rsidRDefault="00F42107">
      <w:pPr>
        <w:pStyle w:val="14Footnote"/>
      </w:pPr>
      <w:r w:rsidRPr="00AD2F44">
        <w:rPr>
          <w:i/>
          <w:iCs/>
        </w:rPr>
        <w:t xml:space="preserve">Sixth Circuit: </w:t>
      </w:r>
      <w:r w:rsidRPr="00AD2F44">
        <w:t>Bernal v. Trueblue, Inc., 730 F. Supp. 2d 736, 738 (W.D. Mich. 2010) (finding it appropriate to rule on motion for summary judgment despite prior-filed and still-pending motions for collective and class certification, reasoning that it could be done “in the interest of conserving resources”); O’Neal v. Kilbourne Med. Labs., Inc., 2007 U.S. Dist. LEXIS 22620 (E.D. Ky. Mar. 28, 2007) (ruling on a summary judgment motion prior to deciding conditional certification; court had denied plaintiff’s motion for conditional certification, finding that she was properly classified as exempt).</w:t>
      </w:r>
    </w:p>
    <w:p w14:paraId="0869A8EB" w14:textId="77777777" w:rsidR="00721CCF" w:rsidRPr="00AD2F44" w:rsidRDefault="00F42107">
      <w:pPr>
        <w:pStyle w:val="14Footnote"/>
      </w:pPr>
      <w:r w:rsidRPr="00AD2F44">
        <w:rPr>
          <w:i/>
          <w:iCs/>
        </w:rPr>
        <w:t xml:space="preserve">Seventh Circuit: </w:t>
      </w:r>
      <w:r w:rsidRPr="00AD2F44">
        <w:t>Binissia v. ABM Indus., Inc., 2014 WL 793111, at *4 (N.D. Ill. Feb. 26, 2014) (finding that addressing whether defendant’s rounding policy violated FLSA at conditional certification stage is “more sensible” approach and finding that policy appeared inconsistent with FLSA regulations); Thompson v. K.R. Denth Trucking, Inc., 2011 WL 649680, at *5–6 (S.D. Ind. Feb. 11, 2011) (rejecting argument that it was premature to evaluate whether Motor Carrier Act exemption applied at conditional certification stage; holding that named plaintiffs were covered by exemption and, therefore, denying conditional certification because they were “inadequate representatives for the proposed collective action”).</w:t>
      </w:r>
    </w:p>
    <w:p w14:paraId="5881F64B" w14:textId="77777777" w:rsidR="00721CCF" w:rsidRPr="00AD2F44" w:rsidRDefault="00F42107">
      <w:pPr>
        <w:pStyle w:val="14Footnote"/>
      </w:pPr>
      <w:r w:rsidRPr="00AD2F44">
        <w:rPr>
          <w:i/>
          <w:iCs/>
        </w:rPr>
        <w:t>Eighth Circuit:</w:t>
      </w:r>
      <w:r w:rsidRPr="00AD2F44">
        <w:t xml:space="preserve"> Liebesman v. Competitor Grp., 2016 WL 204461 (E.D. Mo. Jan. 15, 2016) (considering motion for summary judgment prior to motion for conditional certification where plaintiff failed to timely file written consent to be party to FLSA collective action, and summary judgment issues were dispositive because plaintiff’s FLSA claim was time-barred).</w:t>
      </w:r>
    </w:p>
    <w:p w14:paraId="0CD27A8F" w14:textId="14AF88AF" w:rsidR="00721CCF" w:rsidRPr="00AD2F44" w:rsidRDefault="00F42107">
      <w:pPr>
        <w:pStyle w:val="14Footnote"/>
      </w:pPr>
      <w:r w:rsidRPr="00AD2F44">
        <w:rPr>
          <w:i/>
          <w:iCs/>
        </w:rPr>
        <w:t>Ninth Circuit:</w:t>
      </w:r>
      <w:r w:rsidRPr="00AD2F44">
        <w:t xml:space="preserve"> Gonzales v. Charter Commc’ns, LLC, 497 F. Supp. 3d 844 (C.D. Cal. 2020) (granting motion to dismiss from putative collective action 15 of 18 plaintiffs who had signed arbitration agreements and compelling their individual claims to arbitration); Taylor v. Waddell &amp; Reed, Inc., 2012 WL 10669, at *5 (S.D. Cal. Jan. 3, 2012) (granting partial summary judgment, agreeing that plaintiffs qualified for outside sales exemption, and denying as moot pending conditional certification motion); Fetrow-Fix v. Harrah’s Entm’t, Inc., 2011 WL 6938594, at *7 (D. Nev. Dec. 30, 2011) (denying conditional certification for putative class of game supervisors/floor persons because district judge previously granted summary judgment against named plaintiff, finding that defendants proved she was properly classified as exempt executive).</w:t>
      </w:r>
    </w:p>
    <w:p w14:paraId="01B4753A" w14:textId="77777777" w:rsidR="00721CCF" w:rsidRPr="00AD2F44" w:rsidRDefault="00F42107">
      <w:pPr>
        <w:pStyle w:val="14Footnote"/>
      </w:pPr>
      <w:r w:rsidRPr="00AD2F44">
        <w:rPr>
          <w:i/>
          <w:iCs/>
        </w:rPr>
        <w:t xml:space="preserve">Tenth Circuit: </w:t>
      </w:r>
      <w:r w:rsidRPr="00AD2F44">
        <w:t>Vanartsdalen v. Deffenbaugh Indus., Inc., 2011 WL 1002027 (D. Kan. Mar. 18, 2011) (considering and granting motion for summary judgment, finding plaintiffs were exempt, before considering plaintiffs’ motion for conditional certification).</w:t>
      </w:r>
    </w:p>
    <w:p w14:paraId="0301EB2B" w14:textId="773ED947" w:rsidR="00721CCF" w:rsidRPr="00AD2F44" w:rsidRDefault="00F42107">
      <w:pPr>
        <w:pStyle w:val="14Footnote"/>
        <w:rPr>
          <w:b/>
          <w:bCs/>
        </w:rPr>
      </w:pPr>
      <w:r w:rsidRPr="00AD2F44">
        <w:rPr>
          <w:i/>
          <w:iCs/>
        </w:rPr>
        <w:t>Eleventh Circuit:</w:t>
      </w:r>
      <w:r w:rsidRPr="00AD2F44">
        <w:t xml:space="preserve"> Shelton v. 11USA Grp. LLC, 2020 BL 458737, 2020 WL 7327948 (S.D. Fla. Nov. 20, 2020) (granting motion to compel arbitration prior to conditional certification determination).</w:t>
      </w:r>
    </w:p>
    <w:p w14:paraId="7BA793D5" w14:textId="77777777" w:rsidR="00721CCF" w:rsidRPr="00AD2F44" w:rsidRDefault="00F42107">
      <w:pPr>
        <w:pStyle w:val="14Footnote"/>
      </w:pPr>
      <w:r w:rsidRPr="00AD2F44">
        <w:t>See also §X.E [The Collective Action Mechanism in Arbitration; Conditional Certification When Putative Class Members May Be Subject to Arbitration Agreements] of this chapter for cases discussing motions to compel arbitration at the conditional certification stage.</w:t>
      </w:r>
    </w:p>
  </w:footnote>
  <w:footnote w:id="245">
    <w:p w14:paraId="66DF4097" w14:textId="77777777" w:rsidR="00721CCF" w:rsidRPr="00AD2F44" w:rsidRDefault="00F42107">
      <w:pPr>
        <w:pStyle w:val="14Footnote"/>
      </w:pPr>
      <w:r w:rsidRPr="00AD2F44">
        <w:rPr>
          <w:vertAlign w:val="superscript"/>
        </w:rPr>
        <w:footnoteRef/>
      </w:r>
      <w:r w:rsidRPr="00AD2F44">
        <w:t>67 F. Supp. 3d 1061 (D. Ariz. 2014).</w:t>
      </w:r>
    </w:p>
  </w:footnote>
  <w:footnote w:id="246">
    <w:p w14:paraId="1DBDE0E9" w14:textId="5AE264D9" w:rsidR="00721CCF" w:rsidRPr="00AD2F44" w:rsidRDefault="00F42107">
      <w:pPr>
        <w:pStyle w:val="14Footnote"/>
      </w:pPr>
      <w:r w:rsidRPr="00AD2F44">
        <w:rPr>
          <w:vertAlign w:val="superscript"/>
        </w:rPr>
        <w:footnoteRef/>
      </w:r>
      <w:r w:rsidRPr="00AD2F44">
        <w:rPr>
          <w:i/>
          <w:iCs/>
        </w:rPr>
        <w:t>Id</w:t>
      </w:r>
      <w:r w:rsidRPr="00AD2F44">
        <w:t xml:space="preserve">. at 1071–73. </w:t>
      </w:r>
      <w:r w:rsidRPr="00AD2F44">
        <w:rPr>
          <w:i/>
          <w:iCs/>
        </w:rPr>
        <w:t>See also</w:t>
      </w:r>
      <w:r w:rsidRPr="00AD2F44">
        <w:t xml:space="preserve"> Jaime v. Parts Auth. </w:t>
      </w:r>
      <w:r w:rsidRPr="002E55FE">
        <w:t>LLC, 2021 BL 273221,</w:t>
      </w:r>
      <w:r w:rsidRPr="002E55FE">
        <w:rPr>
          <w:rFonts w:ascii="Arial" w:eastAsia="Cambria" w:hAnsi="Arial" w:cs="Arial"/>
          <w:sz w:val="24"/>
          <w:szCs w:val="20"/>
        </w:rPr>
        <w:t xml:space="preserve"> </w:t>
      </w:r>
      <w:r w:rsidRPr="002E55FE">
        <w:t xml:space="preserve">2021 WL 3055041 (D. Ariz. </w:t>
      </w:r>
      <w:r w:rsidRPr="00AD2F44">
        <w:t>July 20, 2021) (dismissing claims against one set of Texas-based corporate defendants for lack of personal jurisdiction under personal availment and purposeful direction tests required in Ninth Circuit); Walkinshaw v. Saint Elizabeth Reg. Med. Ctr., 507 F. Supp. 3d 1106 (D. Neb. 2020) (holding it had specific personal jurisdiction over defendant based on contacts with Nebraska) (citing Epps v. Stewart Info. Servs. Corp., 327 F.3d 642 (8th Cir. 2003)).</w:t>
      </w:r>
    </w:p>
  </w:footnote>
  <w:footnote w:id="247">
    <w:p w14:paraId="13CD6C58" w14:textId="7A297FBD" w:rsidR="00721CCF" w:rsidRPr="00AD2F44" w:rsidRDefault="00F42107" w:rsidP="00F23572">
      <w:pPr>
        <w:pStyle w:val="14Footnote"/>
      </w:pPr>
      <w:r w:rsidRPr="00AD2F44">
        <w:rPr>
          <w:rStyle w:val="FootnoteReference"/>
        </w:rPr>
        <w:footnoteRef/>
      </w:r>
      <w:r w:rsidRPr="00AD2F44">
        <w:t>586 F. Supp. 3d 759 (S.D. Ohio 2022).</w:t>
      </w:r>
    </w:p>
  </w:footnote>
  <w:footnote w:id="248">
    <w:p w14:paraId="04F1B546" w14:textId="607755E3" w:rsidR="00721CCF" w:rsidRPr="00AD2F44" w:rsidRDefault="00F42107" w:rsidP="00F23572">
      <w:pPr>
        <w:pStyle w:val="14Footnote"/>
      </w:pPr>
      <w:r w:rsidRPr="00AD2F44">
        <w:rPr>
          <w:rStyle w:val="FootnoteReference"/>
        </w:rPr>
        <w:footnoteRef/>
      </w:r>
      <w:r w:rsidRPr="00AD2F44">
        <w:rPr>
          <w:i/>
          <w:iCs/>
        </w:rPr>
        <w:t>Id</w:t>
      </w:r>
      <w:r w:rsidRPr="00AD2F44">
        <w:t>. at 771–74.</w:t>
      </w:r>
    </w:p>
  </w:footnote>
  <w:footnote w:id="249">
    <w:p w14:paraId="186A0E62" w14:textId="77777777" w:rsidR="00721CCF" w:rsidRPr="00AD2F44" w:rsidRDefault="00F42107">
      <w:pPr>
        <w:pStyle w:val="14Footnote"/>
      </w:pPr>
      <w:r w:rsidRPr="00AD2F44">
        <w:rPr>
          <w:vertAlign w:val="superscript"/>
        </w:rPr>
        <w:footnoteRef/>
      </w:r>
      <w:r w:rsidRPr="00AD2F44">
        <w:t>137 S. Ct. 1773, 198 L. Ed. 2d 395 (2017).</w:t>
      </w:r>
    </w:p>
  </w:footnote>
  <w:footnote w:id="250">
    <w:p w14:paraId="37B680DF" w14:textId="77777777" w:rsidR="00721CCF" w:rsidRPr="00AD2F44" w:rsidRDefault="00F42107">
      <w:pPr>
        <w:pStyle w:val="14Footnote"/>
      </w:pPr>
      <w:r w:rsidRPr="00AD2F44">
        <w:rPr>
          <w:vertAlign w:val="superscript"/>
        </w:rPr>
        <w:footnoteRef/>
      </w:r>
      <w:r w:rsidRPr="00AD2F44">
        <w:t>137 S. Ct. at 1777–78.</w:t>
      </w:r>
    </w:p>
  </w:footnote>
  <w:footnote w:id="251">
    <w:p w14:paraId="6F7AB87C" w14:textId="77777777" w:rsidR="00721CCF" w:rsidRPr="00AD2F44" w:rsidRDefault="00F42107">
      <w:pPr>
        <w:pStyle w:val="14Footnote"/>
      </w:pPr>
      <w:r w:rsidRPr="00AD2F44">
        <w:rPr>
          <w:vertAlign w:val="superscript"/>
        </w:rPr>
        <w:footnoteRef/>
      </w:r>
      <w:r w:rsidRPr="00AD2F44">
        <w:rPr>
          <w:i/>
          <w:iCs/>
        </w:rPr>
        <w:t>Id</w:t>
      </w:r>
      <w:r w:rsidRPr="00AD2F44">
        <w:t>. at 1781.</w:t>
      </w:r>
    </w:p>
  </w:footnote>
  <w:footnote w:id="252">
    <w:p w14:paraId="7A11AF03" w14:textId="77777777" w:rsidR="00721CCF" w:rsidRPr="00AD2F44" w:rsidRDefault="00F42107" w:rsidP="000B6C5F">
      <w:pPr>
        <w:pStyle w:val="FootnoteText"/>
      </w:pPr>
      <w:r w:rsidRPr="00AD2F44">
        <w:rPr>
          <w:rStyle w:val="FootnoteReference"/>
        </w:rPr>
        <w:footnoteRef/>
      </w:r>
      <w:r w:rsidRPr="00AD2F44">
        <w:t xml:space="preserve">9 F.4th 392 (6th Cir. 2021). </w:t>
      </w:r>
    </w:p>
  </w:footnote>
  <w:footnote w:id="253">
    <w:p w14:paraId="0DD1CE28" w14:textId="62CBC6E6" w:rsidR="00721CCF" w:rsidRPr="002F69CA" w:rsidRDefault="00F42107" w:rsidP="000B6C5F">
      <w:pPr>
        <w:pStyle w:val="FootnoteText"/>
        <w:rPr>
          <w:rStyle w:val="FootnoteReference"/>
          <w:vertAlign w:val="baseline"/>
        </w:rPr>
      </w:pPr>
      <w:r w:rsidRPr="00AD2F44">
        <w:rPr>
          <w:rStyle w:val="FootnoteReference"/>
        </w:rPr>
        <w:footnoteRef/>
      </w:r>
      <w:r w:rsidRPr="002F69CA">
        <w:rPr>
          <w:i/>
          <w:iCs/>
        </w:rPr>
        <w:t>Id</w:t>
      </w:r>
      <w:r w:rsidRPr="00AD2F44">
        <w:t xml:space="preserve">. at 397. </w:t>
      </w:r>
      <w:r w:rsidRPr="002F69CA">
        <w:rPr>
          <w:i/>
          <w:iCs/>
        </w:rPr>
        <w:t>See also</w:t>
      </w:r>
      <w:r>
        <w:t xml:space="preserve"> </w:t>
      </w:r>
      <w:r w:rsidRPr="00571B93">
        <w:t>St. Cloud v. Estes Express Lines, Inc.</w:t>
      </w:r>
      <w:r>
        <w:t xml:space="preserve">, </w:t>
      </w:r>
      <w:r w:rsidR="008E2294" w:rsidRPr="00645E6B">
        <w:rPr>
          <w:rFonts w:eastAsia="Times New Roman" w:cs="Times New Roman"/>
          <w:szCs w:val="24"/>
        </w:rPr>
        <w:t>2022 BL 215773</w:t>
      </w:r>
      <w:r w:rsidR="008E2294">
        <w:rPr>
          <w:rFonts w:eastAsia="Times New Roman" w:cs="Times New Roman"/>
          <w:szCs w:val="24"/>
        </w:rPr>
        <w:t xml:space="preserve">, </w:t>
      </w:r>
      <w:r w:rsidRPr="00571B93">
        <w:t>2022 WL 2252957</w:t>
      </w:r>
      <w:r>
        <w:t xml:space="preserve"> (</w:t>
      </w:r>
      <w:r w:rsidRPr="00571B93">
        <w:t>M.D. Tenn. June 22, 2022)</w:t>
      </w:r>
      <w:r w:rsidRPr="002F69CA">
        <w:rPr>
          <w:rStyle w:val="FootnoteReference"/>
        </w:rPr>
        <w:t xml:space="preserve"> </w:t>
      </w:r>
      <w:r>
        <w:t xml:space="preserve"> (citing </w:t>
      </w:r>
      <w:r>
        <w:rPr>
          <w:i/>
          <w:iCs/>
        </w:rPr>
        <w:t>Canaday</w:t>
      </w:r>
      <w:r>
        <w:t xml:space="preserve">, denying exercise of personal jurisdiction over out of state workers). </w:t>
      </w:r>
    </w:p>
  </w:footnote>
  <w:footnote w:id="254">
    <w:p w14:paraId="44DE9246" w14:textId="77777777" w:rsidR="00721CCF" w:rsidRPr="00AD2F44" w:rsidRDefault="00F42107" w:rsidP="000B6C5F">
      <w:pPr>
        <w:pStyle w:val="FootnoteText"/>
      </w:pPr>
      <w:r w:rsidRPr="00AD2F44">
        <w:rPr>
          <w:rStyle w:val="FootnoteReference"/>
        </w:rPr>
        <w:footnoteRef/>
      </w:r>
      <w:r w:rsidRPr="002F69CA">
        <w:rPr>
          <w:i/>
          <w:iCs/>
        </w:rPr>
        <w:t>Id</w:t>
      </w:r>
      <w:r w:rsidRPr="00AD2F44">
        <w:t>.</w:t>
      </w:r>
    </w:p>
  </w:footnote>
  <w:footnote w:id="255">
    <w:p w14:paraId="299E54AF" w14:textId="057214CA" w:rsidR="00721CCF" w:rsidRPr="00AD2F44" w:rsidRDefault="00F42107" w:rsidP="000B6C5F">
      <w:pPr>
        <w:pStyle w:val="FootnoteText"/>
      </w:pPr>
      <w:r w:rsidRPr="00AD2F44">
        <w:rPr>
          <w:rStyle w:val="FootnoteReference"/>
        </w:rPr>
        <w:footnoteRef/>
      </w:r>
      <w:r w:rsidRPr="00AD2F44">
        <w:rPr>
          <w:i/>
          <w:iCs/>
        </w:rPr>
        <w:t>Id.</w:t>
      </w:r>
      <w:r w:rsidRPr="00AD2F44">
        <w:t xml:space="preserve"> at 398–99.</w:t>
      </w:r>
    </w:p>
  </w:footnote>
  <w:footnote w:id="256">
    <w:p w14:paraId="3A237B77" w14:textId="04943DE9" w:rsidR="00721CCF" w:rsidRPr="00AD2F44" w:rsidRDefault="00F42107" w:rsidP="000B6C5F">
      <w:pPr>
        <w:pStyle w:val="FootnoteText"/>
      </w:pPr>
      <w:r w:rsidRPr="00AD2F44">
        <w:rPr>
          <w:rStyle w:val="FootnoteReference"/>
        </w:rPr>
        <w:footnoteRef/>
      </w:r>
      <w:r w:rsidRPr="00AD2F44">
        <w:rPr>
          <w:i/>
          <w:iCs/>
        </w:rPr>
        <w:t>Id.</w:t>
      </w:r>
      <w:r w:rsidRPr="00AD2F44">
        <w:t xml:space="preserve"> at 399–400.</w:t>
      </w:r>
    </w:p>
  </w:footnote>
  <w:footnote w:id="257">
    <w:p w14:paraId="7E445F6A" w14:textId="77777777" w:rsidR="00721CCF" w:rsidRPr="00AD2F44" w:rsidRDefault="00F42107" w:rsidP="000B6C5F">
      <w:pPr>
        <w:pStyle w:val="FootnoteText"/>
      </w:pPr>
      <w:r w:rsidRPr="00AD2F44">
        <w:rPr>
          <w:rStyle w:val="FootnoteReference"/>
        </w:rPr>
        <w:footnoteRef/>
      </w:r>
      <w:r w:rsidRPr="00AD2F44">
        <w:rPr>
          <w:i/>
          <w:iCs/>
        </w:rPr>
        <w:t>Id.</w:t>
      </w:r>
      <w:r w:rsidRPr="00AD2F44">
        <w:t>at 400.</w:t>
      </w:r>
    </w:p>
  </w:footnote>
  <w:footnote w:id="258">
    <w:p w14:paraId="200D67E3" w14:textId="4617D3C8" w:rsidR="00721CCF" w:rsidRPr="00AD2F44" w:rsidRDefault="00F42107" w:rsidP="000B6C5F">
      <w:pPr>
        <w:pStyle w:val="FootnoteText"/>
      </w:pPr>
      <w:r w:rsidRPr="00AD2F44">
        <w:rPr>
          <w:rStyle w:val="FootnoteReference"/>
        </w:rPr>
        <w:footnoteRef/>
      </w:r>
      <w:r w:rsidRPr="00AD2F44">
        <w:rPr>
          <w:i/>
          <w:iCs/>
        </w:rPr>
        <w:t>Id.</w:t>
      </w:r>
      <w:r w:rsidRPr="00AD2F44">
        <w:t xml:space="preserve"> at 400–401.</w:t>
      </w:r>
    </w:p>
  </w:footnote>
  <w:footnote w:id="259">
    <w:p w14:paraId="3D57250A" w14:textId="1B248C14" w:rsidR="00721CCF" w:rsidRPr="00AD2F44" w:rsidRDefault="00F42107" w:rsidP="000B6C5F">
      <w:pPr>
        <w:pStyle w:val="FootnoteText"/>
      </w:pPr>
      <w:r w:rsidRPr="00AD2F44">
        <w:rPr>
          <w:rStyle w:val="FootnoteReference"/>
        </w:rPr>
        <w:footnoteRef/>
      </w:r>
      <w:r w:rsidRPr="00AD2F44">
        <w:rPr>
          <w:i/>
          <w:iCs/>
        </w:rPr>
        <w:t>Id.</w:t>
      </w:r>
      <w:r w:rsidRPr="00AD2F44">
        <w:t xml:space="preserve"> at 401–02. </w:t>
      </w:r>
    </w:p>
  </w:footnote>
  <w:footnote w:id="260">
    <w:p w14:paraId="5334C59A" w14:textId="641EAEBC" w:rsidR="00721CCF" w:rsidRPr="00AD2F44" w:rsidRDefault="00F42107" w:rsidP="000B6C5F">
      <w:pPr>
        <w:pStyle w:val="FootnoteText"/>
      </w:pPr>
      <w:r w:rsidRPr="00AD2F44">
        <w:rPr>
          <w:rStyle w:val="FootnoteReference"/>
        </w:rPr>
        <w:footnoteRef/>
      </w:r>
      <w:r w:rsidRPr="00AD2F44">
        <w:rPr>
          <w:i/>
          <w:iCs/>
        </w:rPr>
        <w:t>Id.</w:t>
      </w:r>
      <w:r w:rsidRPr="00AD2F44">
        <w:t xml:space="preserve"> at 402–03 (quoting Genesis Healthcare Corp. v. Symczyk, 569 U.S. 66, 74 (2013)). </w:t>
      </w:r>
    </w:p>
  </w:footnote>
  <w:footnote w:id="261">
    <w:p w14:paraId="2A8D7E09" w14:textId="0822497A" w:rsidR="00721CCF" w:rsidRPr="00AD2F44" w:rsidRDefault="00F42107" w:rsidP="000B6C5F">
      <w:pPr>
        <w:pStyle w:val="FootnoteText"/>
      </w:pPr>
      <w:r w:rsidRPr="00AD2F44">
        <w:rPr>
          <w:rStyle w:val="FootnoteReference"/>
        </w:rPr>
        <w:footnoteRef/>
      </w:r>
      <w:r w:rsidRPr="00AD2F44">
        <w:rPr>
          <w:i/>
          <w:iCs/>
        </w:rPr>
        <w:t>Id.</w:t>
      </w:r>
      <w:r w:rsidRPr="00AD2F44">
        <w:t xml:space="preserve"> at 403–04.</w:t>
      </w:r>
    </w:p>
  </w:footnote>
  <w:footnote w:id="262">
    <w:p w14:paraId="1128F7FD" w14:textId="77777777" w:rsidR="00721CCF" w:rsidRPr="00AD2F44" w:rsidRDefault="00F42107" w:rsidP="000B6C5F">
      <w:pPr>
        <w:pStyle w:val="FootnoteText"/>
      </w:pPr>
      <w:r w:rsidRPr="00AD2F44">
        <w:rPr>
          <w:rStyle w:val="FootnoteReference"/>
        </w:rPr>
        <w:footnoteRef/>
      </w:r>
      <w:r w:rsidRPr="00AD2F44">
        <w:t xml:space="preserve">9 F.4th 861 (8th Cir. 2021). </w:t>
      </w:r>
    </w:p>
  </w:footnote>
  <w:footnote w:id="263">
    <w:p w14:paraId="6BBE5AC8" w14:textId="450F6038" w:rsidR="00721CCF" w:rsidRPr="00AD2F44" w:rsidRDefault="00F42107" w:rsidP="000B6C5F">
      <w:pPr>
        <w:pStyle w:val="FootnoteText"/>
      </w:pPr>
      <w:r w:rsidRPr="00AD2F44">
        <w:rPr>
          <w:rStyle w:val="FootnoteReference"/>
        </w:rPr>
        <w:footnoteRef/>
      </w:r>
      <w:r w:rsidRPr="00AD2F44">
        <w:rPr>
          <w:i/>
          <w:iCs/>
        </w:rPr>
        <w:t>Id.</w:t>
      </w:r>
      <w:r w:rsidRPr="00AD2F44">
        <w:t xml:space="preserve"> at 865–66. The court rejected the plaintiff’s argument that the employer had waived the personal jurisdiction defense by not pleading it specifically in the answer, reasoning that the employer’s assertion that nationwide certification would deny its due process rights was sufficient to give plaintiffs notice of the defense. </w:t>
      </w:r>
      <w:r w:rsidRPr="00AD2F44">
        <w:rPr>
          <w:i/>
          <w:iCs/>
        </w:rPr>
        <w:t>Id.</w:t>
      </w:r>
      <w:r w:rsidRPr="00AD2F44">
        <w:t xml:space="preserve"> at 864–65. </w:t>
      </w:r>
    </w:p>
  </w:footnote>
  <w:footnote w:id="264">
    <w:p w14:paraId="00AD9B81" w14:textId="71A919AD" w:rsidR="00721CCF" w:rsidRPr="00AD2F44" w:rsidRDefault="00F42107" w:rsidP="000B6C5F">
      <w:pPr>
        <w:pStyle w:val="FootnoteText"/>
      </w:pPr>
      <w:r w:rsidRPr="00AD2F44">
        <w:rPr>
          <w:rStyle w:val="FootnoteReference"/>
        </w:rPr>
        <w:footnoteRef/>
      </w:r>
      <w:r w:rsidRPr="00AD2F44">
        <w:rPr>
          <w:i/>
          <w:iCs/>
        </w:rPr>
        <w:t>Id.</w:t>
      </w:r>
      <w:r w:rsidRPr="00AD2F44">
        <w:t xml:space="preserve"> at 865 (internal quotation marks omitted).</w:t>
      </w:r>
    </w:p>
  </w:footnote>
  <w:footnote w:id="265">
    <w:p w14:paraId="1F334642" w14:textId="77777777" w:rsidR="00721CCF" w:rsidRPr="00AD2F44" w:rsidRDefault="00F42107" w:rsidP="000B6C5F">
      <w:pPr>
        <w:pStyle w:val="FootnoteText"/>
      </w:pPr>
      <w:r w:rsidRPr="00AD2F44">
        <w:rPr>
          <w:rStyle w:val="FootnoteReference"/>
        </w:rPr>
        <w:footnoteRef/>
      </w:r>
      <w:r w:rsidRPr="00AD2F44">
        <w:rPr>
          <w:i/>
          <w:iCs/>
        </w:rPr>
        <w:t>Id</w:t>
      </w:r>
      <w:r w:rsidRPr="00AD2F44">
        <w:t xml:space="preserve">. </w:t>
      </w:r>
    </w:p>
  </w:footnote>
  <w:footnote w:id="266">
    <w:p w14:paraId="0D1B13C5" w14:textId="77777777" w:rsidR="00721CCF" w:rsidRPr="00AD2F44" w:rsidRDefault="00F42107" w:rsidP="000B6C5F">
      <w:pPr>
        <w:pStyle w:val="FootnoteText"/>
      </w:pPr>
      <w:r w:rsidRPr="00AD2F44">
        <w:rPr>
          <w:rStyle w:val="FootnoteReference"/>
        </w:rPr>
        <w:footnoteRef/>
      </w:r>
      <w:r w:rsidRPr="00082FEC">
        <w:t>See</w:t>
      </w:r>
      <w:r w:rsidRPr="00AD2F44">
        <w:t xml:space="preserve"> </w:t>
      </w:r>
    </w:p>
    <w:p w14:paraId="62D2179C" w14:textId="3DBC8460" w:rsidR="00721CCF" w:rsidRPr="00AD2F44" w:rsidRDefault="00F42107">
      <w:pPr>
        <w:pStyle w:val="14Footnote"/>
      </w:pPr>
      <w:r w:rsidRPr="00AD2F44">
        <w:rPr>
          <w:i/>
          <w:iCs/>
        </w:rPr>
        <w:t>Second Circuit</w:t>
      </w:r>
      <w:r w:rsidRPr="00AD2F44">
        <w:t xml:space="preserve">: Perez v. Escobar Constr. Inc., 540 F. Supp. 3d 395 (S.D.N.Y. 2021); </w:t>
      </w:r>
      <w:r w:rsidRPr="00AD2F44">
        <w:t xml:space="preserve">Goldowsky v. Exeter Fin. Corp., 2021 BL 63386, 2021 WL 695063 (W.D.N.Y. Feb. 23, 2021) (denying motion to transfer, finding lack of personal jurisdiction over opt-in plaintiffs (citing </w:t>
      </w:r>
      <w:r w:rsidRPr="00AD2F44">
        <w:rPr>
          <w:i/>
          <w:iCs/>
        </w:rPr>
        <w:t>Bristol-Myers Squibb</w:t>
      </w:r>
      <w:r w:rsidRPr="00AD2F44">
        <w:t xml:space="preserve"> and </w:t>
      </w:r>
      <w:r w:rsidRPr="00AD2F44">
        <w:rPr>
          <w:i/>
          <w:iCs/>
        </w:rPr>
        <w:t>Pettenato, infra</w:t>
      </w:r>
      <w:r w:rsidRPr="00AD2F44">
        <w:t xml:space="preserve">)); Pettenato v. Beacon Health Options, Inc., 425 F. Supp. 3d 264, 280 (S.D.N.Y. 2019). </w:t>
      </w:r>
    </w:p>
    <w:p w14:paraId="30E0B638" w14:textId="7EA3F327" w:rsidR="00721CCF" w:rsidRPr="00AD2F44" w:rsidRDefault="00F42107">
      <w:pPr>
        <w:pStyle w:val="14Footnote"/>
        <w:rPr>
          <w:b/>
          <w:bCs/>
        </w:rPr>
      </w:pPr>
      <w:r w:rsidRPr="00AD2F44">
        <w:rPr>
          <w:i/>
          <w:iCs/>
        </w:rPr>
        <w:t>Third Circuit</w:t>
      </w:r>
      <w:r w:rsidRPr="00AD2F44">
        <w:t xml:space="preserve">: Ruffing v. Wipro Ltd., 529 F. Supp. 3d 359 (E.D. Pa. 2021); Fischer v. Federal Express Corp., 509 F. Supp. 3d 275 (E.D. Pa. 2020); Weirbach v. Cellular Connection, LLC, 478 F. Supp. 3d 544 (E.D. Pa. 2020); Szewcyzk v. United Parcel Serv., Inc., 2019 BL 405025, 2019 WL 5423036, at *8 (E.D. Pa. Oct. 22, 2019). </w:t>
      </w:r>
    </w:p>
    <w:p w14:paraId="1D2A7BEA" w14:textId="11566F7B" w:rsidR="00721CCF" w:rsidRPr="00AD2F44" w:rsidRDefault="00F42107">
      <w:pPr>
        <w:pStyle w:val="14Footnote"/>
      </w:pPr>
      <w:r w:rsidRPr="00AD2F44">
        <w:rPr>
          <w:i/>
          <w:iCs/>
        </w:rPr>
        <w:t>Fourth Circuit</w:t>
      </w:r>
      <w:r w:rsidRPr="00AD2F44">
        <w:t xml:space="preserve">: Speight v. Labor Source, LLC, 2022 BL 134326, 2022 WL 1164415, at *4 &amp; n.5 (E.D.N.C. Apr. 19, 2022) (excluding anyone who did not work, was not hired, and “whose employment by defendant was not otherwise related to North Carolina,” but refusing to define excluded group as all nonresidents of North Carolina). </w:t>
      </w:r>
    </w:p>
    <w:p w14:paraId="37BB4BC6" w14:textId="6529BC7F" w:rsidR="00721CCF" w:rsidRPr="00AD2F44" w:rsidRDefault="00F42107">
      <w:pPr>
        <w:pStyle w:val="14Footnote"/>
      </w:pPr>
      <w:r w:rsidRPr="00AD2F44">
        <w:rPr>
          <w:i/>
          <w:iCs/>
        </w:rPr>
        <w:t>Fifth Circuit:</w:t>
      </w:r>
      <w:r w:rsidRPr="00AD2F44">
        <w:t xml:space="preserve"> </w:t>
      </w:r>
      <w:r w:rsidRPr="00571B93">
        <w:t>Adams v. Absolute Consulting, Inc.</w:t>
      </w:r>
      <w:r>
        <w:t xml:space="preserve">, </w:t>
      </w:r>
      <w:r w:rsidR="00765109" w:rsidRPr="00765109">
        <w:t>2023 BL 143197</w:t>
      </w:r>
      <w:r w:rsidR="00765109">
        <w:t xml:space="preserve">, </w:t>
      </w:r>
      <w:r w:rsidRPr="0052265E">
        <w:t xml:space="preserve">2023 WL 3138043 </w:t>
      </w:r>
      <w:r w:rsidRPr="00571B93">
        <w:t>(W</w:t>
      </w:r>
      <w:r>
        <w:t>.D</w:t>
      </w:r>
      <w:r w:rsidRPr="00571B93">
        <w:t>. Tex.</w:t>
      </w:r>
      <w:r>
        <w:t xml:space="preserve"> Apr. 27,</w:t>
      </w:r>
      <w:r w:rsidRPr="00571B93">
        <w:t xml:space="preserve"> 2023)</w:t>
      </w:r>
      <w:r>
        <w:t xml:space="preserve">; </w:t>
      </w:r>
      <w:r w:rsidRPr="002F69CA">
        <w:t>Loebsack v. Dufresne Spencer Grp.,</w:t>
      </w:r>
      <w:r w:rsidRPr="00D86A46">
        <w:rPr>
          <w:i/>
          <w:iCs/>
        </w:rPr>
        <w:t xml:space="preserve"> </w:t>
      </w:r>
      <w:r w:rsidRPr="002F69CA">
        <w:t>LLC</w:t>
      </w:r>
      <w:r w:rsidRPr="00D86A46">
        <w:t xml:space="preserve">, </w:t>
      </w:r>
      <w:r w:rsidR="00765109" w:rsidRPr="00765109">
        <w:t>2022 BL 261185</w:t>
      </w:r>
      <w:r w:rsidR="00765109">
        <w:t xml:space="preserve">, </w:t>
      </w:r>
      <w:r w:rsidRPr="00D86A46">
        <w:t xml:space="preserve">2022 WL 2959718, at *5 (S.D. Tex. July 11, 2022), </w:t>
      </w:r>
      <w:r w:rsidRPr="00D86A46">
        <w:rPr>
          <w:i/>
          <w:iCs/>
        </w:rPr>
        <w:t>report and recommendation adopted,</w:t>
      </w:r>
      <w:r w:rsidRPr="00D86A46">
        <w:t xml:space="preserve"> </w:t>
      </w:r>
      <w:r w:rsidR="00765109" w:rsidRPr="00765109">
        <w:t>2022 BL 259218</w:t>
      </w:r>
      <w:r w:rsidR="00765109">
        <w:t xml:space="preserve">, </w:t>
      </w:r>
      <w:r w:rsidRPr="00D86A46">
        <w:t>2022 WL 2954334 (S.D. Tex. July 26, 2022)</w:t>
      </w:r>
      <w:r>
        <w:t xml:space="preserve"> (limiting conditional certification to employees in Texas); </w:t>
      </w:r>
      <w:r w:rsidRPr="00AD2F44">
        <w:t>Martinez v. Tyson Foods, Inc., 533 F. Supp. 3d 386 (N.D. Tex. 2021); Greinstein v. Fieldcore Servs. Sols., LLC, 2020 BL 453159, 2020 WL 6821005 (N.D. Tex. Nov. 20, 2020).</w:t>
      </w:r>
    </w:p>
    <w:p w14:paraId="60BD319D" w14:textId="015B7717" w:rsidR="00721CCF" w:rsidRPr="00AD2F44" w:rsidRDefault="00F42107" w:rsidP="00F23572">
      <w:pPr>
        <w:pStyle w:val="14Footnote"/>
      </w:pPr>
      <w:r w:rsidRPr="00AD2F44">
        <w:rPr>
          <w:i/>
          <w:iCs/>
        </w:rPr>
        <w:t>Seventh Circuit</w:t>
      </w:r>
      <w:r w:rsidRPr="00AD2F44">
        <w:t xml:space="preserve">: Iannotti v. Wood Grp. Mustang, 603 F. Supp. 3d 649 (S.D. Ill. 2022); Parker v. IAS Logistics DFW, LLC, 2021 BL 341678, 2021 WL 4125106 (N.D. Ill. Sept. 9, 2021). </w:t>
      </w:r>
    </w:p>
    <w:p w14:paraId="2756C512" w14:textId="6257D702" w:rsidR="00721CCF" w:rsidRPr="00AD2F44" w:rsidRDefault="00F42107" w:rsidP="00F23572">
      <w:pPr>
        <w:pStyle w:val="14Footnote"/>
      </w:pPr>
      <w:r w:rsidRPr="00AD2F44">
        <w:rPr>
          <w:i/>
          <w:iCs/>
        </w:rPr>
        <w:t>Ninth Circuit:</w:t>
      </w:r>
      <w:r w:rsidRPr="00AD2F44">
        <w:t xml:space="preserve"> </w:t>
      </w:r>
      <w:r>
        <w:t xml:space="preserve">Suazo v. Blue Mercury, Inc., 2023 U.S. Dist. LEXIS 65927 (N.D. Cal. Apr. 14, 2023); </w:t>
      </w:r>
      <w:r w:rsidRPr="00571B93">
        <w:t>Wilkerson v. Walgreens Specialty Pharmacy LLC</w:t>
      </w:r>
      <w:r>
        <w:t xml:space="preserve">, </w:t>
      </w:r>
      <w:r w:rsidRPr="00571B93">
        <w:t>637 F. Supp. 3d 718 (D. Ariz. 2022</w:t>
      </w:r>
      <w:r>
        <w:t xml:space="preserve">); </w:t>
      </w:r>
      <w:r w:rsidRPr="00AD2F44">
        <w:t xml:space="preserve">Carlson v. United Nat’l Foods, Inc., 2021 BL 308970, 2021 WL 3616786 (W.D. Wash. Aug. 14, 2021); McNutt v. Swift Transp. Co. of Ariz. LLC, 2020 BL 253893, 2020 WL 3819239 (W.D. Wash. July 7, 2020). </w:t>
      </w:r>
    </w:p>
  </w:footnote>
  <w:footnote w:id="267">
    <w:p w14:paraId="78922D92" w14:textId="77777777" w:rsidR="00721CCF" w:rsidRPr="00AD2F44" w:rsidRDefault="00F42107" w:rsidP="00F23572">
      <w:pPr>
        <w:pStyle w:val="14Footnote"/>
      </w:pPr>
      <w:r w:rsidRPr="00AD2F44">
        <w:rPr>
          <w:rStyle w:val="FootnoteReference"/>
        </w:rPr>
        <w:footnoteRef/>
      </w:r>
      <w:r w:rsidRPr="00AD2F44">
        <w:t>23 F.4th 84 (1st Cir. 2022).</w:t>
      </w:r>
    </w:p>
  </w:footnote>
  <w:footnote w:id="268">
    <w:p w14:paraId="1AEB2FC1" w14:textId="4E7885A6" w:rsidR="00721CCF" w:rsidRPr="00AD2F44" w:rsidRDefault="00F42107" w:rsidP="00F23572">
      <w:pPr>
        <w:pStyle w:val="14Footnote"/>
      </w:pPr>
      <w:r w:rsidRPr="00AD2F44">
        <w:rPr>
          <w:rStyle w:val="FootnoteReference"/>
        </w:rPr>
        <w:footnoteRef/>
      </w:r>
      <w:r w:rsidRPr="00AD2F44">
        <w:rPr>
          <w:i/>
          <w:iCs/>
        </w:rPr>
        <w:t>Id.</w:t>
      </w:r>
      <w:r w:rsidRPr="00AD2F44">
        <w:t xml:space="preserve"> at 92–93. </w:t>
      </w:r>
    </w:p>
  </w:footnote>
  <w:footnote w:id="269">
    <w:p w14:paraId="4B93C060" w14:textId="77777777" w:rsidR="00721CCF" w:rsidRPr="00AD2F44" w:rsidRDefault="00F42107" w:rsidP="00F23572">
      <w:pPr>
        <w:pStyle w:val="14Footnote"/>
      </w:pPr>
      <w:r w:rsidRPr="00AD2F44">
        <w:rPr>
          <w:rStyle w:val="FootnoteReference"/>
        </w:rPr>
        <w:footnoteRef/>
      </w:r>
      <w:r w:rsidRPr="00AD2F44">
        <w:rPr>
          <w:i/>
          <w:iCs/>
        </w:rPr>
        <w:t>Id.</w:t>
      </w:r>
      <w:r w:rsidRPr="00AD2F44">
        <w:t xml:space="preserve"> at 94. </w:t>
      </w:r>
    </w:p>
  </w:footnote>
  <w:footnote w:id="270">
    <w:p w14:paraId="7E4804BA" w14:textId="64256634" w:rsidR="00721CCF" w:rsidRPr="00AD2F44" w:rsidRDefault="00F42107" w:rsidP="00F23572">
      <w:pPr>
        <w:pStyle w:val="14Footnote"/>
      </w:pPr>
      <w:r w:rsidRPr="00AD2F44">
        <w:rPr>
          <w:rStyle w:val="FootnoteReference"/>
        </w:rPr>
        <w:footnoteRef/>
      </w:r>
      <w:r w:rsidRPr="00AD2F44">
        <w:rPr>
          <w:i/>
          <w:iCs/>
        </w:rPr>
        <w:t>Id.</w:t>
      </w:r>
      <w:r w:rsidRPr="00AD2F44">
        <w:t>at 96–97.</w:t>
      </w:r>
    </w:p>
  </w:footnote>
  <w:footnote w:id="271">
    <w:p w14:paraId="2BEA5C51" w14:textId="77777777" w:rsidR="00721CCF" w:rsidRPr="00AD2F44" w:rsidRDefault="00F42107" w:rsidP="00F23572">
      <w:pPr>
        <w:pStyle w:val="14Footnote"/>
      </w:pPr>
      <w:r w:rsidRPr="00AD2F44">
        <w:rPr>
          <w:rStyle w:val="FootnoteReference"/>
        </w:rPr>
        <w:footnoteRef/>
      </w:r>
      <w:r w:rsidRPr="00AD2F44">
        <w:rPr>
          <w:i/>
          <w:iCs/>
        </w:rPr>
        <w:t>Id.</w:t>
      </w:r>
      <w:r w:rsidRPr="00AD2F44">
        <w:t xml:space="preserve"> at 99. </w:t>
      </w:r>
    </w:p>
  </w:footnote>
  <w:footnote w:id="272">
    <w:p w14:paraId="4AC188BE" w14:textId="468195B0" w:rsidR="00721CCF" w:rsidRPr="00AD2F44" w:rsidRDefault="00F42107" w:rsidP="00F23572">
      <w:pPr>
        <w:pStyle w:val="14Footnote"/>
      </w:pPr>
      <w:r w:rsidRPr="00AD2F44">
        <w:rPr>
          <w:rStyle w:val="FootnoteReference"/>
        </w:rPr>
        <w:footnoteRef/>
      </w:r>
      <w:r w:rsidRPr="00AD2F44">
        <w:rPr>
          <w:i/>
          <w:iCs/>
        </w:rPr>
        <w:t>See</w:t>
      </w:r>
    </w:p>
    <w:p w14:paraId="7DA7AF78" w14:textId="11EF7278" w:rsidR="00721CCF" w:rsidRPr="00AD2F44" w:rsidRDefault="00F42107">
      <w:pPr>
        <w:pStyle w:val="14Footnote"/>
      </w:pPr>
      <w:r w:rsidRPr="00AD2F44">
        <w:rPr>
          <w:i/>
          <w:iCs/>
        </w:rPr>
        <w:t xml:space="preserve">Second Circuit: </w:t>
      </w:r>
      <w:r w:rsidRPr="00AD2F44">
        <w:t>Meo v. Lane Bryant, Inc., 2019 BL 385104,</w:t>
      </w:r>
      <w:r w:rsidRPr="00AD2F44">
        <w:rPr>
          <w:i/>
          <w:iCs/>
        </w:rPr>
        <w:t xml:space="preserve"> </w:t>
      </w:r>
      <w:r w:rsidRPr="00AD2F44">
        <w:t>2019 WL 5157024 (E.D.N.Y. Sept. 30, 2019);</w:t>
      </w:r>
      <w:r w:rsidRPr="00AD2F44">
        <w:rPr>
          <w:i/>
          <w:iCs/>
        </w:rPr>
        <w:t xml:space="preserve"> </w:t>
      </w:r>
      <w:r w:rsidRPr="00AD2F44">
        <w:t xml:space="preserve">Mason v. Lumber Liquidators, Inc., 2019 BL 173405, 2019 WL 2088609, at *6 (E.D.N.Y. May 13, 2019), </w:t>
      </w:r>
      <w:r w:rsidRPr="00AD2F44">
        <w:rPr>
          <w:i/>
          <w:iCs/>
        </w:rPr>
        <w:t>report and recommendation adopted</w:t>
      </w:r>
      <w:r w:rsidRPr="00AD2F44">
        <w:t>, 2019 BL 309902, 2019 WL 3940846 (E.D.N.Y. Aug. 19, 2019).</w:t>
      </w:r>
    </w:p>
    <w:p w14:paraId="2503959E" w14:textId="77777777" w:rsidR="00721CCF" w:rsidRPr="00AD2F44" w:rsidRDefault="00F42107">
      <w:pPr>
        <w:pStyle w:val="14Footnote"/>
      </w:pPr>
      <w:r w:rsidRPr="00AD2F44">
        <w:rPr>
          <w:i/>
          <w:iCs/>
        </w:rPr>
        <w:t>Third Circuit:</w:t>
      </w:r>
      <w:r w:rsidRPr="00AD2F44">
        <w:t xml:space="preserve"> Hickman v. TL Transp., LLC, 317 F. Supp. 3d 890, 899 n.2 (E.D. Pa. 2018). </w:t>
      </w:r>
    </w:p>
    <w:p w14:paraId="158F8E2A" w14:textId="57B09995" w:rsidR="00721CCF" w:rsidRPr="00AD2F44" w:rsidRDefault="00F42107">
      <w:pPr>
        <w:pStyle w:val="14Footnote"/>
        <w:rPr>
          <w:b/>
          <w:bCs/>
        </w:rPr>
      </w:pPr>
      <w:r w:rsidRPr="00AD2F44">
        <w:rPr>
          <w:i/>
          <w:iCs/>
        </w:rPr>
        <w:t>Fourth Circuit:</w:t>
      </w:r>
      <w:r w:rsidRPr="00AD2F44">
        <w:t xml:space="preserve"> Ison v. </w:t>
      </w:r>
      <w:r w:rsidRPr="00AD2F44">
        <w:t xml:space="preserve">Markwest Energy Partners, LP, 2021 BL 482102, 2021 WL 5989084 (S.D. W. Va. Dec. 17, 2021); O’Quinn v. TransCanada USA Servs., Inc., 469 F. Supp. 3d 591 (S.D. W. Va. 2020); Hager v. Omnicare, Inc., 2020 WL 5806627 (S.D. W. Va. Sept. 29, 2020); Hunt v. Interactive Med. Specialist, Inc., 2019 BL 463571, 2019 WL 6528594, at *3 (N.D. W. Va. Dec. 4, 2019). </w:t>
      </w:r>
    </w:p>
    <w:p w14:paraId="3F4DAAD6" w14:textId="4BF0550F" w:rsidR="00721CCF" w:rsidRPr="00AD2F44" w:rsidRDefault="00F42107" w:rsidP="00F23572">
      <w:pPr>
        <w:pStyle w:val="14Footnote"/>
      </w:pPr>
      <w:r w:rsidRPr="00AD2F44">
        <w:rPr>
          <w:i/>
          <w:iCs/>
        </w:rPr>
        <w:t xml:space="preserve">Fifth Circuit: </w:t>
      </w:r>
      <w:r w:rsidRPr="00AD2F44">
        <w:t>Garcia v. Peterson, 319 F. Supp. 3d 863, 880 (S.D. Tex. 2018).</w:t>
      </w:r>
      <w:r w:rsidR="00A32554" w:rsidRPr="00A32554">
        <w:rPr>
          <w:b/>
        </w:rPr>
        <w:t xml:space="preserve"> </w:t>
      </w:r>
      <w:r w:rsidR="00A32554" w:rsidRPr="00AD2F44">
        <w:rPr>
          <w:b/>
        </w:rPr>
        <w:t xml:space="preserve">[Caution: </w:t>
      </w:r>
      <w:r w:rsidR="00A32554" w:rsidRPr="00AD2F44">
        <w:t xml:space="preserve">The Fifth Circuit later rejected the two-stage process, in </w:t>
      </w:r>
      <w:r w:rsidR="00A32554" w:rsidRPr="00AD2F44">
        <w:rPr>
          <w:i/>
        </w:rPr>
        <w:t xml:space="preserve">Swales v. KLLM Transport Services, LLC, </w:t>
      </w:r>
      <w:r w:rsidR="00A32554" w:rsidRPr="00AD2F44">
        <w:t xml:space="preserve">985 F.3d 430 (5th Cir. 2021), in favor of a requirement to “rigorously scrutinize” whether potential opt-ins are similarly situated “from the outset of the case.” </w:t>
      </w:r>
      <w:r w:rsidR="00A32554" w:rsidRPr="00AD2F44">
        <w:rPr>
          <w:i/>
        </w:rPr>
        <w:t>Id.</w:t>
      </w:r>
      <w:r w:rsidR="00A32554" w:rsidRPr="00AD2F44">
        <w:t xml:space="preserve"> at 434.</w:t>
      </w:r>
      <w:r w:rsidR="00A32554" w:rsidRPr="00AD2F44">
        <w:rPr>
          <w:b/>
          <w:bCs/>
        </w:rPr>
        <w:t>]</w:t>
      </w:r>
    </w:p>
    <w:p w14:paraId="219FBBD2" w14:textId="74585993" w:rsidR="00721CCF" w:rsidRPr="00AD2F44" w:rsidRDefault="00F42107" w:rsidP="0007118E">
      <w:pPr>
        <w:pStyle w:val="14Footnote"/>
      </w:pPr>
      <w:r w:rsidRPr="00AD2F44">
        <w:rPr>
          <w:i/>
          <w:iCs/>
        </w:rPr>
        <w:t xml:space="preserve">Ninth Circuit: </w:t>
      </w:r>
      <w:r w:rsidRPr="00AD2F44">
        <w:t>Chavez v. Stellar Mgmt. Grp. VII, LLC, 2020 BL 294723, 2020 WL 4505482, at * 6–8 (N.D. Cal. Aug. 5, 2020); Seiffert v. Qwest Corp., 2018 BL 464758, 2018 WL 6590836, at *4 (D. Mont. Dec. 14, 2018); Swamy v. Title Source, Inc</w:t>
      </w:r>
      <w:r w:rsidRPr="00AD2F44">
        <w:rPr>
          <w:i/>
          <w:iCs/>
        </w:rPr>
        <w:t xml:space="preserve">., </w:t>
      </w:r>
      <w:r w:rsidRPr="00AD2F44">
        <w:t>2017 BL 404708, 2017 WL 5196780, at *2 (N.D. Cal. Nov. 10, 2017); Thomas v. Kellogg Co</w:t>
      </w:r>
      <w:r w:rsidRPr="00AD2F44">
        <w:rPr>
          <w:i/>
          <w:iCs/>
        </w:rPr>
        <w:t>.</w:t>
      </w:r>
      <w:r w:rsidRPr="00AD2F44">
        <w:t>,</w:t>
      </w:r>
      <w:r w:rsidRPr="00AD2F44">
        <w:rPr>
          <w:i/>
          <w:iCs/>
        </w:rPr>
        <w:t xml:space="preserve"> </w:t>
      </w:r>
      <w:r w:rsidRPr="00AD2F44">
        <w:t>2017 BL 371859,</w:t>
      </w:r>
      <w:r w:rsidRPr="00AD2F44">
        <w:rPr>
          <w:i/>
          <w:iCs/>
        </w:rPr>
        <w:t xml:space="preserve"> </w:t>
      </w:r>
      <w:r w:rsidRPr="00AD2F44">
        <w:t xml:space="preserve">2017 WL 5256634, at *1 (W.D. Wash. Oct. 17, 2017). </w:t>
      </w:r>
    </w:p>
    <w:p w14:paraId="07F5263C" w14:textId="4C791177" w:rsidR="00721CCF" w:rsidRPr="00AD2F44" w:rsidRDefault="00F42107">
      <w:pPr>
        <w:pStyle w:val="14Footnote"/>
      </w:pPr>
      <w:r w:rsidRPr="00AD2F44">
        <w:rPr>
          <w:i/>
          <w:iCs/>
        </w:rPr>
        <w:t xml:space="preserve">Tenth Circuit: </w:t>
      </w:r>
      <w:r w:rsidRPr="00AD2F44">
        <w:t>Warren v. MBI Energy Servs., Inc</w:t>
      </w:r>
      <w:r w:rsidRPr="00AD2F44">
        <w:rPr>
          <w:i/>
          <w:iCs/>
        </w:rPr>
        <w:t>.</w:t>
      </w:r>
      <w:r w:rsidRPr="00AD2F44">
        <w:t>,</w:t>
      </w:r>
      <w:r w:rsidRPr="00AD2F44">
        <w:rPr>
          <w:i/>
          <w:iCs/>
        </w:rPr>
        <w:t xml:space="preserve"> </w:t>
      </w:r>
      <w:r w:rsidRPr="00AD2F44">
        <w:t xml:space="preserve">2020 BL 69194, 2020 WL 937420, at *6 (D. Colo. Feb. 25, 2020). </w:t>
      </w:r>
    </w:p>
    <w:p w14:paraId="62C86F16" w14:textId="643CFF63" w:rsidR="00721CCF" w:rsidRPr="00AD2F44" w:rsidRDefault="00F42107" w:rsidP="00F23572">
      <w:pPr>
        <w:pStyle w:val="14Footnote"/>
      </w:pPr>
      <w:r w:rsidRPr="00AD2F44">
        <w:rPr>
          <w:i/>
          <w:iCs/>
        </w:rPr>
        <w:t xml:space="preserve">Eleventh Circuit: </w:t>
      </w:r>
      <w:r w:rsidRPr="00AD2F44">
        <w:t>Aiuto v. Publix Super Mkts., Inc</w:t>
      </w:r>
      <w:r w:rsidRPr="00AD2F44">
        <w:rPr>
          <w:i/>
          <w:iCs/>
        </w:rPr>
        <w:t>.</w:t>
      </w:r>
      <w:r w:rsidRPr="00AD2F44">
        <w:t>,</w:t>
      </w:r>
      <w:r w:rsidRPr="00AD2F44">
        <w:rPr>
          <w:i/>
          <w:iCs/>
        </w:rPr>
        <w:t xml:space="preserve"> </w:t>
      </w:r>
      <w:r w:rsidRPr="00AD2F44">
        <w:t>2020 BL 132973,</w:t>
      </w:r>
      <w:r w:rsidRPr="00AD2F44">
        <w:rPr>
          <w:i/>
          <w:iCs/>
        </w:rPr>
        <w:t xml:space="preserve"> </w:t>
      </w:r>
      <w:r w:rsidRPr="00AD2F44">
        <w:t>2020 WL 2039946, at *5 (N.D. Ga. Apr. 9, 2020); Gibbs v. MLK Express Servs., LLC, 2019 BL 167431, 2019 WL 1980123, at *16 (M.D. Fla. Mar. 28, 2019),</w:t>
      </w:r>
      <w:r w:rsidRPr="00AD2F44">
        <w:rPr>
          <w:i/>
          <w:iCs/>
        </w:rPr>
        <w:t xml:space="preserve"> report and recommendation adopted in part, rejected in part</w:t>
      </w:r>
      <w:r w:rsidRPr="00AD2F44">
        <w:t>, 2019 BL 238863, 2019 WL 2635746 (M.D. Fla. June 27, 2019).</w:t>
      </w:r>
    </w:p>
  </w:footnote>
  <w:footnote w:id="273">
    <w:p w14:paraId="44B7FB54" w14:textId="77777777" w:rsidR="00721CCF" w:rsidRPr="00AD2F44" w:rsidRDefault="00F42107" w:rsidP="003E61AD">
      <w:pPr>
        <w:pStyle w:val="14Footnote"/>
      </w:pPr>
      <w:r w:rsidRPr="00AD2F44">
        <w:rPr>
          <w:vertAlign w:val="superscript"/>
        </w:rPr>
        <w:footnoteRef/>
      </w:r>
      <w:r w:rsidRPr="00AD2F44">
        <w:rPr>
          <w:i/>
          <w:iCs/>
        </w:rPr>
        <w:t>Third Circuit:</w:t>
      </w:r>
      <w:r w:rsidRPr="00AD2F44">
        <w:t xml:space="preserve"> Hall v. Guardsmark, LLC, 2012 WL 3580086, at *7–8 (W.D. Pa. Aug. 17, 2012) (concluding that proposed class could not include two security guards bringing action because they were outside time period of employment).</w:t>
      </w:r>
    </w:p>
    <w:p w14:paraId="6131AC9E" w14:textId="77777777" w:rsidR="00721CCF" w:rsidRPr="00AD2F44" w:rsidRDefault="00F42107">
      <w:pPr>
        <w:pStyle w:val="14Footnote"/>
      </w:pPr>
      <w:r w:rsidRPr="00AD2F44">
        <w:rPr>
          <w:i/>
          <w:iCs/>
        </w:rPr>
        <w:t>Sixth Circuit:</w:t>
      </w:r>
      <w:r w:rsidRPr="00AD2F44">
        <w:t xml:space="preserve"> White v. MPW Indus. Serv., Inc., 236 F.R.D. 363, 375 (E.D. Tenn. 2006) (allowing three-year liability period even though affiants only worked during two-year liability period).</w:t>
      </w:r>
    </w:p>
    <w:p w14:paraId="49B800D7" w14:textId="77777777" w:rsidR="00721CCF" w:rsidRPr="00AD2F44" w:rsidRDefault="00F42107">
      <w:pPr>
        <w:pStyle w:val="14Footnote"/>
      </w:pPr>
      <w:r w:rsidRPr="00AD2F44">
        <w:rPr>
          <w:i/>
          <w:iCs/>
        </w:rPr>
        <w:t>Tenth Circuit:</w:t>
      </w:r>
      <w:r w:rsidRPr="00AD2F44">
        <w:t xml:space="preserve"> Brown v. Money Tree </w:t>
      </w:r>
      <w:r w:rsidRPr="00AD2F44">
        <w:t>Mortg., Inc., 222 F.R.D. 676, 682 (D. Kan. 2004) (rejecting employer’s argument that named plaintiff who only worked for seven weeks could not adequately represent class members who worked for longer periods).</w:t>
      </w:r>
    </w:p>
    <w:p w14:paraId="330510F9" w14:textId="12B74F4A" w:rsidR="00721CCF" w:rsidRPr="00AD2F44" w:rsidRDefault="00F42107">
      <w:pPr>
        <w:pStyle w:val="14Footnote"/>
      </w:pPr>
      <w:r w:rsidRPr="00AD2F44">
        <w:rPr>
          <w:i/>
          <w:iCs/>
        </w:rPr>
        <w:t>Eleventh Circuit:</w:t>
      </w:r>
      <w:r w:rsidRPr="00AD2F44">
        <w:t xml:space="preserve"> Smith v. Tradesmen Int’l, Inc., 289 F. Supp. 2d 1369, 1372 (S.D. Fla. 2003); Mackenzie v. Kindred Hosps. E., LLC, 276 F. Supp. 2d 1211, 1221 (M.D. Fla. 2003).</w:t>
      </w:r>
    </w:p>
  </w:footnote>
  <w:footnote w:id="274">
    <w:p w14:paraId="6468E444" w14:textId="77777777" w:rsidR="00721CCF" w:rsidRPr="00AD2F44" w:rsidRDefault="00F42107">
      <w:pPr>
        <w:pStyle w:val="14Footnote"/>
      </w:pPr>
      <w:r w:rsidRPr="00AD2F44">
        <w:rPr>
          <w:vertAlign w:val="superscript"/>
        </w:rPr>
        <w:footnoteRef/>
      </w:r>
      <w:r w:rsidRPr="00AD2F44">
        <w:t>434 F. Supp. 2d 40 (D. Mass. 2006).</w:t>
      </w:r>
    </w:p>
  </w:footnote>
  <w:footnote w:id="275">
    <w:p w14:paraId="2709ED4E" w14:textId="77777777" w:rsidR="00721CCF" w:rsidRPr="00AD2F44" w:rsidRDefault="00F42107">
      <w:pPr>
        <w:pStyle w:val="14Footnote"/>
      </w:pPr>
      <w:r w:rsidRPr="00AD2F44">
        <w:rPr>
          <w:vertAlign w:val="superscript"/>
        </w:rPr>
        <w:footnoteRef/>
      </w:r>
      <w:r w:rsidRPr="00AD2F44">
        <w:rPr>
          <w:i/>
          <w:iCs/>
        </w:rPr>
        <w:t>Id.</w:t>
      </w:r>
      <w:r w:rsidRPr="00AD2F44">
        <w:t xml:space="preserve"> at 48–49. </w:t>
      </w:r>
    </w:p>
  </w:footnote>
  <w:footnote w:id="276">
    <w:p w14:paraId="42E192B1" w14:textId="77777777" w:rsidR="00721CCF" w:rsidRPr="00AD2F44" w:rsidRDefault="00F42107">
      <w:pPr>
        <w:pStyle w:val="14Footnote"/>
      </w:pPr>
      <w:r w:rsidRPr="00AD2F44">
        <w:rPr>
          <w:vertAlign w:val="superscript"/>
        </w:rPr>
        <w:footnoteRef/>
      </w:r>
      <w:r w:rsidRPr="00AD2F44">
        <w:t>2008 U.S. Dist. LEXIS 53102 (N.D. Cal. May 2, 2008).</w:t>
      </w:r>
    </w:p>
  </w:footnote>
  <w:footnote w:id="277">
    <w:p w14:paraId="62C56378" w14:textId="77777777" w:rsidR="00721CCF" w:rsidRPr="00AD2F44" w:rsidRDefault="00F42107">
      <w:pPr>
        <w:pStyle w:val="14Footnote"/>
      </w:pPr>
      <w:r w:rsidRPr="00AD2F44">
        <w:rPr>
          <w:vertAlign w:val="superscript"/>
        </w:rPr>
        <w:footnoteRef/>
      </w:r>
      <w:r w:rsidRPr="00AD2F44">
        <w:rPr>
          <w:i/>
          <w:iCs/>
        </w:rPr>
        <w:t>Id</w:t>
      </w:r>
      <w:r w:rsidRPr="00AD2F44">
        <w:t>. at *7–8.</w:t>
      </w:r>
    </w:p>
  </w:footnote>
  <w:footnote w:id="278">
    <w:p w14:paraId="4985E442"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279">
    <w:p w14:paraId="3092A6DF" w14:textId="77777777" w:rsidR="00721CCF" w:rsidRPr="00AD2F44" w:rsidRDefault="00F42107">
      <w:pPr>
        <w:pStyle w:val="14Footnote"/>
      </w:pPr>
      <w:r w:rsidRPr="00AD2F44">
        <w:rPr>
          <w:vertAlign w:val="superscript"/>
        </w:rPr>
        <w:footnoteRef/>
      </w:r>
      <w:r w:rsidRPr="00AD2F44">
        <w:t>Reyes v. Carnival Corp., 2005 U.S. Dist. LEXIS 11948, at *25–26 (S.D. Fla. May 25, 2005); Heagney v. European Am. Bank, 122 F.R.D. 125, 128 (E.D.N.Y. 1988).</w:t>
      </w:r>
    </w:p>
  </w:footnote>
  <w:footnote w:id="280">
    <w:p w14:paraId="05188C43" w14:textId="77777777" w:rsidR="00721CCF" w:rsidRPr="00AD2F44" w:rsidRDefault="00F42107">
      <w:pPr>
        <w:pStyle w:val="14Footnote"/>
      </w:pPr>
      <w:r w:rsidRPr="00AD2F44">
        <w:rPr>
          <w:vertAlign w:val="superscript"/>
        </w:rPr>
        <w:footnoteRef/>
      </w:r>
      <w:r w:rsidRPr="00AD2F44">
        <w:rPr>
          <w:i/>
          <w:iCs/>
        </w:rPr>
        <w:t>See, e.g.,</w:t>
      </w:r>
    </w:p>
    <w:p w14:paraId="19C99240" w14:textId="14183610" w:rsidR="00721CCF" w:rsidRPr="00AD2F44" w:rsidRDefault="00F42107">
      <w:pPr>
        <w:pStyle w:val="14Footnote"/>
      </w:pPr>
      <w:r w:rsidRPr="00AD2F44">
        <w:rPr>
          <w:i/>
          <w:iCs/>
        </w:rPr>
        <w:t>Second Circuit:</w:t>
      </w:r>
      <w:r w:rsidRPr="00AD2F44">
        <w:t xml:space="preserve"> Perez v. Escobar Constr., Inc., 540 F. Supp. 3d 395</w:t>
      </w:r>
      <w:r w:rsidRPr="00AD2F44">
        <w:rPr>
          <w:b/>
          <w:bCs/>
        </w:rPr>
        <w:t xml:space="preserve"> </w:t>
      </w:r>
      <w:r w:rsidRPr="00AD2F44">
        <w:t>(S.D.N.Y. 2021) (granting conditional certification for construction workers and reserving judgment on issue of joint employment); Cuaya v. VI Dev. Grp., LLC, 2020 BL 347632, 2020 WL 5494371 (S.D.N.Y. Sept. 10, 2020) (granting conditional certification for kitchen workers, recognizing evidence that entities operated as single integrated enterprise); Racey v. Jay-Jay Cabaret, Inc., 2016 U.S. Dist. LEXIS 67879, 2016 WL 3020933 (S.D.N.Y. May 23, 2016) (granting conditional certification for plaintiffs working as floor men at three gentlemen’s clubs operated by defendants after plaintiffs submitted sufficient evidence that all three clubs acted as single, integrated business); Garcia v. Four Bros. Pizza, Inc., 2014 WL 2211958 (S.D.N.Y. May 23, 2014) (conditionally certifying class of employees at eight restaurants with allegedly common ownership based on prior conclusion, reached on motion to dismiss, that plaintiffs had sufficiently pled existence of joint employment relationship among various restaurants); Mendoza v. Casa de Cambio Delgado, Inc., 2008 WL 3399067, at *1, 3 (S.D.N.Y. Aug. 12, 2008) (granting conditional certification against “collection of [three businesses]” based on lenient standard and evidence that defendants had uniform policy of not paying for all time worked, without mentioning joint employer issue).</w:t>
      </w:r>
    </w:p>
    <w:p w14:paraId="64FC65A8" w14:textId="77777777" w:rsidR="00721CCF" w:rsidRPr="00AD2F44" w:rsidRDefault="00F42107">
      <w:pPr>
        <w:pStyle w:val="14Footnote"/>
      </w:pPr>
      <w:r w:rsidRPr="00AD2F44">
        <w:rPr>
          <w:i/>
          <w:iCs/>
        </w:rPr>
        <w:t>Fourth Circuit:</w:t>
      </w:r>
      <w:r w:rsidRPr="00AD2F44">
        <w:t xml:space="preserve"> Giegerich v. Watershed, LLC, 2016 WL 1169948, at *5 (D. Md. Mar. 24, 2016) (granting conditional certification for claims brought on behalf of all cooks who worked at four restaurants with different corporate owners, recognizing that </w:t>
      </w:r>
      <w:r w:rsidRPr="00AD2F44">
        <w:t>“[m]ultiple locations owned by multiple entities … do not preclude” conditional certification if entities “employed uniform operations or common control to conduct related activities for a common business purpose” (citing 29 U.S.C. §203(r)(1)); Houston v. URS Corp., 591 F. Supp. 2d 827, 837 (E.D. Va. 2008) (granting conditional certification against two unrelated defendants in two classes of independent contractors who worked on FEMA projects under uniform guidelines and who alleged that they were misclassified as non-employees, but granting motion to sever cases because defendants were unrelated entities and two plaintiffs had each only worked for one of two defendants).</w:t>
      </w:r>
    </w:p>
    <w:p w14:paraId="41D4D804" w14:textId="492E22D3" w:rsidR="00721CCF" w:rsidRPr="00AD2F44" w:rsidRDefault="00F42107">
      <w:pPr>
        <w:pStyle w:val="14Footnote"/>
      </w:pPr>
      <w:r w:rsidRPr="00AD2F44">
        <w:rPr>
          <w:i/>
          <w:iCs/>
        </w:rPr>
        <w:t>Fifth Circuit:</w:t>
      </w:r>
      <w:r w:rsidRPr="00AD2F44">
        <w:t xml:space="preserve"> Meba v. Sonic of Tex., Inc., 2020 BL 440601, 2020 WL 6703910 (S.D. Tex. Nov. 13, 2020) (granting conditional certification and crediting plaintiffs’ evidence of joint employment between car dealerships and staffing agency, including staff pricing schedule that did not provide for overtime pay, which supported finding illegal common policy or plan); Velazquez v. FPS, LP, 2014 WL 3843639, at *5 (S.D. Tex. Aug. 4, 2014) (granting conditional certification against four defendants alleged to be joint employers, reasoning that there was sufficient evidence to permit conditional certification, and reserving question of joint employment for decertification stage); Bernal v. Vankar Enters., Inc., 2008 WL 791963, at *4 (W.D. Tex. Mar. 24, 2008) (granting conditional certification against three different bars for allegedly improper tip-sharing policies, where plaintiff had worked for all three and was subject to same arrangement at each, reasoning that defendants could be joined under Rule 20 of Federal Rules of Civil Procedure); Aguilar v. Complete Landsculpture, Inc., 2004 U.S. Dist. LEXIS 20265, at *10–11 (N.D. Tex. Oct. 7, 2004).</w:t>
      </w:r>
      <w:r w:rsidR="00A32554" w:rsidRPr="00A32554">
        <w:rPr>
          <w:b/>
        </w:rPr>
        <w:t xml:space="preserve"> </w:t>
      </w:r>
      <w:r w:rsidR="00A32554" w:rsidRPr="00AD2F44">
        <w:rPr>
          <w:b/>
        </w:rPr>
        <w:t xml:space="preserve">[Caution: </w:t>
      </w:r>
      <w:r w:rsidR="00A32554" w:rsidRPr="00AD2F44">
        <w:t xml:space="preserve">The Fifth Circuit later rejected the two-stage process, in </w:t>
      </w:r>
      <w:r w:rsidR="00A32554" w:rsidRPr="00AD2F44">
        <w:rPr>
          <w:i/>
        </w:rPr>
        <w:t xml:space="preserve">Swales v. KLLM Transport Services, LLC, </w:t>
      </w:r>
      <w:r w:rsidR="00A32554" w:rsidRPr="00AD2F44">
        <w:t xml:space="preserve">985 F.3d 430 (5th Cir. 2021), in favor of a requirement to “rigorously scrutinize” whether potential opt-ins are similarly situated “from the outset of the case.” </w:t>
      </w:r>
      <w:r w:rsidR="00A32554" w:rsidRPr="00AD2F44">
        <w:rPr>
          <w:i/>
        </w:rPr>
        <w:t>Id.</w:t>
      </w:r>
      <w:r w:rsidR="00A32554" w:rsidRPr="00AD2F44">
        <w:t xml:space="preserve"> at 434.</w:t>
      </w:r>
      <w:r w:rsidR="00A32554" w:rsidRPr="00AD2F44">
        <w:rPr>
          <w:b/>
          <w:bCs/>
        </w:rPr>
        <w:t>]</w:t>
      </w:r>
    </w:p>
    <w:p w14:paraId="1D6FE035" w14:textId="77777777" w:rsidR="00721CCF" w:rsidRPr="00AD2F44" w:rsidRDefault="00F42107">
      <w:pPr>
        <w:pStyle w:val="14Footnote"/>
      </w:pPr>
      <w:r w:rsidRPr="00AD2F44">
        <w:rPr>
          <w:i/>
          <w:iCs/>
        </w:rPr>
        <w:t>Sixth Circuit:</w:t>
      </w:r>
      <w:r w:rsidRPr="00AD2F44">
        <w:t xml:space="preserve"> Fairfax v. Hogan Transp. Equip., Inc., 2017 WL 4349035, at *7 (S.D. Ohio Sept. 29, 2017) (granting conditional certification as to alleged joint employers; finding defendants were “single integrated company” based on evidence that plaintiff’s paystubs and onboarding documents referenced multiple entities). </w:t>
      </w:r>
    </w:p>
    <w:p w14:paraId="67F9010E" w14:textId="77777777" w:rsidR="00721CCF" w:rsidRPr="00AD2F44" w:rsidRDefault="00F42107">
      <w:pPr>
        <w:pStyle w:val="14Footnote"/>
      </w:pPr>
      <w:r w:rsidRPr="00AD2F44">
        <w:rPr>
          <w:i/>
          <w:iCs/>
        </w:rPr>
        <w:t>Seventh Circuit:</w:t>
      </w:r>
      <w:r w:rsidRPr="00AD2F44">
        <w:t xml:space="preserve"> Holmes v. Sid’s Sealants LLC, 2017 WL 5749684 (W.D. Wis. Nov. 28, 2017) (granting conditional certification; holding that resolution of joint employer liability requires merits determination, which is premature where plaintiff had yet to take discovery).</w:t>
      </w:r>
    </w:p>
    <w:p w14:paraId="56AA71F1" w14:textId="77777777" w:rsidR="00721CCF" w:rsidRPr="00AD2F44" w:rsidRDefault="00F42107">
      <w:pPr>
        <w:pStyle w:val="14Footnote"/>
      </w:pPr>
      <w:r w:rsidRPr="00AD2F44">
        <w:rPr>
          <w:i/>
          <w:iCs/>
        </w:rPr>
        <w:t>Eighth Circuit:</w:t>
      </w:r>
      <w:r w:rsidRPr="00AD2F44">
        <w:t xml:space="preserve"> Arnold v. DirecTV, 2012 WL 4480723, at *5 (E.D. Mo. Sept. 28, 2012) (granting conditional certification; finding that plaintiffs alleged sufficient facts of joint employment and that threshold employment questions did not prohibit conditional certification).</w:t>
      </w:r>
    </w:p>
    <w:p w14:paraId="63E20E0E" w14:textId="756A93EA" w:rsidR="00721CCF" w:rsidRPr="00AD2F44" w:rsidRDefault="00F42107">
      <w:pPr>
        <w:pStyle w:val="14Footnote"/>
      </w:pPr>
      <w:r w:rsidRPr="00AD2F44">
        <w:rPr>
          <w:i/>
          <w:iCs/>
        </w:rPr>
        <w:t>Ninth Circuit</w:t>
      </w:r>
      <w:r w:rsidRPr="00AD2F44">
        <w:t xml:space="preserve">: Ferguson v. Smith, 2020 BL 371650, 2020 WL 5731821 (D. Or. Aug. 12, 2020) (granting conditional certification; finding plaintiffs alleged sufficient facts of joint employment, which supported finding similarly situated employees across multiple work locations, based on evidence of common management and bookkeeper, sharing of employees across dealerships, and aggregating overtime hours across dealerships). </w:t>
      </w:r>
    </w:p>
    <w:p w14:paraId="72421150" w14:textId="77777777" w:rsidR="00721CCF" w:rsidRPr="00AD2F44" w:rsidRDefault="00F42107">
      <w:pPr>
        <w:pStyle w:val="14Footnote"/>
      </w:pPr>
      <w:r w:rsidRPr="00AD2F44">
        <w:rPr>
          <w:i/>
          <w:iCs/>
        </w:rPr>
        <w:t>Eleventh Circuit:</w:t>
      </w:r>
      <w:r w:rsidRPr="00AD2F44">
        <w:t xml:space="preserve"> Jackson v. Federal Nat’l Mortg. Ass’n, 2016 WL 3098077 (N.D. Ga. Mar. 29, 2016) (finding that two companies could be considered as joint employers for purpose of conditional certification because only preliminary showing of direct control is necessary at conditional certification stage, and rejecting defendants’ argument that plaintiffs were employed by different W-2 employers—and therefore not similarly situated—where all workers were victims of single common policy or plan).</w:t>
      </w:r>
    </w:p>
    <w:p w14:paraId="6B9F2F48" w14:textId="77777777" w:rsidR="00721CCF" w:rsidRPr="00AD2F44" w:rsidRDefault="00F42107">
      <w:pPr>
        <w:pStyle w:val="14Footnote"/>
      </w:pPr>
      <w:r w:rsidRPr="00AD2F44">
        <w:rPr>
          <w:i/>
          <w:iCs/>
        </w:rPr>
        <w:t>D</w:t>
      </w:r>
      <w:r w:rsidRPr="00AD2F44">
        <w:t>.</w:t>
      </w:r>
      <w:r w:rsidRPr="00AD2F44">
        <w:rPr>
          <w:i/>
          <w:iCs/>
        </w:rPr>
        <w:t>C</w:t>
      </w:r>
      <w:r w:rsidRPr="00AD2F44">
        <w:t>.</w:t>
      </w:r>
      <w:r w:rsidRPr="00AD2F44">
        <w:rPr>
          <w:i/>
          <w:iCs/>
        </w:rPr>
        <w:t xml:space="preserve"> Circuit:</w:t>
      </w:r>
      <w:r w:rsidRPr="00AD2F44">
        <w:t xml:space="preserve"> Rivera v. Power Design, Inc., 2016 WL 1226433 (D.D.C. Mar. 28, 2016) (granting conditional certification against electrical subcontractor and one of its subcontractors after plaintiffs sufficiently alleged that they were joint employers under FLSA).</w:t>
      </w:r>
    </w:p>
    <w:p w14:paraId="54E5DBDC" w14:textId="319817C7" w:rsidR="00721CCF" w:rsidRPr="00AD2F44" w:rsidRDefault="00F42107">
      <w:pPr>
        <w:pStyle w:val="14Footnote"/>
      </w:pPr>
      <w:r w:rsidRPr="00AD2F44">
        <w:rPr>
          <w:i/>
          <w:iCs/>
        </w:rPr>
        <w:t xml:space="preserve">See also </w:t>
      </w:r>
      <w:r w:rsidRPr="00AD2F44">
        <w:t>Thompson v. Bruister &amp; Assocs., Inc., 967 F. Supp. 2d 1204 (M.D. Tenn. 2013) (denying motions to dismiss by successor employer, which knew or should have known of the litigation, and individual who was added as defendant in amended complaint when motion for conditional certification still pending).</w:t>
      </w:r>
    </w:p>
  </w:footnote>
  <w:footnote w:id="281">
    <w:p w14:paraId="113066C2" w14:textId="77777777" w:rsidR="00721CCF" w:rsidRPr="00AD2F44" w:rsidRDefault="00F42107">
      <w:pPr>
        <w:pStyle w:val="14Footnote"/>
      </w:pPr>
      <w:r w:rsidRPr="00AD2F44">
        <w:rPr>
          <w:vertAlign w:val="superscript"/>
        </w:rPr>
        <w:footnoteRef/>
      </w:r>
      <w:r w:rsidRPr="00AD2F44">
        <w:rPr>
          <w:i/>
          <w:iCs/>
        </w:rPr>
        <w:t>See, e.g.,</w:t>
      </w:r>
    </w:p>
    <w:p w14:paraId="08E2E02B" w14:textId="77777777" w:rsidR="00721CCF" w:rsidRPr="00AD2F44" w:rsidRDefault="00F42107">
      <w:pPr>
        <w:pStyle w:val="14Footnote"/>
      </w:pPr>
      <w:r w:rsidRPr="00AD2F44">
        <w:rPr>
          <w:i/>
          <w:iCs/>
        </w:rPr>
        <w:t>Second Circuit:</w:t>
      </w:r>
      <w:r w:rsidRPr="00AD2F44">
        <w:t xml:space="preserve"> Castro v. Spice Place, Inc., 2009 WL 229952, at *3 (S.D.N.Y. Jan. 30, 2009) (denying conditional certification, without prejudice, because plaintiffs could not identify a single unlawful policy or plan, especially given that defendants were six separate restaurants; fact that plaintiff had worked for some of them was insufficient); Hamelin v. </w:t>
      </w:r>
      <w:r w:rsidRPr="00AD2F44">
        <w:t>Faxton-St. Luke’s Healthcare, 2009 WL 211512, at *8 (N.D.N.Y. Jan. 26, 2009) (granting conditional certification as to class members who performed patient care duties at two health care facilities where plaintiffs worked, but denying certification as to other facilities that were allegedly “related organizations,” based on lack of evidence beyond allegations in complaint).</w:t>
      </w:r>
    </w:p>
    <w:p w14:paraId="02BE943D" w14:textId="2ED6E87C" w:rsidR="00721CCF" w:rsidRPr="00AD2F44" w:rsidRDefault="00F42107">
      <w:pPr>
        <w:pStyle w:val="14Footnote"/>
      </w:pPr>
      <w:r w:rsidRPr="00AD2F44">
        <w:rPr>
          <w:i/>
          <w:iCs/>
        </w:rPr>
        <w:t>Fifth Circuit:</w:t>
      </w:r>
      <w:r w:rsidRPr="00AD2F44">
        <w:t xml:space="preserve"> Xavier v. Belfor USA Grp., Inc., 585 F. Supp. 2d 873, 879–80 (E.D. La. 2008) (rejecting conditional certification against approximately 2,100 subcontractors given various practices, circumstances, contracting agreements, business relationships, and numbers of employees at each location, which would cause too many individualized inquiries; rejecting claim that workers were all employed by general contractor such that there was only one real employer).</w:t>
      </w:r>
      <w:r w:rsidR="00A32554" w:rsidRPr="00A32554">
        <w:rPr>
          <w:b/>
        </w:rPr>
        <w:t xml:space="preserve"> </w:t>
      </w:r>
      <w:r w:rsidR="00A32554" w:rsidRPr="00AD2F44">
        <w:rPr>
          <w:b/>
        </w:rPr>
        <w:t xml:space="preserve">[Caution: </w:t>
      </w:r>
      <w:r w:rsidR="00A32554" w:rsidRPr="00AD2F44">
        <w:t xml:space="preserve">The Fifth Circuit later rejected the two-stage process, in </w:t>
      </w:r>
      <w:r w:rsidR="00A32554" w:rsidRPr="00AD2F44">
        <w:rPr>
          <w:i/>
        </w:rPr>
        <w:t xml:space="preserve">Swales v. KLLM Transport Services, LLC, </w:t>
      </w:r>
      <w:r w:rsidR="00A32554" w:rsidRPr="00AD2F44">
        <w:t xml:space="preserve">985 F.3d 430 (5th Cir. 2021), in favor of a requirement to “rigorously scrutinize” whether potential opt-ins are similarly situated “from the outset of the case.” </w:t>
      </w:r>
      <w:r w:rsidR="00A32554" w:rsidRPr="00AD2F44">
        <w:rPr>
          <w:i/>
        </w:rPr>
        <w:t>Id.</w:t>
      </w:r>
      <w:r w:rsidR="00A32554" w:rsidRPr="00AD2F44">
        <w:t xml:space="preserve"> at 434.</w:t>
      </w:r>
      <w:r w:rsidR="00A32554" w:rsidRPr="00AD2F44">
        <w:rPr>
          <w:b/>
          <w:bCs/>
        </w:rPr>
        <w:t>]</w:t>
      </w:r>
    </w:p>
    <w:p w14:paraId="644987A1" w14:textId="77777777" w:rsidR="00721CCF" w:rsidRPr="00AD2F44" w:rsidRDefault="00F42107">
      <w:pPr>
        <w:pStyle w:val="14Footnote"/>
      </w:pPr>
      <w:r w:rsidRPr="00AD2F44">
        <w:rPr>
          <w:i/>
          <w:iCs/>
        </w:rPr>
        <w:t>Ninth Circuit:</w:t>
      </w:r>
      <w:r w:rsidRPr="00AD2F44">
        <w:t xml:space="preserve"> Suliaman v. Southwestern Furniture Stores of Wis. LLC, 2016 WL 1411352 (D. Nev. Apr. 8, 2016) (denying conditional certification of nationwide group of all commission-based sales associates employed by previously named defendant that had been dismissed from case when it was undisputed that all plaintiffs and opt-ins were employed solely by defendant); Sheffield v. Orius Corp., 211 F.R.D. 411 (D. Or. 2002).</w:t>
      </w:r>
    </w:p>
    <w:p w14:paraId="73E5106B" w14:textId="256BB556" w:rsidR="00721CCF" w:rsidRPr="00AD2F44" w:rsidRDefault="00F42107">
      <w:pPr>
        <w:pStyle w:val="14Footnote"/>
      </w:pPr>
      <w:r w:rsidRPr="00AD2F44">
        <w:rPr>
          <w:i/>
          <w:iCs/>
        </w:rPr>
        <w:t>D.C. Circuit:</w:t>
      </w:r>
      <w:r w:rsidRPr="00AD2F44">
        <w:t xml:space="preserve"> Dinkel v. MedStar Health, Inc., 880 F. Supp. 2d 49, 55 (D.D.C. 2012) (dismissing eight of nine defendant hospitals where two of the hospitals were not shown to have shared common meal break pay deduction policy and employees failed to produce any evidence that there was a common practice at six of the hospitals).</w:t>
      </w:r>
    </w:p>
  </w:footnote>
  <w:footnote w:id="282">
    <w:p w14:paraId="35B3BD0D" w14:textId="77777777" w:rsidR="00721CCF" w:rsidRPr="00AD2F44" w:rsidRDefault="00F42107">
      <w:pPr>
        <w:pStyle w:val="14Footnote"/>
      </w:pPr>
      <w:r w:rsidRPr="00AD2F44">
        <w:rPr>
          <w:vertAlign w:val="superscript"/>
        </w:rPr>
        <w:footnoteRef/>
      </w:r>
      <w:r w:rsidRPr="00AD2F44">
        <w:t xml:space="preserve">Herzfeld v. 1416 Chancellor, Inc., 2017 WL 2531949, at *3 (E.D. Pa. June 9, 2017). </w:t>
      </w:r>
    </w:p>
  </w:footnote>
  <w:footnote w:id="283">
    <w:p w14:paraId="4B687004" w14:textId="77777777" w:rsidR="00721CCF" w:rsidRPr="00AD2F44" w:rsidRDefault="00F42107">
      <w:pPr>
        <w:pStyle w:val="14Footnote"/>
      </w:pPr>
      <w:r w:rsidRPr="00AD2F44">
        <w:rPr>
          <w:vertAlign w:val="superscript"/>
        </w:rPr>
        <w:footnoteRef/>
      </w:r>
      <w:r w:rsidRPr="00AD2F44">
        <w:rPr>
          <w:i/>
          <w:iCs/>
        </w:rPr>
        <w:t>See, e.g.,</w:t>
      </w:r>
    </w:p>
    <w:p w14:paraId="009E308F" w14:textId="77777777" w:rsidR="00721CCF" w:rsidRPr="00AD2F44" w:rsidRDefault="00F42107">
      <w:pPr>
        <w:pStyle w:val="14Footnote"/>
      </w:pPr>
      <w:r w:rsidRPr="00AD2F44">
        <w:rPr>
          <w:i/>
          <w:iCs/>
        </w:rPr>
        <w:t>Second Circuit:</w:t>
      </w:r>
      <w:r w:rsidRPr="00AD2F44">
        <w:t xml:space="preserve"> Lynch v. United Servs. Auto. Assoc., 491 F. Supp. 2d 357, 369 (S.D.N.Y. 2007) (granting notice and stating that informal notice efforts by plaintiffs or their counsel should not be considered on a motion for notice); Trinidad v. Breakaway Courier Sys., Inc., 2007 WL 103073, at *3 (S.D.N.Y. Jan. 12, 2007) (rejecting defendants’ argument against notice based on plaintiffs’ previous attempt to disseminate notice).</w:t>
      </w:r>
    </w:p>
    <w:p w14:paraId="4FB98F07" w14:textId="77777777" w:rsidR="00721CCF" w:rsidRPr="00AD2F44" w:rsidRDefault="00F42107">
      <w:pPr>
        <w:pStyle w:val="14Footnote"/>
      </w:pPr>
      <w:r w:rsidRPr="00AD2F44">
        <w:rPr>
          <w:i/>
          <w:iCs/>
        </w:rPr>
        <w:t>Fourth Circuit:</w:t>
      </w:r>
      <w:r w:rsidRPr="00AD2F44">
        <w:t xml:space="preserve"> Bernard v. Household Int’l, 231 F. Supp. 2d 433, 436 (E.D. Va. 2004) (refusing to approve court-facilitated notice because defendants had already provided plaintiffs with the names and addresses of the class, plaintiffs’ counsel had advertised in newspapers to reach class members, and five months had elapsed since the list of class members was produced).</w:t>
      </w:r>
    </w:p>
    <w:p w14:paraId="1CB0D869" w14:textId="091D3A63" w:rsidR="00721CCF" w:rsidRPr="00AD2F44" w:rsidRDefault="00F42107">
      <w:pPr>
        <w:pStyle w:val="14Footnote"/>
      </w:pPr>
      <w:r w:rsidRPr="00AD2F44">
        <w:rPr>
          <w:i/>
          <w:iCs/>
        </w:rPr>
        <w:t>Seventh Circuit:</w:t>
      </w:r>
      <w:r w:rsidRPr="00AD2F44">
        <w:t xml:space="preserve"> Allen v. Marshall Field &amp; Co., 93 F.R.D. 438, 443 (N.D. Ill. 1982) (approving notice over employer’s objection that several newspaper articles had been published discussing the case).</w:t>
      </w:r>
    </w:p>
  </w:footnote>
  <w:footnote w:id="284">
    <w:p w14:paraId="476B036B" w14:textId="77777777" w:rsidR="00721CCF" w:rsidRPr="002E55FE" w:rsidRDefault="00F42107">
      <w:pPr>
        <w:pStyle w:val="14Footnote"/>
      </w:pPr>
      <w:r w:rsidRPr="00AD2F44">
        <w:rPr>
          <w:vertAlign w:val="superscript"/>
        </w:rPr>
        <w:footnoteRef/>
      </w:r>
      <w:r w:rsidRPr="00AD2F44">
        <w:rPr>
          <w:lang w:val="fr-FR"/>
        </w:rPr>
        <w:t>231 F. Supp. 2d 433 (E.D. Va. 2004).</w:t>
      </w:r>
    </w:p>
  </w:footnote>
  <w:footnote w:id="285">
    <w:p w14:paraId="6F6F0073" w14:textId="77777777" w:rsidR="00721CCF" w:rsidRPr="00AD2F44" w:rsidRDefault="00F42107">
      <w:pPr>
        <w:pStyle w:val="14Footnote"/>
      </w:pPr>
      <w:r w:rsidRPr="00AD2F44">
        <w:rPr>
          <w:vertAlign w:val="superscript"/>
        </w:rPr>
        <w:footnoteRef/>
      </w:r>
      <w:r w:rsidRPr="00AD2F44">
        <w:rPr>
          <w:i/>
          <w:iCs/>
        </w:rPr>
        <w:t>Id.</w:t>
      </w:r>
      <w:r w:rsidRPr="00AD2F44">
        <w:t xml:space="preserve"> at 436. </w:t>
      </w:r>
    </w:p>
  </w:footnote>
  <w:footnote w:id="286">
    <w:p w14:paraId="10714127" w14:textId="77777777" w:rsidR="00721CCF" w:rsidRPr="00AD2F44" w:rsidRDefault="00F42107">
      <w:pPr>
        <w:pStyle w:val="14Footnote"/>
      </w:pPr>
      <w:r w:rsidRPr="00AD2F44">
        <w:rPr>
          <w:vertAlign w:val="superscript"/>
        </w:rPr>
        <w:footnoteRef/>
      </w:r>
      <w:r w:rsidRPr="00AD2F44">
        <w:t>2008 WL 3927275 (M.D. Fla. Aug. 21, 2008).</w:t>
      </w:r>
    </w:p>
  </w:footnote>
  <w:footnote w:id="287">
    <w:p w14:paraId="63DD34EE" w14:textId="77777777" w:rsidR="00721CCF" w:rsidRPr="00AD2F44" w:rsidRDefault="00F42107">
      <w:pPr>
        <w:pStyle w:val="14Footnote"/>
      </w:pPr>
      <w:r w:rsidRPr="00AD2F44">
        <w:rPr>
          <w:vertAlign w:val="superscript"/>
        </w:rPr>
        <w:footnoteRef/>
      </w:r>
      <w:r w:rsidRPr="00AD2F44">
        <w:rPr>
          <w:i/>
          <w:iCs/>
        </w:rPr>
        <w:t>Id</w:t>
      </w:r>
      <w:r w:rsidRPr="00AD2F44">
        <w:t xml:space="preserve">. at *7–8; </w:t>
      </w:r>
      <w:r w:rsidRPr="00AD2F44">
        <w:rPr>
          <w:i/>
          <w:iCs/>
        </w:rPr>
        <w:t xml:space="preserve">see also </w:t>
      </w:r>
      <w:r w:rsidRPr="00AD2F44">
        <w:t xml:space="preserve">Allison v. </w:t>
      </w:r>
      <w:r w:rsidRPr="00AD2F44">
        <w:t>Dolich, 2016 WL 5539587 (D. Or. Sept. 28, 2016) (rejecting defendants’ argument that conditional certification should be denied because case had received substantial publicity; according to court, significant media attention to case had not been generated by plaintiffs and had not expressly informed prospective class members of their right to opt in to action or how to opt in).</w:t>
      </w:r>
    </w:p>
  </w:footnote>
  <w:footnote w:id="288">
    <w:p w14:paraId="38447E68" w14:textId="77777777" w:rsidR="00721CCF" w:rsidRPr="00AD2F44" w:rsidRDefault="00F42107">
      <w:pPr>
        <w:pStyle w:val="14Footnote"/>
      </w:pPr>
      <w:r w:rsidRPr="00AD2F44">
        <w:rPr>
          <w:vertAlign w:val="superscript"/>
        </w:rPr>
        <w:footnoteRef/>
      </w:r>
      <w:r w:rsidRPr="00AD2F44">
        <w:t>493 U.S. 165 (1989).</w:t>
      </w:r>
    </w:p>
  </w:footnote>
  <w:footnote w:id="289">
    <w:p w14:paraId="36B21D7F" w14:textId="77777777" w:rsidR="00721CCF" w:rsidRPr="00AD2F44" w:rsidRDefault="00F42107">
      <w:pPr>
        <w:pStyle w:val="14Footnote"/>
      </w:pPr>
      <w:r w:rsidRPr="00AD2F44">
        <w:rPr>
          <w:vertAlign w:val="superscript"/>
        </w:rPr>
        <w:footnoteRef/>
      </w:r>
      <w:r w:rsidRPr="00AD2F44">
        <w:rPr>
          <w:i/>
          <w:iCs/>
        </w:rPr>
        <w:t>Id</w:t>
      </w:r>
      <w:r w:rsidRPr="00AD2F44">
        <w:t>. at 171 n.2 (stating that “[w]e do not address any conflicts between court-authorized notice and communications with potential plaintiffs by counsel”) (citing Shapero v. Kentucky Bar Ass’n, 486 U.S. 466 (1988)).</w:t>
      </w:r>
    </w:p>
  </w:footnote>
  <w:footnote w:id="290">
    <w:p w14:paraId="6A225013" w14:textId="77777777" w:rsidR="00721CCF" w:rsidRPr="00AD2F44" w:rsidRDefault="00F42107">
      <w:pPr>
        <w:pStyle w:val="14Footnote"/>
      </w:pPr>
      <w:r w:rsidRPr="00AD2F44">
        <w:rPr>
          <w:vertAlign w:val="superscript"/>
        </w:rPr>
        <w:footnoteRef/>
      </w:r>
      <w:r w:rsidRPr="00AD2F44">
        <w:rPr>
          <w:i/>
          <w:iCs/>
        </w:rPr>
        <w:t>Id</w:t>
      </w:r>
      <w:r w:rsidRPr="00AD2F44">
        <w:t xml:space="preserve">. at 168. </w:t>
      </w:r>
      <w:r w:rsidRPr="00AD2F44">
        <w:rPr>
          <w:i/>
          <w:iCs/>
        </w:rPr>
        <w:t>Hoffmann-La Roche</w:t>
      </w:r>
      <w:r w:rsidRPr="00AD2F44">
        <w:t xml:space="preserve"> was an action brought under the ADEA rather than the FLSA, but both statutes follow the same collective action procedures in §216(b) of the FLSA. </w:t>
      </w:r>
      <w:r w:rsidRPr="00AD2F44">
        <w:rPr>
          <w:i/>
          <w:iCs/>
        </w:rPr>
        <w:t>See</w:t>
      </w:r>
      <w:r w:rsidRPr="00AD2F44">
        <w:t xml:space="preserve"> 29 U.S.C. §626(b); </w:t>
      </w:r>
      <w:r w:rsidRPr="00AD2F44">
        <w:rPr>
          <w:i/>
          <w:iCs/>
        </w:rPr>
        <w:t>Hoffmann-La Roche</w:t>
      </w:r>
      <w:r w:rsidRPr="00AD2F44">
        <w:t>, 493 U.S. at 169 (stating that ADEA, 29 U.S.C. §626(b), incorporates 29 U.S.C. §216(b)).</w:t>
      </w:r>
    </w:p>
  </w:footnote>
  <w:footnote w:id="291">
    <w:p w14:paraId="4166D8EC" w14:textId="77777777" w:rsidR="00721CCF" w:rsidRPr="00AD2F44" w:rsidRDefault="00F42107">
      <w:pPr>
        <w:pStyle w:val="14Footnote"/>
      </w:pPr>
      <w:r w:rsidRPr="00AD2F44">
        <w:rPr>
          <w:vertAlign w:val="superscript"/>
        </w:rPr>
        <w:footnoteRef/>
      </w:r>
      <w:r w:rsidRPr="00AD2F44">
        <w:t>493 U.S. at 168.</w:t>
      </w:r>
    </w:p>
  </w:footnote>
  <w:footnote w:id="292">
    <w:p w14:paraId="219C9E6B"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293">
    <w:p w14:paraId="107629B1" w14:textId="77777777" w:rsidR="00721CCF" w:rsidRPr="00AD2F44" w:rsidRDefault="00F42107">
      <w:pPr>
        <w:pStyle w:val="14Footnote"/>
      </w:pPr>
      <w:r w:rsidRPr="00AD2F44">
        <w:rPr>
          <w:vertAlign w:val="superscript"/>
        </w:rPr>
        <w:footnoteRef/>
      </w:r>
      <w:r w:rsidRPr="00AD2F44">
        <w:rPr>
          <w:i/>
          <w:iCs/>
        </w:rPr>
        <w:t>Id</w:t>
      </w:r>
      <w:r w:rsidRPr="00AD2F44">
        <w:t>. at 169–70.</w:t>
      </w:r>
    </w:p>
  </w:footnote>
  <w:footnote w:id="294">
    <w:p w14:paraId="202A3555" w14:textId="77777777" w:rsidR="00721CCF" w:rsidRPr="00AD2F44" w:rsidRDefault="00F42107">
      <w:pPr>
        <w:pStyle w:val="14Footnote"/>
      </w:pPr>
      <w:r w:rsidRPr="00AD2F44">
        <w:rPr>
          <w:vertAlign w:val="superscript"/>
        </w:rPr>
        <w:footnoteRef/>
      </w:r>
      <w:r w:rsidRPr="00AD2F44">
        <w:t>486 U.S. 466 (1988).</w:t>
      </w:r>
    </w:p>
  </w:footnote>
  <w:footnote w:id="295">
    <w:p w14:paraId="0E4CC30B" w14:textId="77777777" w:rsidR="00721CCF" w:rsidRPr="00AD2F44" w:rsidRDefault="00F42107">
      <w:pPr>
        <w:pStyle w:val="14Footnote"/>
      </w:pPr>
      <w:r w:rsidRPr="00AD2F44">
        <w:rPr>
          <w:vertAlign w:val="superscript"/>
        </w:rPr>
        <w:footnoteRef/>
      </w:r>
      <w:r w:rsidRPr="00AD2F44">
        <w:t>452 U.S. 89 (1981).</w:t>
      </w:r>
    </w:p>
  </w:footnote>
  <w:footnote w:id="296">
    <w:p w14:paraId="31E32336" w14:textId="77777777" w:rsidR="00721CCF" w:rsidRPr="00AD2F44" w:rsidRDefault="00F42107">
      <w:pPr>
        <w:pStyle w:val="14Footnote"/>
      </w:pPr>
      <w:r w:rsidRPr="00AD2F44">
        <w:rPr>
          <w:vertAlign w:val="superscript"/>
        </w:rPr>
        <w:footnoteRef/>
      </w:r>
      <w:r w:rsidRPr="00AD2F44">
        <w:rPr>
          <w:i/>
          <w:iCs/>
        </w:rPr>
        <w:t>Shapero</w:t>
      </w:r>
      <w:r w:rsidRPr="00AD2F44">
        <w:t xml:space="preserve">, 486 U.S. at 473–77. The plurality in </w:t>
      </w:r>
      <w:r w:rsidRPr="00AD2F44">
        <w:rPr>
          <w:i/>
          <w:iCs/>
        </w:rPr>
        <w:t>Shapero</w:t>
      </w:r>
      <w:r w:rsidRPr="00AD2F44">
        <w:t xml:space="preserve"> went further and evaluated the actual letter at issue, finding that it was not deceptive or misleading, and rejected the arguments of respondents that the use of particular fonts or “subjective predictions of client satisfaction” were inappropriate, stating that “so long as the First Amendment protects the right to solicit legal business, the State may claim no substantial interest in restricting truthful and non-deceptive lawyer solicitations to those least likely to be read by the recipient.” </w:t>
      </w:r>
      <w:r w:rsidRPr="00AD2F44">
        <w:rPr>
          <w:i/>
          <w:iCs/>
        </w:rPr>
        <w:t>Id</w:t>
      </w:r>
      <w:r w:rsidRPr="00AD2F44">
        <w:t>. at 479.</w:t>
      </w:r>
    </w:p>
  </w:footnote>
  <w:footnote w:id="297">
    <w:p w14:paraId="71CA9A84" w14:textId="77777777" w:rsidR="00721CCF" w:rsidRPr="00AD2F44" w:rsidRDefault="00F42107">
      <w:pPr>
        <w:pStyle w:val="14Footnote"/>
      </w:pPr>
      <w:r w:rsidRPr="00AD2F44">
        <w:rPr>
          <w:vertAlign w:val="superscript"/>
        </w:rPr>
        <w:footnoteRef/>
      </w:r>
      <w:r w:rsidRPr="00AD2F44">
        <w:rPr>
          <w:i/>
          <w:iCs/>
        </w:rPr>
        <w:t>Gulf Oil</w:t>
      </w:r>
      <w:r w:rsidRPr="00AD2F44">
        <w:t>, 452 U.S. at 101–04 (affirming circuit court’s reversal of district court ban on all communications with putative class members without prior approval of the court in Rule 23 class action context, and holding that such a prior restraint on speech was not permitted where it was not based on “a clear record and specific findings that reflect a weighing of the need for a limitation and the potential interference with the rights of the parties”).</w:t>
      </w:r>
    </w:p>
  </w:footnote>
  <w:footnote w:id="298">
    <w:p w14:paraId="0496BA3C" w14:textId="77777777" w:rsidR="00721CCF" w:rsidRPr="00AD2F44" w:rsidRDefault="00F42107">
      <w:pPr>
        <w:pStyle w:val="14Footnote"/>
      </w:pPr>
      <w:r w:rsidRPr="00AD2F44">
        <w:rPr>
          <w:vertAlign w:val="superscript"/>
        </w:rPr>
        <w:footnoteRef/>
      </w:r>
      <w:r w:rsidRPr="00AD2F44">
        <w:rPr>
          <w:i/>
          <w:iCs/>
        </w:rPr>
        <w:t>See, e.g.,</w:t>
      </w:r>
    </w:p>
    <w:p w14:paraId="25734213" w14:textId="77777777" w:rsidR="00721CCF" w:rsidRPr="00AD2F44" w:rsidRDefault="00F42107">
      <w:pPr>
        <w:pStyle w:val="14Footnote"/>
      </w:pPr>
      <w:r w:rsidRPr="00AD2F44">
        <w:rPr>
          <w:i/>
          <w:iCs/>
        </w:rPr>
        <w:t>First Circuit:</w:t>
      </w:r>
      <w:r w:rsidRPr="00AD2F44">
        <w:t xml:space="preserve"> Melendez Cintron v. Hershey P.R., Inc., 363 F. Supp. 2d 10, 17–19 (D.P.R. 2005) (granting request to strike consent forms but refusing to sanction plaintiffs under Rule 11 of the Federal Rules of Civil Procedure for precertification letter to potential collective action members that did not make false representations and was not misleading).</w:t>
      </w:r>
    </w:p>
    <w:p w14:paraId="51BAA82C" w14:textId="77777777" w:rsidR="00721CCF" w:rsidRPr="00AD2F44" w:rsidRDefault="00F42107">
      <w:pPr>
        <w:pStyle w:val="14Footnote"/>
      </w:pPr>
      <w:r w:rsidRPr="00AD2F44">
        <w:rPr>
          <w:i/>
          <w:iCs/>
          <w:lang w:val="fr-FR"/>
        </w:rPr>
        <w:t>Second Circuit:</w:t>
      </w:r>
      <w:r w:rsidRPr="00AD2F44">
        <w:rPr>
          <w:lang w:val="fr-FR"/>
        </w:rPr>
        <w:t xml:space="preserve"> Mendez v. </w:t>
      </w:r>
      <w:r w:rsidRPr="00AD2F44">
        <w:rPr>
          <w:lang w:val="fr-FR"/>
        </w:rPr>
        <w:t xml:space="preserve">Enecon Ne. </w:t>
      </w:r>
      <w:r w:rsidRPr="00AD2F44">
        <w:t>Applied Polymer Sys., Inc., 2015 WL 4249219, at *1–2 (E.D.N.Y. July 13, 2015) (rejecting defendants’ request for “remedial relief” based on letter sent to putative class members by plaintiffs’ counsel, reasoning that defendants failed to show that letter was misleading or improper, or otherwise warranted judicial intervention; letter sought information relevant to investigation).</w:t>
      </w:r>
    </w:p>
    <w:p w14:paraId="00D26E97" w14:textId="77777777" w:rsidR="00721CCF" w:rsidRPr="00AD2F44" w:rsidRDefault="00F42107">
      <w:pPr>
        <w:pStyle w:val="14Footnote"/>
      </w:pPr>
      <w:r w:rsidRPr="00AD2F44">
        <w:rPr>
          <w:i/>
          <w:iCs/>
        </w:rPr>
        <w:t>Fourth Circuit:</w:t>
      </w:r>
      <w:r w:rsidRPr="00AD2F44">
        <w:t xml:space="preserve"> Solais v. Vesuvio’s II Pizza &amp; Grill, Inc., 2016 WL 1057038, at *3 (M.D.N.C. Mar. 14, 2016) (denying motion for protective order based on alleged attempted solicitation of class members because defendants did not show “a clear record of attempted solicitation”); Barton v. Pantry, Inc., 2006 WL 2568462, at *2 (M.D.N.C. Aug. 31, 2006) (holding that, absent evidence of an improper or inaccurate communication, no basis existed to limit plaintiff’s counsel’s communications with putative collective action members, which consisted of a widespread advertising campaign).</w:t>
      </w:r>
    </w:p>
    <w:p w14:paraId="23E938BA" w14:textId="77777777" w:rsidR="00721CCF" w:rsidRPr="00AD2F44" w:rsidRDefault="00F42107">
      <w:pPr>
        <w:pStyle w:val="14Footnote"/>
      </w:pPr>
      <w:r w:rsidRPr="00AD2F44">
        <w:rPr>
          <w:i/>
          <w:iCs/>
        </w:rPr>
        <w:t>Sixth Circuit:</w:t>
      </w:r>
      <w:r w:rsidRPr="00AD2F44">
        <w:t xml:space="preserve"> Cowan v. National Mut. Ins. Co., 2019 WL 4667497, at *4 (S.D. Ohio Sept. 25, 2019) (denying defendant’s motion to strike, finding plaintiffs’ pre-certification notice neither contradicted court notice nor was misleading or improper); Frye v. Baptist Mem’l Hosp., Inc., 2008 WL 2117264, at *4–5 (W.D. Tenn. May 20, 2008) (denying defendant’s motion that plaintiff’s counsel cease and desist from communicating with putative collective action members, where—although plaintiff’s counsel’s letter did not comply with Tennessee Rule of Professional Conduct—counsel revised letter and website to address defendant’s objections); Carlson v. Leprino Foods Co., 2006 WL 3231266, at *1 (W.D. Mich. Nov. 7, 2006) (denying defendant’s motion for contempt or sanctions in connection with plaintiff’s counsel’s contacts with potential collective action members because the court’s prior order did not prohibit such communications, a contempt order would constitute prior restraint in violation of the First Amendment, and plaintiff’s communications, though “close to the line of communicating inaccurate information,” were not so inaccurate that a corrective notice would be helpful).</w:t>
      </w:r>
    </w:p>
    <w:p w14:paraId="4531EEF2" w14:textId="77777777" w:rsidR="00721CCF" w:rsidRPr="00AD2F44" w:rsidRDefault="00F42107">
      <w:pPr>
        <w:pStyle w:val="14Footnote"/>
      </w:pPr>
      <w:r w:rsidRPr="00AD2F44">
        <w:rPr>
          <w:i/>
          <w:iCs/>
        </w:rPr>
        <w:t>Ninth Circuit:</w:t>
      </w:r>
      <w:r w:rsidRPr="00AD2F44">
        <w:t xml:space="preserve"> Bollinger v. Residential Capital, LLC, 761 F. Supp. 2d 1114, 1121–22 (W.D. Wash. 2011) (refusing to strike consent forms gathered before conditional certification, and rejecting defendant’s argument that plaintiff’s website constituted improper solicitation and was misleading, reasoning that although the website had language that could create “false sense of urgency,” it was a passive communication vehicle, and putative plaintiffs must seek out information, rather than it being pushed to them as with direct phone calls and other more aggressive behavior).</w:t>
      </w:r>
    </w:p>
    <w:p w14:paraId="27A881CF" w14:textId="0EE399E8" w:rsidR="00721CCF" w:rsidRPr="00AD2F44" w:rsidRDefault="00F42107">
      <w:pPr>
        <w:pStyle w:val="14Footnote"/>
      </w:pPr>
      <w:r w:rsidRPr="00AD2F44">
        <w:rPr>
          <w:i/>
          <w:iCs/>
        </w:rPr>
        <w:t>Eleventh Circuit:</w:t>
      </w:r>
      <w:r w:rsidRPr="00AD2F44">
        <w:t xml:space="preserve"> Bennett v. Advanced Cable Contractors, Inc., 2012 WL 1600443, at *9–11 (N.D. Ga. May 7, 2012) (denying motion for sanctions where (1) plaintiff’s counsel’s non-attorney representative telephoned putative class members without discussing it with attorneys in violation of Georgia’s professional conduct rules, but plaintiff’s counsel ceased contact upon receipt of cease-and-desist letter; (2) defendant failed to show bad faith; and (3) First Amendment protects ability to gather facts and develop one’s case); West v. Mando Am. Corp., 2008 U.S. Dist. LEXIS 81296, at *5–10 (M.D. Ala. Oct. 8, 2008) (refusing to order plaintiff’s counsel to cease running nonmisleading advertisements soliciting putative collective action members, but explaining that courts could prohibit “‘unqualified, misleading statements’ in communications with potential plaintiffs”).</w:t>
      </w:r>
    </w:p>
  </w:footnote>
  <w:footnote w:id="299">
    <w:p w14:paraId="0688B3BA" w14:textId="77777777" w:rsidR="00721CCF" w:rsidRPr="00AD2F44" w:rsidRDefault="00F42107">
      <w:pPr>
        <w:pStyle w:val="14Footnote"/>
      </w:pPr>
      <w:r w:rsidRPr="00AD2F44">
        <w:rPr>
          <w:vertAlign w:val="superscript"/>
        </w:rPr>
        <w:footnoteRef/>
      </w:r>
      <w:r w:rsidRPr="00AD2F44">
        <w:t xml:space="preserve">Garner v. G.D. Searle Pharms. &amp; Co., 802 F. Supp. 418, 421 (M.D. Ala. 1991); </w:t>
      </w:r>
      <w:r w:rsidRPr="00AD2F44">
        <w:rPr>
          <w:i/>
          <w:iCs/>
        </w:rPr>
        <w:t>see also</w:t>
      </w:r>
      <w:r w:rsidRPr="00AD2F44">
        <w:t xml:space="preserve"> Ferry v. SGS Control Servs., Inc., 2007 WL 2005549, at *3–4 (S.D.N.Y. 2007) (denying motion for protective order where court found that plaintiff’s counsel’s website was not misleading); </w:t>
      </w:r>
      <w:r w:rsidRPr="00AD2F44">
        <w:rPr>
          <w:i/>
          <w:iCs/>
        </w:rPr>
        <w:t>cf</w:t>
      </w:r>
      <w:r w:rsidRPr="00AD2F44">
        <w:t xml:space="preserve">. Mackenzie v. Kindred </w:t>
      </w:r>
      <w:r w:rsidRPr="00AD2F44">
        <w:t>Hosps. E., LLC, 276 F. Supp. 2d 1211, 1220 n.6 (M.D. Fla. 2003) (noting that plaintiff had “not been precluded from communicating with potential plaintiffs,” had ample time to solicit other opt-ins, and could not point to local rule prohibiting solicitation as basis for inability to locate other opt-ins since that rule only applied to Rule 23 actions and had expired in 2002); Tucker v. Labor Leasing, Inc., 872 F. Supp. 941, 949–50 (M.D. Fla. 1994) (denying motion for sanctions where individual who previously was a plaintiff in action called another employee in an attempt to solicit an additional opt-in, on basis that local rule prohibiting such actions arguably only applied to Rule 23, and noting that the contact occurred prior to the court issuing an order requiring leave of the court for all contact by plaintiffs with potentially similarly situated persons).</w:t>
      </w:r>
    </w:p>
  </w:footnote>
  <w:footnote w:id="300">
    <w:p w14:paraId="45638BA9" w14:textId="77777777" w:rsidR="00721CCF" w:rsidRPr="00AD2F44" w:rsidRDefault="00F42107">
      <w:pPr>
        <w:pStyle w:val="14Footnote"/>
      </w:pPr>
      <w:r w:rsidRPr="00AD2F44">
        <w:rPr>
          <w:vertAlign w:val="superscript"/>
        </w:rPr>
        <w:footnoteRef/>
      </w:r>
      <w:r w:rsidRPr="00AD2F44">
        <w:t>Lynch v. United Serv. Auto Ass’n, 2007 U.S. Dist. LEXIS 32642, at *34 (S.D.N.Y. Apr. 25, 2007) (citing Shapero v. Kentucky Bar Ass’n, 486 U.S. 466 (1988)).</w:t>
      </w:r>
    </w:p>
  </w:footnote>
  <w:footnote w:id="301">
    <w:p w14:paraId="16F1A8DD" w14:textId="77777777" w:rsidR="00721CCF" w:rsidRPr="00AD2F44" w:rsidRDefault="00F42107">
      <w:pPr>
        <w:pStyle w:val="14Footnote"/>
      </w:pPr>
      <w:r w:rsidRPr="00AD2F44">
        <w:rPr>
          <w:vertAlign w:val="superscript"/>
        </w:rPr>
        <w:footnoteRef/>
      </w:r>
      <w:r w:rsidRPr="00AD2F44">
        <w:t>Discovery of names and addresses of putative collective action members is addressed in detail in §III.B [The Two-Stage Process Used to Determine if a Collective Action May Proceed to Trial; Stage I: Standard for Determining Whether Conditional Certifications Should Be Granted] of this chapter.</w:t>
      </w:r>
    </w:p>
  </w:footnote>
  <w:footnote w:id="302">
    <w:p w14:paraId="4FE7F14A" w14:textId="42099F37" w:rsidR="00721CCF" w:rsidRPr="00AD2F44" w:rsidRDefault="00F42107">
      <w:pPr>
        <w:pStyle w:val="14Footnote"/>
      </w:pPr>
      <w:r w:rsidRPr="00AD2F44">
        <w:rPr>
          <w:vertAlign w:val="superscript"/>
        </w:rPr>
        <w:footnoteRef/>
      </w:r>
      <w:r w:rsidRPr="00AD2F44">
        <w:t xml:space="preserve">Levine v. Gunther Motor Co. of Plantation, 2010 WL 5140590, at *3 (S.D. Fla. Dec. 9, 2010) (finding precertification requests to be premature); Stephens v. Erosion Containment Mgmt., Inc., 2008 WL 2157095, at *1 (M.D. Fla. May 21, 2008) (holding that interrogatories requesting information on other individuals who performed similar duties to the named plaintiff and were compensated in a similar manner to the named plaintiff were premature prior to conditional certification); Recinos-Recinos v. Express Forestry, Inc., 2006 WL 197030, at *12–13 (E.D. La. Jan. 24, 2006) (holding that discovery of contact information for potential plaintiffs was “premature and should await the ruling on preliminary certification”); </w:t>
      </w:r>
      <w:r w:rsidR="00A32554" w:rsidRPr="00AD2F44">
        <w:rPr>
          <w:b/>
        </w:rPr>
        <w:t xml:space="preserve">[Caution: </w:t>
      </w:r>
      <w:r w:rsidR="00A32554" w:rsidRPr="00AD2F44">
        <w:t xml:space="preserve">The Fifth Circuit later rejected the two-stage process, in </w:t>
      </w:r>
      <w:r w:rsidR="00A32554" w:rsidRPr="00AD2F44">
        <w:rPr>
          <w:i/>
        </w:rPr>
        <w:t xml:space="preserve">Swales v. KLLM Transport Services, LLC, </w:t>
      </w:r>
      <w:r w:rsidR="00A32554" w:rsidRPr="00AD2F44">
        <w:t xml:space="preserve">985 F.3d 430 (5th Cir. 2021), in favor of a requirement to “rigorously scrutinize” whether potential opt-ins are similarly situated “from the outset of the case.” </w:t>
      </w:r>
      <w:r w:rsidR="00A32554" w:rsidRPr="00AD2F44">
        <w:rPr>
          <w:i/>
        </w:rPr>
        <w:t>Id.</w:t>
      </w:r>
      <w:r w:rsidR="00A32554" w:rsidRPr="00AD2F44">
        <w:t xml:space="preserve"> at 434.</w:t>
      </w:r>
      <w:r w:rsidR="00A32554" w:rsidRPr="00AD2F44">
        <w:rPr>
          <w:b/>
          <w:bCs/>
        </w:rPr>
        <w:t>]</w:t>
      </w:r>
      <w:r w:rsidR="00A32554">
        <w:rPr>
          <w:b/>
          <w:bCs/>
        </w:rPr>
        <w:t xml:space="preserve">; </w:t>
      </w:r>
      <w:r w:rsidRPr="00AD2F44">
        <w:t xml:space="preserve">Crawford v. Dothan City Bd. of Educ., 214 F.R.D. 694, 695 (M.D. Ala. 2003) (denying plaintiff’s request prior to conditional certification for discovery of the identity of any employees to whom a self-audit revealed wages should have been paid under the minimum wage or overtime provisions of the FLSA) (citing Brooks v. Bellsouth </w:t>
      </w:r>
      <w:r w:rsidRPr="00AD2F44">
        <w:t>Telecomms., Inc., 164 F.R.D. 561, 571 (N.D. Ala. 1995)).</w:t>
      </w:r>
    </w:p>
  </w:footnote>
  <w:footnote w:id="303">
    <w:p w14:paraId="102076E8" w14:textId="77777777" w:rsidR="00721CCF" w:rsidRPr="00AD2F44" w:rsidRDefault="00F42107">
      <w:pPr>
        <w:pStyle w:val="14Footnote"/>
      </w:pPr>
      <w:r w:rsidRPr="00AD2F44">
        <w:rPr>
          <w:vertAlign w:val="superscript"/>
        </w:rPr>
        <w:footnoteRef/>
      </w:r>
      <w:r w:rsidRPr="00AD2F44">
        <w:rPr>
          <w:i/>
          <w:iCs/>
        </w:rPr>
        <w:t>See, e.g.,</w:t>
      </w:r>
    </w:p>
    <w:p w14:paraId="487E5FA6" w14:textId="77777777" w:rsidR="00721CCF" w:rsidRPr="00AD2F44" w:rsidRDefault="00F42107">
      <w:pPr>
        <w:pStyle w:val="14Footnote"/>
      </w:pPr>
      <w:r w:rsidRPr="00AD2F44">
        <w:rPr>
          <w:i/>
          <w:iCs/>
        </w:rPr>
        <w:t>First Circuit:</w:t>
      </w:r>
      <w:r w:rsidRPr="00AD2F44">
        <w:t xml:space="preserve"> Melendez Cintron v. Hershey P.R., Inc., 363 F. Supp. 2d 10, 17 (D.P.R. 2005) (holding that court authorization is required before plaintiffs may send consent-to-join forms to putative collective action members and granting motion to strike consent forms previously gathered).</w:t>
      </w:r>
    </w:p>
    <w:p w14:paraId="33283414" w14:textId="77777777" w:rsidR="00721CCF" w:rsidRPr="00AD2F44" w:rsidRDefault="00F42107">
      <w:pPr>
        <w:pStyle w:val="14Footnote"/>
      </w:pPr>
      <w:r w:rsidRPr="00AD2F44">
        <w:rPr>
          <w:i/>
          <w:iCs/>
        </w:rPr>
        <w:t>Third Circuit:</w:t>
      </w:r>
      <w:r w:rsidRPr="00AD2F44">
        <w:t xml:space="preserve"> Bouder v. Prudential Fin., Inc., 2007 WL 3396303, at *2–3 (D.N.J. Nov. 8, 2007) (concluding that it was improper for plaintiffs’ counsel to send consent-to-join forms to all registered representatives prior to a ruling on a motion for notice and conditional certification because it usurped the court’s power to oversee the certification and notice process, the letters were misleading, and plaintiffs had not established that the recipients in various positions all were similarly situated to each other).</w:t>
      </w:r>
    </w:p>
    <w:p w14:paraId="2862B5C3" w14:textId="77777777" w:rsidR="00721CCF" w:rsidRPr="00AD2F44" w:rsidRDefault="00F42107">
      <w:pPr>
        <w:pStyle w:val="14Footnote"/>
      </w:pPr>
      <w:r w:rsidRPr="00AD2F44">
        <w:rPr>
          <w:i/>
          <w:iCs/>
        </w:rPr>
        <w:t>Eighth Circuit:</w:t>
      </w:r>
      <w:r w:rsidRPr="00AD2F44">
        <w:t xml:space="preserve"> Knutson v. Blue Cross &amp; Blue Shield of Minn., 254 F.R.D. 553, 556–57 (D. Minn. 2008) (denying plaintiff’s request to compel defendant to produce the contact information of other customer service representatives, where plaintiff had had “ample opportunity” to collect that information during her tenure with the employer and her only timely stated grounds for requesting such information was to solicit additional opt-in plaintiffs, although stating that in a situation in which a “plaintiff has been given no access to contact information by the defendant and, because of her short tenure with her employer, she is unlikely to possess such information,” an “order compelling production might be appropriate”).</w:t>
      </w:r>
    </w:p>
    <w:p w14:paraId="6DE3D327" w14:textId="6C5FE7EB" w:rsidR="00721CCF" w:rsidRPr="00AD2F44" w:rsidRDefault="00F42107">
      <w:pPr>
        <w:pStyle w:val="14Footnote"/>
      </w:pPr>
      <w:r w:rsidRPr="00AD2F44">
        <w:rPr>
          <w:i/>
          <w:iCs/>
        </w:rPr>
        <w:t>Eleventh Circuit:</w:t>
      </w:r>
      <w:r w:rsidRPr="00AD2F44">
        <w:t xml:space="preserve"> Hamm v. TBC Corp., 345 F. </w:t>
      </w:r>
      <w:r w:rsidRPr="00AD2F44">
        <w:t>App’x 406 (11th Cir. 2009) (affirming extent of sanctions entered by district court for improper solicitation of putative opt-in plaintiffs by plaintiffs’ law firm where plaintiffs’ law firm did not challenge the propriety of the underlying sanctions, but only challenged the type of sanctions entered).</w:t>
      </w:r>
    </w:p>
  </w:footnote>
  <w:footnote w:id="304">
    <w:p w14:paraId="58286CC9" w14:textId="77777777" w:rsidR="00721CCF" w:rsidRPr="00AD2F44" w:rsidRDefault="00F42107">
      <w:pPr>
        <w:pStyle w:val="14Footnote"/>
      </w:pPr>
      <w:r w:rsidRPr="00AD2F44">
        <w:rPr>
          <w:vertAlign w:val="superscript"/>
        </w:rPr>
        <w:footnoteRef/>
      </w:r>
      <w:r w:rsidRPr="00AD2F44">
        <w:rPr>
          <w:i/>
          <w:iCs/>
        </w:rPr>
        <w:t>See, e.g.,</w:t>
      </w:r>
    </w:p>
    <w:p w14:paraId="21E25155" w14:textId="77777777" w:rsidR="00721CCF" w:rsidRPr="00AD2F44" w:rsidRDefault="00F42107">
      <w:pPr>
        <w:pStyle w:val="14Footnote"/>
      </w:pPr>
      <w:r w:rsidRPr="00AD2F44">
        <w:rPr>
          <w:i/>
          <w:iCs/>
        </w:rPr>
        <w:t>Second Circuit:</w:t>
      </w:r>
      <w:r w:rsidRPr="00AD2F44">
        <w:t xml:space="preserve"> Rubery v. </w:t>
      </w:r>
      <w:r w:rsidRPr="00AD2F44">
        <w:t>Buth-Na-Bodhaige, Inc., 514 F. Supp. 2d 431, 434–35 (W.D.N.Y. 2007) (holding that inaccuracies in plaintiffs’ letter to putative collective action members could be remedied by issuing a corrective notice if the class were later certified).</w:t>
      </w:r>
      <w:r w:rsidRPr="00AD2F44">
        <w:rPr>
          <w:i/>
          <w:iCs/>
        </w:rPr>
        <w:t xml:space="preserve"> Cf</w:t>
      </w:r>
      <w:r w:rsidRPr="00AD2F44">
        <w:t>. Ruggles v. Wellpoint, Inc., 591 F. Supp. 2d 150, 163–64 (N.D.N.Y. 2008) (granting plaintiff’s motion for notice to putative collective action members, but ordering plaintiffs’ counsel to cease advertising to putative collective action members and to remove contents from its website that did not comport with the court-ordered notice).</w:t>
      </w:r>
    </w:p>
    <w:p w14:paraId="0256FC74" w14:textId="77777777" w:rsidR="00721CCF" w:rsidRPr="00AD2F44" w:rsidRDefault="00F42107">
      <w:pPr>
        <w:pStyle w:val="14Footnote"/>
      </w:pPr>
      <w:r w:rsidRPr="00AD2F44">
        <w:rPr>
          <w:i/>
          <w:iCs/>
        </w:rPr>
        <w:t>Third Circuit:</w:t>
      </w:r>
      <w:r w:rsidRPr="00AD2F44">
        <w:t xml:space="preserve"> </w:t>
      </w:r>
      <w:r w:rsidRPr="00AD2F44">
        <w:rPr>
          <w:i/>
          <w:iCs/>
        </w:rPr>
        <w:t>Bouder</w:t>
      </w:r>
      <w:r w:rsidRPr="00AD2F44">
        <w:t>, 2007 WL 3396303, at *3 (ordering plaintiffs to cease mass communications to putative collective action members because the letter and enclosed consent-to-sue form were deceptive and misleading and contained multiple false statements).</w:t>
      </w:r>
    </w:p>
    <w:p w14:paraId="5E1FA80F" w14:textId="77777777" w:rsidR="00721CCF" w:rsidRPr="00AD2F44" w:rsidRDefault="00F42107">
      <w:pPr>
        <w:pStyle w:val="14Footnote"/>
      </w:pPr>
      <w:r w:rsidRPr="00AD2F44">
        <w:rPr>
          <w:i/>
          <w:iCs/>
        </w:rPr>
        <w:t>Fifth Circuit:</w:t>
      </w:r>
      <w:r w:rsidRPr="00AD2F44">
        <w:t xml:space="preserve"> Vogt v. Texas Instruments, Inc., 2006 WL 4660133, at *4–11 (N.D. Tex. Aug. 8, 2006) (prohibiting plaintiffs’ counsel’s use of flyer and email deemed misleading, but holding that a different advertising mailing to putative collection action members was not misleading, coercive, or a threat to undermine the purpose of the collective action process because it (1) contained factual information, (2) was specifically labeled as an advertisement, and (3) was modeled after the notice authorized by the court in another case).</w:t>
      </w:r>
    </w:p>
    <w:p w14:paraId="7F7F30F2" w14:textId="77777777" w:rsidR="00721CCF" w:rsidRPr="00AD2F44" w:rsidRDefault="00F42107">
      <w:pPr>
        <w:pStyle w:val="14Footnote"/>
      </w:pPr>
      <w:r w:rsidRPr="00AD2F44">
        <w:rPr>
          <w:i/>
          <w:iCs/>
        </w:rPr>
        <w:t xml:space="preserve">Seventh Circuit: </w:t>
      </w:r>
      <w:r w:rsidRPr="00AD2F44">
        <w:t>Spoerle v. Kraft Foods Global, Inc., 253 F.R.D. 434, 443 (W.D. Wis. 2008) (ordering plaintiffs’ counsel to send curative notices to, and attempt to obtain new consent-to-sue forms from, putative collective action members, where plaintiffs’ counsel had sent notices containing misleading information, but holding that this “isolated blunder” did not warrant additional sanctions barring plaintiffs’ counsel’s unsupervised contact with putative collective action members).</w:t>
      </w:r>
    </w:p>
    <w:p w14:paraId="4D85C187" w14:textId="77777777" w:rsidR="00721CCF" w:rsidRPr="00AD2F44" w:rsidRDefault="00F42107">
      <w:pPr>
        <w:pStyle w:val="14Footnote"/>
      </w:pPr>
      <w:r w:rsidRPr="00AD2F44">
        <w:rPr>
          <w:i/>
          <w:iCs/>
        </w:rPr>
        <w:t>Eighth Circuit</w:t>
      </w:r>
      <w:r w:rsidRPr="00AD2F44">
        <w:t>: Sandoval v. Serco, Inc., 2019 WL 2075910, at *7 (E.D. Mo. May 10, 2019) (court found that plaintiff’s counsel’s communications with putative class members were “inaccurate and misleading” when it told putative class members that “every person who joins makes the case stronger and pushes [defendant] to settle more quickly” and ultimately struck plaintiff’s consents-to-join, dismissed all opt-in plaintiffs without prejudice, and ordered plaintiff to issue a curative notice to all previously opted-in plaintiffs).</w:t>
      </w:r>
    </w:p>
    <w:p w14:paraId="1F5E3D93" w14:textId="77777777" w:rsidR="00721CCF" w:rsidRPr="00AD2F44" w:rsidRDefault="00F42107">
      <w:pPr>
        <w:pStyle w:val="14Footnote"/>
      </w:pPr>
      <w:r w:rsidRPr="00AD2F44">
        <w:rPr>
          <w:i/>
          <w:iCs/>
        </w:rPr>
        <w:t>Ninth Circuit:</w:t>
      </w:r>
      <w:r w:rsidRPr="00AD2F44">
        <w:t xml:space="preserve"> Piper v. RGIS Inventory Specialists, Inc., 2007 WL 1690887, at *7–9 (N.D. Cal. June 11, 2007) (observing that courts may limit communications prior to conditional certification when a party has engaged in misleading or improper communications, and concluding that alleged “cold-calls” were not misleading or inappropriate, but directing plaintiffs’ counsel to modify their conversation with putative collective action members who were contacted pursuant to an inquiry made to plaintiffs’ counsel’s website to ask whether the individual contacted had entered his or her information into counsel’s website and to include a warning on the website that individuals could not enter contact information for other putative collective action members).</w:t>
      </w:r>
    </w:p>
    <w:p w14:paraId="7D6CE898" w14:textId="2D020B83" w:rsidR="00721CCF" w:rsidRPr="00AD2F44" w:rsidRDefault="00F42107">
      <w:pPr>
        <w:pStyle w:val="14Footnote"/>
      </w:pPr>
      <w:r w:rsidRPr="00AD2F44">
        <w:rPr>
          <w:i/>
          <w:iCs/>
        </w:rPr>
        <w:t>Eleventh Circuit:</w:t>
      </w:r>
      <w:r w:rsidRPr="00AD2F44">
        <w:t xml:space="preserve"> Gerondidakis v. BL Rest. Operations, LLC, 2012 WL 2872849, at *3–5 (M.D. Fla. July 12, 2012) (denying defendant’s motion to sanction plaintiff’s counsel for advertisements for witness information, but limiting future advertisements from being posted on employer’s website in job section, and advertisements could not claim to be seeking class action status or imply that entities not named in suit were defendants); Ojeda–Sanchez v. Bland Farms, 600 F. Supp. 2d 1373, 1379 (S.D. Ga. 2009) (chastising but not sanctioning parties’ unilateral and unsolicited communications with putative class); Taylor v. Compusa, 2004 U.S. Dist. LEXIS 14520, at *12 (N.D. Ga. June 29, 2004) (holding that until the court ruled on conditional certification and approved an official notice, plaintiffs were prohibited from making “unqualified, misleading statements” to putative collective action members).</w:t>
      </w:r>
    </w:p>
  </w:footnote>
  <w:footnote w:id="305">
    <w:p w14:paraId="56241843" w14:textId="77777777" w:rsidR="00721CCF" w:rsidRPr="00AD2F44" w:rsidRDefault="00F42107">
      <w:pPr>
        <w:pStyle w:val="14Footnote"/>
      </w:pPr>
      <w:r w:rsidRPr="00AD2F44">
        <w:rPr>
          <w:vertAlign w:val="superscript"/>
        </w:rPr>
        <w:footnoteRef/>
      </w:r>
      <w:r w:rsidRPr="00AD2F44">
        <w:rPr>
          <w:i/>
          <w:iCs/>
        </w:rPr>
        <w:t>Spoerle</w:t>
      </w:r>
      <w:r w:rsidRPr="00AD2F44">
        <w:t>, 253 F.R.D. at 443.</w:t>
      </w:r>
    </w:p>
  </w:footnote>
  <w:footnote w:id="306">
    <w:p w14:paraId="41C3A4B9" w14:textId="77777777" w:rsidR="00721CCF" w:rsidRPr="00AD2F44" w:rsidRDefault="00F42107">
      <w:pPr>
        <w:pStyle w:val="14Footnote"/>
      </w:pPr>
      <w:r w:rsidRPr="00AD2F44">
        <w:rPr>
          <w:vertAlign w:val="superscript"/>
        </w:rPr>
        <w:footnoteRef/>
      </w:r>
      <w:r w:rsidRPr="00AD2F44">
        <w:rPr>
          <w:i/>
          <w:iCs/>
        </w:rPr>
        <w:t>Bouder</w:t>
      </w:r>
      <w:r w:rsidRPr="00AD2F44">
        <w:t>, 2007 WL 339603, at *3.</w:t>
      </w:r>
    </w:p>
  </w:footnote>
  <w:footnote w:id="307">
    <w:p w14:paraId="099313A5" w14:textId="77777777" w:rsidR="00721CCF" w:rsidRPr="00AD2F44" w:rsidRDefault="00F42107">
      <w:pPr>
        <w:pStyle w:val="14Footnote"/>
      </w:pPr>
      <w:r w:rsidRPr="00AD2F44">
        <w:rPr>
          <w:vertAlign w:val="superscript"/>
        </w:rPr>
        <w:footnoteRef/>
      </w:r>
      <w:r w:rsidRPr="00AD2F44">
        <w:rPr>
          <w:i/>
          <w:iCs/>
        </w:rPr>
        <w:t>Rubery</w:t>
      </w:r>
      <w:r w:rsidRPr="00AD2F44">
        <w:t>, 514 F. Supp. 2d at 434–45.</w:t>
      </w:r>
    </w:p>
  </w:footnote>
  <w:footnote w:id="308">
    <w:p w14:paraId="6A654A86" w14:textId="77777777" w:rsidR="00721CCF" w:rsidRPr="00AD2F44" w:rsidRDefault="00F42107">
      <w:pPr>
        <w:pStyle w:val="14Footnote"/>
      </w:pPr>
      <w:r w:rsidRPr="00AD2F44">
        <w:rPr>
          <w:vertAlign w:val="superscript"/>
        </w:rPr>
        <w:footnoteRef/>
      </w:r>
      <w:r w:rsidRPr="00AD2F44">
        <w:t xml:space="preserve">Katz v. DNC Servs. Corp., 275 F. Supp. 3d 579, 583 (E.D. Pa. 2017) (emphasis added) (finding that three statements on plaintiff’s counsel’s website were misleading and requiring plaintiff’s counsel to modify website and issue curative notice to opt-in plaintiffs, giving them opportunity to rescind their consents). </w:t>
      </w:r>
      <w:r w:rsidRPr="00AD2F44">
        <w:rPr>
          <w:i/>
          <w:iCs/>
        </w:rPr>
        <w:t>See also</w:t>
      </w:r>
      <w:r w:rsidRPr="00AD2F44">
        <w:t xml:space="preserve"> </w:t>
      </w:r>
    </w:p>
    <w:p w14:paraId="4AE8EF9D" w14:textId="77777777" w:rsidR="00721CCF" w:rsidRPr="00AD2F44" w:rsidRDefault="00F42107">
      <w:pPr>
        <w:pStyle w:val="14Footnote"/>
      </w:pPr>
      <w:r w:rsidRPr="00AD2F44">
        <w:rPr>
          <w:i/>
          <w:iCs/>
        </w:rPr>
        <w:t>Eighth Circuit:</w:t>
      </w:r>
      <w:r w:rsidRPr="00AD2F44">
        <w:t xml:space="preserve"> Jones v. Casey’s Gen. Stores, 517 F. Supp. 2d 1080, 1085–89 (S.D. Iowa 2007) (prohibiting plaintiffs’ counsel from initiating future contact with putative collective action members based on specific evidence that prior ex parte communications with such individuals violated ethical rules against solicitations, holding that website was misleading, and ordering plaintiffs’ counsel to change the contents of their website to address the court’s concerns).</w:t>
      </w:r>
    </w:p>
    <w:p w14:paraId="653D3A51" w14:textId="77777777" w:rsidR="00721CCF" w:rsidRPr="00AD2F44" w:rsidRDefault="00F42107">
      <w:pPr>
        <w:pStyle w:val="14Footnote"/>
      </w:pPr>
      <w:r w:rsidRPr="00AD2F44">
        <w:rPr>
          <w:i/>
          <w:iCs/>
        </w:rPr>
        <w:t xml:space="preserve">Tenth Circuit: </w:t>
      </w:r>
      <w:r w:rsidRPr="00AD2F44">
        <w:t>Self v. TPUSA, Inc., 2008 U.S. Dist. LEXIS 71341, at *13–15 (D. Utah Sept. 19, 2008) (ordering plaintiffs’ counsel to modify their website to qualify or remove conclusory language and to state instead that the allegations were contested, and ordering them to send curative letters to all opt-in plaintiffs informing them of the misleading statements on the website and that they must submit a new consent form to remain in the lawsuit).</w:t>
      </w:r>
    </w:p>
    <w:p w14:paraId="78F31EEC" w14:textId="1D3B74E4" w:rsidR="00721CCF" w:rsidRPr="00AD2F44" w:rsidRDefault="00F42107">
      <w:pPr>
        <w:pStyle w:val="14Footnote"/>
      </w:pPr>
      <w:r w:rsidRPr="00AD2F44">
        <w:rPr>
          <w:i/>
          <w:iCs/>
        </w:rPr>
        <w:t>Eleventh Circuit:</w:t>
      </w:r>
      <w:r w:rsidRPr="00AD2F44">
        <w:t xml:space="preserve"> Maddox v. Knowledge Learning Corp., 499 F. Supp. 2d 1338, 1344–45 (N.D. Ga. 2007) (ordering plaintiffs’ counsel to remove or edit certain statements on their website that the court deemed to be “inappropriate,” but refusing to order that the entire website be shut down).</w:t>
      </w:r>
    </w:p>
  </w:footnote>
  <w:footnote w:id="309">
    <w:p w14:paraId="21F63A59" w14:textId="77777777" w:rsidR="00721CCF" w:rsidRPr="00AD2F44" w:rsidRDefault="00F42107">
      <w:pPr>
        <w:pStyle w:val="14Footnote"/>
      </w:pPr>
      <w:r w:rsidRPr="00AD2F44">
        <w:rPr>
          <w:vertAlign w:val="superscript"/>
        </w:rPr>
        <w:footnoteRef/>
      </w:r>
      <w:r w:rsidRPr="00AD2F44">
        <w:t xml:space="preserve">Gulf Oil Co. v. Bernard, 452 U.S. 89 (1981). </w:t>
      </w:r>
    </w:p>
  </w:footnote>
  <w:footnote w:id="310">
    <w:p w14:paraId="7E29307C" w14:textId="77777777" w:rsidR="00721CCF" w:rsidRPr="00AD2F44" w:rsidRDefault="00F42107">
      <w:pPr>
        <w:pStyle w:val="14Footnote"/>
      </w:pPr>
      <w:r w:rsidRPr="00AD2F44">
        <w:rPr>
          <w:vertAlign w:val="superscript"/>
        </w:rPr>
        <w:footnoteRef/>
      </w:r>
      <w:r w:rsidRPr="00AD2F44">
        <w:rPr>
          <w:i/>
          <w:iCs/>
        </w:rPr>
        <w:t xml:space="preserve">Compare </w:t>
      </w:r>
      <w:r w:rsidRPr="00AD2F44">
        <w:t xml:space="preserve">Vogt v. Texas Instruments, Inc., 2006 WL 4660133, at *3 (N.D. Tex. Aug. 8, 2006) (holding that after the moving party identifies the particular abuses by which it is threatened, the court must tailor any restrictions to those abuses and ensure “that the relief sought would be consistent with the policies of Section 216(b) and the Federal Rules of Civil Procedure, giving explicit consideration to the narrowest possible relief which would protect the respective parties”) (citing </w:t>
      </w:r>
      <w:r w:rsidRPr="00AD2F44">
        <w:rPr>
          <w:i/>
          <w:iCs/>
        </w:rPr>
        <w:t>Gulf Oil</w:t>
      </w:r>
      <w:r w:rsidRPr="00AD2F44">
        <w:t xml:space="preserve">, 452 U.S. at 102; Belt v. </w:t>
      </w:r>
      <w:r w:rsidRPr="00AD2F44">
        <w:t xml:space="preserve">Emcare, Inc., 299 F. Supp. 2d 664, 667 (E.D. Tex. 2003)), </w:t>
      </w:r>
      <w:r w:rsidRPr="00AD2F44">
        <w:rPr>
          <w:i/>
          <w:iCs/>
        </w:rPr>
        <w:t>with</w:t>
      </w:r>
      <w:r w:rsidRPr="00AD2F44">
        <w:t xml:space="preserve"> Alaniz v. Sam Kane Beef Processors, Inc., 2007 WL 4290659, at *1–2 (S.D. Tex. Dec. 4, 2007) (entering preliminary injunction requiring plaintiffs’ counsel to cease and desist from continuing to use misleading mailings, radio advertisements, billboards, or other communications to communicate with putative collective action members and ordering removal of the particular misleading communications, which failed to disclose the limitation period for the FLSA claims at issue) (citing </w:t>
      </w:r>
      <w:r w:rsidRPr="00AD2F44">
        <w:rPr>
          <w:i/>
          <w:iCs/>
        </w:rPr>
        <w:t>Gulf Oil</w:t>
      </w:r>
      <w:r w:rsidRPr="00AD2F44">
        <w:t xml:space="preserve">, 452 U.S. at 89; </w:t>
      </w:r>
      <w:r w:rsidRPr="00AD2F44">
        <w:rPr>
          <w:i/>
          <w:iCs/>
        </w:rPr>
        <w:t>Belt</w:t>
      </w:r>
      <w:r w:rsidRPr="00AD2F44">
        <w:t>, 299 F. Supp. 2d at 667).</w:t>
      </w:r>
    </w:p>
  </w:footnote>
  <w:footnote w:id="311">
    <w:p w14:paraId="0D36022E" w14:textId="77777777" w:rsidR="00721CCF" w:rsidRPr="00AD2F44" w:rsidRDefault="00F42107">
      <w:pPr>
        <w:pStyle w:val="14Footnote"/>
      </w:pPr>
      <w:r w:rsidRPr="00AD2F44">
        <w:rPr>
          <w:vertAlign w:val="superscript"/>
        </w:rPr>
        <w:footnoteRef/>
      </w:r>
      <w:r w:rsidRPr="00AD2F44">
        <w:t xml:space="preserve">Hamm v. TBC Corp., 597 F. Supp. 2d 1338, 1351–53 (S.D. Fla. 2009) (holding that plaintiffs’ counsel’s pre–conditional certification telephone communications with potential opt-in plaintiffs amounted to improper solicitations under the Local Rules and Florida Bar rules and imposing sanctions on plaintiff’s counsel that, among other things, barred them from representing, or collecting fees or costs for work performed on behalf of, individuals who did not work with the named plaintiffs), </w:t>
      </w:r>
      <w:r w:rsidRPr="00AD2F44">
        <w:rPr>
          <w:i/>
          <w:iCs/>
        </w:rPr>
        <w:t>aff’d</w:t>
      </w:r>
      <w:r w:rsidRPr="00AD2F44">
        <w:t>, 2009 U.S. App. LEXIS 19059 (11th Cir. Aug. 25, 2009).</w:t>
      </w:r>
    </w:p>
  </w:footnote>
  <w:footnote w:id="312">
    <w:p w14:paraId="6BFE5F5F" w14:textId="77777777" w:rsidR="00721CCF" w:rsidRPr="00AD2F44" w:rsidRDefault="00F42107">
      <w:pPr>
        <w:pStyle w:val="14Footnote"/>
      </w:pPr>
      <w:r w:rsidRPr="00AD2F44">
        <w:rPr>
          <w:vertAlign w:val="superscript"/>
        </w:rPr>
        <w:footnoteRef/>
      </w:r>
      <w:r w:rsidRPr="00AD2F44">
        <w:rPr>
          <w:i/>
          <w:iCs/>
        </w:rPr>
        <w:t>Compare</w:t>
      </w:r>
      <w:r w:rsidRPr="00AD2F44">
        <w:t xml:space="preserve"> Morisky v. Public Serv. Elec. &amp; Gas Co., 191 F.R.D. 419, 423–24 (D.N.J. 2000) (holding that where, in putative class and FLSA collective action, questionnaires were distributed to defendant’s employees at a public meeting two weeks before a lawsuit was filed, and those in attendance distributed the questionnaire to other employees, the ultimate purpose of the questionnaire was to “solicit potential clients” and thus neither attorney-client privilege nor work-product privileges applied to the 141 completed questionnaires), Agee v. Wayne Farms, LLC, 2007 WL 2903208, at *1–2 (S.D. Miss. Oct. 1, 2007) (denying</w:t>
      </w:r>
      <w:r w:rsidRPr="00AD2F44">
        <w:t xml:space="preserve"> plaintiffs’ motion to quash subpoena of third-party service hired by plaintiffs’ counsel to advertise for FLSA claimants and answer phone calls in response to the advertisements), </w:t>
      </w:r>
      <w:r w:rsidRPr="00AD2F44">
        <w:rPr>
          <w:i/>
          <w:iCs/>
        </w:rPr>
        <w:t>and</w:t>
      </w:r>
      <w:r w:rsidRPr="00AD2F44">
        <w:t xml:space="preserve"> Devries v. Morgan Stanley &amp; Co., 2013 WL 3243370 (S.D. Fla. June 26, 2013) (defendant employer sought production of emails or letters sent by plaintiff to recruit or solicit opt-in plaintiffs and district court required the production, finding the plaintiff’s privilege had been waived by the plaintiffs’ failure to provide a privilege log), </w:t>
      </w:r>
      <w:r w:rsidRPr="00AD2F44">
        <w:rPr>
          <w:i/>
          <w:iCs/>
        </w:rPr>
        <w:t>with</w:t>
      </w:r>
      <w:r w:rsidRPr="00AD2F44">
        <w:t xml:space="preserve"> Gates v. Rohm and Haas Co., 2006 WL 3420591, at *5 (E.D. Pa. Nov. 22, 2006) (holding questionnaires distributed to putative class members were protected by attorney-client privilege because attorneys organized meeting where questionnaires were distributed, attorneys instructed those that were not seeking advice or representation to leave meeting, and individuals who eventually completed questionnaires received them directly from and returned them to attorneys), </w:t>
      </w:r>
      <w:r w:rsidRPr="00AD2F44">
        <w:rPr>
          <w:i/>
          <w:iCs/>
        </w:rPr>
        <w:t>and</w:t>
      </w:r>
      <w:r w:rsidRPr="00AD2F44">
        <w:t xml:space="preserve"> Vodak v. City of Chi., 2004 WL 783051, at *3 (N.D. Ill. Jan. 16, 2004) (holding that attorney-client privilege attached to questionnaires distributed at public meeting because plaintiffs had “established that the persons who completed the form questionnaires reasonably believed that they were consulting counsel in their capacity as lawyers and they completed the questionnaire for the purpose of requesting legal representation”).</w:t>
      </w:r>
    </w:p>
  </w:footnote>
  <w:footnote w:id="313">
    <w:p w14:paraId="189DB65A" w14:textId="77777777" w:rsidR="00721CCF" w:rsidRPr="00AD2F44" w:rsidRDefault="00F42107">
      <w:pPr>
        <w:pStyle w:val="14Footnote"/>
      </w:pPr>
      <w:r w:rsidRPr="00AD2F44">
        <w:rPr>
          <w:vertAlign w:val="superscript"/>
        </w:rPr>
        <w:footnoteRef/>
      </w:r>
      <w:r w:rsidRPr="00AD2F44">
        <w:rPr>
          <w:i/>
          <w:iCs/>
        </w:rPr>
        <w:t>Compare</w:t>
      </w:r>
      <w:r w:rsidRPr="00AD2F44">
        <w:t xml:space="preserve"> Weeks v. Independent Sch. Dist. No. I-89, 230 F.3d 1201, 1208–11 (10th Cir. 2000) (holding that plaintiffs’ counsel’s ex parte communications with managerial and supervisory employees who had “‘speaking authority’ such that they could bind the defendant school district in a legal evidentiary sense” were improper under Rule 4.2 of the Oklahoma Rules of Professional Conduct—the corollary to Rule 4.2 of the Model Rules of Professional Conduct), </w:t>
      </w:r>
      <w:r w:rsidRPr="00AD2F44">
        <w:rPr>
          <w:i/>
          <w:iCs/>
        </w:rPr>
        <w:t>with</w:t>
      </w:r>
      <w:r w:rsidRPr="00AD2F44">
        <w:t xml:space="preserve"> Martin v. All Care Registry, Inc., 822 F. Supp. 977, 978–79 (E.D.N.Y. 1993) (holding that Secretary’s ex parte communications with defendant’s employees did not violate New York Code of Professional Responsibility because, among other things, such contact was expressly authorized by §211(a) of FLSA and none of contacted employees was a manager). This restriction may not apply to plaintiffs’ efforts to communicate with fellow employees. </w:t>
      </w:r>
      <w:r w:rsidRPr="00AD2F44">
        <w:rPr>
          <w:i/>
          <w:iCs/>
        </w:rPr>
        <w:t>See</w:t>
      </w:r>
      <w:r w:rsidRPr="00AD2F44">
        <w:t xml:space="preserve"> Carda v. E.H. Oftedal &amp; Sons, Inc., 2005 WL 2121972, at *3 (D.S.D. Aug. 30, 2005) (holding that named plaintiff’s precertification contact with other employees did not violate South Dakota corollary to Rule 4.2 of Model Rules of Professional Conduct because rule did not apply to non-attorney and there was no evidence that plaintiff’s attorneys contacted any “represented person[s]”).</w:t>
      </w:r>
    </w:p>
  </w:footnote>
  <w:footnote w:id="314">
    <w:p w14:paraId="75695177" w14:textId="77777777" w:rsidR="00721CCF" w:rsidRPr="00AD2F44" w:rsidRDefault="00F42107">
      <w:pPr>
        <w:pStyle w:val="14Footnote"/>
      </w:pPr>
      <w:r w:rsidRPr="00AD2F44">
        <w:rPr>
          <w:vertAlign w:val="superscript"/>
        </w:rPr>
        <w:footnoteRef/>
      </w:r>
      <w:r w:rsidRPr="00AD2F44">
        <w:t>Davis v. Westgate Planet Hollywood Las Vegas, LLC, 2009 WL 4019424 (D. Nev. Nov. 19, 2009).</w:t>
      </w:r>
    </w:p>
  </w:footnote>
  <w:footnote w:id="315">
    <w:p w14:paraId="646739F7" w14:textId="77777777" w:rsidR="00721CCF" w:rsidRPr="00AD2F44" w:rsidRDefault="00F42107">
      <w:pPr>
        <w:pStyle w:val="14Footnote"/>
      </w:pPr>
      <w:r w:rsidRPr="00AD2F44">
        <w:rPr>
          <w:vertAlign w:val="superscript"/>
        </w:rPr>
        <w:footnoteRef/>
      </w:r>
      <w:r w:rsidRPr="00AD2F44">
        <w:rPr>
          <w:i/>
          <w:iCs/>
        </w:rPr>
        <w:t>See, e.g.,</w:t>
      </w:r>
    </w:p>
    <w:p w14:paraId="67279CC2" w14:textId="77777777" w:rsidR="00721CCF" w:rsidRPr="00AD2F44" w:rsidRDefault="00F42107">
      <w:pPr>
        <w:pStyle w:val="14Footnote"/>
      </w:pPr>
      <w:r w:rsidRPr="00AD2F44">
        <w:rPr>
          <w:i/>
          <w:iCs/>
        </w:rPr>
        <w:t>Second Circuit:</w:t>
      </w:r>
      <w:r w:rsidRPr="00AD2F44">
        <w:t xml:space="preserve"> Strauch v. Computer </w:t>
      </w:r>
      <w:r w:rsidRPr="00AD2F44">
        <w:t>Scis. Corp., 2015 WL 3727804, at *6 (D. Conn. June 9, 2015) (permitting a court-approved reminder notice to be sent via email and/or mail); Fengler v. Crouse Health Found., Inc., 2009 WL 2045161, at *1 (N.D.N.Y. July 1, 2009) (refusing to require plaintiffs’ counsel to provide advance copies of mass class communications to defense counsel before dissemination, but directing both sides to provide copies of mass class communications to opposing counsel contemporaneously with dissemination).</w:t>
      </w:r>
    </w:p>
    <w:p w14:paraId="75B5AB1F" w14:textId="77777777" w:rsidR="00721CCF" w:rsidRPr="00AD2F44" w:rsidRDefault="00F42107">
      <w:pPr>
        <w:pStyle w:val="14Footnote"/>
      </w:pPr>
      <w:r w:rsidRPr="00AD2F44">
        <w:rPr>
          <w:i/>
          <w:iCs/>
        </w:rPr>
        <w:t>Third Circuit:</w:t>
      </w:r>
      <w:r w:rsidRPr="00AD2F44">
        <w:t xml:space="preserve"> Camesi v. University of Pittsburgh Med. Ctr., 2009 WL 3719483 (W.D. Pa. Nov. 4, 2009) (refusing to enter sanctions, but requiring plaintiffs’ counsel to notify and confer with court and defendant’s counsel prior to issuing additional communications prior to status conference); Taylor v. Pittsburgh Mercy Health Sys., Inc., 2009 WL 3769409 (W.D. Pa. Nov. 10, 2009) (refusing to impose sanctions for same reasons as in </w:t>
      </w:r>
      <w:r w:rsidRPr="00AD2F44">
        <w:rPr>
          <w:i/>
          <w:iCs/>
        </w:rPr>
        <w:t>Camesi</w:t>
      </w:r>
      <w:r w:rsidRPr="00AD2F44">
        <w:t>—same defense and plaintiffs’ counsel and related business entities).</w:t>
      </w:r>
    </w:p>
    <w:p w14:paraId="5572ACA3" w14:textId="77777777" w:rsidR="00721CCF" w:rsidRPr="00AD2F44" w:rsidRDefault="00F42107">
      <w:pPr>
        <w:pStyle w:val="14Footnote"/>
      </w:pPr>
      <w:r w:rsidRPr="00AD2F44">
        <w:rPr>
          <w:i/>
          <w:iCs/>
        </w:rPr>
        <w:t>Fourth Circuit:</w:t>
      </w:r>
      <w:r w:rsidRPr="00AD2F44">
        <w:t xml:space="preserve"> Calderon v. GEICO Gen. Ins. Co., 2011 WL 98197, at *8 (D. Md. Jan. 12, 2011) (rejecting request by plaintiffs’ counsel for permission to send “reminder notices” to potential class members because it “has the potential to unnecessarily ‘stir up litigation’”); Byard v. Verizon W. Va., Inc., 287 F.R.D. 365, 373 (N.D.W. Va. 2012).</w:t>
      </w:r>
    </w:p>
    <w:p w14:paraId="2B55C41B" w14:textId="77777777" w:rsidR="00721CCF" w:rsidRPr="00AD2F44" w:rsidRDefault="00F42107">
      <w:pPr>
        <w:pStyle w:val="14Footnote"/>
      </w:pPr>
      <w:r w:rsidRPr="00AD2F44">
        <w:rPr>
          <w:i/>
          <w:iCs/>
        </w:rPr>
        <w:t>Fifth Circuit:</w:t>
      </w:r>
      <w:r w:rsidRPr="00AD2F44">
        <w:t xml:space="preserve"> Rodriguez v. Mechanical Tech. Servs., Inc., 2014 WL 1778915 (W.D. Tex. Apr. 17, 2014) (permitting the issuance of a supplemental notice in light of the fact that 66 of 312 notices had been marked as “undeliverable”); Spence v. Irving Holdings, Inc., 2010 WL 5609023, at *2–3 (N.D. Tex. Dec. 15, 2010) (requiring defendant to provide to plaintiffs list of putative class members given to third-party administrator, but requiring plaintiffs’ counsel to notify defendant of any individual or mass communication and give copy of it to defendants at least 14 days before sending, and allowing defendant up to 7 days after notification to object).</w:t>
      </w:r>
    </w:p>
    <w:p w14:paraId="1450FFF3" w14:textId="77777777" w:rsidR="00721CCF" w:rsidRPr="00AD2F44" w:rsidRDefault="00F42107">
      <w:pPr>
        <w:pStyle w:val="14Footnote"/>
      </w:pPr>
      <w:r w:rsidRPr="00AD2F44">
        <w:rPr>
          <w:i/>
          <w:iCs/>
        </w:rPr>
        <w:t xml:space="preserve">Sixth Circuit: </w:t>
      </w:r>
      <w:r w:rsidRPr="00AD2F44">
        <w:t>Kutzback v. LMS Intellibound LLC, 2014 WL 7187006 (W.D. Tenn. Dec. 16, 2014) (reminder postcard permitted).</w:t>
      </w:r>
    </w:p>
    <w:p w14:paraId="0277D357" w14:textId="77777777" w:rsidR="00721CCF" w:rsidRPr="00AD2F44" w:rsidRDefault="00F42107">
      <w:pPr>
        <w:pStyle w:val="14Footnote"/>
      </w:pPr>
      <w:r w:rsidRPr="00AD2F44">
        <w:rPr>
          <w:i/>
          <w:iCs/>
        </w:rPr>
        <w:t>Seventh Circuit:</w:t>
      </w:r>
      <w:r w:rsidRPr="00AD2F44">
        <w:t xml:space="preserve"> Howard v. Securitas Sec. Servs., USA Inc., 630 F. Supp. 2d 905 (N.D. Ill. 2009) (refusing to sanction plaintiffs’ counsel for website that allegedly conflicted with notice, but requiring that they review and modify contents of website to ensure factual accuracy).</w:t>
      </w:r>
    </w:p>
    <w:p w14:paraId="49F35DB6" w14:textId="77777777" w:rsidR="00721CCF" w:rsidRPr="00AD2F44" w:rsidRDefault="00F42107">
      <w:pPr>
        <w:pStyle w:val="14Footnote"/>
      </w:pPr>
      <w:r w:rsidRPr="00AD2F44">
        <w:rPr>
          <w:i/>
          <w:iCs/>
        </w:rPr>
        <w:t xml:space="preserve">Eighth Circuit: </w:t>
      </w:r>
      <w:r w:rsidRPr="00AD2F44">
        <w:t>Rhodes v. Truman Med. Ctr., Inc., 2014 WL 4722285 (W.D. Mo. Sept. 23, 2014) (permitting reminder notice by email).</w:t>
      </w:r>
    </w:p>
    <w:p w14:paraId="185EF64C" w14:textId="77777777" w:rsidR="00721CCF" w:rsidRPr="00AD2F44" w:rsidRDefault="00F42107">
      <w:pPr>
        <w:pStyle w:val="14Footnote"/>
      </w:pPr>
      <w:r w:rsidRPr="00AD2F44">
        <w:rPr>
          <w:i/>
          <w:iCs/>
        </w:rPr>
        <w:t>Ninth Circuit:</w:t>
      </w:r>
      <w:r w:rsidRPr="00AD2F44">
        <w:t xml:space="preserve"> Davis v. Social Serv. Coordinators, Inc., 2012 WL 5361746, at *26–27 (E.D. Cal. Oct. 30, 2012), </w:t>
      </w:r>
      <w:r w:rsidRPr="00AD2F44">
        <w:rPr>
          <w:i/>
          <w:iCs/>
        </w:rPr>
        <w:t>report and recommendation adopted as modified</w:t>
      </w:r>
      <w:r w:rsidRPr="00AD2F44">
        <w:t>, 2012 WL 5838825, at *4–6 (E.D. Cal. Nov. 15, 2012) (prohibiting plaintiffs’ counsel from initiating contact with members of putative class during 60-day notice period, although they could respond to inquiries from putative class members); Madrid v. Peak Constr., Inc., 2009 WL 3710719, at *2 (D. Ariz. Nov. 2, 2009) (reiterating earlier order that prohibited either party from “any affirmative contact with potential collective action members beyond the approved notice”).</w:t>
      </w:r>
    </w:p>
    <w:p w14:paraId="0E1B90A9" w14:textId="4287F8A2" w:rsidR="00721CCF" w:rsidRPr="00AD2F44" w:rsidRDefault="00F42107">
      <w:pPr>
        <w:pStyle w:val="14Footnote"/>
      </w:pPr>
      <w:r w:rsidRPr="00AD2F44">
        <w:rPr>
          <w:i/>
          <w:iCs/>
        </w:rPr>
        <w:t>But see</w:t>
      </w:r>
      <w:r w:rsidRPr="00AD2F44">
        <w:t xml:space="preserve"> Garcia v. TWC Admin., LLC, 2015 WL 1737932, at *6 (W.D. Tex. Apr. 16, 2015) (denying plaintiff’s request to send reminder notice).</w:t>
      </w:r>
    </w:p>
  </w:footnote>
  <w:footnote w:id="316">
    <w:p w14:paraId="52896F12" w14:textId="77777777" w:rsidR="00721CCF" w:rsidRPr="00AD2F44" w:rsidRDefault="00F42107">
      <w:pPr>
        <w:pStyle w:val="14Footnote"/>
      </w:pPr>
      <w:r w:rsidRPr="00AD2F44">
        <w:rPr>
          <w:vertAlign w:val="superscript"/>
        </w:rPr>
        <w:footnoteRef/>
      </w:r>
      <w:r w:rsidRPr="00AD2F44">
        <w:rPr>
          <w:i/>
          <w:iCs/>
        </w:rPr>
        <w:t>See, e.g.,</w:t>
      </w:r>
      <w:r w:rsidRPr="00AD2F44">
        <w:t xml:space="preserve"> Espenscheid v. Direct</w:t>
      </w:r>
      <w:r w:rsidRPr="00AD2F44">
        <w:rPr>
          <w:caps/>
        </w:rPr>
        <w:t>sat</w:t>
      </w:r>
      <w:r w:rsidRPr="00AD2F44">
        <w:t xml:space="preserve"> USA, LLC, 2010 WL 2330309, at *5 (W.D. Wis. June 7, 2010) (allowing plaintiffs’ counsel to contact putative class members during opt-in period, to investigate potential state law Rule 23 claims, but not to encourage opting into FLSA case).</w:t>
      </w:r>
    </w:p>
  </w:footnote>
  <w:footnote w:id="317">
    <w:p w14:paraId="7D76F0E8" w14:textId="77777777" w:rsidR="00721CCF" w:rsidRPr="00AD2F44" w:rsidRDefault="00F42107">
      <w:pPr>
        <w:pStyle w:val="14Footnote"/>
      </w:pPr>
      <w:r w:rsidRPr="00AD2F44">
        <w:rPr>
          <w:vertAlign w:val="superscript"/>
        </w:rPr>
        <w:footnoteRef/>
      </w:r>
      <w:r w:rsidRPr="00AD2F44">
        <w:rPr>
          <w:i/>
          <w:iCs/>
        </w:rPr>
        <w:t>See, e.g.,</w:t>
      </w:r>
      <w:r w:rsidRPr="00AD2F44">
        <w:t xml:space="preserve"> Jackson v. Bloomberg, L.P., 2015 WL 1822695 (S.D.N.Y. Apr. 22, 2015) (rejecting defendant’s request to contact seven class members as improper ex parte communications); Parks v. Eastwood Ins. Serv., Inc., 235 F. Supp. 2d 1082, 1083 (C.D. Cal. 2002) (“The restrictions on defendant communication with class action or representative action plaintiffs arise from the existence of an attorney-client relationship. A lawyer is forbidden from communicating with a party the lawyer knows to be represented by counsel, regarding the subject of the representation, without counsel’s consent.”); </w:t>
      </w:r>
      <w:r w:rsidRPr="00AD2F44">
        <w:rPr>
          <w:i/>
          <w:iCs/>
        </w:rPr>
        <w:t>see also</w:t>
      </w:r>
      <w:r w:rsidRPr="00AD2F44">
        <w:t xml:space="preserve"> Kleiner v. First </w:t>
      </w:r>
      <w:r w:rsidRPr="00AD2F44">
        <w:t xml:space="preserve">Nat’l Bank of Atlanta, 751 F.2d 1193, 1207 n.28 (11th Cir. 1985) (stating, in the context of a Rule 23(b)(3) class action, that “class counsel represents all class members as soon as a class is certified”) (citing Van Gemert v. Boeing Co., 590 F.2d 433, 440 n.15 (2d Cir. 1978), </w:t>
      </w:r>
      <w:r w:rsidRPr="00AD2F44">
        <w:rPr>
          <w:i/>
          <w:iCs/>
        </w:rPr>
        <w:t>aff’d</w:t>
      </w:r>
      <w:r w:rsidRPr="00AD2F44">
        <w:t xml:space="preserve">, 444 U.S. 472 (1980)). </w:t>
      </w:r>
      <w:r w:rsidRPr="00AD2F44">
        <w:rPr>
          <w:i/>
          <w:iCs/>
        </w:rPr>
        <w:t xml:space="preserve">But see </w:t>
      </w:r>
      <w:r w:rsidRPr="00AD2F44">
        <w:t>Morisky v. Public Serv. Elec. &amp; Gas Co., 191 F.R.D. 419, 424 (D.N.J. 2000) (holding that employees who had filed notices seeking to join an FLSA collective action prior to conditional certification of the collective action were not clients of the named plaintiffs’ counsel for the purpose of invoking the attorney-client privilege) (citing Penk v. Oregon State Bd. of Higher Educ., 99 F.R.D. 511, 516 (D. Or. 1983)).</w:t>
      </w:r>
    </w:p>
  </w:footnote>
  <w:footnote w:id="318">
    <w:p w14:paraId="5704FFA6" w14:textId="77777777" w:rsidR="00721CCF" w:rsidRPr="00AD2F44" w:rsidRDefault="00F42107">
      <w:pPr>
        <w:pStyle w:val="14Footnote"/>
      </w:pPr>
      <w:r w:rsidRPr="00AD2F44">
        <w:rPr>
          <w:vertAlign w:val="superscript"/>
        </w:rPr>
        <w:footnoteRef/>
      </w:r>
      <w:r w:rsidRPr="00AD2F44">
        <w:rPr>
          <w:i/>
          <w:iCs/>
        </w:rPr>
        <w:t>See, e.g.,</w:t>
      </w:r>
      <w:r w:rsidRPr="00AD2F44">
        <w:t xml:space="preserve"> </w:t>
      </w:r>
      <w:r w:rsidRPr="00AD2F44">
        <w:rPr>
          <w:i/>
          <w:iCs/>
        </w:rPr>
        <w:t>Parks</w:t>
      </w:r>
      <w:r w:rsidRPr="00AD2F44">
        <w:t>, 235 F. Supp. 2d at 1083 (“Until they ‘opt-in,’ prospective §216(b) plaintiffs are not yet parties to the action, they have no attorney, and no attorney-client relation is yet in issue.”).</w:t>
      </w:r>
    </w:p>
  </w:footnote>
  <w:footnote w:id="319">
    <w:p w14:paraId="75D05772" w14:textId="77777777" w:rsidR="00721CCF" w:rsidRPr="00AD2F44" w:rsidRDefault="00F42107">
      <w:pPr>
        <w:pStyle w:val="14Footnote"/>
      </w:pPr>
      <w:r w:rsidRPr="00AD2F44">
        <w:rPr>
          <w:vertAlign w:val="superscript"/>
        </w:rPr>
        <w:footnoteRef/>
      </w:r>
      <w:r w:rsidRPr="00AD2F44">
        <w:t xml:space="preserve">Gulf Oil Co. v. Bernard, 452 U.S. 89 (1981). </w:t>
      </w:r>
    </w:p>
  </w:footnote>
  <w:footnote w:id="320">
    <w:p w14:paraId="54B7AFF1" w14:textId="77777777" w:rsidR="00721CCF" w:rsidRPr="00AD2F44" w:rsidRDefault="00F42107">
      <w:pPr>
        <w:pStyle w:val="14Footnote"/>
      </w:pPr>
      <w:r w:rsidRPr="00AD2F44">
        <w:rPr>
          <w:vertAlign w:val="superscript"/>
        </w:rPr>
        <w:footnoteRef/>
      </w:r>
      <w:r w:rsidRPr="00AD2F44">
        <w:rPr>
          <w:i/>
        </w:rPr>
        <w:t xml:space="preserve">See, e.g., </w:t>
      </w:r>
    </w:p>
    <w:p w14:paraId="25E59063" w14:textId="77777777" w:rsidR="00721CCF" w:rsidRPr="00AD2F44" w:rsidRDefault="00F42107">
      <w:pPr>
        <w:pStyle w:val="14Footnote"/>
      </w:pPr>
      <w:r w:rsidRPr="00AD2F44">
        <w:rPr>
          <w:i/>
          <w:iCs/>
        </w:rPr>
        <w:t>Third Circuit:</w:t>
      </w:r>
      <w:r w:rsidRPr="00AD2F44">
        <w:t xml:space="preserve"> </w:t>
      </w:r>
      <w:r w:rsidRPr="00AD2F44">
        <w:t xml:space="preserve">Bobryk v. Durand Glass Mfg. Co., Inc., 2013 WL 5574504, at *8 (D.N.J. Oct. 9, 2013) (refusing to limit further precertification communications between defense counsel and unrepresented putative class members “[i]n the absence of a clear record that defense counsel misrepresented facts about the plaintiffs’ action, discouraged participation in the suit, or undermined the putative class members’ confidence in, or cooperation with plaintiffs’ counsel”). </w:t>
      </w:r>
      <w:r w:rsidRPr="00AD2F44">
        <w:rPr>
          <w:i/>
          <w:iCs/>
        </w:rPr>
        <w:t>Cf</w:t>
      </w:r>
      <w:r w:rsidRPr="00AD2F44">
        <w:t xml:space="preserve">. Smith v. Merck &amp; Co., Inc., 2016 WL 1690087, at *6–7 (D.N.J. Apr. 27, 2016) (denying motion for corrective notice in Equal Pay Act collective action based on defendant’s policy for employees on interacting with government officials and other third parties about investigations, reasoning that policy related to company products, policy had been in place long before litigation, and plaintiffs failed to show that it was form of abusive communication under </w:t>
      </w:r>
      <w:r w:rsidRPr="00AD2F44">
        <w:rPr>
          <w:i/>
          <w:iCs/>
        </w:rPr>
        <w:t>Gulf Oil</w:t>
      </w:r>
      <w:r w:rsidRPr="00AD2F44">
        <w:t>; plaintiffs’ belief that they or others may have been dissuaded from speaking with plaintiffs’ counsel about collective action was insufficient).</w:t>
      </w:r>
    </w:p>
    <w:p w14:paraId="72E0E5A7" w14:textId="77777777" w:rsidR="00721CCF" w:rsidRPr="00AD2F44" w:rsidRDefault="00F42107">
      <w:pPr>
        <w:pStyle w:val="14Footnote"/>
      </w:pPr>
      <w:r w:rsidRPr="00AD2F44">
        <w:rPr>
          <w:i/>
          <w:iCs/>
        </w:rPr>
        <w:t>Fourth Circuit:</w:t>
      </w:r>
      <w:r w:rsidRPr="00AD2F44">
        <w:t xml:space="preserve"> Solais v. Vesuvio’s II Pizza &amp; Grill, Inc., 2016 WL 1057038, at *4–5 (M.D.N.C. Mar. 14, 2016) (denying plaintiffs’ motion for protective order based on alleged threats against plaintiffs, finding that assertions were sufficiently disputed, unverified, or inadmissible and, thus, there was not “‘clear record’ of specific abuse” needed for order limiting communications); Jones v. Hoffberger Moving Servs. LLC, 2013 WL 5972145, at *3 (D. Md. Nov. 8, 2013) (finding that “the inherently coercive nature of the employer-employee relationship, by itself, [was] insufficient to demonstrate that a communication was improper”).</w:t>
      </w:r>
    </w:p>
    <w:p w14:paraId="38D720A5" w14:textId="14B97272" w:rsidR="00721CCF" w:rsidRPr="00AD2F44" w:rsidRDefault="00F42107">
      <w:pPr>
        <w:pStyle w:val="14Footnote"/>
      </w:pPr>
      <w:r w:rsidRPr="00AD2F44">
        <w:rPr>
          <w:i/>
          <w:iCs/>
        </w:rPr>
        <w:t>Fifth Circuit:</w:t>
      </w:r>
      <w:r w:rsidRPr="00AD2F44">
        <w:t xml:space="preserve"> Kalenga v. Irving Holdings, Inc., 2020 WL 7496208 (N.D. Tex. Dec. 20, 2020) (denying plaintiffs’ motion for protective order, holding defendant’s implementation of arbitration agreement policy shortly after lawsuit filing was not sufficient basis for restricting defendant’s speech); Garcia v. TWC Admin., LLC, 2015 WL 1737932, at *4 (W.D. Tex. Apr. 16, 2015) (finding plaintiffs’ speculation of wrongdoing insufficient).</w:t>
      </w:r>
    </w:p>
    <w:p w14:paraId="300C1FDA" w14:textId="77777777" w:rsidR="00721CCF" w:rsidRPr="00AD2F44" w:rsidRDefault="00F42107">
      <w:pPr>
        <w:pStyle w:val="14Footnote"/>
      </w:pPr>
      <w:r w:rsidRPr="00AD2F44">
        <w:rPr>
          <w:i/>
          <w:iCs/>
        </w:rPr>
        <w:t>Sixth Circuit:</w:t>
      </w:r>
      <w:r w:rsidRPr="00AD2F44">
        <w:t xml:space="preserve"> Jackson v. Papa John’s USA, Inc., 2009 WL 650181, at *2 (N.D. Ohio Mar. 10, 2009) (denying plaintiff’s motion for a protective order, which would have prevented defendant from communicating with putative collective action members during the notice period, where there was no evidence that the six precertification interviews that the defendant employer conducted were coercive, misleading, or improper).</w:t>
      </w:r>
    </w:p>
    <w:p w14:paraId="5C2EB3BA" w14:textId="77777777" w:rsidR="00721CCF" w:rsidRPr="00AD2F44" w:rsidRDefault="00F42107">
      <w:pPr>
        <w:pStyle w:val="14Footnote"/>
      </w:pPr>
      <w:r w:rsidRPr="00AD2F44">
        <w:rPr>
          <w:i/>
          <w:iCs/>
        </w:rPr>
        <w:t>Seventh Circuit:</w:t>
      </w:r>
      <w:r w:rsidRPr="00AD2F44">
        <w:t xml:space="preserve"> Jonites v. Exelon Corp., 2006 WL 2873198, at *7 (N.D. Ill. Oct. 4, 2006) (declining to grant protective order barring defendants from contacting putative class and/or collective action members where plaintiffs failed to present facts indicating need for such a limitation); Flores v. Lifeway Foods, Inc., 289 F. Supp. 2d 1042, 1047 (N.D. Ill. 2003) (holding that an order that bars or limits communications between a party and putative collective action members must be based on a clear record and weigh the need for limitation with potential interference with the rights of the parties, and that plaintiffs had not demonstrated clear record and specific findings necessary to limit defendant’s communications).</w:t>
      </w:r>
    </w:p>
    <w:p w14:paraId="06B1D5FE" w14:textId="77777777" w:rsidR="00721CCF" w:rsidRPr="00AD2F44" w:rsidRDefault="00F42107">
      <w:pPr>
        <w:pStyle w:val="14Footnote"/>
      </w:pPr>
      <w:r w:rsidRPr="00AD2F44">
        <w:rPr>
          <w:i/>
          <w:iCs/>
        </w:rPr>
        <w:t xml:space="preserve">Ninth Circuit: </w:t>
      </w:r>
      <w:r w:rsidRPr="00AD2F44">
        <w:t>Talamantes v. PPG Indus., Inc., 2014 WL 4145405 (N.D. Cal. Aug. 21, 2014) (agreement that stipulated notice would be only communication during opt-in period was not violated by pre–opt-in period communication sent by defendant to employees regarding case).</w:t>
      </w:r>
    </w:p>
    <w:p w14:paraId="6F6B2891" w14:textId="5A131ED8" w:rsidR="00721CCF" w:rsidRPr="00AD2F44" w:rsidRDefault="00F42107">
      <w:pPr>
        <w:pStyle w:val="14Footnote"/>
      </w:pPr>
      <w:r w:rsidRPr="00AD2F44">
        <w:rPr>
          <w:i/>
          <w:iCs/>
        </w:rPr>
        <w:t>Eleventh Circuit:</w:t>
      </w:r>
      <w:r w:rsidRPr="00AD2F44">
        <w:t xml:space="preserve"> Palma v. Metro PCS Wireless, Inc., 2013 WL 5179989, at *2 (M.D. Fla. Sept. 13, 2013) (finding plaintiff’s evidence of impropriety to be “scant” and noting the employer-provided evidence that allegedly FLSA compliant procedures had been used in communicating with prospective class members).</w:t>
      </w:r>
    </w:p>
  </w:footnote>
  <w:footnote w:id="321">
    <w:p w14:paraId="7D0044D3" w14:textId="77777777" w:rsidR="00721CCF" w:rsidRPr="00AD2F44" w:rsidRDefault="00F42107">
      <w:pPr>
        <w:pStyle w:val="14Footnote"/>
        <w:rPr>
          <w:i/>
          <w:iCs/>
        </w:rPr>
      </w:pPr>
      <w:r w:rsidRPr="00AD2F44">
        <w:rPr>
          <w:vertAlign w:val="superscript"/>
        </w:rPr>
        <w:footnoteRef/>
      </w:r>
      <w:r w:rsidRPr="00AD2F44">
        <w:rPr>
          <w:i/>
          <w:iCs/>
        </w:rPr>
        <w:t>See</w:t>
      </w:r>
    </w:p>
    <w:p w14:paraId="0E5D4020" w14:textId="1ED178D3" w:rsidR="00721CCF" w:rsidRPr="00AD2F44" w:rsidRDefault="00F42107">
      <w:pPr>
        <w:pStyle w:val="14Footnote"/>
      </w:pPr>
      <w:r w:rsidRPr="00AD2F44">
        <w:rPr>
          <w:i/>
          <w:iCs/>
        </w:rPr>
        <w:t>Third Circuit:</w:t>
      </w:r>
      <w:r w:rsidRPr="00AD2F44">
        <w:rPr>
          <w:rFonts w:ascii="Arial" w:hAnsi="Arial" w:cs="Arial"/>
          <w:color w:val="000000"/>
          <w:sz w:val="24"/>
        </w:rPr>
        <w:t xml:space="preserve"> </w:t>
      </w:r>
      <w:r w:rsidRPr="00AD2F44">
        <w:t xml:space="preserve">Jones v. Giant Eagle, Inc., 2020 BL 361237, 2020 WL 5642276 (W.D. Pa. Sept. 22, 2020) (granting plaintiffs’ protective order and requiring curative notice after defendant required existing employees to fill out form regarding whether they agreed their job position was properly classified as salaried and exempt). </w:t>
      </w:r>
    </w:p>
    <w:p w14:paraId="2A71CDA3" w14:textId="27FFF36A" w:rsidR="00721CCF" w:rsidRPr="00AD2F44" w:rsidRDefault="00F42107">
      <w:pPr>
        <w:pStyle w:val="14Footnote"/>
      </w:pPr>
      <w:r w:rsidRPr="00AD2F44">
        <w:rPr>
          <w:i/>
          <w:iCs/>
        </w:rPr>
        <w:t xml:space="preserve">Fifth Circuit: </w:t>
      </w:r>
      <w:r w:rsidRPr="00AD2F44">
        <w:t>Velazquez v. FPS LP, 2014 BL 122952, 2014 WL 1758214 (S.D. Tex. Apr. 28, 2014) (request for direct communications with potential plaintiffs denied where plaintiffs submitted declarations regarding intimidation, threats, and coercion regarding their participation in the class).</w:t>
      </w:r>
    </w:p>
    <w:p w14:paraId="6AEAC107" w14:textId="0B16E99E" w:rsidR="00721CCF" w:rsidRPr="00AD2F44" w:rsidRDefault="00F42107">
      <w:pPr>
        <w:pStyle w:val="14Footnote"/>
      </w:pPr>
      <w:r w:rsidRPr="00AD2F44">
        <w:rPr>
          <w:i/>
          <w:iCs/>
        </w:rPr>
        <w:t>Eighth Circuit</w:t>
      </w:r>
      <w:r w:rsidRPr="00AD2F44">
        <w:t xml:space="preserve">: Grove v. </w:t>
      </w:r>
      <w:r w:rsidRPr="00AD2F44">
        <w:t>Meltech, Inc., 2020 BL 471906,</w:t>
      </w:r>
      <w:r w:rsidRPr="00AD2F44">
        <w:rPr>
          <w:rFonts w:ascii="Arial" w:eastAsia="Cambria" w:hAnsi="Arial" w:cs="Arial"/>
          <w:sz w:val="24"/>
          <w:szCs w:val="20"/>
        </w:rPr>
        <w:t xml:space="preserve"> </w:t>
      </w:r>
      <w:r w:rsidRPr="00AD2F44">
        <w:t xml:space="preserve">2020 WL 7126554 (D. Neb. Dec. 3, 2020) (granting plaintiffs’ motion for preliminary injunction, finding defendant’s threats of termination and legal claims were retaliatory and had chilling effect). </w:t>
      </w:r>
    </w:p>
    <w:p w14:paraId="4AFC0914" w14:textId="77777777" w:rsidR="00721CCF" w:rsidRPr="00AD2F44" w:rsidRDefault="00F42107">
      <w:pPr>
        <w:pStyle w:val="14Footnote"/>
      </w:pPr>
      <w:r w:rsidRPr="00AD2F44">
        <w:rPr>
          <w:i/>
          <w:iCs/>
        </w:rPr>
        <w:t xml:space="preserve">Ninth Circuit: </w:t>
      </w:r>
      <w:r w:rsidRPr="00AD2F44">
        <w:t>Perez Gutierrez v. Mariscos El Puerto, Inc., 2019 WL 6050727 (D. Nev. Nov. 15, 2019) (issuing temporary restraining order against defendants who allegedly made physical and economic threats against plaintiffs and cut their hours and wages after filing their complaint).</w:t>
      </w:r>
    </w:p>
    <w:p w14:paraId="41F50E85" w14:textId="32B063BB" w:rsidR="00721CCF" w:rsidRPr="00AD2F44" w:rsidRDefault="00F42107">
      <w:pPr>
        <w:pStyle w:val="14Footnote"/>
      </w:pPr>
      <w:r w:rsidRPr="00AD2F44">
        <w:rPr>
          <w:i/>
          <w:iCs/>
        </w:rPr>
        <w:t>Tenth Circuit</w:t>
      </w:r>
      <w:r w:rsidRPr="00AD2F44">
        <w:t xml:space="preserve">: Felps v. Mewbourne Oil Co., Inc., 2020 BL 263610, 2020 WL 4001869 (D.N.M. July 15, 2020) (granting plaintiff’s motion for corrective notice, finding proposal of settlement in letter by defendant to its employees prior to conditional certification was misleading, including about what claims existed in lawsuit and what claims would be released, failing to suggest consultation with any counsel or providing information about plaintiff’s counsel who could be consulted, and that letter and how it was delivered was implicitly coercive to current employees). </w:t>
      </w:r>
    </w:p>
    <w:p w14:paraId="713ADE61" w14:textId="33EEBDC0" w:rsidR="00721CCF" w:rsidRPr="00AD2F44" w:rsidRDefault="00F42107">
      <w:pPr>
        <w:pStyle w:val="14Footnote"/>
      </w:pPr>
      <w:r w:rsidRPr="00AD2F44">
        <w:rPr>
          <w:i/>
          <w:iCs/>
        </w:rPr>
        <w:t xml:space="preserve">Eleventh Circuit: </w:t>
      </w:r>
      <w:r w:rsidRPr="00AD2F44">
        <w:t>Ojeda-Sanchez v. Bland Farms, 600 F. Supp. 2d 1373 (S.D. Ga. 2009) (communications prohibited where defendants coerced potential plaintiffs by visiting them in person and taking a picture of a family member).</w:t>
      </w:r>
    </w:p>
  </w:footnote>
  <w:footnote w:id="322">
    <w:p w14:paraId="7A7215D0" w14:textId="77777777" w:rsidR="00721CCF" w:rsidRPr="00AD2F44" w:rsidRDefault="00F42107">
      <w:pPr>
        <w:pStyle w:val="14Footnote"/>
      </w:pPr>
      <w:r w:rsidRPr="00AD2F44">
        <w:rPr>
          <w:vertAlign w:val="superscript"/>
        </w:rPr>
        <w:footnoteRef/>
      </w:r>
      <w:r w:rsidRPr="00AD2F44">
        <w:rPr>
          <w:i/>
          <w:iCs/>
        </w:rPr>
        <w:t>See, e.g.,</w:t>
      </w:r>
    </w:p>
    <w:p w14:paraId="05BBC008" w14:textId="77777777" w:rsidR="00721CCF" w:rsidRPr="00AD2F44" w:rsidRDefault="00F42107">
      <w:pPr>
        <w:pStyle w:val="14Footnote"/>
      </w:pPr>
      <w:r w:rsidRPr="00AD2F44">
        <w:rPr>
          <w:i/>
          <w:iCs/>
        </w:rPr>
        <w:t>Second Circuit:</w:t>
      </w:r>
      <w:r w:rsidRPr="00AD2F44">
        <w:t xml:space="preserve"> </w:t>
      </w:r>
      <w:r w:rsidRPr="00AD2F44">
        <w:t>Agerbrink v. Model Serv. LLC,</w:t>
      </w:r>
      <w:r w:rsidRPr="00AD2F44">
        <w:rPr>
          <w:i/>
          <w:iCs/>
        </w:rPr>
        <w:t xml:space="preserve"> </w:t>
      </w:r>
      <w:r w:rsidRPr="00AD2F44">
        <w:t>2015 WL 6473005, at *11 (S.D.N.Y. Oct. 27, 2015) (granting motion for corrective notice, based on precertification email from chief operating officer (COO) to putative class members, because court found that email, as a whole, could chill participation, given description of plaintiff’s counsel as only fee driven, implication that selecting plaintiff’s counsel could lead to discovery against class member, and skewed discussion of tax treatment and independent contractor obligations, along with fact that putative class members looked to defendant for “guidance” and were “economically dependent” on it); Bowens v. Atlantic Maint. Corp., 546 F. Supp. 2d 55, 90 (E.D.N.Y. 2008) (finding that defendant’s post-certification communications with potential opt-in class members without providing notice to plaintiffs’ counsel would be improper).</w:t>
      </w:r>
    </w:p>
    <w:p w14:paraId="0EC2A2F0" w14:textId="77777777" w:rsidR="00721CCF" w:rsidRPr="00AD2F44" w:rsidRDefault="00F42107">
      <w:pPr>
        <w:pStyle w:val="14Footnote"/>
      </w:pPr>
      <w:r w:rsidRPr="00AD2F44">
        <w:rPr>
          <w:i/>
          <w:iCs/>
        </w:rPr>
        <w:t>Fifth Circuit:</w:t>
      </w:r>
      <w:r w:rsidRPr="00AD2F44">
        <w:t xml:space="preserve"> Pacheco v. Aldeeb, 127 F. Supp. 3d 694, 698 (W.D. Tex. 2015) (granting motion to enjoin defendants from contacting class members because there was “ample evidence that Defendants have improperly discouraged their employees from joining this suit, and have further attempted to use their influence as employers to force plaintiffs who have joined to the suit to drop their claims,” including withholding paychecks, offering raises, seeking signatures on agreement stating that employees had been paid fully, and insisting that employees bring disputes to defendants before seeking counsel); Castillo v. Hernandez, 2011 WL 1528762 (W.D. Tex. Apr. 20, 2011) (prohibiting defendant from contacting employees to obtain Social Security numbers or taxpayer identification numbers as that information implicated the employees’ immigration status, which was not discoverable in an FLSA case).</w:t>
      </w:r>
    </w:p>
    <w:p w14:paraId="5BF19539" w14:textId="77777777" w:rsidR="00721CCF" w:rsidRPr="00AD2F44" w:rsidRDefault="00F42107">
      <w:pPr>
        <w:pStyle w:val="14Footnote"/>
      </w:pPr>
      <w:r w:rsidRPr="00AD2F44">
        <w:rPr>
          <w:i/>
          <w:iCs/>
        </w:rPr>
        <w:t>Sixth Circuit:</w:t>
      </w:r>
      <w:r w:rsidRPr="00AD2F44">
        <w:t xml:space="preserve"> Crosby v. Stage Stores, Inc., 377 F. Supp. 3d 882 (M.D. Tenn. 2019) (refusing to sanction defendant based on plaintiff’s counsel’s declaration stating that four employees reported being intimidated by their employer, and thus did not opt in, where plaintiff’s counsel’s declaration lacked foundation and was based on hearsay); Lee v. GAB Telecom, Inc., 2013 WL 4041875 (E.D. Mich. Aug. 8, 2013) (extending the deadline to submit consent forms through the end of discovery based on the defendant’s direct and improper contact with putative class members).</w:t>
      </w:r>
    </w:p>
    <w:p w14:paraId="5DF682D9" w14:textId="77777777" w:rsidR="00721CCF" w:rsidRPr="00AD2F44" w:rsidRDefault="00F42107">
      <w:pPr>
        <w:pStyle w:val="14Footnote"/>
      </w:pPr>
      <w:r w:rsidRPr="00AD2F44">
        <w:rPr>
          <w:i/>
          <w:iCs/>
        </w:rPr>
        <w:t>Seventh Circuit:</w:t>
      </w:r>
      <w:r w:rsidRPr="00AD2F44">
        <w:t xml:space="preserve"> Taillon v. Kohler Rental Power, Inc., 2003 WL 2006593, at *4 (N.D. Ill. Apr. 29, 2003) (“An order limiting Defendant’s communication with class members regarding this action will cause Defendant no harm and generally promote a fair notification procedure.”).</w:t>
      </w:r>
    </w:p>
    <w:p w14:paraId="5506A230" w14:textId="77777777" w:rsidR="00721CCF" w:rsidRPr="00AD2F44" w:rsidRDefault="00F42107">
      <w:pPr>
        <w:pStyle w:val="14Footnote"/>
      </w:pPr>
      <w:r w:rsidRPr="00AD2F44">
        <w:rPr>
          <w:i/>
          <w:iCs/>
        </w:rPr>
        <w:t>Eighth Circuit:</w:t>
      </w:r>
      <w:r w:rsidRPr="00AD2F44">
        <w:t xml:space="preserve"> Ahle v. Veracity Rsch. Co., 663 F. Supp. 2d 713, 717–18 (D. Minn. 2009) (rejecting defendant’s request to send memorandum to opt-ins reminding them of their obligations regarding confidential and trade secret information, because it risked chilling their rights to access courts and to consult with counsel, but, recognizing that defendant had right to communicate with its employees about confidential information, authorizing defendant to issue such memorandum to all employees, not just opt-ins).</w:t>
      </w:r>
    </w:p>
    <w:p w14:paraId="7A88DFBB" w14:textId="00F37ADC" w:rsidR="00721CCF" w:rsidRPr="00AD2F44" w:rsidRDefault="00F42107">
      <w:pPr>
        <w:pStyle w:val="14Footnote"/>
      </w:pPr>
      <w:r w:rsidRPr="00AD2F44">
        <w:rPr>
          <w:i/>
          <w:iCs/>
        </w:rPr>
        <w:t>Ninth Circuit:</w:t>
      </w:r>
      <w:r w:rsidRPr="00AD2F44">
        <w:t xml:space="preserve"> Madrid v. Peak Constr., Inc., 2009 WL 3710719, at *2 (D. Ariz. Nov. 2, 2009) (reiterating earlier order that prohibited either party from “any affirmative contact with potential collective action members beyond the approved notice”); Parks v. Eastwood Ins. Serv., Inc., 235 F. Supp. 2d 1082, 1083 (C.D. Cal. 2002) (observing that, after a court authorizes a notice in a collective action under §216(b), “the Court has an interest that no defense communication undermine or contradict the Court’s own notice”).</w:t>
      </w:r>
    </w:p>
  </w:footnote>
  <w:footnote w:id="323">
    <w:p w14:paraId="6FFBF008" w14:textId="77777777" w:rsidR="00721CCF" w:rsidRPr="00AD2F44" w:rsidRDefault="00F42107">
      <w:pPr>
        <w:pStyle w:val="14Footnote"/>
      </w:pPr>
      <w:r w:rsidRPr="00AD2F44">
        <w:rPr>
          <w:vertAlign w:val="superscript"/>
        </w:rPr>
        <w:footnoteRef/>
      </w:r>
      <w:r w:rsidRPr="00AD2F44">
        <w:rPr>
          <w:i/>
          <w:iCs/>
        </w:rPr>
        <w:t>See, e.g.,</w:t>
      </w:r>
    </w:p>
    <w:p w14:paraId="2F3460B6" w14:textId="77777777" w:rsidR="00721CCF" w:rsidRPr="00AD2F44" w:rsidRDefault="00F42107">
      <w:pPr>
        <w:pStyle w:val="14Footnote"/>
      </w:pPr>
      <w:r w:rsidRPr="00AD2F44">
        <w:rPr>
          <w:i/>
          <w:iCs/>
        </w:rPr>
        <w:t>Fourth Circuit:</w:t>
      </w:r>
      <w:r w:rsidRPr="00AD2F44">
        <w:t xml:space="preserve"> Ross v. Wolf Fire Prot., Inc., 799 F. Supp. 2d 518, 526–27 (D. Md.</w:t>
      </w:r>
      <w:r w:rsidRPr="00AD2F44">
        <w:t xml:space="preserve"> 2011) (refusing to strike affidavits gathered by defendant’s counsel from employees in a post-suit-filing meeting held in the company parking lot with the company president, reasoning that defendant’s communications were not a “‘blatant attempt’ to subvert the class action process” or demonstrative of the “bad faith” necessary to strike the affidavits, where the employees were informed that their participation was voluntary and given the express instruction to ensure the information was accurate; however, the court found it “troubling” that defendant’s counsel did not advise the employees that their statements might preclude their joining the action or that she did not represent them).</w:t>
      </w:r>
    </w:p>
    <w:p w14:paraId="076EFF10" w14:textId="77777777" w:rsidR="00721CCF" w:rsidRPr="00AD2F44" w:rsidRDefault="00F42107">
      <w:pPr>
        <w:pStyle w:val="14Footnote"/>
      </w:pPr>
      <w:r w:rsidRPr="00AD2F44">
        <w:rPr>
          <w:i/>
          <w:iCs/>
        </w:rPr>
        <w:t>Sixth Circuit:</w:t>
      </w:r>
      <w:r w:rsidRPr="00AD2F44">
        <w:t xml:space="preserve"> Snide v. Discount Drug Mart, Inc., 2011 WL 5434016, at *9–11 (N.D. Ohio Oct. 7, 2011) (denying motion for protective order where plaintiff submitted an affidavit from an employee claiming she was misled because the attorney and company representative referred to questions they asked her as a “survey” and did not disclose the existence of a lawsuit, but defendant submitted evidence that it conducted the interviews to obtain facts about the lawsuit and disclosed the nature of the interviews).</w:t>
      </w:r>
    </w:p>
    <w:p w14:paraId="483BAD3A" w14:textId="77777777" w:rsidR="00721CCF" w:rsidRDefault="00F42107">
      <w:pPr>
        <w:pStyle w:val="14Footnote"/>
      </w:pPr>
      <w:r w:rsidRPr="00AD2F44">
        <w:rPr>
          <w:i/>
          <w:iCs/>
        </w:rPr>
        <w:t>Seventh Circuit:</w:t>
      </w:r>
      <w:r w:rsidRPr="00AD2F44">
        <w:t xml:space="preserve"> Dominguez v. Don Pedro Rest., 2007 WL 1650289, at *2–3 (N.D. Ind. 2007) (concluding that defendant’s actions in obtaining declarations were legitimate attempts to gather evidence showing that no FLSA violation had occurred, and there was no evidence that defendant had discouraged participation in the lawsuit; the fact of the employer-employee relationship was not sufficient to find coercion).</w:t>
      </w:r>
    </w:p>
    <w:p w14:paraId="42E67008" w14:textId="3FEEEB63" w:rsidR="00721CCF" w:rsidRPr="00860921" w:rsidRDefault="00F42107">
      <w:pPr>
        <w:pStyle w:val="14Footnote"/>
      </w:pPr>
      <w:r>
        <w:rPr>
          <w:i/>
          <w:iCs/>
        </w:rPr>
        <w:t>Ninth Circuit</w:t>
      </w:r>
      <w:r>
        <w:t xml:space="preserve">: </w:t>
      </w:r>
      <w:r w:rsidRPr="00860921">
        <w:t>Ward v. Sutter Valley Hosps.</w:t>
      </w:r>
      <w:r>
        <w:t xml:space="preserve">, </w:t>
      </w:r>
      <w:r w:rsidR="00171A69" w:rsidRPr="00171A69">
        <w:t>2022 BL 247672</w:t>
      </w:r>
      <w:r w:rsidR="00171A69">
        <w:t xml:space="preserve">, </w:t>
      </w:r>
      <w:r w:rsidRPr="00860921">
        <w:t>2022 WL 2805965 (E.D. Cal. July 18, 2022)</w:t>
      </w:r>
      <w:r>
        <w:t xml:space="preserve"> (declining</w:t>
      </w:r>
      <w:r w:rsidRPr="00860921">
        <w:t xml:space="preserve"> to strike declarations </w:t>
      </w:r>
      <w:r>
        <w:t>gathered by defendant where</w:t>
      </w:r>
      <w:r w:rsidRPr="00860921">
        <w:t xml:space="preserve"> each declarant had signed a form explaining the declarant’s status as a potential class member and defendant’s adverse interest</w:t>
      </w:r>
      <w:r>
        <w:t xml:space="preserve">). </w:t>
      </w:r>
    </w:p>
    <w:p w14:paraId="34716E8D" w14:textId="7B12BAF4" w:rsidR="00721CCF" w:rsidRPr="00AD2F44" w:rsidRDefault="00F42107">
      <w:pPr>
        <w:pStyle w:val="14Footnote"/>
      </w:pPr>
      <w:r w:rsidRPr="00AD2F44">
        <w:rPr>
          <w:i/>
          <w:iCs/>
        </w:rPr>
        <w:t>Eleventh Circuit:</w:t>
      </w:r>
      <w:r w:rsidRPr="00AD2F44">
        <w:t xml:space="preserve"> Kerce v. West Telemarketing Corp. &amp; W. Telemarketing LP, 575 F. Supp. 2d 1354, 1366–67 (S.D. Ga. 2008) (denying plaintiff’s motion to strike declarations, made by certain putative collective action members and submitted by defendants, in which the individuals stated that they did not want to join the litigation, because there was no evidence that defendants misrepresented facts or discouraged participation in the suit).</w:t>
      </w:r>
    </w:p>
  </w:footnote>
  <w:footnote w:id="324">
    <w:p w14:paraId="7EAAE0F3" w14:textId="77777777" w:rsidR="00721CCF" w:rsidRPr="00AD2F44" w:rsidRDefault="00F42107">
      <w:pPr>
        <w:pStyle w:val="14Footnote"/>
      </w:pPr>
      <w:r w:rsidRPr="00AD2F44">
        <w:rPr>
          <w:vertAlign w:val="superscript"/>
        </w:rPr>
        <w:footnoteRef/>
      </w:r>
      <w:r w:rsidRPr="00AD2F44">
        <w:rPr>
          <w:i/>
          <w:iCs/>
        </w:rPr>
        <w:t>See, e.g</w:t>
      </w:r>
      <w:r w:rsidRPr="00AD2F44">
        <w:t xml:space="preserve">., Beasley v. Custom Commc’ns, Inc., 2016 WL 6684206, at *5 (E.D.N.C. Nov. 14, 2016) (denying motion to restrict defendant’s communications with putative class members, finding that chief executive officer’s reference to lawsuit as “meritless” and stating his intention to “fight this case to the end” and sue plaintiffs for attorneys’ fees were insufficient to warrant issuance of corrective notice). </w:t>
      </w:r>
    </w:p>
  </w:footnote>
  <w:footnote w:id="325">
    <w:p w14:paraId="7C84C049" w14:textId="77777777" w:rsidR="00721CCF" w:rsidRPr="00AD2F44" w:rsidRDefault="00F42107">
      <w:pPr>
        <w:pStyle w:val="14Footnote"/>
      </w:pPr>
      <w:r w:rsidRPr="00AD2F44">
        <w:rPr>
          <w:vertAlign w:val="superscript"/>
        </w:rPr>
        <w:footnoteRef/>
      </w:r>
      <w:r w:rsidRPr="00AD2F44">
        <w:t>2006 WL 824652 (N.D. Cal. Mar. 28, 2006).</w:t>
      </w:r>
    </w:p>
  </w:footnote>
  <w:footnote w:id="326">
    <w:p w14:paraId="0BD1B406" w14:textId="77777777" w:rsidR="00721CCF" w:rsidRPr="00AD2F44" w:rsidRDefault="00F42107">
      <w:pPr>
        <w:pStyle w:val="14Footnote"/>
      </w:pPr>
      <w:r w:rsidRPr="00AD2F44">
        <w:rPr>
          <w:vertAlign w:val="superscript"/>
        </w:rPr>
        <w:footnoteRef/>
      </w:r>
      <w:r w:rsidRPr="00AD2F44">
        <w:rPr>
          <w:i/>
          <w:iCs/>
        </w:rPr>
        <w:t>Id.</w:t>
      </w:r>
      <w:r w:rsidRPr="00AD2F44">
        <w:t xml:space="preserve"> at *5. </w:t>
      </w:r>
    </w:p>
  </w:footnote>
  <w:footnote w:id="327">
    <w:p w14:paraId="06F3F544" w14:textId="77777777" w:rsidR="00721CCF" w:rsidRPr="00AD2F44" w:rsidRDefault="00F42107">
      <w:pPr>
        <w:pStyle w:val="14Footnote"/>
      </w:pPr>
      <w:r w:rsidRPr="00AD2F44">
        <w:rPr>
          <w:vertAlign w:val="superscript"/>
        </w:rPr>
        <w:footnoteRef/>
      </w:r>
      <w:r w:rsidRPr="00AD2F44">
        <w:rPr>
          <w:i/>
          <w:iCs/>
        </w:rPr>
        <w:t>Id</w:t>
      </w:r>
      <w:r w:rsidRPr="00AD2F44">
        <w:t>. at *5–7.</w:t>
      </w:r>
    </w:p>
  </w:footnote>
  <w:footnote w:id="328">
    <w:p w14:paraId="5814F630" w14:textId="77777777" w:rsidR="00721CCF" w:rsidRPr="00AD2F44" w:rsidRDefault="00F42107">
      <w:pPr>
        <w:pStyle w:val="14Footnote"/>
      </w:pPr>
      <w:r w:rsidRPr="00AD2F44">
        <w:rPr>
          <w:vertAlign w:val="superscript"/>
        </w:rPr>
        <w:footnoteRef/>
      </w:r>
      <w:r w:rsidRPr="00AD2F44">
        <w:rPr>
          <w:i/>
        </w:rPr>
        <w:t xml:space="preserve">See, e.g., </w:t>
      </w:r>
    </w:p>
    <w:p w14:paraId="37356A07" w14:textId="77777777" w:rsidR="00721CCF" w:rsidRPr="00AD2F44" w:rsidRDefault="00F42107">
      <w:pPr>
        <w:pStyle w:val="14Footnote"/>
      </w:pPr>
      <w:r w:rsidRPr="00AD2F44">
        <w:rPr>
          <w:i/>
          <w:iCs/>
        </w:rPr>
        <w:t xml:space="preserve">Second Circuit: </w:t>
      </w:r>
      <w:r w:rsidRPr="00AD2F44">
        <w:rPr>
          <w:i/>
          <w:iCs/>
        </w:rPr>
        <w:t>Agerbrink</w:t>
      </w:r>
      <w:r w:rsidRPr="00AD2F44">
        <w:t>,</w:t>
      </w:r>
      <w:r w:rsidRPr="00AD2F44">
        <w:rPr>
          <w:i/>
          <w:iCs/>
        </w:rPr>
        <w:t xml:space="preserve"> </w:t>
      </w:r>
      <w:r w:rsidRPr="00AD2F44">
        <w:t>2015 WL 6473005, at *11 (relying in part on fact that plaintiffs were “economically dependent” on defendant and looked to defendant for “guidance” to find that email from COO had potential to dissuade participation in collective action, and issuing corrective notice); Gortat v. Capala Bros., Inc., 2009 WL 3347091, at *11–12 (E.D.N.Y. Oct. 16, 2009) (after defendants submitted affidavits from current employees disclaiming interest in joining action, magistrate judge recommended issuance of order to show cause why they should not be barred from communicating with any class member about case and be required to give copies of notice and plaintiffs’ counsel’s contact information, because of concerns that defendants had engaged in coercive conduct in obtaining affidavits given ongoing employment relationship with current employees).</w:t>
      </w:r>
    </w:p>
    <w:p w14:paraId="1731592D" w14:textId="77777777" w:rsidR="00721CCF" w:rsidRPr="00AD2F44" w:rsidRDefault="00F42107">
      <w:pPr>
        <w:pStyle w:val="14Footnote"/>
      </w:pPr>
      <w:r w:rsidRPr="00AD2F44">
        <w:rPr>
          <w:i/>
          <w:iCs/>
        </w:rPr>
        <w:t xml:space="preserve">Third Circuit: </w:t>
      </w:r>
      <w:r w:rsidRPr="00AD2F44">
        <w:t xml:space="preserve">Maddy v. General Elec. Co., 2015 WL 1344626 (D.N.J. Mar. 23, 2015) (communicating policy prohibiting off-the-clock work was improper as joining suit would require employees to admit breaking policy). </w:t>
      </w:r>
    </w:p>
    <w:p w14:paraId="5B36C386" w14:textId="77777777" w:rsidR="00721CCF" w:rsidRPr="00AD2F44" w:rsidRDefault="00F42107">
      <w:pPr>
        <w:pStyle w:val="14Footnote"/>
      </w:pPr>
      <w:r w:rsidRPr="00AD2F44">
        <w:rPr>
          <w:i/>
          <w:iCs/>
        </w:rPr>
        <w:t xml:space="preserve">Fifth Circuit: </w:t>
      </w:r>
      <w:r w:rsidRPr="00AD2F44">
        <w:t>Recinos-Recinos v. Express Forestry, Inc., 2006 WL 197030, at *12 (E.D. La. Jan. 24, 2006) (recognizing that, where defendant had hired agent to go to Guatemala and discuss litigation with migrant workers who were putative collective action members, “an ongoing business relationship between the defendants and the plaintiffs and potential plaintiffs may cause communications to be coercive,” and where such inherently coercive relationship exists, “the court need not make a finding that a particular abuse occurred”); Belt v. Emcare, Inc., 299 F. Supp. 2d 664, 668 (E.D. Tex. 2003) (holding that, where defendant sent letter encouraging employees not to join lawsuit, “any statements in [employer-defendant]’s letter have heightened potential for coercion because where the absent class member and the defendant are involved in an ongoing business relationship, such as employer-employee, any communications are more likely to be coercive”).</w:t>
      </w:r>
    </w:p>
    <w:p w14:paraId="5EF7E403" w14:textId="77777777" w:rsidR="00721CCF" w:rsidRPr="00AD2F44" w:rsidRDefault="00F42107">
      <w:pPr>
        <w:pStyle w:val="14Footnote"/>
      </w:pPr>
      <w:r w:rsidRPr="00AD2F44">
        <w:rPr>
          <w:i/>
          <w:iCs/>
        </w:rPr>
        <w:t>Seventh Circuit:</w:t>
      </w:r>
      <w:r w:rsidRPr="00AD2F44">
        <w:t xml:space="preserve"> Brashier v. Quincy Prop. LLC, 2017 WL 4330381 (C.D. Ill. Sept. 29, 2017)</w:t>
      </w:r>
      <w:r w:rsidRPr="00AD2F44">
        <w:rPr>
          <w:i/>
          <w:iCs/>
        </w:rPr>
        <w:t xml:space="preserve"> </w:t>
      </w:r>
      <w:r w:rsidRPr="00AD2F44">
        <w:t xml:space="preserve">(granting plaintiffs’ motion for protective order and requiring corrective notice to employees interviewed by defendants and who signed preprinted declarations with a misleading statement in them; ordering defendants to make certain disclosures to employees and former employees before interviewing them in the future and to refrain from asking employees to sign preprinted form declarations). </w:t>
      </w:r>
    </w:p>
    <w:p w14:paraId="66F33C5A" w14:textId="77777777" w:rsidR="00721CCF" w:rsidRPr="00AD2F44" w:rsidRDefault="00F42107">
      <w:pPr>
        <w:pStyle w:val="14Footnote"/>
      </w:pPr>
      <w:r w:rsidRPr="00AD2F44">
        <w:rPr>
          <w:i/>
          <w:iCs/>
        </w:rPr>
        <w:t>Eighth Circuit:</w:t>
      </w:r>
      <w:r w:rsidRPr="00AD2F44">
        <w:t xml:space="preserve"> Cope v. Let’s Eat Out, Inc., 354 F. Supp. 3d 976 (W.D. Mo. 2019) (ignoring declarations obtained by defendant in support of motion to decertify because defendant employer obtained declarations without informing declarants of their rights or even identifying that interviewer was employer’s counsel).</w:t>
      </w:r>
    </w:p>
    <w:p w14:paraId="1C5F2CCD" w14:textId="77777777" w:rsidR="00721CCF" w:rsidRPr="00AD2F44" w:rsidRDefault="00F42107">
      <w:pPr>
        <w:pStyle w:val="14Footnote"/>
      </w:pPr>
      <w:r w:rsidRPr="00AD2F44">
        <w:rPr>
          <w:i/>
          <w:iCs/>
        </w:rPr>
        <w:t xml:space="preserve">Eleventh Circuit: </w:t>
      </w:r>
      <w:r w:rsidRPr="00AD2F44">
        <w:t xml:space="preserve">Ojeda-Sanchez v. Bland Farms, Inc., 600 F. Supp. 2d 1373, 1379–81 (S.D. Ga. 2009) (finding that, although employer-employee communications in context of employee lawsuit are not always coercive, in context of in-person communications where three plaintiffs were asked to advise whether they had designated plaintiffs’ counsel as their representative and had to make decision in moment, and coupled with fact that all three distanced themselves from litigation and two recanted their statements later, situation did present enough risk of abuse to warrant limited protective order). </w:t>
      </w:r>
    </w:p>
  </w:footnote>
  <w:footnote w:id="329">
    <w:p w14:paraId="0A4681BA" w14:textId="27FB71FF" w:rsidR="00721CCF" w:rsidRPr="00AD2F44" w:rsidRDefault="00F42107">
      <w:pPr>
        <w:pStyle w:val="14Footnote"/>
      </w:pPr>
      <w:r w:rsidRPr="00AD2F44">
        <w:rPr>
          <w:vertAlign w:val="superscript"/>
        </w:rPr>
        <w:footnoteRef/>
      </w:r>
      <w:r w:rsidRPr="00AD2F44">
        <w:rPr>
          <w:i/>
          <w:iCs/>
        </w:rPr>
        <w:t>Compare</w:t>
      </w:r>
      <w:r w:rsidRPr="00AD2F44">
        <w:t xml:space="preserve"> Carusillo v. </w:t>
      </w:r>
      <w:r w:rsidRPr="00AD2F44">
        <w:t>FanSided, Inc.,</w:t>
      </w:r>
      <w:r w:rsidRPr="00AD2F44">
        <w:rPr>
          <w:rFonts w:ascii="Arial" w:eastAsia="Cambria" w:hAnsi="Arial" w:cs="Arial"/>
          <w:sz w:val="24"/>
          <w:szCs w:val="20"/>
        </w:rPr>
        <w:t xml:space="preserve"> </w:t>
      </w:r>
      <w:r w:rsidRPr="00AD2F44">
        <w:t xml:space="preserve">2021 BL 357288, 2021 WL 4311167 (S.D.N.Y. Sept. 21, 2021), </w:t>
      </w:r>
      <w:r w:rsidRPr="00AD2F44">
        <w:rPr>
          <w:i/>
          <w:iCs/>
        </w:rPr>
        <w:t>motion to certify appeal denied,</w:t>
      </w:r>
      <w:r w:rsidRPr="00AD2F44">
        <w:t xml:space="preserve"> 2021 WL 5166958 (S.D.N.Y. Nov. 5, 2021) (allowing defendants to send updated agreement to putative collective members that included opt-out arbitration agreement without carve-out for pending litigation), Kalenga v. Irving Holdings, Inc., 2020 BL 495091, 2020 WL 7496208 (N.D. Tex. Dec. 20, 2020) (denying plaintiffs’ motion for protective order, holding defendant’s implementation of arbitration agreement policy shortly after lawsuit filing was not sufficient basis for restricting defendant’s speech) </w:t>
      </w:r>
      <w:r w:rsidRPr="00AD2F44">
        <w:rPr>
          <w:i/>
          <w:iCs/>
        </w:rPr>
        <w:t>and</w:t>
      </w:r>
      <w:r w:rsidRPr="00AD2F44">
        <w:t xml:space="preserve"> Gauzza v. Prospect Medical Holdings, Inc., 2018 WL 4853294 (E.D. Pa. Oct. 4, 2018) (finding that a defendant should not be sanctioned for entering into arbitration agreements with new hires (who were also putative collective members) when it was part of defendant’s preexisting policy to require new hires to sign arbitration agreements), </w:t>
      </w:r>
      <w:r w:rsidRPr="00AD2F44">
        <w:rPr>
          <w:i/>
          <w:iCs/>
        </w:rPr>
        <w:t>with</w:t>
      </w:r>
      <w:r w:rsidRPr="00AD2F44">
        <w:t xml:space="preserve"> Degidio v. Crazy Horse Saloon &amp; Rest., Inc., 880 F.3d 135, 137, 144 (4th Cir. 2018) (“Arbitration is a valuable means of resolving disputes expeditiously, but this case shows that it can sometimes be abused to prolong litigation, exploit the judicial process, and give defendants two opportunities to prevail on the merits.”), O’Conner v. Agilant Sols., Inc., 2020 WL 1233749 (S.D.N.Y. Mar. 12, 2020) (granting motion to invalidate arbitration agreements and send corrective notice after defendants required arbitration agreements as condition of continued employment after plaintiffs moved for conditional certification), </w:t>
      </w:r>
      <w:r w:rsidRPr="00AD2F44">
        <w:rPr>
          <w:i/>
          <w:iCs/>
        </w:rPr>
        <w:t>and</w:t>
      </w:r>
      <w:r w:rsidRPr="00AD2F44">
        <w:t xml:space="preserve"> Mueller v. Chesapeake Bay Seafood House Assocs., LLC, 2018 WL 1898557 (D. Md. Apr. 20, 2018) (finding that defendant’s presenting of arbitration agreements to putative class members two months after complaint was filed but before conditional certification, whether intentional or not, may have confused potential opt-ins, and during notice period could have dissuaded those employees from joining litigation even though arbitration agreement had a carve-out provision for pending litigation; ruling that putative class members who received arbitration agreements were entitled to new notice with language making clear that arbitration agreement did not prevent them from joining the action).</w:t>
      </w:r>
    </w:p>
  </w:footnote>
  <w:footnote w:id="330">
    <w:p w14:paraId="4DEB7A76" w14:textId="77777777" w:rsidR="00721CCF" w:rsidRPr="00AD2F44" w:rsidRDefault="00F42107">
      <w:pPr>
        <w:pStyle w:val="14Footnote"/>
      </w:pPr>
      <w:r w:rsidRPr="00AD2F44">
        <w:rPr>
          <w:vertAlign w:val="superscript"/>
        </w:rPr>
        <w:footnoteRef/>
      </w:r>
      <w:r w:rsidRPr="00AD2F44">
        <w:rPr>
          <w:i/>
          <w:iCs/>
        </w:rPr>
        <w:t>Belt</w:t>
      </w:r>
      <w:r w:rsidRPr="00AD2F44">
        <w:t xml:space="preserve">, 299 F. Supp. 2d at 668–69; </w:t>
      </w:r>
      <w:r w:rsidRPr="00AD2F44">
        <w:rPr>
          <w:i/>
          <w:iCs/>
        </w:rPr>
        <w:t>see also Recinos-Recinos</w:t>
      </w:r>
      <w:r w:rsidRPr="00AD2F44">
        <w:t xml:space="preserve">, 2006 WL 197030, at *4, 12 (granting plaintiffs’ motion for a protective order where defendants’ counsel had contacted plaintiffs and putative collective action members and their families and threatened them and/or offered them work and money as part of an effort to persuade them to drop, or refrain from participating in, the lawsuit). Although agreeing that defendants can provide “one-sided information” about their position on a lawsuit, one district court ordered a defendant to pay for and send a curative notice when the court held that the defendant had violated a stipulation “not to encourage, directly or indirectly, Potential Plaintiffs concerning opt-in decisions” when it circulated a memorandum that suggested a lawsuit could reduce employees’ “flexibility” and require them to fill out time cards. Bullock v. Automobile Club of S. Cal., 2002 WL 432003, at *3 (C.D. Cal. Jan. 28, 2002). The defendant had agreed to limit its speech, and thus First Amendment concerns were not implicated, according to the court. </w:t>
      </w:r>
      <w:r w:rsidRPr="00AD2F44">
        <w:rPr>
          <w:i/>
          <w:iCs/>
        </w:rPr>
        <w:t>Id</w:t>
      </w:r>
      <w:r w:rsidRPr="00AD2F44">
        <w:t>.</w:t>
      </w:r>
    </w:p>
  </w:footnote>
  <w:footnote w:id="331">
    <w:p w14:paraId="5DC5DC0E" w14:textId="77777777" w:rsidR="00721CCF" w:rsidRPr="00AD2F44" w:rsidRDefault="00F42107">
      <w:pPr>
        <w:pStyle w:val="14Footnote"/>
      </w:pPr>
      <w:r w:rsidRPr="00AD2F44">
        <w:rPr>
          <w:vertAlign w:val="superscript"/>
        </w:rPr>
        <w:footnoteRef/>
      </w:r>
      <w:r w:rsidRPr="00AD2F44">
        <w:t xml:space="preserve">Oetinger v. First Residential </w:t>
      </w:r>
      <w:r w:rsidRPr="00AD2F44">
        <w:t xml:space="preserve">Mortg. Network, Inc., 2008 WL 2168965, at *2–3 (W.D. Ky. May 23, 2008). Courts have offered conflicting views about whether </w:t>
      </w:r>
      <w:r w:rsidRPr="00AD2F44">
        <w:rPr>
          <w:i/>
          <w:iCs/>
        </w:rPr>
        <w:t>court-authorized</w:t>
      </w:r>
      <w:r w:rsidRPr="00AD2F44">
        <w:t xml:space="preserve"> notice may include information on the potential discovery or trial obligations of potential collective action members.</w:t>
      </w:r>
    </w:p>
    <w:p w14:paraId="0A97E11A" w14:textId="77777777" w:rsidR="00721CCF" w:rsidRPr="00AD2F44" w:rsidRDefault="00F42107">
      <w:pPr>
        <w:pStyle w:val="14Footnote"/>
      </w:pPr>
      <w:r w:rsidRPr="00AD2F44">
        <w:rPr>
          <w:i/>
        </w:rPr>
        <w:t>Compare</w:t>
      </w:r>
    </w:p>
    <w:p w14:paraId="7FA35804" w14:textId="77777777" w:rsidR="00721CCF" w:rsidRPr="00AD2F44" w:rsidRDefault="00F42107">
      <w:pPr>
        <w:pStyle w:val="14Footnote"/>
      </w:pPr>
      <w:r w:rsidRPr="00AD2F44">
        <w:rPr>
          <w:i/>
          <w:iCs/>
        </w:rPr>
        <w:t>Seventh Circuit:</w:t>
      </w:r>
      <w:r w:rsidRPr="00AD2F44">
        <w:t xml:space="preserve"> Garcia v. Elite Labor Serv., Ltd., 1996 U.S. Dist. LEXIS 9824, at *13–14 (N.D. Ill. July 11, 1996) (rejecting defendant’s argument that potential collective action members should be informed of their duties as litigants, i.e., “[that they may be] required to respond to discovery and/or to testify in a deposition or court,” and of the potential costs and expenses, because the information is unnecessary and could intimidate the potential members, and “given the fact that the class could exceed 1000 individuals, it is unlikely that most members will be deposed or testify in court”), </w:t>
      </w:r>
      <w:r w:rsidRPr="00AD2F44">
        <w:rPr>
          <w:i/>
          <w:iCs/>
        </w:rPr>
        <w:t>and</w:t>
      </w:r>
      <w:r w:rsidRPr="00AD2F44">
        <w:t xml:space="preserve"> Taillon v. Kohler Rental Power, Inc., 2003 WL 2006593, at *4 (N.D. Ill. Apr. 29, 2003) (rejecting defendant’s attempt to include in a court-authorized FLSA notice a warning regarding individual plaintiffs’ potential discovery obligations),</w:t>
      </w:r>
    </w:p>
    <w:p w14:paraId="38748CC9" w14:textId="77777777" w:rsidR="00721CCF" w:rsidRPr="00AD2F44" w:rsidRDefault="00F42107">
      <w:pPr>
        <w:pStyle w:val="14Footnote"/>
        <w:rPr>
          <w:i/>
          <w:iCs/>
        </w:rPr>
      </w:pPr>
      <w:r w:rsidRPr="00AD2F44">
        <w:rPr>
          <w:i/>
          <w:iCs/>
        </w:rPr>
        <w:t>with</w:t>
      </w:r>
    </w:p>
    <w:p w14:paraId="6A49D442" w14:textId="77777777" w:rsidR="00721CCF" w:rsidRPr="00AD2F44" w:rsidRDefault="00F42107">
      <w:pPr>
        <w:pStyle w:val="14Footnote"/>
        <w:rPr>
          <w:i/>
          <w:iCs/>
        </w:rPr>
      </w:pPr>
      <w:r w:rsidRPr="00AD2F44">
        <w:rPr>
          <w:i/>
          <w:iCs/>
        </w:rPr>
        <w:t>Second Circuit:</w:t>
      </w:r>
      <w:r w:rsidRPr="00AD2F44">
        <w:t xml:space="preserve"> Lee v. ABC Carpet &amp; Home, 2008 WL 2073932, at *2–3 (S.D.N.Y. May 9, 2008) (modifying the plaintiff’s proposed notice to “include a statement advising potential litigants of the possibility that class members may be required to sit for trial or be deposed”), </w:t>
      </w:r>
      <w:r w:rsidRPr="00AD2F44">
        <w:rPr>
          <w:i/>
          <w:iCs/>
        </w:rPr>
        <w:t>and</w:t>
      </w:r>
    </w:p>
    <w:p w14:paraId="2D60CEA1" w14:textId="27DDA871" w:rsidR="00721CCF" w:rsidRPr="00AD2F44" w:rsidRDefault="00F42107">
      <w:pPr>
        <w:pStyle w:val="14Footnote"/>
      </w:pPr>
      <w:r w:rsidRPr="00AD2F44">
        <w:rPr>
          <w:i/>
          <w:iCs/>
        </w:rPr>
        <w:t>Third Circuit:</w:t>
      </w:r>
      <w:r w:rsidRPr="00AD2F44">
        <w:t xml:space="preserve"> Stillman v. Staples, Inc., 2008 WL 1843998, at *5 (D.N.J. Apr. 22, 2008) (directing plaintiff’s counsel to advise putative collective action members, prior to joining the collective action, that they may be required to provide factual information in discovery).</w:t>
      </w:r>
    </w:p>
  </w:footnote>
  <w:footnote w:id="332">
    <w:p w14:paraId="75E3CA7B" w14:textId="77777777" w:rsidR="00721CCF" w:rsidRPr="00AD2F44" w:rsidRDefault="00F42107">
      <w:pPr>
        <w:pStyle w:val="14Footnote"/>
      </w:pPr>
      <w:r w:rsidRPr="00AD2F44">
        <w:rPr>
          <w:vertAlign w:val="superscript"/>
        </w:rPr>
        <w:footnoteRef/>
      </w:r>
      <w:r w:rsidRPr="00AD2F44">
        <w:t xml:space="preserve">Rosiles-Perez v. Superior Forestry Serv., Inc., 652 F. Supp. 2d 887, 897–901 (M.D. Tenn. 2009) (finding that defendants attempted to interfere with court-ordered meeting by plaintiffs with plaintiffs’ counsel and refused to stop communicating ex parte about merits of case with class members, and that all of this conduct was designed to deter class members from participating in action; therefore, court sanctioned defendant by prohibiting it from introducing evidence on damages, and warned that any further misconduct would result in default sanction); Mevorah v. Wells Fargo Home </w:t>
      </w:r>
      <w:r w:rsidRPr="00AD2F44">
        <w:t xml:space="preserve">Mortg., Inc., 2005 WL 4813532 (N.D. Cal. Nov. 17, 2005) (concluding that the defendants misled putative collective action members by warning that if the lawsuit succeeded they would be paid an hourly wage instead of commissions, where plaintiffs offered specific testimony that individuals were in fact misled by such communications); </w:t>
      </w:r>
      <w:r w:rsidRPr="00AD2F44">
        <w:rPr>
          <w:i/>
          <w:iCs/>
        </w:rPr>
        <w:t>see also</w:t>
      </w:r>
      <w:r w:rsidRPr="00AD2F44">
        <w:t xml:space="preserve"> Longcrier v. HL-A Co., Inc., 595 F. Supp. 2d 1218, 1224–31 (S.D. Ala. 2008) (striking declarations proffered by defendant where its counsel’s representations to putative collective action members were misleading in that they claimed to be “conducting a survey” for informational purposes and did not mention the lawsuit, and requiring that all future communications must be preceded by a written disclosure form describing the nature of the litigation); Sjoblom v. Charter Commc’ns, LLC, 2007 WL 5314916, at *3–4 (W.D. Wis. Dec. 26, 2007) (striking declarations and finding that a corrective notice would be necessary for those individuals who signed declarations if conditional certification were granted, where defendant’s counsel “advised potential class members” of the existence of a class action but “did not notify them that they might be entitled to become a part of the lawsuit” and the declarations were obtained at an employee training event).</w:t>
      </w:r>
    </w:p>
  </w:footnote>
  <w:footnote w:id="333">
    <w:p w14:paraId="3EDBC246" w14:textId="77777777" w:rsidR="00721CCF" w:rsidRPr="00AD2F44" w:rsidRDefault="00F42107">
      <w:pPr>
        <w:pStyle w:val="14Footnote"/>
      </w:pPr>
      <w:r w:rsidRPr="00AD2F44">
        <w:rPr>
          <w:vertAlign w:val="superscript"/>
        </w:rPr>
        <w:footnoteRef/>
      </w:r>
      <w:r w:rsidRPr="00AD2F44">
        <w:rPr>
          <w:i/>
          <w:iCs/>
        </w:rPr>
        <w:t>See, e.g.,</w:t>
      </w:r>
    </w:p>
    <w:p w14:paraId="0FB8DF5C" w14:textId="77777777" w:rsidR="00721CCF" w:rsidRPr="00AD2F44" w:rsidRDefault="00F42107">
      <w:pPr>
        <w:pStyle w:val="14Footnote"/>
      </w:pPr>
      <w:r w:rsidRPr="00AD2F44">
        <w:rPr>
          <w:i/>
          <w:iCs/>
        </w:rPr>
        <w:t>Second Circuit:</w:t>
      </w:r>
      <w:r w:rsidRPr="00AD2F44">
        <w:t xml:space="preserve"> Griffin v. Aldi, Inc., 2017 WL 1957021 (N.D.N.Y. May 11, 2017) (ordering corrective notice where defendant provided releases to former store managers in putative class after collective action lawsuit was filed but prior to court granting conditional certification, and further ordering that defendant carve out litigation from further separation agreements offered to store managers); </w:t>
      </w:r>
      <w:r w:rsidRPr="00AD2F44">
        <w:t>Urtubia v. B.A. Victory Corp., 857 F. Supp. 2d 476, 484–85 (S.D.N.Y. 2012) (prohibiting contact by defendants with class members regarding subject matter of lawsuit without prior court permission where employer allegedly forced employees to sign affidavits and threatened to report opt-in to immigration authorities); Bowens v. Atlantic Maint. Corp., 546 F. Supp. 2d 55, 62–63, 72–73 (E.D.N.Y. 2008) (concluding that defendants violated a court order that prohibited them from communicating with putative collective action members, where defendants offered an employee money to “drop th[e] case and discharge his attorneys”).</w:t>
      </w:r>
    </w:p>
    <w:p w14:paraId="425D7D6D" w14:textId="77777777" w:rsidR="00721CCF" w:rsidRPr="00AD2F44" w:rsidRDefault="00F42107">
      <w:pPr>
        <w:pStyle w:val="14Footnote"/>
      </w:pPr>
      <w:r w:rsidRPr="00AD2F44">
        <w:rPr>
          <w:i/>
          <w:iCs/>
        </w:rPr>
        <w:t xml:space="preserve">Fourth Circuit: </w:t>
      </w:r>
      <w:r w:rsidRPr="00AD2F44">
        <w:t xml:space="preserve">Randolph v. PowerComm Constr., Inc., 41 F. Supp. 3d 461 (D. Md. 2014) (prohibiting further communications by defendant where defendant sought to obtain releases by threatening employees’ employment). </w:t>
      </w:r>
    </w:p>
    <w:p w14:paraId="17A1907F" w14:textId="77777777" w:rsidR="00721CCF" w:rsidRPr="00AD2F44" w:rsidRDefault="00F42107">
      <w:pPr>
        <w:pStyle w:val="14Footnote"/>
      </w:pPr>
      <w:r w:rsidRPr="00AD2F44">
        <w:rPr>
          <w:i/>
          <w:iCs/>
        </w:rPr>
        <w:t xml:space="preserve">Fifth Circuit: </w:t>
      </w:r>
      <w:r w:rsidRPr="00AD2F44">
        <w:t>Pacheco v. Aldeeb, 127 F. Supp. 3d 694, 698 (W.D. Tex. 2015) (sanctioning defendants where they sought to coerce class members into not joining suit or dropping claims).</w:t>
      </w:r>
    </w:p>
    <w:p w14:paraId="2C312012" w14:textId="77777777" w:rsidR="00721CCF" w:rsidRPr="00AD2F44" w:rsidRDefault="00F42107">
      <w:pPr>
        <w:pStyle w:val="14Footnote"/>
      </w:pPr>
      <w:r w:rsidRPr="00AD2F44">
        <w:rPr>
          <w:i/>
          <w:iCs/>
        </w:rPr>
        <w:t>Seventh Circuit:</w:t>
      </w:r>
      <w:r w:rsidRPr="00AD2F44">
        <w:t xml:space="preserve"> O’Brien v. Encotech Constr. Servs., 203 F.R.D. 346, 348–50 (N.D. Ill. 2001) (voiding the FLSA portion of employees’ releases acquired by employer defendant and ordering corrective notice advising employees they still retained their rights to sue under the FLSA).</w:t>
      </w:r>
    </w:p>
    <w:p w14:paraId="73A81466" w14:textId="141A7B53" w:rsidR="00721CCF" w:rsidRPr="00AD2F44" w:rsidRDefault="00F42107">
      <w:pPr>
        <w:pStyle w:val="14Footnote"/>
      </w:pPr>
      <w:r w:rsidRPr="00AD2F44">
        <w:rPr>
          <w:i/>
          <w:iCs/>
        </w:rPr>
        <w:t>Eleventh Circuit:</w:t>
      </w:r>
      <w:r w:rsidRPr="00AD2F44">
        <w:t xml:space="preserve"> Allen v. Suntrust Banks, Inc., 549 F. Supp. 2d 1379, 1383 (N.D. Ga. 2008) (granting plaintiff’s motion for temporary restraining order where defendant offered severance packages to its employees conditioned on their execution of releases requiring dismissal of any pending action against Suntrust, and ordering the defendant to issue a written statement to class members confirming that participation in the lawsuit would not affect their eligibility for severance benefits).</w:t>
      </w:r>
    </w:p>
  </w:footnote>
  <w:footnote w:id="334">
    <w:p w14:paraId="1223804C" w14:textId="77777777" w:rsidR="00721CCF" w:rsidRPr="00AD2F44" w:rsidRDefault="00F42107">
      <w:pPr>
        <w:pStyle w:val="14Footnote"/>
      </w:pPr>
      <w:r w:rsidRPr="00AD2F44">
        <w:rPr>
          <w:vertAlign w:val="superscript"/>
        </w:rPr>
        <w:footnoteRef/>
      </w:r>
      <w:r w:rsidRPr="00AD2F44">
        <w:rPr>
          <w:i/>
          <w:iCs/>
        </w:rPr>
        <w:t>See, e.g.,</w:t>
      </w:r>
    </w:p>
    <w:p w14:paraId="76FDA52B" w14:textId="77777777" w:rsidR="00721CCF" w:rsidRPr="00AD2F44" w:rsidRDefault="00F42107">
      <w:pPr>
        <w:pStyle w:val="14Footnote"/>
      </w:pPr>
      <w:r w:rsidRPr="00AD2F44">
        <w:rPr>
          <w:i/>
          <w:iCs/>
        </w:rPr>
        <w:t>Second Circuit:</w:t>
      </w:r>
      <w:r w:rsidRPr="00AD2F44">
        <w:t xml:space="preserve"> </w:t>
      </w:r>
      <w:r w:rsidRPr="00AD2F44">
        <w:t>Agerbrink v. Model Serv. LLC,</w:t>
      </w:r>
      <w:r w:rsidRPr="00AD2F44">
        <w:rPr>
          <w:i/>
          <w:iCs/>
        </w:rPr>
        <w:t xml:space="preserve"> </w:t>
      </w:r>
      <w:r w:rsidRPr="00AD2F44">
        <w:t xml:space="preserve">2015 WL 6473005, at *11 (S.D.N.Y. Oct. 27, 2015) (ordering corrective notice and production of all correspondence to putative class members by COO who had written email that was subject of motion for corrective relief, to remedy email that was deemed, as whole, to have “the potential to chill participation”). </w:t>
      </w:r>
    </w:p>
    <w:p w14:paraId="7BB66059" w14:textId="77777777" w:rsidR="00721CCF" w:rsidRPr="00AD2F44" w:rsidRDefault="00F42107">
      <w:pPr>
        <w:pStyle w:val="14Footnote"/>
      </w:pPr>
      <w:r w:rsidRPr="00AD2F44">
        <w:rPr>
          <w:i/>
          <w:iCs/>
        </w:rPr>
        <w:t xml:space="preserve">Third Circuit: </w:t>
      </w:r>
      <w:r w:rsidRPr="00AD2F44">
        <w:t>Maddy v. General Elec. Co., 2015 WL 1344626 (D.N.J. Mar. 23, 2015) (curative notice required to remedy improper communications by employer).</w:t>
      </w:r>
    </w:p>
    <w:p w14:paraId="1E9B2EBF" w14:textId="77777777" w:rsidR="00721CCF" w:rsidRPr="00AD2F44" w:rsidRDefault="00F42107">
      <w:pPr>
        <w:pStyle w:val="14Footnote"/>
      </w:pPr>
      <w:r w:rsidRPr="00AD2F44">
        <w:rPr>
          <w:i/>
          <w:iCs/>
        </w:rPr>
        <w:t>Fourth Circuit:</w:t>
      </w:r>
      <w:r w:rsidRPr="00AD2F44">
        <w:t xml:space="preserve"> </w:t>
      </w:r>
      <w:r w:rsidRPr="00AD2F44">
        <w:rPr>
          <w:i/>
          <w:iCs/>
        </w:rPr>
        <w:t>Randolph</w:t>
      </w:r>
      <w:r w:rsidRPr="00AD2F44">
        <w:t>, 41 F. Supp. 3d 461 (curative notice required where defendant sought to obtain releases from employees by threatening their employment; releases invalidated as result).</w:t>
      </w:r>
    </w:p>
    <w:p w14:paraId="425D04F7" w14:textId="77777777" w:rsidR="00721CCF" w:rsidRPr="00AD2F44" w:rsidRDefault="00F42107">
      <w:pPr>
        <w:pStyle w:val="14Footnote"/>
      </w:pPr>
      <w:r w:rsidRPr="00AD2F44">
        <w:rPr>
          <w:i/>
          <w:iCs/>
        </w:rPr>
        <w:t>Fifth Circuit:</w:t>
      </w:r>
      <w:r w:rsidRPr="00AD2F44">
        <w:t xml:space="preserve"> </w:t>
      </w:r>
      <w:r w:rsidRPr="00AD2F44">
        <w:rPr>
          <w:i/>
          <w:iCs/>
        </w:rPr>
        <w:t>Pacheco</w:t>
      </w:r>
      <w:r w:rsidRPr="00AD2F44">
        <w:t>, 127 F. Supp. 3d at 699 (ordering issuance of corrective notice by mail and posting at defendants’ stores, at defendants’ expense, as well as payment of plaintiffs’ attorneys’ fees, and giving class members additional 45 days to file consents to join lawsuit); Velazquez v. FPS LP, 2014 WL 1367421 (S.D. Tex. Aug. 4, 2014) (requiring curative notice that individuals who had withdrawn from case could rejoin without fear of retaliation; declining to invalidate withdrawal letters); Belt v. Emcare, Inc., 299 F. Supp. 2d 664, 669–70 (E.D. Tex. 2003) (ordering corrective notice to remedy any prejudice caused by defendant’s unauthorized ex parte communications with putative collective action members).</w:t>
      </w:r>
    </w:p>
    <w:p w14:paraId="05945EB0" w14:textId="77777777" w:rsidR="00721CCF" w:rsidRPr="00AD2F44" w:rsidRDefault="00F42107">
      <w:pPr>
        <w:pStyle w:val="14Footnote"/>
      </w:pPr>
      <w:r w:rsidRPr="00AD2F44">
        <w:rPr>
          <w:i/>
          <w:iCs/>
        </w:rPr>
        <w:t xml:space="preserve">Sixth Circuit: </w:t>
      </w:r>
      <w:r w:rsidRPr="00AD2F44">
        <w:t>Potts v. Nashville Limo &amp; Transp., LLC, 2016 WL 1622015, at *14–16 (M.D. Tenn. Apr. 19, 2016) (based on post-notice communications by defendant, including misleading statements and seeking releases, court invalidated releases, allowed plaintiffs to keep payments received (but with offset), reopened notice period, and tolled statute of limitations, but denied request for attorneys’ fees).</w:t>
      </w:r>
    </w:p>
    <w:p w14:paraId="28012915" w14:textId="77777777" w:rsidR="00721CCF" w:rsidRPr="00AD2F44" w:rsidRDefault="00F42107">
      <w:pPr>
        <w:pStyle w:val="14Footnote"/>
      </w:pPr>
      <w:r w:rsidRPr="00AD2F44">
        <w:rPr>
          <w:i/>
          <w:iCs/>
        </w:rPr>
        <w:t>Seventh Circuit:</w:t>
      </w:r>
      <w:r w:rsidRPr="00AD2F44">
        <w:t xml:space="preserve"> </w:t>
      </w:r>
      <w:r w:rsidRPr="00AD2F44">
        <w:rPr>
          <w:i/>
          <w:iCs/>
        </w:rPr>
        <w:t>O’Brien</w:t>
      </w:r>
      <w:r w:rsidRPr="00AD2F44">
        <w:t>, 203 F.R.D. at 350 (ordering corrective notices to notify employees that they retained their rights to sue under the FLSA, after voiding the FLSA provisions of releases signed by the employees).</w:t>
      </w:r>
    </w:p>
    <w:p w14:paraId="4F91C55F" w14:textId="77777777" w:rsidR="00721CCF" w:rsidRPr="00AD2F44" w:rsidRDefault="00F42107">
      <w:pPr>
        <w:pStyle w:val="14Footnote"/>
      </w:pPr>
      <w:r w:rsidRPr="00AD2F44">
        <w:rPr>
          <w:i/>
          <w:iCs/>
        </w:rPr>
        <w:t>Ninth Circuit:</w:t>
      </w:r>
      <w:r w:rsidRPr="00AD2F44">
        <w:t xml:space="preserve"> Altamirano-Santiago v. Better Produce, Inc., 2019 WL 6039941 (C.D. Cal. Nov. 13, 2019) (granting motion for corrective notice, permission to proceed under pseudonym, and order prohibiting defense counsel from disclosing names of opt-in plaintiffs to defendants, where defendant sent supervisor to plaintiffs’ homes in Mexico and organized meetings with them in United States to sign opt-out forms); Johnson v. Serenity Transp., Inc., 2017 WL 4236798 (N.D. Cal. Sept. 25, 2017) (finding that defendant actively discouraged its employees from participating in lawsuit; invalidating coercive releases; and ordering issuance of curative notice reinstating FLSA opt-in period for 60 days from sending of new notice); Marino v. CACafe, Inc., 2017 WL 1540717 (N.D. Cal. Apr. 28, 2017) (ordering corrective notice, invalidating releases, and enjoining defendants from communicating with putative class members after defendant sent $500 incentive payments to putative class members in exchange for signing releases without including in communication any reference to class action lawsuit or plaintiff’s counsel);</w:t>
      </w:r>
      <w:r w:rsidRPr="00AD2F44">
        <w:rPr>
          <w:i/>
          <w:iCs/>
        </w:rPr>
        <w:t xml:space="preserve"> Bullock</w:t>
      </w:r>
      <w:r w:rsidRPr="00AD2F44">
        <w:t>, 2002 WL 432003, at *3 (ordering corrective notices where defendant provided its employees with a memorandum that the court found discouraged participation in the FLSA lawsuit in violation of the parties’ stipulation not to solicit or encourage, directly or indirectly, potential plaintiffs regarding their opt-in decisions).</w:t>
      </w:r>
    </w:p>
  </w:footnote>
  <w:footnote w:id="335">
    <w:p w14:paraId="264DB6F0" w14:textId="77777777" w:rsidR="00721CCF" w:rsidRPr="00AD2F44" w:rsidRDefault="00F42107">
      <w:pPr>
        <w:pStyle w:val="14Footnote"/>
        <w:rPr>
          <w:i/>
          <w:iCs/>
        </w:rPr>
      </w:pPr>
      <w:r w:rsidRPr="00AD2F44">
        <w:rPr>
          <w:vertAlign w:val="superscript"/>
        </w:rPr>
        <w:footnoteRef/>
      </w:r>
      <w:r w:rsidRPr="00AD2F44">
        <w:rPr>
          <w:i/>
          <w:iCs/>
        </w:rPr>
        <w:t>Rosiles-Perez</w:t>
      </w:r>
      <w:r w:rsidRPr="00AD2F44">
        <w:t xml:space="preserve">, 652 F. Supp. 2d at 897–901 (finding that defendants attempted to interfere with court-ordered meeting by plaintiffs with plaintiffs’ counsel and refused to stop communicating ex parte about merits of case with class members, and that all of this conduct was designed to deter class members from participating in action; directing defendant to re-issue notice to all nonsupervisory H-2B employees, in English and Spanish, at its own expense, among other sanctions); </w:t>
      </w:r>
      <w:r w:rsidRPr="00AD2F44">
        <w:rPr>
          <w:i/>
          <w:iCs/>
        </w:rPr>
        <w:t>see</w:t>
      </w:r>
      <w:r w:rsidRPr="00AD2F44">
        <w:t xml:space="preserve"> </w:t>
      </w:r>
      <w:r w:rsidRPr="00AD2F44">
        <w:rPr>
          <w:i/>
          <w:iCs/>
        </w:rPr>
        <w:t>Bullock</w:t>
      </w:r>
      <w:r w:rsidRPr="00AD2F44">
        <w:t xml:space="preserve">, 2002 WL 432003, at *3; </w:t>
      </w:r>
      <w:r w:rsidRPr="00AD2F44">
        <w:rPr>
          <w:i/>
          <w:iCs/>
        </w:rPr>
        <w:t>see also</w:t>
      </w:r>
    </w:p>
    <w:p w14:paraId="0E6FDE79" w14:textId="77777777" w:rsidR="00721CCF" w:rsidRPr="00AD2F44" w:rsidRDefault="00F42107">
      <w:pPr>
        <w:pStyle w:val="14Footnote"/>
      </w:pPr>
      <w:r w:rsidRPr="00AD2F44">
        <w:rPr>
          <w:i/>
          <w:iCs/>
        </w:rPr>
        <w:t xml:space="preserve">Fifth Circuit: </w:t>
      </w:r>
      <w:r w:rsidRPr="00AD2F44">
        <w:t>Velazquez v. FPS LP, 2014 WL 1758214 (S.D. Tex. Apr. 28, 2014).</w:t>
      </w:r>
    </w:p>
    <w:p w14:paraId="74B66DCB" w14:textId="77777777" w:rsidR="00721CCF" w:rsidRPr="00AD2F44" w:rsidRDefault="00F42107">
      <w:pPr>
        <w:pStyle w:val="14Footnote"/>
      </w:pPr>
      <w:r w:rsidRPr="00AD2F44">
        <w:rPr>
          <w:i/>
          <w:iCs/>
        </w:rPr>
        <w:t xml:space="preserve">Sixth Circuit: </w:t>
      </w:r>
      <w:r w:rsidRPr="00AD2F44">
        <w:t>Lee v. GAB Telecom, Inc., 2013 WL 4041875 (E.D. Mich. Aug. 8, 2013) (extending the deadline to submit consent forms through the end of discovery based on the defendant’s direct and improper contact with putative class members).</w:t>
      </w:r>
    </w:p>
    <w:p w14:paraId="159EFA89" w14:textId="61F62B98" w:rsidR="00721CCF" w:rsidRPr="00AD2F44" w:rsidRDefault="00F42107">
      <w:pPr>
        <w:pStyle w:val="14Footnote"/>
      </w:pPr>
      <w:r w:rsidRPr="00AD2F44">
        <w:rPr>
          <w:i/>
          <w:iCs/>
        </w:rPr>
        <w:t>Eleventh Circuit:</w:t>
      </w:r>
      <w:r w:rsidRPr="00AD2F44">
        <w:t xml:space="preserve"> Ojeda-Sanchez v. Bland Farms, 600 F. Supp. 2d 1373 (S.D. Ga. 2009).</w:t>
      </w:r>
    </w:p>
  </w:footnote>
  <w:footnote w:id="336">
    <w:p w14:paraId="0EFE21EE" w14:textId="77777777" w:rsidR="00721CCF" w:rsidRPr="00AD2F44" w:rsidRDefault="00F42107">
      <w:pPr>
        <w:pStyle w:val="14Footnote"/>
      </w:pPr>
      <w:r w:rsidRPr="00AD2F44">
        <w:rPr>
          <w:vertAlign w:val="superscript"/>
        </w:rPr>
        <w:footnoteRef/>
      </w:r>
      <w:r w:rsidRPr="00AD2F44">
        <w:t xml:space="preserve">Hoffmann-La Roche, Inc. v. Sperling, 493 U.S. 165, 171–72 (1989). </w:t>
      </w:r>
      <w:r w:rsidRPr="00AD2F44">
        <w:rPr>
          <w:i/>
          <w:iCs/>
        </w:rPr>
        <w:t>But see</w:t>
      </w:r>
      <w:r w:rsidRPr="00AD2F44">
        <w:t xml:space="preserve"> Heitmann v. City of Chi., 2004 WL 1718420, at *2 (N.D. Ill. July 30, 2004) (plaintiff seeking to give notice under §216(b) of a collective action need not obtain court approval, but the obligation to first communicate that intent to defendant is “inferred” from the FLSA and Rule 83).</w:t>
      </w:r>
    </w:p>
  </w:footnote>
  <w:footnote w:id="337">
    <w:p w14:paraId="466857DD" w14:textId="77777777" w:rsidR="00721CCF" w:rsidRPr="00AD2F44" w:rsidRDefault="00F42107">
      <w:pPr>
        <w:pStyle w:val="14Footnote"/>
      </w:pPr>
      <w:r w:rsidRPr="00AD2F44">
        <w:rPr>
          <w:vertAlign w:val="superscript"/>
        </w:rPr>
        <w:footnoteRef/>
      </w:r>
      <w:r w:rsidRPr="00AD2F44">
        <w:t xml:space="preserve">493 U.S. 165. </w:t>
      </w:r>
    </w:p>
  </w:footnote>
  <w:footnote w:id="338">
    <w:p w14:paraId="2BFFA02A" w14:textId="77777777" w:rsidR="00721CCF" w:rsidRPr="00AD2F44" w:rsidRDefault="00F42107">
      <w:pPr>
        <w:pStyle w:val="14Footnote"/>
      </w:pPr>
      <w:r w:rsidRPr="00AD2F44">
        <w:rPr>
          <w:vertAlign w:val="superscript"/>
        </w:rPr>
        <w:footnoteRef/>
      </w:r>
      <w:r w:rsidRPr="00AD2F44">
        <w:rPr>
          <w:i/>
          <w:iCs/>
        </w:rPr>
        <w:t>Id.</w:t>
      </w:r>
      <w:r w:rsidRPr="00AD2F44">
        <w:t xml:space="preserve"> at 171 (“Because trial court involvement in the notice process is inevitable in cases with numerous plaintiffs where written consent is required by statute, it lies within the discretion of a district court to begin its involvement early, at the point of the initial notice, rather than at some later time.”).</w:t>
      </w:r>
    </w:p>
  </w:footnote>
  <w:footnote w:id="339">
    <w:p w14:paraId="08B02DCC" w14:textId="77777777" w:rsidR="00721CCF" w:rsidRPr="00AD2F44" w:rsidRDefault="00F42107">
      <w:pPr>
        <w:pStyle w:val="14Footnote"/>
      </w:pPr>
      <w:r w:rsidRPr="00AD2F44">
        <w:rPr>
          <w:vertAlign w:val="superscript"/>
        </w:rPr>
        <w:footnoteRef/>
      </w:r>
      <w:r w:rsidRPr="00AD2F44">
        <w:rPr>
          <w:i/>
          <w:iCs/>
        </w:rPr>
        <w:t>See, e.g.,</w:t>
      </w:r>
    </w:p>
    <w:p w14:paraId="69D9A9F9" w14:textId="77777777" w:rsidR="00721CCF" w:rsidRPr="00AD2F44" w:rsidRDefault="00F42107">
      <w:pPr>
        <w:pStyle w:val="14Footnote"/>
      </w:pPr>
      <w:r w:rsidRPr="00AD2F44">
        <w:rPr>
          <w:i/>
          <w:iCs/>
        </w:rPr>
        <w:t>First Circuit:</w:t>
      </w:r>
      <w:r w:rsidRPr="00AD2F44">
        <w:t xml:space="preserve"> Tidd v. Adecco USA, Inc., 2008 WL 4286512 (D. Mass. Sept. 17, 2008).</w:t>
      </w:r>
    </w:p>
    <w:p w14:paraId="5E5A9E81" w14:textId="77777777" w:rsidR="00721CCF" w:rsidRPr="00AD2F44" w:rsidRDefault="00F42107">
      <w:pPr>
        <w:pStyle w:val="14Footnote"/>
      </w:pPr>
      <w:r w:rsidRPr="00AD2F44">
        <w:rPr>
          <w:i/>
          <w:iCs/>
        </w:rPr>
        <w:t>Second Circuit:</w:t>
      </w:r>
      <w:r w:rsidRPr="00AD2F44">
        <w:t xml:space="preserve"> Colozzi v. St. Joseph’s Hosp. Health Ctr., 2009 WL 211401 (N.D.N.Y. Jan. 26, 2009); Suarez v. S &amp; A Painting &amp; Renovation Corp., 2008 WL 5054201 (E.D.N.Y. Nov. 21, 2008); Marcus v. American Contract Bridge League, 254 F.R.D. 44 (D. Conn. 2008); Davis v. Abercrombie &amp; Fitch Co., 2008 WL 4702840 (S.D.N.Y. Oct. 23, 2008); Bowens v. Atlantic </w:t>
      </w:r>
      <w:r w:rsidRPr="00AD2F44">
        <w:t xml:space="preserve">Maint. Corp., 546 F. Supp. 2d 55 (E.D.N.Y. 2008). </w:t>
      </w:r>
      <w:r w:rsidRPr="00AD2F44">
        <w:rPr>
          <w:i/>
          <w:iCs/>
        </w:rPr>
        <w:t>But cf</w:t>
      </w:r>
      <w:r w:rsidRPr="00AD2F44">
        <w:t>. Cuzco v. Orion Builders, Inc., 477 F. Supp. 2d 628, 635 (S.D.N.Y. 2007) (declining defendants’ meet-and-confer request and approving plaintiff’s proposed notice where defendants had not submitted their own proposed notice and “given that any negotiations between these parties could be acrimonious and time consuming”).</w:t>
      </w:r>
    </w:p>
    <w:p w14:paraId="557FAE07" w14:textId="77777777" w:rsidR="00721CCF" w:rsidRPr="00AD2F44" w:rsidRDefault="00F42107">
      <w:pPr>
        <w:pStyle w:val="14Footnote"/>
      </w:pPr>
      <w:r w:rsidRPr="00AD2F44">
        <w:rPr>
          <w:i/>
          <w:iCs/>
        </w:rPr>
        <w:t>Third Circuit:</w:t>
      </w:r>
      <w:r w:rsidRPr="00AD2F44">
        <w:t xml:space="preserve"> Harris v. Healthcare Servs. Grp., Inc., 2007 WL 2221411 (E.D. Pa. July 31, 2007).</w:t>
      </w:r>
    </w:p>
    <w:p w14:paraId="1E44235A" w14:textId="77777777" w:rsidR="00721CCF" w:rsidRPr="00AD2F44" w:rsidRDefault="00F42107">
      <w:pPr>
        <w:pStyle w:val="14Footnote"/>
      </w:pPr>
      <w:r w:rsidRPr="00AD2F44">
        <w:rPr>
          <w:i/>
          <w:iCs/>
        </w:rPr>
        <w:t>Fourth Circuit:</w:t>
      </w:r>
      <w:r w:rsidRPr="00AD2F44">
        <w:t xml:space="preserve"> Williams v. Long, 585 F. Supp. 2d 679 (D. Md. 2008).</w:t>
      </w:r>
    </w:p>
    <w:p w14:paraId="370D013F" w14:textId="77777777" w:rsidR="00721CCF" w:rsidRPr="00AD2F44" w:rsidRDefault="00F42107">
      <w:pPr>
        <w:pStyle w:val="14Footnote"/>
      </w:pPr>
      <w:r w:rsidRPr="00AD2F44">
        <w:rPr>
          <w:i/>
          <w:iCs/>
        </w:rPr>
        <w:t>Fifth Circuit:</w:t>
      </w:r>
      <w:r w:rsidRPr="00AD2F44">
        <w:t xml:space="preserve"> Mims v. Carrier Corp., 2008 WL 906335 (E.D. Tex. Mar. 31, 2008); Montgomery v. Wal-Mart Stores, Inc., 2007 WL 2783348 (S.D. Miss. Sept. 24, 2007); Jackson v. City of San Antonio, 220 F.R.D. 55 (W.D. Tex. 2003).</w:t>
      </w:r>
    </w:p>
    <w:p w14:paraId="08F5A7A8" w14:textId="77777777" w:rsidR="00721CCF" w:rsidRPr="00AD2F44" w:rsidRDefault="00F42107">
      <w:pPr>
        <w:pStyle w:val="14Footnote"/>
      </w:pPr>
      <w:r w:rsidRPr="00AD2F44">
        <w:rPr>
          <w:i/>
          <w:iCs/>
        </w:rPr>
        <w:t>Sixth Circuit:</w:t>
      </w:r>
      <w:r w:rsidRPr="00AD2F44">
        <w:t xml:space="preserve"> Shabazz v. Asurion Ins. Serv., 2008 WL 1730318 (M.D. Tenn. Apr. 10, 2008).</w:t>
      </w:r>
    </w:p>
    <w:p w14:paraId="532D7C5F" w14:textId="77777777" w:rsidR="00721CCF" w:rsidRPr="00AD2F44" w:rsidRDefault="00F42107">
      <w:pPr>
        <w:pStyle w:val="14Footnote"/>
      </w:pPr>
      <w:r w:rsidRPr="00AD2F44">
        <w:rPr>
          <w:i/>
          <w:iCs/>
        </w:rPr>
        <w:t>Seventh Circuit:</w:t>
      </w:r>
      <w:r w:rsidRPr="00AD2F44">
        <w:t xml:space="preserve"> Jirak v. Abbott Lab., Inc., 566 F. Supp. 2d 845 (N.D. Ill. 2008).</w:t>
      </w:r>
    </w:p>
    <w:p w14:paraId="13092606" w14:textId="77777777" w:rsidR="00721CCF" w:rsidRPr="00AD2F44" w:rsidRDefault="00F42107">
      <w:pPr>
        <w:pStyle w:val="14Footnote"/>
      </w:pPr>
      <w:r w:rsidRPr="00AD2F44">
        <w:rPr>
          <w:i/>
          <w:iCs/>
        </w:rPr>
        <w:t>Eighth Circuit:</w:t>
      </w:r>
      <w:r w:rsidRPr="00AD2F44">
        <w:t xml:space="preserve"> Kalish v. High Tech Inst., Inc., 2005 WL 1073645 (D. Minn. Apr. 22, 2005).</w:t>
      </w:r>
    </w:p>
    <w:p w14:paraId="61048207" w14:textId="77777777" w:rsidR="00721CCF" w:rsidRPr="00AD2F44" w:rsidRDefault="00F42107">
      <w:pPr>
        <w:pStyle w:val="14Footnote"/>
      </w:pPr>
      <w:r w:rsidRPr="00AD2F44">
        <w:rPr>
          <w:i/>
          <w:iCs/>
        </w:rPr>
        <w:t>Ninth Circuit:</w:t>
      </w:r>
      <w:r w:rsidRPr="00AD2F44">
        <w:t xml:space="preserve"> Zissa v. County of L.A., 2019 WL 8953355 (C.D. Cal. Sept. 20, 2019); Davis v. Westgate Planet Hollywood Las Vegas, LLC, 2009 WL 102735 (D. Nev. Jan. 12, 2009); Beauperthuy v. 24 Hour Fitness USA, Inc., 2008 WL 793838 (N.D. Cal. Mar. 24, 2008); Wong v. HSBC Mortg. Corp. (USA), 2008 WL 753889 (N.D. Cal. Mar. 19, 2008); Centurioni v. City &amp; Cnty. of S.F., 2008 WL 295096 (N.D. Cal. Feb. 1, 2008); Wren v. RGIS Inventory Specialists, 2007 WL 4532218 (N.D. Cal. Dec. 19, 2007); Prentice v. Fund for Pub. Interest Research, Inc., 2007 WL 2729187 (N.D. Cal. Sept. 18, 2007); Delgado v. Ortho-McNeil, Inc., 2007 WL 2847238 (C.D. Cal. Aug. 7, 2007).</w:t>
      </w:r>
    </w:p>
    <w:p w14:paraId="04FD3C2F" w14:textId="77777777" w:rsidR="00721CCF" w:rsidRPr="00AD2F44" w:rsidRDefault="00F42107">
      <w:pPr>
        <w:pStyle w:val="14Footnote"/>
      </w:pPr>
      <w:r w:rsidRPr="00AD2F44">
        <w:rPr>
          <w:i/>
          <w:iCs/>
        </w:rPr>
        <w:t>Tenth Circuit:</w:t>
      </w:r>
      <w:r w:rsidRPr="00AD2F44">
        <w:t xml:space="preserve"> Guidry v. Chenega Integrated Sys., LLC, 2009 WL 312069 (W.D. Okla. Feb. 6, 2009); </w:t>
      </w:r>
      <w:r w:rsidRPr="00AD2F44">
        <w:rPr>
          <w:i/>
          <w:iCs/>
        </w:rPr>
        <w:t>In re</w:t>
      </w:r>
      <w:r w:rsidRPr="00AD2F44">
        <w:t xml:space="preserve"> American Family Mut. Ins. Co. Overtime Pay Litig., 2009 WL 248677 (D. Colo. Feb. 3, 2009).</w:t>
      </w:r>
    </w:p>
    <w:p w14:paraId="01FA914C" w14:textId="77777777" w:rsidR="00721CCF" w:rsidRPr="00AD2F44" w:rsidRDefault="00F42107">
      <w:pPr>
        <w:pStyle w:val="14Footnote"/>
      </w:pPr>
      <w:r w:rsidRPr="00AD2F44">
        <w:rPr>
          <w:i/>
          <w:iCs/>
        </w:rPr>
        <w:t>Eleventh Circuit:</w:t>
      </w:r>
      <w:r w:rsidRPr="00AD2F44">
        <w:t xml:space="preserve"> Pendlebury v. Starbucks Coffee Co., 2005 WL 84500 (S.D. Fla. Jan. 3, 2005).</w:t>
      </w:r>
    </w:p>
    <w:p w14:paraId="04A4C942" w14:textId="77777777" w:rsidR="00721CCF" w:rsidRPr="00AD2F44" w:rsidRDefault="00F42107">
      <w:pPr>
        <w:pStyle w:val="14Footnote"/>
      </w:pPr>
      <w:r w:rsidRPr="00AD2F44">
        <w:rPr>
          <w:i/>
          <w:iCs/>
        </w:rPr>
        <w:t>D.C. Circuit:</w:t>
      </w:r>
      <w:r w:rsidRPr="00AD2F44">
        <w:t xml:space="preserve"> Lindsay v. Government Emps. Ins. Co., 251 F.R.D. 51 (D.D.C. 2008).</w:t>
      </w:r>
    </w:p>
  </w:footnote>
  <w:footnote w:id="340">
    <w:p w14:paraId="40C9A8BE" w14:textId="77777777" w:rsidR="00721CCF" w:rsidRPr="00AD2F44" w:rsidRDefault="00F42107">
      <w:pPr>
        <w:pStyle w:val="14Footnote"/>
      </w:pPr>
      <w:r w:rsidRPr="00AD2F44">
        <w:rPr>
          <w:vertAlign w:val="superscript"/>
        </w:rPr>
        <w:footnoteRef/>
      </w:r>
      <w:r w:rsidRPr="00AD2F44">
        <w:rPr>
          <w:i/>
          <w:iCs/>
        </w:rPr>
        <w:t>See, e.g.,</w:t>
      </w:r>
    </w:p>
    <w:p w14:paraId="135B619A" w14:textId="77777777" w:rsidR="00721CCF" w:rsidRPr="00AD2F44" w:rsidRDefault="00F42107">
      <w:pPr>
        <w:pStyle w:val="14Footnote"/>
      </w:pPr>
      <w:r w:rsidRPr="00AD2F44">
        <w:rPr>
          <w:i/>
          <w:iCs/>
        </w:rPr>
        <w:t>Second Circuit:</w:t>
      </w:r>
      <w:r w:rsidRPr="00AD2F44">
        <w:t xml:space="preserve"> Barrus v. Dick’s Sporting Goods, Inc., 2006 WL 3373117 (W.D.N.Y. Nov. 3, 2006); Young v. Cooper Cameron Corp., 229 F.R.D. 50, 56 (S.D.N.Y. 2005); </w:t>
      </w:r>
      <w:r w:rsidRPr="00AD2F44">
        <w:t>Gjurovich v. Emmanuel’s Marketplace, Inc., 282 F. Supp. 2d 101 (S.D.N.Y. 2003).</w:t>
      </w:r>
    </w:p>
    <w:p w14:paraId="33BBFA4F" w14:textId="77777777" w:rsidR="00721CCF" w:rsidRPr="00AD2F44" w:rsidRDefault="00F42107">
      <w:pPr>
        <w:pStyle w:val="14Footnote"/>
      </w:pPr>
      <w:r w:rsidRPr="00AD2F44">
        <w:rPr>
          <w:i/>
          <w:iCs/>
        </w:rPr>
        <w:t>Third Circuit:</w:t>
      </w:r>
      <w:r w:rsidRPr="00AD2F44">
        <w:t xml:space="preserve"> Bland v. Calfrac Well Servs. Corp., 2013 WL 4054594, at *1–2 (W.D. Pa. Aug. 12, 2013).</w:t>
      </w:r>
    </w:p>
    <w:p w14:paraId="4D7E665D" w14:textId="77777777" w:rsidR="00721CCF" w:rsidRPr="00AD2F44" w:rsidRDefault="00F42107">
      <w:pPr>
        <w:pStyle w:val="14Footnote"/>
      </w:pPr>
      <w:r w:rsidRPr="00AD2F44">
        <w:rPr>
          <w:i/>
          <w:iCs/>
        </w:rPr>
        <w:t>Fourth Circuit:</w:t>
      </w:r>
      <w:r w:rsidRPr="00AD2F44">
        <w:t xml:space="preserve"> Rehberg v. Flowers Foods, Inc., 2013 WL 1190290, at *3 (W.D.N.C. Mar. 22, 2013).</w:t>
      </w:r>
    </w:p>
    <w:p w14:paraId="0529EA6F" w14:textId="77777777" w:rsidR="00721CCF" w:rsidRPr="00AD2F44" w:rsidRDefault="00F42107">
      <w:pPr>
        <w:pStyle w:val="14Footnote"/>
      </w:pPr>
      <w:r w:rsidRPr="00AD2F44">
        <w:rPr>
          <w:i/>
          <w:iCs/>
        </w:rPr>
        <w:t>Fifth Circuit:</w:t>
      </w:r>
      <w:r w:rsidRPr="00AD2F44">
        <w:t xml:space="preserve"> Moore v. Special Distribution Servs. Inc., 2007 WL 2318478 (S.D. Tex. Aug. 8, 2007) (granting unopposed motion to issue notice); Pedigo v. 3003 S. Lamar, LLP, 666 F. Supp. 2d 693, 701 (W.D. Tex. 2009).</w:t>
      </w:r>
    </w:p>
    <w:p w14:paraId="34136656" w14:textId="77777777" w:rsidR="00721CCF" w:rsidRPr="00AD2F44" w:rsidRDefault="00F42107">
      <w:pPr>
        <w:pStyle w:val="14Footnote"/>
      </w:pPr>
      <w:r w:rsidRPr="00AD2F44">
        <w:rPr>
          <w:i/>
          <w:iCs/>
        </w:rPr>
        <w:t>Sixth Circuit:</w:t>
      </w:r>
      <w:r w:rsidRPr="00AD2F44">
        <w:t xml:space="preserve"> Kidd v. Mathis Tire &amp; Auto Serv., Inc., 2014 WL 4923004, at *3 (W.D. Tenn. Sept. 18, 2014).</w:t>
      </w:r>
    </w:p>
    <w:p w14:paraId="6749CC0E" w14:textId="77777777" w:rsidR="00721CCF" w:rsidRPr="00AD2F44" w:rsidRDefault="00F42107">
      <w:pPr>
        <w:pStyle w:val="14Footnote"/>
      </w:pPr>
      <w:r w:rsidRPr="00AD2F44">
        <w:rPr>
          <w:i/>
          <w:iCs/>
        </w:rPr>
        <w:t>Seventh Circuit:</w:t>
      </w:r>
      <w:r w:rsidRPr="00AD2F44">
        <w:t xml:space="preserve"> Mares v. Caesars Entm’t, Inc., 2007 WL 118877 (S.D. Ind. Jan. 10, 2007); Dominguez v. Don Pedro Rest., 2007 WL 271567 (N.D. Ind. Jan. 25, 2007).</w:t>
      </w:r>
    </w:p>
    <w:p w14:paraId="1526149F" w14:textId="77777777" w:rsidR="00721CCF" w:rsidRPr="00AD2F44" w:rsidRDefault="00F42107">
      <w:pPr>
        <w:pStyle w:val="14Footnote"/>
      </w:pPr>
      <w:r w:rsidRPr="00AD2F44">
        <w:rPr>
          <w:i/>
          <w:iCs/>
        </w:rPr>
        <w:t>Eighth Circuit:</w:t>
      </w:r>
      <w:r w:rsidRPr="00AD2F44">
        <w:t xml:space="preserve"> Perez-Benites v. Candy Brand, LLC, 2008 WL 4809105 (W.D. Ark. Oct. 31, 2008).</w:t>
      </w:r>
    </w:p>
    <w:p w14:paraId="70F1E1F0" w14:textId="77777777" w:rsidR="00721CCF" w:rsidRPr="00AD2F44" w:rsidRDefault="00F42107">
      <w:pPr>
        <w:pStyle w:val="14Footnote"/>
      </w:pPr>
      <w:r w:rsidRPr="00AD2F44">
        <w:rPr>
          <w:i/>
          <w:iCs/>
        </w:rPr>
        <w:t>Ninth Circuit:</w:t>
      </w:r>
      <w:r w:rsidRPr="00AD2F44">
        <w:t xml:space="preserve"> Cranney v. Carriage Servs., Inc., 2008 WL 608639 (D. Nev. Feb. 29, 2008).</w:t>
      </w:r>
    </w:p>
    <w:p w14:paraId="0A75ADA6" w14:textId="712FAD82" w:rsidR="00721CCF" w:rsidRPr="00AD2F44" w:rsidRDefault="00F42107">
      <w:pPr>
        <w:pStyle w:val="14Footnote"/>
      </w:pPr>
      <w:r w:rsidRPr="00AD2F44">
        <w:rPr>
          <w:i/>
          <w:iCs/>
        </w:rPr>
        <w:t>Eleventh Circuit:</w:t>
      </w:r>
      <w:r w:rsidRPr="00AD2F44">
        <w:t xml:space="preserve"> Hoy v. American Coach Lines of Orlando, 2011 WL 6181830, at *1 (M.D. Fla. Nov. 2, 2011), </w:t>
      </w:r>
      <w:r w:rsidRPr="00AD2F44">
        <w:rPr>
          <w:i/>
          <w:iCs/>
        </w:rPr>
        <w:t>report and recommendation adopted sub nom.</w:t>
      </w:r>
      <w:r w:rsidRPr="00AD2F44">
        <w:t xml:space="preserve"> Hoy v. American Coach Lines of Orlando, Inc., 2011 WL 6205899 (M.D. Fla. Dec. 13, 2011).</w:t>
      </w:r>
    </w:p>
  </w:footnote>
  <w:footnote w:id="341">
    <w:p w14:paraId="5F937DB6" w14:textId="77777777" w:rsidR="00721CCF" w:rsidRPr="00AD2F44" w:rsidRDefault="00F42107">
      <w:pPr>
        <w:pStyle w:val="14Footnote"/>
      </w:pPr>
      <w:r w:rsidRPr="00AD2F44">
        <w:rPr>
          <w:vertAlign w:val="superscript"/>
        </w:rPr>
        <w:footnoteRef/>
      </w:r>
      <w:r w:rsidRPr="00AD2F44">
        <w:rPr>
          <w:i/>
          <w:iCs/>
        </w:rPr>
        <w:t>Moore</w:t>
      </w:r>
      <w:r w:rsidRPr="00AD2F44">
        <w:t xml:space="preserve">, 2007 WL 2318478 (ordering that notice be redrafted to strike reference to having been approved by the magistrate judge); </w:t>
      </w:r>
      <w:r w:rsidRPr="00AD2F44">
        <w:rPr>
          <w:i/>
          <w:iCs/>
        </w:rPr>
        <w:t xml:space="preserve">see also </w:t>
      </w:r>
      <w:r w:rsidRPr="00AD2F44">
        <w:t>Walter v. Buffets Inc., 2015 WL 3903382, at *7 (D.S.C. June 25, 2015); Dunkel v. Warrior Energy Servs., Inc., 304 F.R.D. 193, 204 (W.D. Pa. 2014); Struck v. PNC Bank N.A., 931 F. Supp. 2d 842, 849 (S.D. Ohio 2013).</w:t>
      </w:r>
    </w:p>
  </w:footnote>
  <w:footnote w:id="342">
    <w:p w14:paraId="384AA91A" w14:textId="77777777" w:rsidR="00721CCF" w:rsidRPr="00AD2F44" w:rsidRDefault="00F42107">
      <w:pPr>
        <w:pStyle w:val="14Footnote"/>
      </w:pPr>
      <w:r w:rsidRPr="00AD2F44">
        <w:rPr>
          <w:vertAlign w:val="superscript"/>
        </w:rPr>
        <w:footnoteRef/>
      </w:r>
      <w:r w:rsidRPr="00AD2F44">
        <w:t xml:space="preserve">Hamelin v. </w:t>
      </w:r>
      <w:r w:rsidRPr="00AD2F44">
        <w:t>Faxton-St. Luke’s Healthcare, 2009 WL 2045326, at *4 (N.D.N.Y. May 27, 2009) (rejecting magistrate judge’s inclusion of paragraph in notice that limited opt-ins to claims for working during unpaid meal breaks; reasoning that decision to opt in is to opt in to the action, not a single claim); Harris v. Hinds Cnty., Miss., 2014 WL 457913, at *7 (S.D. Miss. Feb. 4, 2014).</w:t>
      </w:r>
    </w:p>
  </w:footnote>
  <w:footnote w:id="343">
    <w:p w14:paraId="23461932" w14:textId="77777777" w:rsidR="00721CCF" w:rsidRPr="00AD2F44" w:rsidRDefault="00F42107">
      <w:pPr>
        <w:pStyle w:val="14Footnote"/>
      </w:pPr>
      <w:r w:rsidRPr="00AD2F44">
        <w:rPr>
          <w:vertAlign w:val="superscript"/>
        </w:rPr>
        <w:footnoteRef/>
      </w:r>
      <w:r w:rsidRPr="00AD2F44">
        <w:t xml:space="preserve">This section should provide sufficient information for the putative collective members to determine whether they are members of the putative collective. Thus, any limitations on the scope of the collective should be included. </w:t>
      </w:r>
      <w:r w:rsidRPr="00AD2F44">
        <w:rPr>
          <w:i/>
          <w:iCs/>
        </w:rPr>
        <w:t>See, e</w:t>
      </w:r>
      <w:r w:rsidRPr="00AD2F44">
        <w:t>.</w:t>
      </w:r>
      <w:r w:rsidRPr="00AD2F44">
        <w:rPr>
          <w:i/>
          <w:iCs/>
        </w:rPr>
        <w:t>g</w:t>
      </w:r>
      <w:r w:rsidRPr="00AD2F44">
        <w:t xml:space="preserve">., </w:t>
      </w:r>
    </w:p>
    <w:p w14:paraId="53416955" w14:textId="77777777" w:rsidR="00721CCF" w:rsidRPr="00AD2F44" w:rsidRDefault="00F42107">
      <w:pPr>
        <w:pStyle w:val="14Footnote"/>
      </w:pPr>
      <w:r w:rsidRPr="00AD2F44">
        <w:rPr>
          <w:i/>
          <w:iCs/>
        </w:rPr>
        <w:t>Seventh Circuit:</w:t>
      </w:r>
      <w:r w:rsidRPr="00AD2F44">
        <w:t xml:space="preserve"> Carter v. Indianapolis Power &amp; Light Co., 2003 WL 23142183 (S.D. Ind. Dec. 23, 2003) (ordering plaintiffs to submit revised notice that properly describes putative class).</w:t>
      </w:r>
    </w:p>
    <w:p w14:paraId="0F72B760" w14:textId="77777777" w:rsidR="00721CCF" w:rsidRPr="00AD2F44" w:rsidRDefault="00F42107">
      <w:pPr>
        <w:pStyle w:val="14Footnote"/>
      </w:pPr>
      <w:r w:rsidRPr="00AD2F44">
        <w:rPr>
          <w:i/>
          <w:iCs/>
        </w:rPr>
        <w:t xml:space="preserve">Tenth Circuit: </w:t>
      </w:r>
      <w:r w:rsidRPr="00AD2F44">
        <w:t xml:space="preserve">Young v. Dollar Tree Stores, Inc., 2012 WL 3705005, at *2–3 (D. Colo. Aug. 24, 2012) (revising notice where language of class description was overly broad); Pack v. </w:t>
      </w:r>
      <w:r w:rsidRPr="00AD2F44">
        <w:t>Investools, Inc., 2011 WL 5325290, at *3 (D. Utah Nov. 3, 2011) (accepting description of putative class members in notice that was used in plaintiffs’ motion for conditional certification, given that court had not defined scope in its order, but requiring that description reflect that employee must have worked overtime and have been paid less than 1.5 times minimum wage to be eligible).</w:t>
      </w:r>
    </w:p>
    <w:p w14:paraId="3EF19B04" w14:textId="3B2932A3" w:rsidR="00721CCF" w:rsidRPr="00AD2F44" w:rsidRDefault="00F42107">
      <w:pPr>
        <w:pStyle w:val="14Footnote"/>
      </w:pPr>
      <w:r w:rsidRPr="00AD2F44">
        <w:rPr>
          <w:i/>
          <w:iCs/>
        </w:rPr>
        <w:t xml:space="preserve">Eleventh Circuit: </w:t>
      </w:r>
      <w:r w:rsidRPr="00AD2F44">
        <w:t>Trentman v. RWL Commc’ns, Inc., 2015 WL 2062816, at *4 (M.D. Fla. May 4, 2015) (notice describing class as persons “who did not receive proper overtime compensation” implied finding of improper payment and must be revised).</w:t>
      </w:r>
    </w:p>
  </w:footnote>
  <w:footnote w:id="344">
    <w:p w14:paraId="55D4CAAF" w14:textId="706BAF4E" w:rsidR="00721CCF" w:rsidRPr="00AD2F44" w:rsidRDefault="00F42107" w:rsidP="000B6C5F">
      <w:pPr>
        <w:pStyle w:val="FootnoteText"/>
      </w:pPr>
      <w:r w:rsidRPr="00AD2F44">
        <w:rPr>
          <w:rStyle w:val="FootnoteReference"/>
        </w:rPr>
        <w:footnoteRef/>
      </w:r>
      <w:r w:rsidRPr="00AD2F44">
        <w:rPr>
          <w:i/>
          <w:iCs/>
        </w:rPr>
        <w:t xml:space="preserve">See, e.g., </w:t>
      </w:r>
      <w:r w:rsidRPr="00AD2F44">
        <w:t>Mebane v. GKN Driveline N. Am., Inc., 337 F.R.D. 479 (M.D.N.C. 2020) (holding that notice must make clear that court had not ruled on the merits of plaintiffs’ claims).</w:t>
      </w:r>
    </w:p>
    <w:p w14:paraId="1894C9D6" w14:textId="77777777" w:rsidR="00721CCF" w:rsidRPr="00AD2F44" w:rsidRDefault="00721CCF" w:rsidP="000B6C5F">
      <w:pPr>
        <w:pStyle w:val="FootnoteText"/>
      </w:pPr>
    </w:p>
  </w:footnote>
  <w:footnote w:id="345">
    <w:p w14:paraId="5F707A6F" w14:textId="77777777" w:rsidR="00721CCF" w:rsidRPr="00AD2F44" w:rsidRDefault="00F42107">
      <w:pPr>
        <w:pStyle w:val="14Footnote"/>
      </w:pPr>
      <w:r w:rsidRPr="00AD2F44">
        <w:rPr>
          <w:vertAlign w:val="superscript"/>
        </w:rPr>
        <w:footnoteRef/>
      </w:r>
      <w:r w:rsidRPr="00AD2F44">
        <w:rPr>
          <w:i/>
          <w:iCs/>
        </w:rPr>
        <w:t>See, e.g.,</w:t>
      </w:r>
    </w:p>
    <w:p w14:paraId="7915CC83" w14:textId="77777777" w:rsidR="00721CCF" w:rsidRPr="00AD2F44" w:rsidRDefault="00F42107">
      <w:pPr>
        <w:pStyle w:val="14Footnote"/>
      </w:pPr>
      <w:r w:rsidRPr="00AD2F44">
        <w:rPr>
          <w:i/>
          <w:iCs/>
        </w:rPr>
        <w:t>Second Circuit:</w:t>
      </w:r>
      <w:r w:rsidRPr="00AD2F44">
        <w:t xml:space="preserve"> Sobczak v. AWL Indus., Inc., 540 F. Supp. 2d 354 (E.D.N.Y. 2007).</w:t>
      </w:r>
    </w:p>
    <w:p w14:paraId="5453B5C6" w14:textId="77777777" w:rsidR="00721CCF" w:rsidRPr="00AD2F44" w:rsidRDefault="00F42107">
      <w:pPr>
        <w:pStyle w:val="14Footnote"/>
      </w:pPr>
      <w:r w:rsidRPr="00AD2F44">
        <w:rPr>
          <w:i/>
          <w:iCs/>
        </w:rPr>
        <w:t>Fifth Circuit:</w:t>
      </w:r>
      <w:r w:rsidRPr="00AD2F44">
        <w:t xml:space="preserve"> Valentine v. Harris </w:t>
      </w:r>
      <w:r w:rsidRPr="00AD2F44">
        <w:t>Cnty., 2003 WL 23741412 (S.D. Tex. Aug. 25, 2003); De La Rosa Ortiz v. Rain King, Inc., 2003 WL 23741409 (S.D. Tex. Mar. 10, 2003); Senglin v. Cypress Creek Emergency Med. Servs. Ass’n, 2002 WL 32639766 (S.D. Tex. Feb. 8, 2002).</w:t>
      </w:r>
    </w:p>
    <w:p w14:paraId="2A715442" w14:textId="77777777" w:rsidR="00721CCF" w:rsidRPr="00AD2F44" w:rsidRDefault="00F42107">
      <w:pPr>
        <w:pStyle w:val="14Footnote"/>
      </w:pPr>
      <w:r w:rsidRPr="00AD2F44">
        <w:rPr>
          <w:i/>
          <w:iCs/>
        </w:rPr>
        <w:t>Sixth Circuit:</w:t>
      </w:r>
      <w:r w:rsidRPr="00AD2F44">
        <w:t xml:space="preserve"> Bailey v. Youth Vills., Inc., 2008 WL 2987201 (W.D. Tenn. July 30, 2008).</w:t>
      </w:r>
    </w:p>
    <w:p w14:paraId="58BA2DF5" w14:textId="77777777" w:rsidR="00721CCF" w:rsidRPr="00AD2F44" w:rsidRDefault="00F42107">
      <w:pPr>
        <w:pStyle w:val="14Footnote"/>
      </w:pPr>
      <w:r w:rsidRPr="00AD2F44">
        <w:rPr>
          <w:i/>
          <w:iCs/>
        </w:rPr>
        <w:t>Seventh Circuit:</w:t>
      </w:r>
      <w:r w:rsidRPr="00AD2F44">
        <w:t xml:space="preserve"> Krieg v. Pell’s, Inc., 2001 WL 548394 (S.D. Ind. Mar. 29, 2001).</w:t>
      </w:r>
    </w:p>
    <w:p w14:paraId="798202DE" w14:textId="77777777" w:rsidR="00721CCF" w:rsidRPr="00AD2F44" w:rsidRDefault="00F42107">
      <w:pPr>
        <w:pStyle w:val="14Footnote"/>
      </w:pPr>
      <w:r w:rsidRPr="00AD2F44">
        <w:rPr>
          <w:i/>
          <w:iCs/>
        </w:rPr>
        <w:t>Eighth Circuit:</w:t>
      </w:r>
      <w:r w:rsidRPr="00AD2F44">
        <w:t xml:space="preserve"> Martinez v. Cargill Meat Sols., 265 F.R.D. 490, 500 (D. Neb. 2009).</w:t>
      </w:r>
    </w:p>
    <w:p w14:paraId="0BB4E9F3" w14:textId="77777777" w:rsidR="00721CCF" w:rsidRPr="00AD2F44" w:rsidRDefault="00F42107">
      <w:pPr>
        <w:pStyle w:val="14Footnote"/>
      </w:pPr>
      <w:r w:rsidRPr="00AD2F44">
        <w:rPr>
          <w:i/>
          <w:iCs/>
        </w:rPr>
        <w:t>Ninth Circuit:</w:t>
      </w:r>
      <w:r w:rsidRPr="00AD2F44">
        <w:t xml:space="preserve"> Hoffman v. Construction Protective Servs., Inc., 2004 WL 5642136 (C.D. Cal. July 13, 2004).</w:t>
      </w:r>
    </w:p>
    <w:p w14:paraId="367FC6F3" w14:textId="5C260F2A" w:rsidR="00721CCF" w:rsidRPr="00AD2F44" w:rsidRDefault="00F42107">
      <w:pPr>
        <w:pStyle w:val="14Footnote"/>
      </w:pPr>
      <w:r w:rsidRPr="00AD2F44">
        <w:rPr>
          <w:i/>
          <w:iCs/>
        </w:rPr>
        <w:t>Eleventh Circuit:</w:t>
      </w:r>
      <w:r w:rsidRPr="00AD2F44">
        <w:t xml:space="preserve"> Albritton v. Cagle’s, Inc., 508 F.3d 1012 (11th Cir. 2007); Abdullah v. Equity Grp.-Ga. Div., LLC, 2006 WL 5063131 (M.D. Ga. Oct. 13, 2006).</w:t>
      </w:r>
    </w:p>
  </w:footnote>
  <w:footnote w:id="346">
    <w:p w14:paraId="5F00308B" w14:textId="77777777" w:rsidR="00721CCF" w:rsidRPr="00AD2F44" w:rsidRDefault="00F42107">
      <w:pPr>
        <w:pStyle w:val="14Footnote"/>
      </w:pPr>
      <w:r w:rsidRPr="00AD2F44">
        <w:rPr>
          <w:vertAlign w:val="superscript"/>
        </w:rPr>
        <w:footnoteRef/>
      </w:r>
      <w:r w:rsidRPr="00AD2F44">
        <w:rPr>
          <w:i/>
          <w:iCs/>
        </w:rPr>
        <w:t>See, e.g.,</w:t>
      </w:r>
    </w:p>
    <w:p w14:paraId="25531D4A" w14:textId="77777777" w:rsidR="00721CCF" w:rsidRPr="00AD2F44" w:rsidRDefault="00F42107">
      <w:pPr>
        <w:pStyle w:val="14Footnote"/>
      </w:pPr>
      <w:r w:rsidRPr="00AD2F44">
        <w:rPr>
          <w:i/>
          <w:iCs/>
        </w:rPr>
        <w:t>First Circuit:</w:t>
      </w:r>
      <w:r w:rsidRPr="00AD2F44">
        <w:t xml:space="preserve"> Curtis v. Scholarship Storage Inc., 2015 WL 1241365, at *6 (D. Me. Mar. 18, 2015).</w:t>
      </w:r>
    </w:p>
    <w:p w14:paraId="00975CBB" w14:textId="77777777" w:rsidR="00721CCF" w:rsidRPr="00AD2F44" w:rsidRDefault="00F42107">
      <w:pPr>
        <w:pStyle w:val="14Footnote"/>
      </w:pPr>
      <w:r w:rsidRPr="00AD2F44">
        <w:rPr>
          <w:i/>
          <w:iCs/>
        </w:rPr>
        <w:t>Second Circuit:</w:t>
      </w:r>
      <w:r w:rsidRPr="00AD2F44">
        <w:t xml:space="preserve"> Iriarte v. Redwood Deli &amp; Catering, Inc., 2008 WL 2622929 (E.D.N.Y. June 30, 2008); Francis v. A &amp; E Stores, Inc., 2008 WL 2588851 (S.D.N.Y. June 26, 2008); Sobczak v. AWL Indus., Inc., 540 F. Supp. 2d 354 (E.D.N.Y. 2007); Anglada v. Linens ‘N Things, Inc., 2007 WL 1552511 (S.D.N.Y. Apr. 26, 2007); Lynch v. United Servs. Auto. Ass’n, 491 F. Supp. 2d 357, 367 (S.D.N.Y. 2007).</w:t>
      </w:r>
    </w:p>
    <w:p w14:paraId="49CD11ED" w14:textId="77777777" w:rsidR="00721CCF" w:rsidRPr="00AD2F44" w:rsidRDefault="00F42107">
      <w:pPr>
        <w:pStyle w:val="14Footnote"/>
      </w:pPr>
      <w:r w:rsidRPr="00AD2F44">
        <w:rPr>
          <w:i/>
          <w:iCs/>
        </w:rPr>
        <w:t>Third Circuit:</w:t>
      </w:r>
      <w:r w:rsidRPr="00AD2F44">
        <w:t xml:space="preserve"> Ritzer v. UBS Fin. Servs., Inc., 2008 WL 4372784, at *11–12 (D.N.J. Sept. 22, 2008).</w:t>
      </w:r>
    </w:p>
    <w:p w14:paraId="5B35A071" w14:textId="77777777" w:rsidR="00721CCF" w:rsidRPr="00AD2F44" w:rsidRDefault="00F42107">
      <w:pPr>
        <w:pStyle w:val="14Footnote"/>
      </w:pPr>
      <w:r w:rsidRPr="00AD2F44">
        <w:rPr>
          <w:i/>
          <w:iCs/>
        </w:rPr>
        <w:t>Fourth Circuit:</w:t>
      </w:r>
      <w:r w:rsidRPr="00AD2F44">
        <w:t xml:space="preserve"> Mancia v. Mayflower Textile Servs. Co., 2008 WL 4735344, at *4 (D. Md. Oct. 14, 2008).</w:t>
      </w:r>
    </w:p>
    <w:p w14:paraId="3358F135" w14:textId="77777777" w:rsidR="00721CCF" w:rsidRPr="00AD2F44" w:rsidRDefault="00F42107">
      <w:pPr>
        <w:pStyle w:val="14Footnote"/>
      </w:pPr>
      <w:r w:rsidRPr="00AD2F44">
        <w:rPr>
          <w:i/>
          <w:iCs/>
        </w:rPr>
        <w:t>Fifth Circuit:</w:t>
      </w:r>
      <w:r w:rsidRPr="00AD2F44">
        <w:t xml:space="preserve"> Reyes v. Quality Logging, Inc., 52 F. Supp. 3d 849, 853 (S.D. Tex. 2014); </w:t>
      </w:r>
      <w:r w:rsidRPr="00AD2F44">
        <w:t>Updite v. Delta Beverage Grp., Inc., 2006 WL 3718229 (W.D. La. Dec. 15, 2006); Vogt v. Texas Instruments, Inc., 2006 WL 4660134 (N.D. Tex. Sept. 19, 2006); Alba v. Loncar, 2004 WL 1144052 (N.D. Tex. May 20, 2004); Belt v. Emcare, Inc., 299 F. Supp. 2d 664 (E.D. Tex. 2003); Solis v. Hotels.com Tex. Inc., 2003 WL 22272008 (N.D. Tex. Oct. 1, 2003).</w:t>
      </w:r>
    </w:p>
    <w:p w14:paraId="762A5624" w14:textId="77777777" w:rsidR="00721CCF" w:rsidRPr="00AD2F44" w:rsidRDefault="00F42107">
      <w:pPr>
        <w:pStyle w:val="14Footnote"/>
      </w:pPr>
      <w:r w:rsidRPr="00AD2F44">
        <w:rPr>
          <w:i/>
          <w:iCs/>
        </w:rPr>
        <w:t>Sixth Circuit:</w:t>
      </w:r>
      <w:r w:rsidRPr="00AD2F44">
        <w:t xml:space="preserve"> Hardesty v. Litton’s Mkt. &amp; Rest., Inc., 2012 WL 6046743, at *6 (E.D. Tenn. Sept. 28, 2012) </w:t>
      </w:r>
      <w:r w:rsidRPr="00AD2F44">
        <w:rPr>
          <w:i/>
          <w:iCs/>
        </w:rPr>
        <w:t>report and recommendation adopted</w:t>
      </w:r>
      <w:r w:rsidRPr="00AD2F44">
        <w:t>, 2012 WL 6046697 (E.D. Tenn. Dec. 5, 2012); Adams v. Medplans Partners, Inc., 2007 WL 4291303 (W.D. Ky. Dec. 5, 2007); Carlson v. Leprino Foods Co., 2006 WL 2375046 (W.D. Mich. Aug. 15, 2006); Belcher v. Shoney’s, Inc., 927 F. Supp. 249, 252–55 (M.D. Tenn. 1996).</w:t>
      </w:r>
    </w:p>
    <w:p w14:paraId="5137A5C1" w14:textId="77777777" w:rsidR="00721CCF" w:rsidRPr="00AD2F44" w:rsidRDefault="00F42107">
      <w:pPr>
        <w:pStyle w:val="14Footnote"/>
      </w:pPr>
      <w:r w:rsidRPr="00AD2F44">
        <w:rPr>
          <w:i/>
          <w:iCs/>
        </w:rPr>
        <w:t>Seventh Circuit:</w:t>
      </w:r>
      <w:r w:rsidRPr="00AD2F44">
        <w:t xml:space="preserve"> Craft v. Ray’s, LLC, 2008 WL 5458947 (S.D. Ind. Dec. 31, 2008); Cheesman v. Nexstar Broad. Grp., Inc., 2008 WL 2225617 (S.D. Ind. May 27, 2008); Heckler v. DK Funding, LLC, 502 F. Supp. 2d 777 (N.D. Ill. 2007); Vennet v. American Intercontinental Univ. Online, 2005 WL 6215171 (N.D. Ill. Dec. 22, 2005); Ponce v. Tim’s Time, Inc., 2004 WL 1921038 (N.D. Ill. July 8, 2004).</w:t>
      </w:r>
    </w:p>
    <w:p w14:paraId="5EDEAE8F" w14:textId="77777777" w:rsidR="00721CCF" w:rsidRPr="00AD2F44" w:rsidRDefault="00F42107">
      <w:pPr>
        <w:pStyle w:val="14Footnote"/>
      </w:pPr>
      <w:r w:rsidRPr="00AD2F44">
        <w:rPr>
          <w:i/>
          <w:iCs/>
        </w:rPr>
        <w:t>Eighth Circuit:</w:t>
      </w:r>
      <w:r w:rsidRPr="00AD2F44">
        <w:t xml:space="preserve"> </w:t>
      </w:r>
      <w:r w:rsidRPr="00AD2F44">
        <w:rPr>
          <w:i/>
          <w:iCs/>
        </w:rPr>
        <w:t>In re</w:t>
      </w:r>
      <w:r w:rsidRPr="00AD2F44">
        <w:t xml:space="preserve"> Pilgrim’s Pride Fair Labor Standards Act Litig., 2008 WL 2061265 (W.D. Ark. May 14, 2008); Huang v. Gateway Hotel Holdings, 248 F.R.D. 225 (E.D. Mo. 2008); Davis v. Novastar Mortg., Inc., 2005 WL 3662438 (W.D. Mo. Dec. 13, 2005); Saunders v. Ace Mortg. Funding, Inc., 2005 WL 3054594 (D. Minn. Nov. 14, 2005).</w:t>
      </w:r>
    </w:p>
    <w:p w14:paraId="1FDB8ECD" w14:textId="77777777" w:rsidR="00721CCF" w:rsidRPr="00AD2F44" w:rsidRDefault="00F42107">
      <w:pPr>
        <w:pStyle w:val="14Footnote"/>
      </w:pPr>
      <w:r w:rsidRPr="00AD2F44">
        <w:rPr>
          <w:i/>
          <w:iCs/>
        </w:rPr>
        <w:t>Ninth Circuit:</w:t>
      </w:r>
      <w:r w:rsidRPr="00AD2F44">
        <w:t xml:space="preserve"> Lemus v. Burnham Painting &amp; Drywall Corp, 2007 WL 1875540 (D. Nev. June 25, 2007); Williams v. Trendwest Resorts, Inc., 2006 WL 3690686 (D. Nev. Dec. 7, 2006); Veliz v. Cintas Corp., 2004 WL 2623909 (N.D. Cal. Nov. 12, 2004).</w:t>
      </w:r>
    </w:p>
    <w:p w14:paraId="450202B3" w14:textId="77777777" w:rsidR="00721CCF" w:rsidRPr="00AD2F44" w:rsidRDefault="00F42107">
      <w:pPr>
        <w:pStyle w:val="14Footnote"/>
      </w:pPr>
      <w:r w:rsidRPr="00AD2F44">
        <w:rPr>
          <w:i/>
          <w:iCs/>
        </w:rPr>
        <w:t>Tenth Circuit:</w:t>
      </w:r>
      <w:r w:rsidRPr="00AD2F44">
        <w:t xml:space="preserve"> Pack v. Investools, Inc., 2011 WL 5325290, at *4 (D. Utah Nov. 3, 2011) (allowing inclusion of sentence in retaliation section of notice that was directed to current employees and included statement “your decision about whether or not to join this lawsuit will not affect your employment in any way,” reasoning that it allowed notice recipients to “apply the cited law to their own situation, and does so clearly”); Fortna v. QC Holdings, Inc., 2006 WL 2385303 (N.D. Okla. Aug. 17, 2006); Reab v. Electronic Arts, Inc., 214 F.R.D. 623, 629 (D. Colo. 2002).</w:t>
      </w:r>
    </w:p>
    <w:p w14:paraId="792E57A7" w14:textId="77777777" w:rsidR="00721CCF" w:rsidRPr="00AD2F44" w:rsidRDefault="00F42107">
      <w:pPr>
        <w:pStyle w:val="14Footnote"/>
      </w:pPr>
      <w:r w:rsidRPr="00AD2F44">
        <w:rPr>
          <w:i/>
          <w:iCs/>
        </w:rPr>
        <w:t>Eleventh Circuit:</w:t>
      </w:r>
      <w:r w:rsidRPr="00AD2F44">
        <w:t xml:space="preserve"> Ohsann v. L.V. Stabler Hosp., 2008 WL 2468559 (M.D. Ala. June 17, 2008); Garrison v. Chuck, Carol &amp; Co., 2007 WL 1106128 (M.D. Fla. Apr. 11, 2007); Gutescu v. Carey Int’l, Inc., 2003 WL 25586749 (S.D. Fla. July 21, 2003). </w:t>
      </w:r>
    </w:p>
    <w:p w14:paraId="01E59E94" w14:textId="5B05D77A" w:rsidR="00721CCF" w:rsidRPr="00AD2F44" w:rsidRDefault="00F42107">
      <w:pPr>
        <w:pStyle w:val="14Footnote"/>
      </w:pPr>
      <w:r w:rsidRPr="00AD2F44">
        <w:rPr>
          <w:i/>
          <w:iCs/>
        </w:rPr>
        <w:t>Federal Circuit:</w:t>
      </w:r>
      <w:r w:rsidRPr="00AD2F44">
        <w:t xml:space="preserve"> Gayle v. United States, 85 Fed. Cl. 72 (2008).</w:t>
      </w:r>
    </w:p>
  </w:footnote>
  <w:footnote w:id="347">
    <w:p w14:paraId="61013F72" w14:textId="77777777" w:rsidR="00721CCF" w:rsidRPr="00AD2F44" w:rsidRDefault="00F42107">
      <w:pPr>
        <w:pStyle w:val="14Footnote"/>
      </w:pPr>
      <w:r w:rsidRPr="00AD2F44">
        <w:rPr>
          <w:vertAlign w:val="superscript"/>
        </w:rPr>
        <w:footnoteRef/>
      </w:r>
      <w:r w:rsidRPr="00AD2F44">
        <w:rPr>
          <w:i/>
          <w:iCs/>
        </w:rPr>
        <w:t>See, e.g.,</w:t>
      </w:r>
    </w:p>
    <w:p w14:paraId="07EBF4A7" w14:textId="77777777" w:rsidR="00721CCF" w:rsidRPr="00AD2F44" w:rsidRDefault="00F42107">
      <w:pPr>
        <w:pStyle w:val="14Footnote"/>
      </w:pPr>
      <w:r w:rsidRPr="00AD2F44">
        <w:rPr>
          <w:i/>
          <w:iCs/>
        </w:rPr>
        <w:t>Second Circuit:</w:t>
      </w:r>
      <w:r w:rsidRPr="00AD2F44">
        <w:t xml:space="preserve"> Lynch v. United Servs. Auto Ass’n., 491 F. Supp. 2d 357 (S.D.N.Y. 2007); Anglada v. Linens ‘N Things, Inc., 2007 U.S. Dist. LEXIS 39105 (S.D.N.Y. Apr. 26, 2007).</w:t>
      </w:r>
    </w:p>
    <w:p w14:paraId="021554EE" w14:textId="77777777" w:rsidR="00721CCF" w:rsidRPr="00AD2F44" w:rsidRDefault="00F42107">
      <w:pPr>
        <w:pStyle w:val="14Footnote"/>
      </w:pPr>
      <w:r w:rsidRPr="00AD2F44">
        <w:rPr>
          <w:i/>
          <w:iCs/>
        </w:rPr>
        <w:t>Third Circuit:</w:t>
      </w:r>
      <w:r w:rsidRPr="00AD2F44">
        <w:t xml:space="preserve"> Mott v. Driveline Retail Merch., Inc., 23 F. Supp. 3d 483, 491 (E.D. Pa. 2014); Ritzer v. UBS Fin. Servs., Inc., 2008 WL 4372784 (D.N.J. Sept. 22, 2008).</w:t>
      </w:r>
    </w:p>
    <w:p w14:paraId="0767F306" w14:textId="77777777" w:rsidR="00721CCF" w:rsidRPr="00AD2F44" w:rsidRDefault="00F42107">
      <w:pPr>
        <w:pStyle w:val="14Footnote"/>
      </w:pPr>
      <w:r w:rsidRPr="00AD2F44">
        <w:rPr>
          <w:i/>
          <w:iCs/>
        </w:rPr>
        <w:t>Fourth Circuit:</w:t>
      </w:r>
      <w:r w:rsidRPr="00AD2F44">
        <w:t xml:space="preserve"> De Luna-Guerrero v. North Carolina Grower’s Ass’n, Inc., 338 F. Supp. 2d 649, 666–67 (E.D.N.C. 2004).</w:t>
      </w:r>
    </w:p>
    <w:p w14:paraId="39E2E860" w14:textId="77777777" w:rsidR="00721CCF" w:rsidRPr="00AD2F44" w:rsidRDefault="00F42107">
      <w:pPr>
        <w:pStyle w:val="14Footnote"/>
      </w:pPr>
      <w:r w:rsidRPr="00AD2F44">
        <w:rPr>
          <w:i/>
          <w:iCs/>
        </w:rPr>
        <w:t>Fifth Circuit:</w:t>
      </w:r>
      <w:r w:rsidRPr="00AD2F44">
        <w:t xml:space="preserve"> </w:t>
      </w:r>
      <w:r w:rsidRPr="00AD2F44">
        <w:t xml:space="preserve">Updite v. Delta Beverage Grp., Inc., 2006 WL 3718229 (W.D. La. Dec. 15, 2006); </w:t>
      </w:r>
      <w:r w:rsidRPr="00AD2F44">
        <w:rPr>
          <w:i/>
          <w:iCs/>
        </w:rPr>
        <w:t>Vogt</w:t>
      </w:r>
      <w:r w:rsidRPr="00AD2F44">
        <w:t xml:space="preserve">, 2006 WL 4660134; </w:t>
      </w:r>
      <w:r w:rsidRPr="00AD2F44">
        <w:rPr>
          <w:i/>
          <w:iCs/>
        </w:rPr>
        <w:t>Belt</w:t>
      </w:r>
      <w:r w:rsidRPr="00AD2F44">
        <w:t>, 299 F. Supp. 2d 664; Solis v. Hotels.com Tex. Inc., 2003 WL 22272008 (N.D. Tex. Oct. 1, 2003).</w:t>
      </w:r>
    </w:p>
    <w:p w14:paraId="50F98860" w14:textId="77777777" w:rsidR="00721CCF" w:rsidRPr="00AD2F44" w:rsidRDefault="00F42107">
      <w:pPr>
        <w:pStyle w:val="14Footnote"/>
      </w:pPr>
      <w:r w:rsidRPr="00AD2F44">
        <w:rPr>
          <w:i/>
          <w:iCs/>
        </w:rPr>
        <w:t>Sixth Circuit:</w:t>
      </w:r>
      <w:r w:rsidRPr="00AD2F44">
        <w:t xml:space="preserve"> Hardesty v. Litton’s Mkt. &amp; Rest., Inc., 2012 WL 6046743, at *6 (E.D. Tenn. Sept. 28, 2012), </w:t>
      </w:r>
      <w:r w:rsidRPr="00AD2F44">
        <w:rPr>
          <w:i/>
          <w:iCs/>
        </w:rPr>
        <w:t>report and recommendation adopted</w:t>
      </w:r>
      <w:r w:rsidRPr="00AD2F44">
        <w:t>, 2012 WL 6046697 (E.D. Tenn. Dec. 5, 2012); Belcher v. Shoney’s, Inc., 927 F. Supp. 249 (M.D. Tenn. 1996).</w:t>
      </w:r>
    </w:p>
    <w:p w14:paraId="0FF1AFCF" w14:textId="77777777" w:rsidR="00721CCF" w:rsidRPr="00AD2F44" w:rsidRDefault="00F42107">
      <w:pPr>
        <w:pStyle w:val="14Footnote"/>
      </w:pPr>
      <w:r w:rsidRPr="00AD2F44">
        <w:rPr>
          <w:i/>
          <w:iCs/>
        </w:rPr>
        <w:t>Seventh Circuit:</w:t>
      </w:r>
      <w:r w:rsidRPr="00AD2F44">
        <w:t xml:space="preserve"> Carlson v. Leprino Foods Co., 2006 WL 2375046 (W.D. Mich. Aug. 15, 2006); Monroe v. United Air Lines, Inc., 90 F.R.D. 638 (C.D. Ill. 1981).</w:t>
      </w:r>
    </w:p>
    <w:p w14:paraId="45F23F03" w14:textId="77777777" w:rsidR="00721CCF" w:rsidRPr="00AD2F44" w:rsidRDefault="00F42107">
      <w:pPr>
        <w:pStyle w:val="14Footnote"/>
      </w:pPr>
      <w:r w:rsidRPr="00AD2F44">
        <w:rPr>
          <w:i/>
          <w:iCs/>
        </w:rPr>
        <w:t>Eighth Circuit:</w:t>
      </w:r>
      <w:r w:rsidRPr="00AD2F44">
        <w:t xml:space="preserve"> </w:t>
      </w:r>
      <w:r w:rsidRPr="00AD2F44">
        <w:rPr>
          <w:i/>
          <w:iCs/>
        </w:rPr>
        <w:t>In re</w:t>
      </w:r>
      <w:r w:rsidRPr="00AD2F44">
        <w:t xml:space="preserve"> Pilgrim’s Pride Fair Labor Standards Act Litig., 2008 WL 2061265 (W.D. Ark. May 14, 2008); Davis v. Novastar Mortg., Inc., 2005 WL 3662438 (W.D. Mo. Dec. 13, 2005).</w:t>
      </w:r>
    </w:p>
    <w:p w14:paraId="7968335F" w14:textId="77777777" w:rsidR="00721CCF" w:rsidRPr="00AD2F44" w:rsidRDefault="00F42107">
      <w:pPr>
        <w:pStyle w:val="14Footnote"/>
      </w:pPr>
      <w:r w:rsidRPr="00AD2F44">
        <w:rPr>
          <w:i/>
          <w:iCs/>
        </w:rPr>
        <w:t>Ninth Circuit:</w:t>
      </w:r>
      <w:r w:rsidRPr="00AD2F44">
        <w:t xml:space="preserve"> Russell v. Wells Fargo &amp; Co., 2008 WL 4104212 (N.D. Cal. Sept. 3, 2008); Veliz v. Cintas Corp., 2004 WL 2623909 (N.D. Cal. Nov. 12, 2004); Hoffman v. Construction Protective Servs., Inc., 2004 WL 5642136 (C.D. Cal. July 13, 2004).</w:t>
      </w:r>
    </w:p>
    <w:p w14:paraId="2D87C92F" w14:textId="77777777" w:rsidR="00721CCF" w:rsidRPr="00AD2F44" w:rsidRDefault="00F42107">
      <w:pPr>
        <w:pStyle w:val="14Footnote"/>
      </w:pPr>
      <w:r w:rsidRPr="00AD2F44">
        <w:rPr>
          <w:i/>
          <w:iCs/>
        </w:rPr>
        <w:t>Tenth Circuit:</w:t>
      </w:r>
      <w:r w:rsidRPr="00AD2F44">
        <w:t xml:space="preserve"> Fortna v. QC Holdings, Inc., 2006 WL 2385303 (N.D. Okla. Aug. 17, 2006).</w:t>
      </w:r>
    </w:p>
    <w:p w14:paraId="4D3DEBB6" w14:textId="77777777" w:rsidR="00721CCF" w:rsidRPr="00AD2F44" w:rsidRDefault="00F42107">
      <w:pPr>
        <w:pStyle w:val="14Footnote"/>
      </w:pPr>
      <w:r w:rsidRPr="00AD2F44">
        <w:rPr>
          <w:i/>
          <w:iCs/>
        </w:rPr>
        <w:t>Eleventh Circuit:</w:t>
      </w:r>
      <w:r w:rsidRPr="00AD2F44">
        <w:t xml:space="preserve"> Ohsann v. L.V. Stabler Hosp., 2008 WL 2468559 (M.D. Ala. June 17, 2008).</w:t>
      </w:r>
    </w:p>
    <w:p w14:paraId="5B888493" w14:textId="6B8EC818" w:rsidR="00721CCF" w:rsidRPr="00AD2F44" w:rsidRDefault="00F42107">
      <w:pPr>
        <w:pStyle w:val="14Footnote"/>
      </w:pPr>
      <w:r w:rsidRPr="00AD2F44">
        <w:rPr>
          <w:i/>
          <w:iCs/>
        </w:rPr>
        <w:t>Federal Circuit:</w:t>
      </w:r>
      <w:r w:rsidRPr="00AD2F44">
        <w:t xml:space="preserve"> Whalen v. United States, 85 Fed. Cl. 380 (2009); Gayle v. United States, 85 Fed. Cl. 72, 81 (2008).</w:t>
      </w:r>
    </w:p>
  </w:footnote>
  <w:footnote w:id="348">
    <w:p w14:paraId="1F52E4FB" w14:textId="77777777" w:rsidR="00721CCF" w:rsidRPr="00AD2F44" w:rsidRDefault="00F42107">
      <w:pPr>
        <w:pStyle w:val="14Footnote"/>
      </w:pPr>
      <w:r w:rsidRPr="00AD2F44">
        <w:rPr>
          <w:vertAlign w:val="superscript"/>
        </w:rPr>
        <w:footnoteRef/>
      </w:r>
      <w:r w:rsidRPr="00AD2F44">
        <w:rPr>
          <w:i/>
          <w:iCs/>
        </w:rPr>
        <w:t>See, e.g.,</w:t>
      </w:r>
    </w:p>
    <w:p w14:paraId="4A272209" w14:textId="77777777" w:rsidR="00721CCF" w:rsidRPr="00AD2F44" w:rsidRDefault="00F42107">
      <w:pPr>
        <w:pStyle w:val="14Footnote"/>
      </w:pPr>
      <w:r w:rsidRPr="00AD2F44">
        <w:rPr>
          <w:i/>
          <w:iCs/>
        </w:rPr>
        <w:t>First Circuit:</w:t>
      </w:r>
      <w:r w:rsidRPr="00AD2F44">
        <w:t xml:space="preserve"> Curtis v. Scholarship Storage Inc., 2015 WL 1241365, at *6 (D. Me. Mar. 18, 2015).</w:t>
      </w:r>
    </w:p>
    <w:p w14:paraId="5A519D97" w14:textId="77777777" w:rsidR="00721CCF" w:rsidRPr="00AD2F44" w:rsidRDefault="00F42107">
      <w:pPr>
        <w:pStyle w:val="14Footnote"/>
      </w:pPr>
      <w:r w:rsidRPr="00AD2F44">
        <w:rPr>
          <w:i/>
          <w:iCs/>
        </w:rPr>
        <w:t>Second Circuit:</w:t>
      </w:r>
      <w:r w:rsidRPr="00AD2F44">
        <w:t xml:space="preserve"> Ayers v. SGS Control Servs., Inc., 2004 WL 2978296, at *2 (S.D.N.Y. Dec. 21, 2004) (language should be “fair and balanced”).</w:t>
      </w:r>
    </w:p>
    <w:p w14:paraId="0817A065" w14:textId="77777777" w:rsidR="00721CCF" w:rsidRPr="00AD2F44" w:rsidRDefault="00F42107">
      <w:pPr>
        <w:pStyle w:val="14Footnote"/>
      </w:pPr>
      <w:r w:rsidRPr="00AD2F44">
        <w:rPr>
          <w:i/>
          <w:iCs/>
        </w:rPr>
        <w:t>Third Circuit:</w:t>
      </w:r>
      <w:r w:rsidRPr="00AD2F44">
        <w:t xml:space="preserve"> Zanes v. Flagship Resort Dev., 2010 WL 4687814, at *5 (D.N.J. Nov. 9, 2010) (rejecting defendant’s request that any court-authorized notice “make explicit reference to the import and consequence of the relevant statutory exemptions,” finding that “[t]he statutory exemptions are complex and defined by lengthy federal regulations and substantial case law”); </w:t>
      </w:r>
      <w:r w:rsidRPr="00AD2F44">
        <w:t>Camesi v. University of Pittsburgh Med. Ctr., 2009 WL 1652216 (W.D. Pa. June 10, 2009) (approving the use of the Federal Judiciary Center’s (FJC’s) model notice forms, finding that the format and content of the FJC’s model notices facilitate the communication of complex legal issues in an easily readable and understandable fashion).</w:t>
      </w:r>
    </w:p>
    <w:p w14:paraId="0D7103CF" w14:textId="77777777" w:rsidR="00721CCF" w:rsidRPr="00AD2F44" w:rsidRDefault="00F42107">
      <w:pPr>
        <w:pStyle w:val="14Footnote"/>
      </w:pPr>
      <w:r w:rsidRPr="00AD2F44">
        <w:rPr>
          <w:i/>
          <w:iCs/>
        </w:rPr>
        <w:t>Fourth Circuit:</w:t>
      </w:r>
      <w:r w:rsidRPr="00AD2F44">
        <w:t xml:space="preserve"> Byard v. Verizon W. Va., Inc., 287 F.R.D. 365, 372–73 (N.D. W. Va. 2012) (ordering the plaintiff to modify the proposed notice to be less confusing).</w:t>
      </w:r>
    </w:p>
    <w:p w14:paraId="43ABC9C1" w14:textId="77777777" w:rsidR="00721CCF" w:rsidRPr="00AD2F44" w:rsidRDefault="00F42107">
      <w:pPr>
        <w:pStyle w:val="14Footnote"/>
      </w:pPr>
      <w:r w:rsidRPr="00AD2F44">
        <w:rPr>
          <w:i/>
          <w:iCs/>
        </w:rPr>
        <w:t>Sixth Circuit:</w:t>
      </w:r>
      <w:r w:rsidRPr="00AD2F44">
        <w:t xml:space="preserve"> Swallows v. City of Brentwood, 2007 WL 2402735, at *3 (M.D. Tenn. Aug. 20, 2007) (“Counsel for the parties are expected to formulate an agreed-notice which is neutral in tone … .”); Baden-Winterwood v. Life Time Fitness, 2006 WL 2225825, at *3 (S.D. Ohio Aug. 2, 2006) (selecting defendant’s proposed notice, since it clearly informed the potential plaintiffs of the “who, why, when, where, and how,” used “plain English and contain[ed], in an organized manner, all of the information a prospective plaintiff needs to know in order to make an informed decision about whether to complete and return the consent form”).</w:t>
      </w:r>
    </w:p>
    <w:p w14:paraId="3067DBBD" w14:textId="77777777" w:rsidR="00721CCF" w:rsidRPr="00AD2F44" w:rsidRDefault="00F42107">
      <w:pPr>
        <w:pStyle w:val="14Footnote"/>
      </w:pPr>
      <w:r w:rsidRPr="00AD2F44">
        <w:rPr>
          <w:i/>
          <w:iCs/>
        </w:rPr>
        <w:t>Seventh Circuit:</w:t>
      </w:r>
      <w:r w:rsidRPr="00AD2F44">
        <w:t xml:space="preserve"> Garcia v. Elite Labor Serv., Ltd., 1996 WL 33500122, at *3 (N.D. Ill. July 11, 1996) (“Class notices must contain neutral, clear and understandable language in order to be valid.”).</w:t>
      </w:r>
    </w:p>
    <w:p w14:paraId="1B65A759" w14:textId="77777777" w:rsidR="00721CCF" w:rsidRPr="00AD2F44" w:rsidRDefault="00F42107">
      <w:pPr>
        <w:pStyle w:val="14Footnote"/>
      </w:pPr>
      <w:r w:rsidRPr="00AD2F44">
        <w:rPr>
          <w:i/>
          <w:iCs/>
        </w:rPr>
        <w:t>Ninth Circuit:</w:t>
      </w:r>
      <w:r w:rsidRPr="00AD2F44">
        <w:t xml:space="preserve"> Mowdy v. Beneto Bulk Transp., 2008 WL 901546, at *10 (N.D. Cal. Mar. 31, 2008) (stating the purpose of notice is to provide a “neutral” discussion and noting the court’s concern with “ensuring that any notice sent out is clear and understandable”); Gerlach v. Wells Fargo &amp; Co., 2006 WL 824652, at *4 (N.D. Cal. Mar. 28, 2006) (rejecting defendants’ four-sentence description of the lawsuit as inadequate and criticizing plaintiffs’ description as “one-sided and argumentative”).</w:t>
      </w:r>
    </w:p>
    <w:p w14:paraId="25D1B1F6" w14:textId="3B24F67B" w:rsidR="00721CCF" w:rsidRPr="00AD2F44" w:rsidRDefault="00F42107">
      <w:pPr>
        <w:pStyle w:val="14Footnote"/>
      </w:pPr>
      <w:r w:rsidRPr="00AD2F44">
        <w:rPr>
          <w:i/>
          <w:iCs/>
        </w:rPr>
        <w:t xml:space="preserve">Tenth Circuit: </w:t>
      </w:r>
      <w:r w:rsidRPr="00AD2F44">
        <w:t>Pack v. Investools, Inc., 2011 WL 5325290, at *1, 3 (D. Utah Nov. 3, 2011) (rejecting argument that use of term “class action” would be confusing to laypeople, especially given its interchangeable use with collective action by practitioners and commentators; modifying plaintiffs’ proposed phrase “right to join” with “your participation in a lawsuit” regarding FLSA, because “right to join” implied entitlement to participate and potentially raised false hopes of financial recovery).</w:t>
      </w:r>
    </w:p>
    <w:p w14:paraId="78A4FFC8" w14:textId="77777777" w:rsidR="00721CCF" w:rsidRPr="00AD2F44" w:rsidRDefault="00F42107">
      <w:pPr>
        <w:pStyle w:val="14Footnote"/>
      </w:pPr>
      <w:r w:rsidRPr="00AD2F44">
        <w:rPr>
          <w:i/>
          <w:iCs/>
        </w:rPr>
        <w:t>Eleventh Circuit:</w:t>
      </w:r>
      <w:r w:rsidRPr="00AD2F44">
        <w:t xml:space="preserve"> Wajcman v. Hartman &amp; Tyner, Inc., 2008 WL 203579, at *2 (S.D. Fla. Jan. 23, 2008) (adopting defendant’s notice since it was “more neutral in its tone and therefore more appropriate”).</w:t>
      </w:r>
    </w:p>
    <w:p w14:paraId="6CF59E8E" w14:textId="77777777" w:rsidR="00721CCF" w:rsidRPr="00AD2F44" w:rsidRDefault="00F42107">
      <w:pPr>
        <w:pStyle w:val="14Footnote"/>
      </w:pPr>
      <w:r w:rsidRPr="00AD2F44">
        <w:t xml:space="preserve">Courts have found too much legal jargon to be confusing, but have also rejected oversimplified notices as inadequate. </w:t>
      </w:r>
      <w:r w:rsidRPr="00AD2F44">
        <w:rPr>
          <w:i/>
          <w:iCs/>
        </w:rPr>
        <w:t>See</w:t>
      </w:r>
      <w:r w:rsidRPr="00AD2F44">
        <w:t xml:space="preserve"> Bifulco v. Mortgage Zone Inc., 262 F.R.D. 209 (E.D.N.Y. Nov. 9, 2009) (finding the use of the word “class” potentially confusing and requiring amendment to “collective”). </w:t>
      </w:r>
      <w:r w:rsidRPr="00AD2F44">
        <w:rPr>
          <w:i/>
          <w:iCs/>
        </w:rPr>
        <w:t>Compare</w:t>
      </w:r>
      <w:r w:rsidRPr="00AD2F44">
        <w:t xml:space="preserve"> Garcia v. Elite Labor Serv., Ltd., 1996 WL 33500122, at *3 (N.D. Ill. July 11, 1996) (rejecting proposed notice that incorporated legal terminology as potentially confusing to members of putative class of day laborers), </w:t>
      </w:r>
      <w:r w:rsidRPr="00AD2F44">
        <w:rPr>
          <w:i/>
          <w:iCs/>
        </w:rPr>
        <w:t>with</w:t>
      </w:r>
      <w:r w:rsidRPr="00AD2F44">
        <w:t xml:space="preserve"> Gerlach v. Wells Fargo &amp; Co., 2006 WL 824652, at *4 (N.D. Cal. Mar. 28, 2006) (rejecting defendants’ four-sentence description of the lawsuit as inadequate).</w:t>
      </w:r>
    </w:p>
  </w:footnote>
  <w:footnote w:id="349">
    <w:p w14:paraId="25D09404" w14:textId="77777777" w:rsidR="00721CCF" w:rsidRPr="00AD2F44" w:rsidRDefault="00F42107">
      <w:pPr>
        <w:pStyle w:val="14Footnote"/>
      </w:pPr>
      <w:r w:rsidRPr="00AD2F44">
        <w:rPr>
          <w:vertAlign w:val="superscript"/>
        </w:rPr>
        <w:footnoteRef/>
      </w:r>
      <w:r w:rsidRPr="00AD2F44">
        <w:rPr>
          <w:i/>
          <w:iCs/>
        </w:rPr>
        <w:t>See, e.g.,</w:t>
      </w:r>
    </w:p>
    <w:p w14:paraId="4DCB1C9E" w14:textId="3CB8C6D9" w:rsidR="00721CCF" w:rsidRPr="00AD2F44" w:rsidRDefault="00F42107">
      <w:pPr>
        <w:pStyle w:val="14Footnote"/>
      </w:pPr>
      <w:r w:rsidRPr="00AD2F44">
        <w:rPr>
          <w:i/>
          <w:iCs/>
        </w:rPr>
        <w:t>Second Circuit:</w:t>
      </w:r>
      <w:r w:rsidRPr="00AD2F44">
        <w:t xml:space="preserve"> Nyarko v. M&amp;A Projects Restoration Inc., 2021 BL 345815, 2021 WL 4755602 (E.D.N.Y. Sept. 13, 2021) (allowing, without objection, notation in notice translated into native language of non-English-speaking groups that allowed request for translated notice and consent form); Gortat v. Capala Bros., 2010 WL 1423018, at *12 (E.D.N.Y. Apr. 9, 2010), </w:t>
      </w:r>
      <w:r w:rsidRPr="00AD2F44">
        <w:rPr>
          <w:i/>
          <w:iCs/>
        </w:rPr>
        <w:t>aff’d sub nom.</w:t>
      </w:r>
      <w:r w:rsidRPr="00AD2F44">
        <w:t xml:space="preserve"> Gortat v. Capala Bros., Inc., 568 F. </w:t>
      </w:r>
      <w:r w:rsidRPr="00AD2F44">
        <w:t>App’x 78 (2d Cir. 2014) (approving publication in Polish language newspaper); Diaz v. S &amp; H Bondi’s Dep’t Store, 2012 WL 137460, at *8 (S.D.N.Y. Jan. 18, 2012) (ordering notice be provided in English and Spanish); Cuzco v. Orion Builders, Inc., 477 F. Supp. 2d 628, 632 (S.D.N.Y. 2007) (directing distribution of notice in English and Spanish but declining to order distribution in additional languages); Sobczak v. AWL Indus., Inc., 540 F. Supp. 2d 354 (E.D.N.Y. 2007); Gjurovich v. Emmanuel’s Marketplace, Inc., 282 F. Supp. 2d 101, 108 (S.D.N.Y. 2003) (ordering translation of notice if a “substantial number (25 percent or more) of potential plaintiffs speak a language other than English”); Roebuck v. Hudson Valley Farms, Inc., 239 F. Supp. 2d 234, 240 (N.D.N.Y. 2002).</w:t>
      </w:r>
    </w:p>
    <w:p w14:paraId="0415B7F6" w14:textId="77777777" w:rsidR="00721CCF" w:rsidRPr="00AD2F44" w:rsidRDefault="00F42107">
      <w:pPr>
        <w:pStyle w:val="14Footnote"/>
      </w:pPr>
      <w:r w:rsidRPr="00AD2F44">
        <w:rPr>
          <w:i/>
          <w:iCs/>
        </w:rPr>
        <w:t>Third Circuit:</w:t>
      </w:r>
      <w:r w:rsidRPr="00AD2F44">
        <w:t xml:space="preserve"> De Asencio v. Tyson Foods, Inc., 130 F. Supp. 2d 660 (E.D. Pa. 2001).</w:t>
      </w:r>
    </w:p>
    <w:p w14:paraId="503F14AF" w14:textId="77777777" w:rsidR="00721CCF" w:rsidRPr="00AD2F44" w:rsidRDefault="00F42107">
      <w:pPr>
        <w:pStyle w:val="14Footnote"/>
      </w:pPr>
      <w:r w:rsidRPr="00AD2F44">
        <w:rPr>
          <w:i/>
          <w:iCs/>
        </w:rPr>
        <w:t>Fourth Circuit:</w:t>
      </w:r>
      <w:r w:rsidRPr="00AD2F44">
        <w:t xml:space="preserve"> McLaurin v. Prestage Foods, Inc., 271 F.R.D. 465, 479 (E.D.N.C. 2010) (“The parties shall submit English and Spanish versions of the class notice and appropriate forms, with the Spanish translation prepared by an individual certified as a Spanish–English Federal Court Interpreter by the Administrative Office of the United States Courts.”).</w:t>
      </w:r>
    </w:p>
    <w:p w14:paraId="1F095FE2" w14:textId="77777777" w:rsidR="00721CCF" w:rsidRPr="00AD2F44" w:rsidRDefault="00F42107">
      <w:pPr>
        <w:pStyle w:val="14Footnote"/>
      </w:pPr>
      <w:r w:rsidRPr="00AD2F44">
        <w:rPr>
          <w:i/>
          <w:iCs/>
        </w:rPr>
        <w:t>Fifth Circuit:</w:t>
      </w:r>
      <w:r w:rsidRPr="00AD2F44">
        <w:t xml:space="preserve"> Albanil v. Coast 2 Coast, Inc., 2008 WL 4937565 (S.D. Tex. Nov. 17, 2008); Lima v. International Catastrophe Sols., Inc., 493 F. Supp. 2d 793 (E.D. La. 2007) (ordering publication of notice in certain Portuguese, Spanish, and English language newspapers along the Gulf Coast and through certain foreign consulates and embassies); Aguilar v. Complete Landsculpture, Inc., 2004 WL 2293842 (N.D. Tex. Oct. 7, 2004); De La Rosa Ortiz v. Rain King, Inc., 2003 WL 23741409 (S.D. Tex. Mar. 10, 2003).</w:t>
      </w:r>
    </w:p>
    <w:p w14:paraId="45B02091" w14:textId="77777777" w:rsidR="00721CCF" w:rsidRPr="00AD2F44" w:rsidRDefault="00F42107">
      <w:pPr>
        <w:pStyle w:val="14Footnote"/>
      </w:pPr>
      <w:r w:rsidRPr="00AD2F44">
        <w:rPr>
          <w:i/>
          <w:iCs/>
        </w:rPr>
        <w:t>Sixth Circuit:</w:t>
      </w:r>
      <w:r w:rsidRPr="00AD2F44">
        <w:t xml:space="preserve"> Dillworth v. Case Farms Processing, Inc., 2010 WL 776933, at *1 (N.D. Ohio Mar. 8, 2010) (notice provided in Spanish and English); Roslies-Perez v. Superior Forestry Serv., Inc., 652 F. Supp. 2d 887, 900 (M.D. Tenn. 2009) (same).</w:t>
      </w:r>
    </w:p>
    <w:p w14:paraId="10DE2EC0" w14:textId="77777777" w:rsidR="00721CCF" w:rsidRPr="00AD2F44" w:rsidRDefault="00F42107">
      <w:pPr>
        <w:pStyle w:val="14Footnote"/>
      </w:pPr>
      <w:r w:rsidRPr="00AD2F44">
        <w:rPr>
          <w:i/>
          <w:iCs/>
        </w:rPr>
        <w:t>Seventh Circuit:</w:t>
      </w:r>
      <w:r w:rsidRPr="00AD2F44">
        <w:t xml:space="preserve"> Dominguez v. Don Pedro Rest., 2007 WL 271567 (N.D. Ind. Jan. 25, 2007).</w:t>
      </w:r>
    </w:p>
    <w:p w14:paraId="36B42795" w14:textId="77777777" w:rsidR="00721CCF" w:rsidRPr="00AD2F44" w:rsidRDefault="00F42107">
      <w:pPr>
        <w:pStyle w:val="14Footnote"/>
      </w:pPr>
      <w:r w:rsidRPr="00AD2F44">
        <w:rPr>
          <w:i/>
          <w:iCs/>
        </w:rPr>
        <w:t>Eighth Circuit:</w:t>
      </w:r>
      <w:r w:rsidRPr="00AD2F44">
        <w:t xml:space="preserve"> Martinez v. Cargill Meat Sols., 265 F.R.D. 490, 502 (D. Neb. 2009); Perez-Benites v. Candy Brand, LLC, 2008 WL 4809105 (W.D. Ark. Oct. 31, 2008); </w:t>
      </w:r>
      <w:r w:rsidRPr="00AD2F44">
        <w:rPr>
          <w:i/>
          <w:iCs/>
        </w:rPr>
        <w:t>In re</w:t>
      </w:r>
      <w:r w:rsidRPr="00AD2F44">
        <w:t xml:space="preserve"> Pilgrim’s Pride Fair Labor Standards Act Litig., 2008 WL 2061265 (W.D. Ark. May 14, 2008).</w:t>
      </w:r>
    </w:p>
    <w:p w14:paraId="385F62EF" w14:textId="77777777" w:rsidR="00721CCF" w:rsidRPr="00AD2F44" w:rsidRDefault="00F42107">
      <w:pPr>
        <w:pStyle w:val="14Footnote"/>
      </w:pPr>
      <w:r w:rsidRPr="00AD2F44">
        <w:rPr>
          <w:i/>
          <w:iCs/>
        </w:rPr>
        <w:t>Ninth Circuit:</w:t>
      </w:r>
      <w:r w:rsidRPr="00AD2F44">
        <w:t xml:space="preserve"> Does I v. Advance Textile Corp., 2001 WL 1773179 (D.N. Mar. I. Oct. 16, 2001).</w:t>
      </w:r>
    </w:p>
    <w:p w14:paraId="3E634291" w14:textId="77777777" w:rsidR="00721CCF" w:rsidRPr="00AD2F44" w:rsidRDefault="00F42107">
      <w:pPr>
        <w:pStyle w:val="14Footnote"/>
      </w:pPr>
      <w:r w:rsidRPr="00AD2F44">
        <w:rPr>
          <w:i/>
          <w:iCs/>
        </w:rPr>
        <w:t>Tenth Circuit:</w:t>
      </w:r>
      <w:r w:rsidRPr="00AD2F44">
        <w:t xml:space="preserve"> Sanchez v. Creekstone Farms Premium Beef, LLC, 2012 WL 380279, at *3 (D. Kan. Feb. 6, 2012) (ordering conspicuous posting of the notice in both English and Spanish).</w:t>
      </w:r>
    </w:p>
    <w:p w14:paraId="00FD830E" w14:textId="77777777" w:rsidR="00721CCF" w:rsidRPr="00AD2F44" w:rsidRDefault="00F42107">
      <w:pPr>
        <w:pStyle w:val="14Footnote"/>
      </w:pPr>
      <w:r w:rsidRPr="00AD2F44">
        <w:rPr>
          <w:i/>
          <w:iCs/>
        </w:rPr>
        <w:t>Eleventh Circuit:</w:t>
      </w:r>
      <w:r w:rsidRPr="00AD2F44">
        <w:t xml:space="preserve"> Hernandez v. Two Bros. Farm, LLC, 2008 WL 4613069 (S.D. Fla. Oct. 15, 2008) (ordering posting of notice in Spanish, Creole, and English)</w:t>
      </w:r>
    </w:p>
  </w:footnote>
  <w:footnote w:id="350">
    <w:p w14:paraId="1899636A" w14:textId="77777777" w:rsidR="00721CCF" w:rsidRPr="00AD2F44" w:rsidRDefault="00F42107">
      <w:pPr>
        <w:pStyle w:val="14Footnote"/>
      </w:pPr>
      <w:r w:rsidRPr="00AD2F44">
        <w:rPr>
          <w:vertAlign w:val="superscript"/>
        </w:rPr>
        <w:footnoteRef/>
      </w:r>
      <w:r w:rsidRPr="00AD2F44">
        <w:rPr>
          <w:i/>
          <w:iCs/>
        </w:rPr>
        <w:t>See, e.g.,</w:t>
      </w:r>
    </w:p>
    <w:p w14:paraId="4F879D3E" w14:textId="533A79AE" w:rsidR="00721CCF" w:rsidRPr="00AD2F44" w:rsidRDefault="00F42107">
      <w:pPr>
        <w:pStyle w:val="14Footnote"/>
      </w:pPr>
      <w:r w:rsidRPr="00AD2F44">
        <w:rPr>
          <w:i/>
          <w:iCs/>
        </w:rPr>
        <w:t>Second Circuit:</w:t>
      </w:r>
      <w:r w:rsidRPr="00AD2F44">
        <w:t xml:space="preserve"> </w:t>
      </w:r>
      <w:r>
        <w:t xml:space="preserve">Zimnicki v. Krysiak Constr. Corp., </w:t>
      </w:r>
      <w:r w:rsidR="00443BBD" w:rsidRPr="00443BBD">
        <w:t>2022 BL 459417</w:t>
      </w:r>
      <w:r w:rsidR="00443BBD">
        <w:t xml:space="preserve">, </w:t>
      </w:r>
      <w:r w:rsidR="00AD0C2E" w:rsidRPr="00AD0C2E">
        <w:t xml:space="preserve">2022 WL 17820139 </w:t>
      </w:r>
      <w:r>
        <w:t xml:space="preserve">(E.D.N.Y. Sept. 27, 2022); </w:t>
      </w:r>
      <w:r w:rsidRPr="00AD2F44">
        <w:t>Hernandez v. Immortal Rise, Inc., 2012 WL 4369746, at *7–8 (E.D.N.Y. Sept. 24, 2012).</w:t>
      </w:r>
    </w:p>
    <w:p w14:paraId="20A840A9" w14:textId="77777777" w:rsidR="00721CCF" w:rsidRPr="00AD2F44" w:rsidRDefault="00F42107">
      <w:pPr>
        <w:pStyle w:val="14Footnote"/>
      </w:pPr>
      <w:r w:rsidRPr="00AD2F44">
        <w:rPr>
          <w:i/>
          <w:iCs/>
        </w:rPr>
        <w:t>Third Circuit:</w:t>
      </w:r>
      <w:r w:rsidRPr="00AD2F44">
        <w:t xml:space="preserve"> Stillman v. Staples, Inc., 2008 WL 1843998 (D.N.J. Apr. 22, 2008).</w:t>
      </w:r>
    </w:p>
    <w:p w14:paraId="71C54931" w14:textId="77777777" w:rsidR="00721CCF" w:rsidRPr="00AD2F44" w:rsidRDefault="00F42107">
      <w:pPr>
        <w:pStyle w:val="14Footnote"/>
      </w:pPr>
      <w:r w:rsidRPr="00AD2F44">
        <w:rPr>
          <w:i/>
          <w:iCs/>
        </w:rPr>
        <w:t>Eighth Circuit:</w:t>
      </w:r>
      <w:r w:rsidRPr="00AD2F44">
        <w:t xml:space="preserve"> Halsey v. Casino One Corp., 2012 WL 6200531, at *5 (E.D. Mo. Dec. 12, 2012); Martinez v. Cargill Meat Sols., 265 F.R.D. 490, 500 (D. Neb. 2009).</w:t>
      </w:r>
    </w:p>
    <w:p w14:paraId="3895C6AD" w14:textId="77777777" w:rsidR="00721CCF" w:rsidRPr="00AD2F44" w:rsidRDefault="00F42107">
      <w:pPr>
        <w:pStyle w:val="14Footnote"/>
      </w:pPr>
      <w:r w:rsidRPr="00AD2F44">
        <w:rPr>
          <w:i/>
          <w:iCs/>
        </w:rPr>
        <w:t>Tenth Circuit:</w:t>
      </w:r>
      <w:r w:rsidRPr="00AD2F44">
        <w:t xml:space="preserve"> Clayton v. Velociti, Inc., 2009 WL 304190 (D. Kan. Feb. 9, 2009) (slip op.).</w:t>
      </w:r>
    </w:p>
    <w:p w14:paraId="64F3A7A6" w14:textId="77777777" w:rsidR="00721CCF" w:rsidRPr="00AD2F44" w:rsidRDefault="00F42107">
      <w:pPr>
        <w:pStyle w:val="14Footnote"/>
      </w:pPr>
      <w:r w:rsidRPr="00AD2F44">
        <w:rPr>
          <w:i/>
          <w:iCs/>
        </w:rPr>
        <w:t>D.C. Circuit:</w:t>
      </w:r>
      <w:r w:rsidRPr="00AD2F44">
        <w:t xml:space="preserve"> Robinson–Smith v. Government Emps. Ins. Co., 424 F. Supp. 2d 117, 121 (D.D.C. 2006)</w:t>
      </w:r>
    </w:p>
  </w:footnote>
  <w:footnote w:id="351">
    <w:p w14:paraId="72736C1C" w14:textId="77777777" w:rsidR="00721CCF" w:rsidRPr="00AD2F44" w:rsidRDefault="00F42107">
      <w:pPr>
        <w:pStyle w:val="14Footnote"/>
      </w:pPr>
      <w:r w:rsidRPr="00AD2F44">
        <w:rPr>
          <w:vertAlign w:val="superscript"/>
        </w:rPr>
        <w:footnoteRef/>
      </w:r>
      <w:r w:rsidRPr="00AD2F44">
        <w:rPr>
          <w:i/>
          <w:iCs/>
        </w:rPr>
        <w:t>See, e.g.,</w:t>
      </w:r>
    </w:p>
    <w:p w14:paraId="51076216" w14:textId="77777777" w:rsidR="00721CCF" w:rsidRPr="00AD2F44" w:rsidRDefault="00F42107">
      <w:pPr>
        <w:pStyle w:val="14Footnote"/>
      </w:pPr>
      <w:r w:rsidRPr="00AD2F44">
        <w:rPr>
          <w:i/>
          <w:iCs/>
        </w:rPr>
        <w:t>Second Circuit:</w:t>
      </w:r>
      <w:r w:rsidRPr="00AD2F44">
        <w:t xml:space="preserve"> Iriarte v. Redwood Deli &amp; Catering, Inc., 2008 WL 2622929 (E.D.N.Y. June 30, 2008); Sobczak v. AWL Indus., Inc., 540 F. Supp. 2d 354 (E.D.N.Y. 2007); Masson v. Ecolab, Inc., 2005 WL 2000133 (S.D.N.Y. Aug. 17, 2005); </w:t>
      </w:r>
      <w:r w:rsidRPr="00AD2F44">
        <w:t>Gjurovich v. Emmanuel’s Marketplace, Inc., 282 F. Supp. 2d 101 (S.D.N.Y. 2003).</w:t>
      </w:r>
    </w:p>
    <w:p w14:paraId="234ABFD5" w14:textId="77777777" w:rsidR="00721CCF" w:rsidRPr="00AD2F44" w:rsidRDefault="00F42107">
      <w:pPr>
        <w:pStyle w:val="14Footnote"/>
      </w:pPr>
      <w:r w:rsidRPr="00AD2F44">
        <w:rPr>
          <w:i/>
          <w:iCs/>
        </w:rPr>
        <w:t>Fifth Circuit:</w:t>
      </w:r>
      <w:r w:rsidRPr="00AD2F44">
        <w:t xml:space="preserve"> Camp v. Progressive Corp., 2002 WL 31496661 (E.D. La. Nov. 8, 2002).</w:t>
      </w:r>
    </w:p>
    <w:p w14:paraId="05AE200E" w14:textId="77777777" w:rsidR="00721CCF" w:rsidRPr="00AD2F44" w:rsidRDefault="00F42107">
      <w:pPr>
        <w:pStyle w:val="14Footnote"/>
      </w:pPr>
      <w:r w:rsidRPr="00AD2F44">
        <w:rPr>
          <w:i/>
          <w:iCs/>
        </w:rPr>
        <w:t>Sixth Circuit:</w:t>
      </w:r>
      <w:r w:rsidRPr="00AD2F44">
        <w:t xml:space="preserve"> Belcher v. Shoney’s, Inc., 927 F. Supp. 249, 252–55 (M.D. Tenn. 1996).</w:t>
      </w:r>
    </w:p>
    <w:p w14:paraId="04106C1E" w14:textId="77777777" w:rsidR="00721CCF" w:rsidRPr="00AD2F44" w:rsidRDefault="00F42107">
      <w:pPr>
        <w:pStyle w:val="14Footnote"/>
      </w:pPr>
      <w:r w:rsidRPr="00AD2F44">
        <w:rPr>
          <w:i/>
          <w:iCs/>
        </w:rPr>
        <w:t>Seventh Circuit:</w:t>
      </w:r>
      <w:r w:rsidRPr="00AD2F44">
        <w:t xml:space="preserve"> Bontempo v. Metro Networks Commc’ns Ltd. P’ship, 2002 WL 1925911 (N.D. Ill. May 3, 2002).</w:t>
      </w:r>
    </w:p>
    <w:p w14:paraId="051062C4" w14:textId="77777777" w:rsidR="00721CCF" w:rsidRPr="00AD2F44" w:rsidRDefault="00F42107">
      <w:pPr>
        <w:pStyle w:val="14Footnote"/>
      </w:pPr>
      <w:r w:rsidRPr="00AD2F44">
        <w:rPr>
          <w:i/>
          <w:iCs/>
        </w:rPr>
        <w:t>Ninth Circuit:</w:t>
      </w:r>
      <w:r w:rsidRPr="00AD2F44">
        <w:t xml:space="preserve"> Lemus v. Burnham Painting &amp; Drywall Corp., 2007 WL 1875540 (D. Nev. June 25, 2007).</w:t>
      </w:r>
    </w:p>
    <w:p w14:paraId="60A99E97" w14:textId="77777777" w:rsidR="00721CCF" w:rsidRPr="00AD2F44" w:rsidRDefault="00F42107">
      <w:pPr>
        <w:pStyle w:val="14Footnote"/>
      </w:pPr>
      <w:r w:rsidRPr="00AD2F44">
        <w:rPr>
          <w:i/>
          <w:iCs/>
        </w:rPr>
        <w:t>Tenth Circuit:</w:t>
      </w:r>
      <w:r w:rsidRPr="00AD2F44">
        <w:t xml:space="preserve"> Reab v. Electronic Arts, Inc., 214 F.R.D. 623, 629 (D. Colo. 2002).</w:t>
      </w:r>
    </w:p>
    <w:p w14:paraId="6635F932" w14:textId="5E071585" w:rsidR="00721CCF" w:rsidRPr="00AD2F44" w:rsidRDefault="00F42107">
      <w:pPr>
        <w:pStyle w:val="14Footnote"/>
      </w:pPr>
      <w:r w:rsidRPr="00AD2F44">
        <w:rPr>
          <w:i/>
          <w:iCs/>
        </w:rPr>
        <w:t>Federal Circuit:</w:t>
      </w:r>
      <w:r w:rsidRPr="00AD2F44">
        <w:t xml:space="preserve"> Whalen v. United States, 85 Fed. Cl. 380 (Fed. Cl. 2009).</w:t>
      </w:r>
    </w:p>
  </w:footnote>
  <w:footnote w:id="352">
    <w:p w14:paraId="3FA5D40C" w14:textId="77777777" w:rsidR="00721CCF" w:rsidRPr="00AD2F44" w:rsidRDefault="00F42107">
      <w:pPr>
        <w:pStyle w:val="14Footnote"/>
      </w:pPr>
      <w:r w:rsidRPr="00AD2F44">
        <w:rPr>
          <w:vertAlign w:val="superscript"/>
        </w:rPr>
        <w:footnoteRef/>
      </w:r>
      <w:r w:rsidRPr="00AD2F44">
        <w:rPr>
          <w:i/>
          <w:iCs/>
        </w:rPr>
        <w:t>See</w:t>
      </w:r>
      <w:r w:rsidRPr="00AD2F44">
        <w:t xml:space="preserve"> Rosario v. Valentine Ave. Discount Store, Co., 828 F. Supp. 2d 508, 520 (E.D.N.Y. 2011) (collecting cases from New York federal district courts); </w:t>
      </w:r>
      <w:r w:rsidRPr="00AD2F44">
        <w:rPr>
          <w:i/>
          <w:iCs/>
        </w:rPr>
        <w:t>see also</w:t>
      </w:r>
      <w:r w:rsidRPr="00AD2F44">
        <w:t xml:space="preserve"> Bath v. Red Vision Sys., Inc., 2014 WL 2436100, at *7 (D.N.J. May 29, 2014) (finding that such statements have the potential of chilling participation in the collective action).</w:t>
      </w:r>
    </w:p>
  </w:footnote>
  <w:footnote w:id="353">
    <w:p w14:paraId="57C4A4E1" w14:textId="77777777" w:rsidR="00721CCF" w:rsidRPr="00AD2F44" w:rsidRDefault="00F42107">
      <w:pPr>
        <w:pStyle w:val="14Footnote"/>
      </w:pPr>
      <w:r w:rsidRPr="00AD2F44">
        <w:rPr>
          <w:vertAlign w:val="superscript"/>
        </w:rPr>
        <w:footnoteRef/>
      </w:r>
      <w:r w:rsidRPr="00AD2F44">
        <w:rPr>
          <w:i/>
          <w:iCs/>
        </w:rPr>
        <w:t>See, e.g.,</w:t>
      </w:r>
    </w:p>
    <w:p w14:paraId="2DF62162" w14:textId="65F01D5E" w:rsidR="00721CCF" w:rsidRPr="003B2A44" w:rsidRDefault="00F42107">
      <w:pPr>
        <w:pStyle w:val="14Footnote"/>
      </w:pPr>
      <w:r w:rsidRPr="00AD2F44">
        <w:rPr>
          <w:i/>
          <w:iCs/>
        </w:rPr>
        <w:t>Second Circuit:</w:t>
      </w:r>
      <w:r w:rsidRPr="00AD2F44">
        <w:t xml:space="preserve"> </w:t>
      </w:r>
      <w:r w:rsidRPr="00E64B4B">
        <w:t>Rodney v. Casella Waste Sys., Inc</w:t>
      </w:r>
      <w:r w:rsidRPr="00A25B5B">
        <w:t>.,</w:t>
      </w:r>
      <w:r w:rsidRPr="002F69CA">
        <w:rPr>
          <w:rFonts w:eastAsiaTheme="minorEastAsia"/>
          <w:color w:val="3D3D3D"/>
          <w:sz w:val="22"/>
          <w:szCs w:val="22"/>
          <w:shd w:val="clear" w:color="auto" w:fill="FFFFFF"/>
        </w:rPr>
        <w:t xml:space="preserve"> </w:t>
      </w:r>
      <w:r w:rsidR="00A25B5B" w:rsidRPr="002F69CA">
        <w:rPr>
          <w:color w:val="3D3D3D"/>
          <w:shd w:val="clear" w:color="auto" w:fill="FFFFFF"/>
        </w:rPr>
        <w:t>2023 BL 17561,</w:t>
      </w:r>
      <w:r w:rsidR="00A25B5B">
        <w:rPr>
          <w:rFonts w:ascii="Source Sans Pro" w:hAnsi="Source Sans Pro"/>
          <w:color w:val="3D3D3D"/>
          <w:shd w:val="clear" w:color="auto" w:fill="FFFFFF"/>
        </w:rPr>
        <w:t xml:space="preserve"> </w:t>
      </w:r>
      <w:r w:rsidRPr="00E64B4B">
        <w:t>2023 WL 313929</w:t>
      </w:r>
      <w:r>
        <w:t xml:space="preserve"> (</w:t>
      </w:r>
      <w:r w:rsidRPr="00E64B4B">
        <w:t>D. Vt. Jan. 19, 2023)</w:t>
      </w:r>
      <w:r>
        <w:t xml:space="preserve"> (permitting inclusion in notice </w:t>
      </w:r>
      <w:r w:rsidR="009F166D">
        <w:t xml:space="preserve">of </w:t>
      </w:r>
      <w:r>
        <w:t xml:space="preserve">defendant’s Motor Carrier Act exemption defense); Pierre v. City of New York, </w:t>
      </w:r>
      <w:r w:rsidR="003B2A44" w:rsidRPr="003B2A44">
        <w:t>2022 BL 342037</w:t>
      </w:r>
      <w:r w:rsidR="003B2A44">
        <w:t xml:space="preserve">, </w:t>
      </w:r>
      <w:r w:rsidR="00AD0C2E" w:rsidRPr="00AD0C2E">
        <w:t>2022 WL 4482295</w:t>
      </w:r>
      <w:r w:rsidR="00AD0C2E">
        <w:t>, at *9</w:t>
      </w:r>
      <w:r>
        <w:t xml:space="preserve"> (S.D.N.Y. Sept. 27, 2022) (allowing statement of denial but refusing to permit defendants to include statement they plan to move for decertification as “confusing and premature”); Zimnicki v. Krysiak Constr. Corp., </w:t>
      </w:r>
      <w:r w:rsidR="003B2A44" w:rsidRPr="00443BBD">
        <w:t>2022 BL 459417</w:t>
      </w:r>
      <w:r w:rsidR="003B2A44">
        <w:t xml:space="preserve">, </w:t>
      </w:r>
      <w:r w:rsidR="00AD0C2E" w:rsidRPr="00AD0C2E">
        <w:t xml:space="preserve">2022 WL 17820139 </w:t>
      </w:r>
      <w:r>
        <w:t xml:space="preserve">(E.D.N.Y. Sept. 27, 2022) (requiring plaintiffs to add general denial by defendants of violating the FLSA); </w:t>
      </w:r>
      <w:r w:rsidRPr="00AD2F44">
        <w:t>Hernandez v. City of N.Y., 2017 WL 2829816, at *8–9 (S.D.N.Y. June 29, 2017) (permitting defendant to include in notice statement that defendant maintains plaintiffs were compensated appropriately and lawsuit was meritless, information about potential discovery obligations of opt-in plaintiffs, language notifying plaintiffs that they could retain their own counsel, and defense counsel’s contact information); Mendoza v. Ashiya Sushi 5, Inc., 2013 WL 5211939 (S.D.N.Y. Sept. 16, 2013); Hernandez v. Merrill Lynch &amp; Co., 2012 WL 1193836, at *5 (S.D.N.Y. Apr. 6, 2012) (permitting defendant to submit language regarding their position in case, with “proportionality as the correct touchstone”); Moore v. Eagle Sanitation, Inc., 276 F.R.D. 54, 60 (E.D.N.Y. 2011) (rejecting defendants’ request for notice to contain specific reference to defense of Motor Carrier Act, explaining notice already contained statement that defendants deny allegations); Sexton v. Franklin First Fin., Ltd., 2009 WL 1706535 (E.D.N.Y. June 16, 2009); Rubery v. Buth-Na-Bodhaige, Inc., 569 F. Supp. 2d 334 (W.D.N.Y. 2008); Roebuck v. Hudson Valley Farms, Inc., 239 F. Supp. 2d 234, 240 (N.D.N.Y. 2002).</w:t>
      </w:r>
    </w:p>
    <w:p w14:paraId="566B77AE" w14:textId="77777777" w:rsidR="00721CCF" w:rsidRPr="00AD2F44" w:rsidRDefault="00F42107">
      <w:pPr>
        <w:pStyle w:val="14Footnote"/>
      </w:pPr>
      <w:r w:rsidRPr="00AD2F44">
        <w:rPr>
          <w:i/>
          <w:iCs/>
        </w:rPr>
        <w:t xml:space="preserve">Third Circuit: </w:t>
      </w:r>
      <w:r w:rsidRPr="00AD2F44">
        <w:t>Kuznyetsov v. West Penn Allegheny Health Sys., Inc., 2009 WL 2145297, at *2 (W.D. Pa. July 15, 2009) (requiring that defendant’s denial of wrongdoing be moved from third page to first page, to make notice more balanced).</w:t>
      </w:r>
    </w:p>
    <w:p w14:paraId="73DB2832" w14:textId="77777777" w:rsidR="00721CCF" w:rsidRPr="00AD2F44" w:rsidRDefault="00F42107">
      <w:pPr>
        <w:pStyle w:val="14Footnote"/>
      </w:pPr>
      <w:r w:rsidRPr="00AD2F44">
        <w:rPr>
          <w:i/>
          <w:iCs/>
        </w:rPr>
        <w:t>Fourth Circuit:</w:t>
      </w:r>
      <w:r w:rsidRPr="00AD2F44">
        <w:t xml:space="preserve"> Byard v. Verizon W. Va., Inc., 287 F.R.D. 365, 373–74 (N.D. W. Va. 2012) (approving statement that “Verizon and Frontier deny the allegations and maintain these individuals were properly paid” and rejecting defendant’s request to include “sample[s] of their legal defenses in order to ‘balance’ the text of the notice.”).</w:t>
      </w:r>
    </w:p>
    <w:p w14:paraId="39A20C23" w14:textId="77777777" w:rsidR="00721CCF" w:rsidRPr="00AD2F44" w:rsidRDefault="00F42107">
      <w:pPr>
        <w:pStyle w:val="14Footnote"/>
      </w:pPr>
      <w:r w:rsidRPr="00AD2F44">
        <w:rPr>
          <w:i/>
          <w:iCs/>
        </w:rPr>
        <w:t>Fifth Circuit:</w:t>
      </w:r>
      <w:r w:rsidRPr="00AD2F44">
        <w:t xml:space="preserve"> Britt v. Mississippi Farm Bureau Cas. Ins. Co., 2019 WL 943404, at *6 (N.D. Miss. Feb. 26, 2019) (granting defendant’s objection to plaintiff’s pro-posed notice because, among other things, the description of defendant’s defense in the notice did not contain a “basis for disputing liability”); Tolentino v. C &amp; J Spec-Rent Servs. Inc., 716 F. Supp. 2d 642, 655 (S.D. Tex. 2010); </w:t>
      </w:r>
      <w:r w:rsidRPr="00AD2F44">
        <w:rPr>
          <w:i/>
          <w:iCs/>
        </w:rPr>
        <w:t>Lima</w:t>
      </w:r>
      <w:r w:rsidRPr="00AD2F44">
        <w:t>, 493 F. Supp. 2d 793.</w:t>
      </w:r>
    </w:p>
    <w:p w14:paraId="18B86BDD" w14:textId="77777777" w:rsidR="00721CCF" w:rsidRPr="00AD2F44" w:rsidRDefault="00F42107">
      <w:pPr>
        <w:pStyle w:val="14Footnote"/>
      </w:pPr>
      <w:r w:rsidRPr="00AD2F44">
        <w:rPr>
          <w:i/>
          <w:iCs/>
        </w:rPr>
        <w:t>Sixth Circuit:</w:t>
      </w:r>
      <w:r w:rsidRPr="00AD2F44">
        <w:t xml:space="preserve"> Gomez v. ERMC Mgmt. Co., LLC, 2014 WL 3053210 (N.D. Ohio July 7, 2014) (approving statement denying liability but excluding additional information (such as good faith defense) as confusing); Bailey v. Youth Vills., Inc., 2008 WL 2987201 (W.D. Tenn. July 30, 2008); Shabazz v. Asurion Ins., 2008 WL 1730318 (M.D. Tenn. Apr. 10, 2008); Swallows v. City of Brentwood, 2007 WL 2402735 (M.D. Tenn. Aug. 20, 2007).</w:t>
      </w:r>
    </w:p>
    <w:p w14:paraId="760ECC42" w14:textId="77777777" w:rsidR="00721CCF" w:rsidRPr="00AD2F44" w:rsidRDefault="00F42107">
      <w:pPr>
        <w:pStyle w:val="14Footnote"/>
      </w:pPr>
      <w:r w:rsidRPr="00AD2F44">
        <w:rPr>
          <w:i/>
          <w:iCs/>
        </w:rPr>
        <w:t>Seventh Circuit:</w:t>
      </w:r>
      <w:r w:rsidRPr="00AD2F44">
        <w:t xml:space="preserve"> Kelly v. Bluegreen Corp., 2009 WL 425809 (W.D. Wis. Feb. 20, 2009); Garcia v. Elite Labor Serv., Ltd., 1996 WL 33500122 (N.D. Ill. July 11, 1996); Allen v. Marshall Field &amp; Co., 93 F.R.D. 438 (N.D. Ill. 1982).</w:t>
      </w:r>
    </w:p>
    <w:p w14:paraId="30BEEB0D" w14:textId="77777777" w:rsidR="00721CCF" w:rsidRPr="00AD2F44" w:rsidRDefault="00F42107">
      <w:pPr>
        <w:pStyle w:val="14Footnote"/>
      </w:pPr>
      <w:r w:rsidRPr="00AD2F44">
        <w:rPr>
          <w:i/>
          <w:iCs/>
        </w:rPr>
        <w:t>Ninth Circuit:</w:t>
      </w:r>
      <w:r w:rsidRPr="00AD2F44">
        <w:t xml:space="preserve"> Barrera v. US Airways Grp., Inc., 2013 WL 4654567, at *8 (D. Ariz. Aug. 30, 2013) (permitting inclusion of “US Airways denies that it violated the FLSA and claims that security guards were properly paid under the carrier by air exemption of the FLSA.”); Gomez v. H&amp;R Gunlund Ranches, Inc., 2010 WL 5232973, at *9–10 (E.D. Cal. Dec. 16, 2010); Mevorah v. Wells Fargo Home Mortg., Inc., 2005 WL 4813532 (N.D. Cal. Nov. 17, 2005).</w:t>
      </w:r>
    </w:p>
    <w:p w14:paraId="274C1AEE" w14:textId="77777777" w:rsidR="00721CCF" w:rsidRPr="00AD2F44" w:rsidRDefault="00F42107">
      <w:pPr>
        <w:pStyle w:val="14Footnote"/>
      </w:pPr>
      <w:r w:rsidRPr="00AD2F44">
        <w:rPr>
          <w:i/>
          <w:iCs/>
        </w:rPr>
        <w:t>Tenth Circuit:</w:t>
      </w:r>
      <w:r w:rsidRPr="00AD2F44">
        <w:t xml:space="preserve"> Wass v. NPC Int’l, Inc., 2011 WL 1118774, at *10 (D. Kan. Mar. 28, 2011) (ordering that notice contain defendant’s position that it denied paying drivers below minimum wage </w:t>
      </w:r>
      <w:r w:rsidRPr="00AD2F44">
        <w:rPr>
          <w:i/>
          <w:iCs/>
        </w:rPr>
        <w:t>and</w:t>
      </w:r>
      <w:r w:rsidRPr="00AD2F44">
        <w:t xml:space="preserve"> that its reimbursements reasonably approximated expenses drivers primarily incurred for its benefit, rather than simply denial of claims); Gieseke v. First Horizon Home Loan Corp., 2006 WL 2919076 (D. Kan. Oct. 11, 2006).</w:t>
      </w:r>
    </w:p>
    <w:p w14:paraId="2DB1E1B2" w14:textId="77777777" w:rsidR="00721CCF" w:rsidRPr="00AD2F44" w:rsidRDefault="00F42107">
      <w:pPr>
        <w:pStyle w:val="14Footnote"/>
      </w:pPr>
      <w:r w:rsidRPr="00AD2F44">
        <w:rPr>
          <w:i/>
          <w:iCs/>
        </w:rPr>
        <w:t>Eleventh Circuit:</w:t>
      </w:r>
      <w:r w:rsidRPr="00AD2F44">
        <w:t xml:space="preserve"> Holmes v. Swissport Fueling, Inc., 2017 WL 6520737 (M.D. Fla. Dec. 5, 2017) (approving defendants’ proposed language for notice, including denial of allegations, available defenses, and compliance with FLSA); Alexander v. Cydcor, Inc., 2012 WL 1142449, at *6 (N.D. Ga. Apr. 6, 2012) (permitting defendant to include “statement of defense” in notice).</w:t>
      </w:r>
    </w:p>
    <w:p w14:paraId="1C2C3D36" w14:textId="77777777" w:rsidR="00721CCF" w:rsidRPr="00AD2F44" w:rsidRDefault="00F42107">
      <w:pPr>
        <w:pStyle w:val="14Footnote"/>
      </w:pPr>
      <w:r w:rsidRPr="00AD2F44">
        <w:rPr>
          <w:i/>
        </w:rPr>
        <w:t>But see</w:t>
      </w:r>
    </w:p>
    <w:p w14:paraId="68350865" w14:textId="77777777" w:rsidR="00721CCF" w:rsidRPr="00AD2F44" w:rsidRDefault="00F42107">
      <w:pPr>
        <w:pStyle w:val="14Footnote"/>
      </w:pPr>
      <w:r w:rsidRPr="00AD2F44">
        <w:rPr>
          <w:i/>
          <w:iCs/>
        </w:rPr>
        <w:t xml:space="preserve">Second Circuit: </w:t>
      </w:r>
      <w:r w:rsidRPr="00AD2F44">
        <w:t>McBeth v. Gabrielli Truck Sales, Ltd., 768 F. Supp. 2d 396, 398–99 (E.D.N.Y. 2011) (refusing to include in description statement that employees were excluded if they met definition of exempt workers under Motor Carrier Act, because it would be confusing and potentially discouraging, defendant bore burden of proof to demonstrate exemption applies, and there was no record evidence yet that any class members met the exemption).</w:t>
      </w:r>
    </w:p>
    <w:p w14:paraId="55900B58" w14:textId="77777777" w:rsidR="00721CCF" w:rsidRPr="00AD2F44" w:rsidRDefault="00F42107">
      <w:pPr>
        <w:pStyle w:val="14Footnote"/>
      </w:pPr>
      <w:r w:rsidRPr="00AD2F44">
        <w:rPr>
          <w:i/>
          <w:iCs/>
        </w:rPr>
        <w:t>Third Circuit:</w:t>
      </w:r>
      <w:r w:rsidRPr="00AD2F44">
        <w:t xml:space="preserve"> Zanes v. Flagship Resort Dev., LLC, 2010 WL 4687814, at *5 (D. N.J. Nov. 9, 2010) (rejecting employer’s request to reference “import and consequence” of possible exemptions because exemptions are complex and do not lend themselves to reference in notice). </w:t>
      </w:r>
    </w:p>
    <w:p w14:paraId="12100417" w14:textId="67146A45" w:rsidR="00721CCF" w:rsidRPr="00AD2F44" w:rsidRDefault="00F42107">
      <w:pPr>
        <w:pStyle w:val="14Footnote"/>
        <w:rPr>
          <w:b/>
          <w:bCs/>
        </w:rPr>
      </w:pPr>
      <w:r w:rsidRPr="00AD2F44">
        <w:rPr>
          <w:i/>
          <w:iCs/>
        </w:rPr>
        <w:t>Sixth Circuit</w:t>
      </w:r>
      <w:r w:rsidRPr="00AD2F44">
        <w:t>: Farmer v. LHC Grp. Inc., 2020 BL 494607, 2020 WL 7416946 (S.D. Ohio Dec. 18, 2020) (rejecting employer’s request to include defense counsel’s contact information and statement of defenses).</w:t>
      </w:r>
    </w:p>
  </w:footnote>
  <w:footnote w:id="354">
    <w:p w14:paraId="0B79A706" w14:textId="77777777" w:rsidR="00721CCF" w:rsidRPr="00AD2F44" w:rsidRDefault="00F42107">
      <w:pPr>
        <w:pStyle w:val="14Footnote"/>
      </w:pPr>
      <w:r w:rsidRPr="00AD2F44">
        <w:rPr>
          <w:vertAlign w:val="superscript"/>
        </w:rPr>
        <w:footnoteRef/>
      </w:r>
      <w:r w:rsidRPr="00AD2F44">
        <w:rPr>
          <w:i/>
          <w:iCs/>
        </w:rPr>
        <w:t>See, e.g.,</w:t>
      </w:r>
    </w:p>
    <w:p w14:paraId="55093B4A" w14:textId="77777777" w:rsidR="00721CCF" w:rsidRPr="00AD2F44" w:rsidRDefault="00F42107">
      <w:pPr>
        <w:pStyle w:val="14Footnote"/>
      </w:pPr>
      <w:r w:rsidRPr="00AD2F44">
        <w:rPr>
          <w:i/>
          <w:iCs/>
        </w:rPr>
        <w:t xml:space="preserve">First Circuit: </w:t>
      </w:r>
      <w:r w:rsidRPr="00AD2F44">
        <w:t xml:space="preserve">Scovil v. </w:t>
      </w:r>
      <w:r w:rsidRPr="00AD2F44">
        <w:t>Fedex Ground Package Sys. Inc., 2011 WL 5526033, at *2 (D. Me. Nov. 14, 2011).</w:t>
      </w:r>
    </w:p>
    <w:p w14:paraId="5E3462DE" w14:textId="77777777" w:rsidR="00721CCF" w:rsidRPr="00AD2F44" w:rsidRDefault="00F42107">
      <w:pPr>
        <w:pStyle w:val="14Footnote"/>
      </w:pPr>
      <w:r w:rsidRPr="00AD2F44">
        <w:rPr>
          <w:i/>
          <w:iCs/>
        </w:rPr>
        <w:t>Second Circuit:</w:t>
      </w:r>
      <w:r w:rsidRPr="00AD2F44">
        <w:t xml:space="preserve"> Zaldivar v. JMJ Caterers, Inc.,</w:t>
      </w:r>
      <w:r w:rsidRPr="00AD2F44">
        <w:rPr>
          <w:b/>
          <w:bCs/>
        </w:rPr>
        <w:t xml:space="preserve"> </w:t>
      </w:r>
      <w:r w:rsidRPr="00AD2F44">
        <w:t>2016 WL 1029494, at *2 (E.D.N.Y. Mar. 15, 2016) (directing that notice “should include ‘a neutral and non-technical reference to discovery obligations’ so that such plaintiffs ‘understand that their participation would entail greater obligations than participation in some Rule 23 class actions’”) (citation omitted); Mendoza v. Ashiya Sushi 5, Inc., 2013 WL 5211939 (S.D.N.Y. Sept. 16, 2013); Hernandez v. Immortal Rise, Inc., 2012 WL 4369746, at *7–8 (E.D.N.Y. Sept. 24, 2012); Sexton v. Franklin First Fin., Ltd., 2009 WL 1706535 (E.D.N.Y. June 16, 2009); Lee v. ABC Carpet &amp; Home, 2008 WL 2073932 (S.D.N.Y. May 9, 2008).</w:t>
      </w:r>
    </w:p>
    <w:p w14:paraId="1AC1C873" w14:textId="6C9DD7E5" w:rsidR="00721CCF" w:rsidRPr="00AD2F44" w:rsidRDefault="00F42107">
      <w:pPr>
        <w:pStyle w:val="14Footnote"/>
      </w:pPr>
      <w:r w:rsidRPr="00AD2F44">
        <w:rPr>
          <w:i/>
          <w:iCs/>
        </w:rPr>
        <w:t>Third Circuit:</w:t>
      </w:r>
      <w:r w:rsidRPr="00AD2F44">
        <w:t xml:space="preserve"> </w:t>
      </w:r>
      <w:r>
        <w:t>Weinmann v. Cont. Land Staff, LLC,</w:t>
      </w:r>
      <w:r w:rsidR="004C58B9" w:rsidRPr="004C58B9">
        <w:rPr>
          <w:rFonts w:ascii="Arial" w:hAnsi="Arial" w:cs="Arial"/>
          <w:color w:val="292E31"/>
          <w:sz w:val="24"/>
        </w:rPr>
        <w:t xml:space="preserve"> </w:t>
      </w:r>
      <w:r w:rsidR="004C58B9" w:rsidRPr="004C58B9">
        <w:t>2023 BL 200591</w:t>
      </w:r>
      <w:r w:rsidR="004C58B9">
        <w:t>,</w:t>
      </w:r>
      <w:r>
        <w:t xml:space="preserve"> </w:t>
      </w:r>
      <w:r w:rsidR="00AD0C2E" w:rsidRPr="00AD0C2E">
        <w:t xml:space="preserve">2023 WL 3881394 </w:t>
      </w:r>
      <w:r>
        <w:t>(W.D. Pa. June 8, 2023) (requiring notice to advi</w:t>
      </w:r>
      <w:r w:rsidR="009F166D">
        <w:t>s</w:t>
      </w:r>
      <w:r>
        <w:t xml:space="preserve">e putative opt-ins they may have to participate in discovery); </w:t>
      </w:r>
      <w:r w:rsidRPr="00AD2F44">
        <w:t>Bishop v. AT&amp;T Corp., 256 F.R.D. 503 (W.D. Pa. 2009).</w:t>
      </w:r>
    </w:p>
    <w:p w14:paraId="1733A98A" w14:textId="77777777" w:rsidR="00721CCF" w:rsidRPr="00AD2F44" w:rsidRDefault="00F42107">
      <w:pPr>
        <w:pStyle w:val="14Footnote"/>
      </w:pPr>
      <w:r w:rsidRPr="00AD2F44">
        <w:rPr>
          <w:i/>
          <w:iCs/>
        </w:rPr>
        <w:t>Fourth Circuit:</w:t>
      </w:r>
      <w:r w:rsidRPr="00AD2F44">
        <w:t xml:space="preserve"> Regan v. City of Charleston, 2014 WL 3530135 (D.S.C. July 16, 2014) (notice required to include that opt-in members could be required to produce documents, respond to written interrogatories, appear for deposition under oath, and testify at trial); Byard v. Verizon W. Va., Inc., 287 F.R.D. 365, 374 (N.D. W. Va. 2012) (requiring that notice include language that class members could be required to provide information, sit for depositions, and testify in court, and that class members could share in potential costs should defendant prevail).</w:t>
      </w:r>
    </w:p>
    <w:p w14:paraId="33FBCABB" w14:textId="77777777" w:rsidR="00721CCF" w:rsidRPr="00AD2F44" w:rsidRDefault="00F42107">
      <w:pPr>
        <w:pStyle w:val="14Footnote"/>
      </w:pPr>
      <w:r w:rsidRPr="00AD2F44">
        <w:rPr>
          <w:i/>
          <w:iCs/>
        </w:rPr>
        <w:t>Fifth Circuit:</w:t>
      </w:r>
      <w:r w:rsidRPr="00AD2F44">
        <w:t xml:space="preserve"> Halle v. Galliano Marine Serv., LLC, 2018 WL 1757343, at *3–4 (E.D. La. Apr. 12, 2018) (allowing notice to include opt-in plaintiffs’ obligations to answer interrogatories, provide documents, appear at deposition, and/or testify in court); Garcia v. TWC Admin., LLC, 2015 WL 1737932, at *7 (W.D. Tex. Apr. 16, 2015); Behnken v. Luminant Min. Co., LLC, 997 F. Supp. 2d 511, 524 (N.D. Tex. 2014).</w:t>
      </w:r>
    </w:p>
    <w:p w14:paraId="5D9D393B" w14:textId="77777777" w:rsidR="00721CCF" w:rsidRPr="00AD2F44" w:rsidRDefault="00F42107">
      <w:pPr>
        <w:pStyle w:val="14Footnote"/>
      </w:pPr>
      <w:r w:rsidRPr="00AD2F44">
        <w:rPr>
          <w:i/>
          <w:iCs/>
        </w:rPr>
        <w:t>Sixth Circuit:</w:t>
      </w:r>
      <w:r w:rsidRPr="00AD2F44">
        <w:t xml:space="preserve"> Baden–Winterwood v. Life Time Fitness, 2006 WL 2225825 (S.D. Ohio Aug. 2, 2006).</w:t>
      </w:r>
    </w:p>
    <w:p w14:paraId="73A96958" w14:textId="77777777" w:rsidR="00721CCF" w:rsidRPr="00AD2F44" w:rsidRDefault="00F42107">
      <w:pPr>
        <w:pStyle w:val="14Footnote"/>
      </w:pPr>
      <w:r w:rsidRPr="00AD2F44">
        <w:rPr>
          <w:i/>
          <w:iCs/>
        </w:rPr>
        <w:t>Seventh Circuit:</w:t>
      </w:r>
      <w:r w:rsidRPr="00AD2F44">
        <w:t xml:space="preserve"> Osterholt v. Corepower Yoga, LLC, 2017 WL 2180483 (N.D. Ill. May 18, 2017); Frebes v. Mask Rests., LLC, 2014 WL 1848461, at *6 (N.D. Ill. May 8, 2014); Freeman v. Total Sec. Mgmt., 2013 WL 4049542 (W.D. Wis. Aug. 9, 2013); Espenscheid v. Direct</w:t>
      </w:r>
      <w:r w:rsidRPr="00AD2F44">
        <w:rPr>
          <w:caps/>
        </w:rPr>
        <w:t>sat</w:t>
      </w:r>
      <w:r w:rsidRPr="00AD2F44">
        <w:t xml:space="preserve"> USA, LLC, 2010 WL 2330309, at *13 (W.D. Wis. June 7, 2010); Russell v. Illinois Bell Tel. Co., 575 F. Supp. 2d 930 (N.D. Ill. 2008).</w:t>
      </w:r>
    </w:p>
    <w:p w14:paraId="453B37CD" w14:textId="77777777" w:rsidR="00721CCF" w:rsidRPr="00AD2F44" w:rsidRDefault="00F42107">
      <w:pPr>
        <w:pStyle w:val="14Footnote"/>
      </w:pPr>
      <w:r w:rsidRPr="00AD2F44">
        <w:rPr>
          <w:i/>
          <w:iCs/>
        </w:rPr>
        <w:t>Eighth Circuit:</w:t>
      </w:r>
      <w:r w:rsidRPr="00AD2F44">
        <w:t xml:space="preserve"> Knaak v. Armour-Eckrich Meats, LLC, 991 F. Supp. 2d 1052 (D. Minn. 2014); Halsey v. Casino One Corp., 2012 WL 6200531, at *5 (E.D. Mo. Dec. 12, 2012); Ahle v. Veracity Rsch. Co., 2009 WL 3103852, at *6 (D. Minn. Sept. 23, 2009).</w:t>
      </w:r>
    </w:p>
    <w:p w14:paraId="0BD87D6E" w14:textId="77777777" w:rsidR="00721CCF" w:rsidRPr="00AD2F44" w:rsidRDefault="00F42107">
      <w:pPr>
        <w:pStyle w:val="14Footnote"/>
      </w:pPr>
      <w:r w:rsidRPr="00AD2F44">
        <w:rPr>
          <w:i/>
          <w:iCs/>
        </w:rPr>
        <w:t>Ninth Circuit:</w:t>
      </w:r>
      <w:r w:rsidRPr="00AD2F44">
        <w:t xml:space="preserve"> Benedict v. Hewlett-Packard Co., 2014 WL 587135 (N.D. Cal. Feb. 13, 2014) (finding it appropriate to include language informing potential plaintiffs of possible obligations if they do elect to opt in); Luque v. AT&amp;T Corp., 2010 WL 4807088, at *7 (N.D. Cal. Nov. 19, 2010) (holding that notice should include statement that opt-in plaintiffs “might ‘be required to provide information’”).</w:t>
      </w:r>
    </w:p>
    <w:p w14:paraId="0B50A328" w14:textId="77777777" w:rsidR="00721CCF" w:rsidRPr="00AD2F44" w:rsidRDefault="00F42107">
      <w:pPr>
        <w:pStyle w:val="14Footnote"/>
      </w:pPr>
      <w:r w:rsidRPr="00AD2F44">
        <w:rPr>
          <w:i/>
          <w:iCs/>
        </w:rPr>
        <w:t>Tenth Circuit:</w:t>
      </w:r>
      <w:r w:rsidRPr="00AD2F44">
        <w:t xml:space="preserve"> Wass v. NPC Int’l, Inc., 2011 WL 1118774, at *10 (D. Kan. Mar. 28, 2011) (requiring inclusion of statement that opt-in plaintiffs may be deposed, have to respond to written discovery, testify at trial, and appear in Kansas City at proceedings); </w:t>
      </w:r>
      <w:r w:rsidRPr="00AD2F44">
        <w:rPr>
          <w:i/>
          <w:iCs/>
        </w:rPr>
        <w:t>Reab</w:t>
      </w:r>
      <w:r w:rsidRPr="00AD2F44">
        <w:t>, 214 F.R.D. 623.</w:t>
      </w:r>
    </w:p>
    <w:p w14:paraId="2F8FDFDE" w14:textId="77777777" w:rsidR="00721CCF" w:rsidRPr="00AD2F44" w:rsidRDefault="00F42107">
      <w:pPr>
        <w:pStyle w:val="14Footnote"/>
      </w:pPr>
      <w:r w:rsidRPr="00AD2F44">
        <w:rPr>
          <w:i/>
          <w:iCs/>
        </w:rPr>
        <w:t>Eleventh Circuit:</w:t>
      </w:r>
      <w:r w:rsidRPr="00AD2F44">
        <w:t xml:space="preserve"> Metzler v. Medical Mgmt. Int’l Inc., 2020 WL 1674310, at *6 (M.D. Fla. Mar. 4, 2020) (revising notice to include language that opt ins may be required to appear for trial and participate in discovery, as well as that defendant may try to recover costs); Gonzalez v. TZ Ins. Sols.,</w:t>
      </w:r>
      <w:r w:rsidRPr="00AD2F44">
        <w:rPr>
          <w:i/>
          <w:iCs/>
        </w:rPr>
        <w:t xml:space="preserve"> </w:t>
      </w:r>
      <w:r w:rsidRPr="00AD2F44">
        <w:t>LLC, 2014 WL 1248154 (M.D. Fla. Mar. 26, 2014); Cox v. Appliance Direct, Inc., 2008 WL 3050050, at *1 (M.D. Fla. Aug. 1, 2008) (requiring inclusion of language about opt-in plaintiffs’ discovery obligations).</w:t>
      </w:r>
    </w:p>
    <w:p w14:paraId="3D8C132D" w14:textId="77777777" w:rsidR="00721CCF" w:rsidRPr="00AD2F44" w:rsidRDefault="00F42107">
      <w:pPr>
        <w:pStyle w:val="14Footnote"/>
      </w:pPr>
      <w:r w:rsidRPr="00AD2F44">
        <w:rPr>
          <w:i/>
          <w:iCs/>
        </w:rPr>
        <w:t>Federal Circuit:</w:t>
      </w:r>
      <w:r w:rsidRPr="00AD2F44">
        <w:t xml:space="preserve"> Whalen v. United States, 85 Fed. Cl. 380 (2009); Gayle v. United States, 85 Fed. Cl. 72 (2008). </w:t>
      </w:r>
    </w:p>
  </w:footnote>
  <w:footnote w:id="355">
    <w:p w14:paraId="41C882C9" w14:textId="77777777" w:rsidR="00721CCF" w:rsidRPr="00AD2F44" w:rsidRDefault="00F42107">
      <w:pPr>
        <w:pStyle w:val="14Footnote"/>
      </w:pPr>
      <w:r w:rsidRPr="00AD2F44">
        <w:rPr>
          <w:vertAlign w:val="superscript"/>
        </w:rPr>
        <w:footnoteRef/>
      </w:r>
      <w:r w:rsidRPr="00AD2F44">
        <w:rPr>
          <w:i/>
          <w:iCs/>
        </w:rPr>
        <w:t>Third Circuit:</w:t>
      </w:r>
      <w:r w:rsidRPr="00AD2F44">
        <w:t xml:space="preserve"> Bath v. Red Vision Sys., Inc., 2014 WL 2436100, at *7 (D.N.J. May 29, 2014) (finding that “a statement in the notice that highlights the opt-in plaintiffs’ discovery obligations and possibility of having to pay defense costs is unwarranted” because </w:t>
      </w:r>
      <w:r w:rsidRPr="00AD2F44">
        <w:t>“[s]uch statements have the potential of chilling participation in the collective action.”).</w:t>
      </w:r>
    </w:p>
    <w:p w14:paraId="444E1FE7" w14:textId="77777777" w:rsidR="00721CCF" w:rsidRPr="00AD2F44" w:rsidRDefault="00F42107">
      <w:pPr>
        <w:pStyle w:val="14Footnote"/>
      </w:pPr>
      <w:r w:rsidRPr="00AD2F44">
        <w:rPr>
          <w:i/>
          <w:iCs/>
        </w:rPr>
        <w:t>Seventh Circuit:</w:t>
      </w:r>
      <w:r w:rsidRPr="00AD2F44">
        <w:t xml:space="preserve"> Garcia v. Elite Labor Serv., Ltd., 1996 WL 33500122 (N.D. Ill. July 11, 1996) (declining to include language that recipient may be subject to discovery or required to testify, in part because such language was potentially intimidating and class members in a class of approximately 1,000 employees were unlikely to be deposed or testify).</w:t>
      </w:r>
    </w:p>
    <w:p w14:paraId="042AB451" w14:textId="77777777" w:rsidR="00721CCF" w:rsidRPr="00AD2F44" w:rsidRDefault="00F42107">
      <w:pPr>
        <w:pStyle w:val="14Footnote"/>
      </w:pPr>
      <w:r w:rsidRPr="00AD2F44">
        <w:rPr>
          <w:i/>
          <w:iCs/>
        </w:rPr>
        <w:t>Ninth Circuit:</w:t>
      </w:r>
      <w:r w:rsidRPr="00AD2F44">
        <w:t xml:space="preserve"> Prentice v. Fund for Pub. Interest Rsch., Inc., 2007 WL 2729187, at *5 (N.D. Cal. Sept. 18, 2007) (declining to include language advising potential plaintiffs of possible obligation to answer interrogatories, be deposed, or testify because “individual discovery is rarely appropriate in FLSA collective actions”).</w:t>
      </w:r>
    </w:p>
    <w:p w14:paraId="75544144" w14:textId="5AD91AFC" w:rsidR="00721CCF" w:rsidRPr="00AD2F44" w:rsidRDefault="00F42107">
      <w:pPr>
        <w:pStyle w:val="14Footnote"/>
      </w:pPr>
      <w:r w:rsidRPr="00AD2F44">
        <w:rPr>
          <w:i/>
          <w:iCs/>
        </w:rPr>
        <w:t>Eleventh Circuit:</w:t>
      </w:r>
      <w:r w:rsidRPr="00AD2F44">
        <w:t xml:space="preserve"> Earle v. Convergent Outsourcing, Inc., 2013 WL 6252422 (M.D. Ala. Sept. 5, 2013) (finding such language unnecessary and atypical).</w:t>
      </w:r>
    </w:p>
  </w:footnote>
  <w:footnote w:id="356">
    <w:p w14:paraId="3C58D699" w14:textId="77777777" w:rsidR="00721CCF" w:rsidRPr="00AD2F44" w:rsidRDefault="00F42107">
      <w:pPr>
        <w:pStyle w:val="14Footnote"/>
      </w:pPr>
      <w:r w:rsidRPr="00AD2F44">
        <w:rPr>
          <w:vertAlign w:val="superscript"/>
        </w:rPr>
        <w:footnoteRef/>
      </w:r>
      <w:r w:rsidRPr="00AD2F44">
        <w:rPr>
          <w:i/>
          <w:iCs/>
        </w:rPr>
        <w:t>See, e.g</w:t>
      </w:r>
      <w:r w:rsidRPr="00AD2F44">
        <w:t xml:space="preserve">., </w:t>
      </w:r>
    </w:p>
    <w:p w14:paraId="372D8007" w14:textId="4A9F6A06" w:rsidR="00721CCF" w:rsidRPr="00AD2F44" w:rsidRDefault="00F42107">
      <w:pPr>
        <w:pStyle w:val="14Footnote"/>
      </w:pPr>
      <w:r w:rsidRPr="00AD2F44">
        <w:rPr>
          <w:i/>
          <w:iCs/>
        </w:rPr>
        <w:t>Sixth Circuit:</w:t>
      </w:r>
      <w:r w:rsidRPr="00AD2F44">
        <w:rPr>
          <w:rFonts w:asciiTheme="minorHAnsi" w:eastAsiaTheme="minorEastAsia" w:hAnsiTheme="minorHAnsi" w:cstheme="minorBidi"/>
          <w:sz w:val="22"/>
          <w:szCs w:val="22"/>
        </w:rPr>
        <w:t xml:space="preserve"> </w:t>
      </w:r>
      <w:r w:rsidRPr="00AD2F44">
        <w:t>Farmer v. LHC Grp. Inc., 2020 BL 494607, 2020 WL 7416946 (S.D. Ohio Dec. 18, 2020) (rejecting inclusion of language that plaintiffs may have to travel to Columbus, Ohio, to testify, finding plaintiffs’ inclusion of language that opt-ins may have to participate in written discovery, deposition, or testify at trial to be sufficient).</w:t>
      </w:r>
    </w:p>
    <w:p w14:paraId="67955B37" w14:textId="77777777" w:rsidR="00721CCF" w:rsidRPr="00AD2F44" w:rsidRDefault="00F42107">
      <w:pPr>
        <w:pStyle w:val="14Footnote"/>
      </w:pPr>
      <w:r w:rsidRPr="00AD2F44">
        <w:rPr>
          <w:i/>
          <w:iCs/>
        </w:rPr>
        <w:t xml:space="preserve">Eighth Circuit: </w:t>
      </w:r>
      <w:r w:rsidRPr="00AD2F44">
        <w:t>Perrin v. Papa John’s Int’l, Inc., 2011 WL 4815246, at *4 (E.D. Mo. Oct. 11, 2011) (rejecting inclusion of language telling potential opt-ins they may have to travel to jurisdiction to testify or be deposed, because such language was unnecessary and discouraging, and “especially inappropriate in FLSA cases where discovery is limited and Plaintiffs are not likely to be called on to provide deposition testimony”).</w:t>
      </w:r>
    </w:p>
    <w:p w14:paraId="67D9428A" w14:textId="60B334C1" w:rsidR="00721CCF" w:rsidRPr="00AD2F44" w:rsidRDefault="00F42107">
      <w:pPr>
        <w:pStyle w:val="14Footnote"/>
      </w:pPr>
      <w:r w:rsidRPr="00AD2F44">
        <w:rPr>
          <w:i/>
          <w:iCs/>
        </w:rPr>
        <w:t xml:space="preserve">Ninth Circuit: </w:t>
      </w:r>
      <w:r w:rsidRPr="00AD2F44">
        <w:t>Morden v. T-Mobile USA, Inc., 2006 WL 2620320, at *4 (W.D. Wash. Sept. 12, 2006) (rejecting defendant’s request to include language that potential plaintiffs may be required to travel to Seattle, Washington, at their own expense to sit for depositions or testify at trial, since travel will not be necessary for most, if not all, opt-in plaintiffs).</w:t>
      </w:r>
    </w:p>
    <w:p w14:paraId="1FAA2600" w14:textId="10BFF80A" w:rsidR="00721CCF" w:rsidRPr="00AD2F44" w:rsidRDefault="00F42107">
      <w:pPr>
        <w:pStyle w:val="14Footnote"/>
      </w:pPr>
      <w:r w:rsidRPr="00AD2F44">
        <w:rPr>
          <w:i/>
          <w:iCs/>
        </w:rPr>
        <w:t>Tenth Circuit:</w:t>
      </w:r>
      <w:r w:rsidRPr="00AD2F44">
        <w:t xml:space="preserve"> Robertson v. REP Processing, LLC, 2021 BL 353240, 2021 WL 4255027, at *5 (D. Colo. Sept. 16, 2021) (rejecting defendant’s request to include statement that opt-in plaintiffs may be required to travel to Denver, Colorado, for deposition or trial, finding it “unnecessary, inaccurate, and aimed at discouraging participation”). </w:t>
      </w:r>
    </w:p>
  </w:footnote>
  <w:footnote w:id="357">
    <w:p w14:paraId="14DAA81D" w14:textId="77777777" w:rsidR="00721CCF" w:rsidRPr="00AD2F44" w:rsidRDefault="00F42107">
      <w:pPr>
        <w:pStyle w:val="14Footnote"/>
      </w:pPr>
      <w:r w:rsidRPr="00AD2F44">
        <w:rPr>
          <w:vertAlign w:val="superscript"/>
        </w:rPr>
        <w:footnoteRef/>
      </w:r>
      <w:r w:rsidRPr="00AD2F44">
        <w:rPr>
          <w:i/>
        </w:rPr>
        <w:t xml:space="preserve">See, e.g., </w:t>
      </w:r>
    </w:p>
    <w:p w14:paraId="23701D4E" w14:textId="77777777" w:rsidR="00721CCF" w:rsidRPr="00AD2F44" w:rsidRDefault="00F42107">
      <w:pPr>
        <w:pStyle w:val="14Footnote"/>
      </w:pPr>
      <w:r w:rsidRPr="00AD2F44">
        <w:rPr>
          <w:i/>
          <w:iCs/>
        </w:rPr>
        <w:t>Fifth Circuit:</w:t>
      </w:r>
      <w:r w:rsidRPr="00AD2F44">
        <w:t xml:space="preserve"> Britt v. Mississippi Farm Bureau Cas. Ins. Co., 2019 WL 943404, at *8 (N.D. Miss. Feb. 26, 2018) (rejecting proposed language in the notice that indicated that opt-in plaintiffs could have their own counsel, the court noted that opt-in plaintiffs were “bound by the acts of class counsel”); </w:t>
      </w:r>
      <w:r w:rsidRPr="00AD2F44">
        <w:t>Updite v. Delta Beverage Grp., Inc., 2006 WL 3718229 (W.D. La. Dec. 15, 2006).</w:t>
      </w:r>
    </w:p>
    <w:p w14:paraId="1F20F8BA" w14:textId="77777777" w:rsidR="00721CCF" w:rsidRPr="00AD2F44" w:rsidRDefault="00F42107">
      <w:pPr>
        <w:pStyle w:val="14Footnote"/>
      </w:pPr>
      <w:r w:rsidRPr="00AD2F44">
        <w:rPr>
          <w:i/>
          <w:iCs/>
        </w:rPr>
        <w:t xml:space="preserve">Sixth Circuit: </w:t>
      </w:r>
      <w:r w:rsidRPr="00AD2F44">
        <w:t>Bassett v. Tennessee Valley Auth., 2010 WL 3092251, at *4 (W.D. Ky. Aug. 5, 2010) (holding that allowing opt-in plaintiffs to retain separate counsel in collective action would “only serve to complicate procedural issues of this case,” and limiting notice to providing that they could retain separate counsel and file separate action).</w:t>
      </w:r>
    </w:p>
    <w:p w14:paraId="4EF2C4AC" w14:textId="77777777" w:rsidR="00721CCF" w:rsidRPr="00AD2F44" w:rsidRDefault="00F42107">
      <w:pPr>
        <w:pStyle w:val="14Footnote"/>
      </w:pPr>
      <w:r w:rsidRPr="00AD2F44">
        <w:rPr>
          <w:i/>
          <w:iCs/>
        </w:rPr>
        <w:t>Seventh Circuit:</w:t>
      </w:r>
      <w:r w:rsidRPr="00AD2F44">
        <w:t xml:space="preserve"> Kelly v. Bluegreen Corp., 256 F.R.D. 626, 632 (W.D. Wis. 2009) (rejecting language advising individuals that they could seek their own counsel because it could be confusing and unnecessary); Russell v. Illinois Bell Tel. Co., 575 F. Supp. 2d 930 (N.D. Ill. 2008).</w:t>
      </w:r>
    </w:p>
    <w:p w14:paraId="526FD0CD" w14:textId="77777777" w:rsidR="00721CCF" w:rsidRPr="00AD2F44" w:rsidRDefault="00F42107">
      <w:pPr>
        <w:pStyle w:val="14Footnote"/>
      </w:pPr>
      <w:r w:rsidRPr="00AD2F44">
        <w:rPr>
          <w:i/>
          <w:iCs/>
        </w:rPr>
        <w:t>Eighth Circuit:</w:t>
      </w:r>
      <w:r w:rsidRPr="00AD2F44">
        <w:t xml:space="preserve"> Martinez v. Cargill Meat Sols., 265 F.R.D. 490, 500 (D. Neb. 2009) (refusing to include language allowing individuals to retain their own counsel in instant action as multiple counsel in the pending action would create confusion); Davis v. Novastar Mortg., Inc., 2005 WL 3662438 (W.D. Mo. Dec. 13, 2005).</w:t>
      </w:r>
    </w:p>
    <w:p w14:paraId="26AA2BE8" w14:textId="77777777" w:rsidR="00721CCF" w:rsidRPr="00AD2F44" w:rsidRDefault="00F42107">
      <w:pPr>
        <w:pStyle w:val="14Footnote"/>
      </w:pPr>
      <w:r w:rsidRPr="00AD2F44">
        <w:rPr>
          <w:i/>
          <w:iCs/>
        </w:rPr>
        <w:t>Ninth Circuit:</w:t>
      </w:r>
      <w:r w:rsidRPr="00AD2F44">
        <w:t xml:space="preserve"> Adams v. Inter-Con Sec. Sys., Inc., 242 F.R.D. 530 (N.D. Cal. 2007).</w:t>
      </w:r>
    </w:p>
    <w:p w14:paraId="6963182E" w14:textId="57CA1879" w:rsidR="00721CCF" w:rsidRPr="00AD2F44" w:rsidRDefault="00F42107">
      <w:pPr>
        <w:pStyle w:val="14Footnote"/>
      </w:pPr>
      <w:r w:rsidRPr="00AD2F44">
        <w:rPr>
          <w:i/>
          <w:iCs/>
        </w:rPr>
        <w:t>Eleventh Circuit:</w:t>
      </w:r>
      <w:r w:rsidRPr="00AD2F44">
        <w:t xml:space="preserve"> Gutescu v. Carey Int’l, Inc., 2003 WL 25586749 (S.D. Fla. July 21, 2003).</w:t>
      </w:r>
    </w:p>
  </w:footnote>
  <w:footnote w:id="358">
    <w:p w14:paraId="19A37FB2" w14:textId="77777777" w:rsidR="00721CCF" w:rsidRPr="00AD2F44" w:rsidRDefault="00F42107">
      <w:pPr>
        <w:pStyle w:val="14Footnote"/>
      </w:pPr>
      <w:r w:rsidRPr="00AD2F44">
        <w:rPr>
          <w:vertAlign w:val="superscript"/>
        </w:rPr>
        <w:footnoteRef/>
      </w:r>
      <w:r w:rsidRPr="00AD2F44">
        <w:rPr>
          <w:i/>
          <w:iCs/>
        </w:rPr>
        <w:t>See, e.g.,</w:t>
      </w:r>
    </w:p>
    <w:p w14:paraId="3066811E" w14:textId="77777777" w:rsidR="00721CCF" w:rsidRPr="00AD2F44" w:rsidRDefault="00F42107">
      <w:pPr>
        <w:pStyle w:val="14Footnote"/>
      </w:pPr>
      <w:r w:rsidRPr="00AD2F44">
        <w:rPr>
          <w:i/>
          <w:iCs/>
        </w:rPr>
        <w:t>Second Circuit:</w:t>
      </w:r>
      <w:r w:rsidRPr="00AD2F44">
        <w:t xml:space="preserve"> Garcia v. Pancho Villa’s, 678 F. Supp. 2d 89, 95 (E.D.N.Y. 2010) (directing plaintiffs “to modify the proposed Notice so that potential plaintiffs are informed that they may retain their own counsel, should they choose to join the within litigation, as an alternative to Plaintiffs’ counsel’s firm”); Laroque v. Domino’s Pizza, LLC, 557 F. Supp. 2d 346 (E.D.N.Y. 2008).</w:t>
      </w:r>
    </w:p>
    <w:p w14:paraId="6774313D" w14:textId="77777777" w:rsidR="00721CCF" w:rsidRPr="00AD2F44" w:rsidRDefault="00F42107">
      <w:pPr>
        <w:pStyle w:val="14Footnote"/>
      </w:pPr>
      <w:r w:rsidRPr="00AD2F44">
        <w:rPr>
          <w:i/>
          <w:iCs/>
        </w:rPr>
        <w:t>Third Circuit:</w:t>
      </w:r>
      <w:r w:rsidRPr="00AD2F44">
        <w:t xml:space="preserve"> Stillman v. Staples, Inc., 2008 WL 1843998 (D.N.J. Apr. 22, 2008).</w:t>
      </w:r>
    </w:p>
    <w:p w14:paraId="6F91ED17" w14:textId="77777777" w:rsidR="00721CCF" w:rsidRPr="00AD2F44" w:rsidRDefault="00F42107">
      <w:pPr>
        <w:pStyle w:val="14Footnote"/>
      </w:pPr>
      <w:r w:rsidRPr="00AD2F44">
        <w:rPr>
          <w:i/>
          <w:iCs/>
        </w:rPr>
        <w:t>Seventh Circuit:</w:t>
      </w:r>
      <w:r w:rsidRPr="00AD2F44">
        <w:t xml:space="preserve"> Heitmann v. City of Chi., 2004 WL 1718420 (N.D. Ill. July 30, 2004).</w:t>
      </w:r>
    </w:p>
    <w:p w14:paraId="4C4175D4" w14:textId="2F0B6EA5" w:rsidR="00721CCF" w:rsidRPr="00AD2F44" w:rsidRDefault="00F42107">
      <w:pPr>
        <w:pStyle w:val="14Footnote"/>
      </w:pPr>
      <w:r w:rsidRPr="00AD2F44">
        <w:rPr>
          <w:i/>
          <w:iCs/>
        </w:rPr>
        <w:t>Eleventh Circuit:</w:t>
      </w:r>
      <w:r w:rsidRPr="00AD2F44">
        <w:t xml:space="preserve"> </w:t>
      </w:r>
      <w:r w:rsidRPr="00AD2F44">
        <w:t>Tafarella v. Hollywood Greyhound Track, Inc., 2007 WL 2254553 (S.D. Fla. Aug. 1, 2007).</w:t>
      </w:r>
    </w:p>
  </w:footnote>
  <w:footnote w:id="359">
    <w:p w14:paraId="06522434" w14:textId="0921EC30" w:rsidR="00721CCF" w:rsidRPr="00AD2F44" w:rsidRDefault="00F42107">
      <w:pPr>
        <w:pStyle w:val="14Footnote"/>
      </w:pPr>
      <w:r w:rsidRPr="00AD2F44">
        <w:rPr>
          <w:vertAlign w:val="superscript"/>
        </w:rPr>
        <w:footnoteRef/>
      </w:r>
      <w:r w:rsidRPr="00AD2F44">
        <w:rPr>
          <w:i/>
          <w:iCs/>
        </w:rPr>
        <w:t>Second Circuit:</w:t>
      </w:r>
      <w:r w:rsidRPr="00AD2F44">
        <w:t xml:space="preserve"> Williams v. TSU Global Servs. Inc., 2018 WL 6075668, at *9 (E.D.N.Y. Nov. 20, 2018), </w:t>
      </w:r>
      <w:r w:rsidRPr="00AD2F44">
        <w:rPr>
          <w:i/>
          <w:iCs/>
        </w:rPr>
        <w:t>report and recommendation adopted</w:t>
      </w:r>
      <w:r w:rsidRPr="00AD2F44">
        <w:t xml:space="preserve">, 2019 WL 1056273 (E.D.N.Y. Mar. 1, 2019) (revising the language of a notice to make clear that opt-in plaintiffs could elect to retain their own counsel when the submitted noticed stated </w:t>
      </w:r>
      <w:r w:rsidRPr="00AD2F44">
        <w:t>“[y]ou do not need to hire your own lawyers because plaintiffs’ counsel will be working on your behalf,” which the court found to be misleading); Keawsri v. Ramen-Ya, Inc., 2018 WL 279756, at *6–7 (S.D.N.Y. Jan. 2, 2018) (requiring in notice that potential plaintiffs be notified of their right to seek independent counsel); Cordova v. SCCF, Inc., 2014 WL 3512820 (S.D.N.Y. July 16, 2014); Laroque v. Domino’s Pizza, LLC, 557 F. Supp. 2d (E.D.N.Y. 2008).</w:t>
      </w:r>
    </w:p>
    <w:p w14:paraId="18439EBB" w14:textId="77777777" w:rsidR="00721CCF" w:rsidRPr="00AD2F44" w:rsidRDefault="00F42107">
      <w:pPr>
        <w:pStyle w:val="14Footnote"/>
      </w:pPr>
      <w:r w:rsidRPr="00AD2F44">
        <w:rPr>
          <w:i/>
          <w:iCs/>
        </w:rPr>
        <w:t>Third Circuit:</w:t>
      </w:r>
      <w:r w:rsidRPr="00AD2F44">
        <w:t xml:space="preserve"> Stillman v. Staples, Inc., 2008 WL 1843998 (D.N.J. Apr. 22, 2008).</w:t>
      </w:r>
    </w:p>
    <w:p w14:paraId="752D3C7B" w14:textId="77777777" w:rsidR="00721CCF" w:rsidRPr="00AD2F44" w:rsidRDefault="00F42107">
      <w:pPr>
        <w:pStyle w:val="14Footnote"/>
      </w:pPr>
      <w:r w:rsidRPr="00AD2F44">
        <w:rPr>
          <w:i/>
          <w:iCs/>
        </w:rPr>
        <w:t xml:space="preserve">Fifth Circuit: </w:t>
      </w:r>
      <w:r w:rsidRPr="00AD2F44">
        <w:t>Ratliff v. Pason Sys. USA Corp., 196 F. Supp. 3d 699 (S.D. Tex. 2016) (requiring notice to include language advising opt-in plaintiffs of right to be represented by counsel other than plaintiffs’ counsel); Reyes v. Quality Logging, Inc., 52 F. Supp. 3d 849 (S.D. Tex. 2014) (notice required to include language informing potential plaintiffs of their right to seek their own counsel).</w:t>
      </w:r>
    </w:p>
    <w:p w14:paraId="63761EA3" w14:textId="77777777" w:rsidR="00721CCF" w:rsidRPr="00AD2F44" w:rsidRDefault="00F42107">
      <w:pPr>
        <w:pStyle w:val="14Footnote"/>
      </w:pPr>
      <w:r w:rsidRPr="00AD2F44">
        <w:rPr>
          <w:i/>
          <w:iCs/>
        </w:rPr>
        <w:t>Seventh Circuit:</w:t>
      </w:r>
      <w:r w:rsidRPr="00AD2F44">
        <w:t xml:space="preserve"> Russell v. Illinois Bell Tel. Co., 575 F. Supp. 2d 930 (N.D. Ill. 2008); Gambo v. Lucent Tech., Inc., 2005 WL 3542485 (N.D. Ill. Dec. 22, 2005); Heitmann v. City of Chi., 2004 WL 1718420 (N.D. Ill. July 30, 2004).</w:t>
      </w:r>
    </w:p>
    <w:p w14:paraId="4582390B" w14:textId="77777777" w:rsidR="00721CCF" w:rsidRPr="00AD2F44" w:rsidRDefault="00F42107">
      <w:pPr>
        <w:pStyle w:val="14Footnote"/>
      </w:pPr>
      <w:r w:rsidRPr="00AD2F44">
        <w:t xml:space="preserve"> </w:t>
      </w:r>
      <w:r w:rsidRPr="00AD2F44">
        <w:rPr>
          <w:i/>
          <w:iCs/>
        </w:rPr>
        <w:t xml:space="preserve">Tenth Circuit: </w:t>
      </w:r>
      <w:r w:rsidRPr="00AD2F44">
        <w:t xml:space="preserve">Sanders v. Glendale Rest. Concepts, LP, 2019 WL 6799459, at *5 (D. Colo. Dec. 13, 2019) (requiring notice language that opt ins had option to retain collective action counsel, their own counsel, or proceed pro se). </w:t>
      </w:r>
    </w:p>
    <w:p w14:paraId="2FD32F11" w14:textId="21B1C660" w:rsidR="00721CCF" w:rsidRPr="00AD2F44" w:rsidRDefault="00F42107">
      <w:pPr>
        <w:pStyle w:val="14Footnote"/>
      </w:pPr>
      <w:r w:rsidRPr="00AD2F44">
        <w:rPr>
          <w:i/>
          <w:iCs/>
        </w:rPr>
        <w:t>Eleventh Circuit:</w:t>
      </w:r>
      <w:r w:rsidRPr="00AD2F44">
        <w:t xml:space="preserve"> Tafarella v. Hollywood Greyhound Track, Inc., 2007 WL 2254553 (S.D. Fla. Aug. 1, 2007); Gutescu v. Carey Int’l, Inc., 2003 WL 25586749 (S.D. Fla. July 21, 2003).</w:t>
      </w:r>
    </w:p>
  </w:footnote>
  <w:footnote w:id="360">
    <w:p w14:paraId="53C1715F" w14:textId="77777777" w:rsidR="00721CCF" w:rsidRPr="00AD2F44" w:rsidRDefault="00F42107">
      <w:pPr>
        <w:pStyle w:val="14Footnote"/>
      </w:pPr>
      <w:r w:rsidRPr="00AD2F44">
        <w:rPr>
          <w:vertAlign w:val="superscript"/>
        </w:rPr>
        <w:footnoteRef/>
      </w:r>
      <w:r w:rsidRPr="00AD2F44">
        <w:rPr>
          <w:i/>
          <w:iCs/>
        </w:rPr>
        <w:t>See, e.g.</w:t>
      </w:r>
      <w:r w:rsidRPr="00AD2F44">
        <w:t xml:space="preserve">, </w:t>
      </w:r>
    </w:p>
    <w:p w14:paraId="3F272D51" w14:textId="55FBC261" w:rsidR="00721CCF" w:rsidRPr="00AD2F44" w:rsidRDefault="00F42107">
      <w:pPr>
        <w:pStyle w:val="14Footnote"/>
      </w:pPr>
      <w:r w:rsidRPr="00AD2F44">
        <w:rPr>
          <w:i/>
          <w:iCs/>
        </w:rPr>
        <w:t xml:space="preserve">Second Circuit: </w:t>
      </w:r>
      <w:r w:rsidRPr="00AD2F44">
        <w:t xml:space="preserve">Jibowu v. Target Corp., 2020 BL 489899, 2020 WL 7385695 (E.D.N.Y. Dec. 16, 2020) (rejecting defendant’s request that notice state that opt-in plaintiffs may choose their own counsel, because plaintiffs’ counsel already included that option, but revising notice because notice was confusing about submitting consent form if someone chose separate counsel). </w:t>
      </w:r>
    </w:p>
    <w:p w14:paraId="5D02542A" w14:textId="77777777" w:rsidR="00721CCF" w:rsidRPr="00AD2F44" w:rsidRDefault="00F42107">
      <w:pPr>
        <w:pStyle w:val="14Footnote"/>
      </w:pPr>
      <w:r w:rsidRPr="00AD2F44">
        <w:rPr>
          <w:i/>
          <w:iCs/>
        </w:rPr>
        <w:t xml:space="preserve">Sixth Circuit: </w:t>
      </w:r>
      <w:r w:rsidRPr="00AD2F44">
        <w:t>Gomez v. ERMC Mgmt. Co., LLC, 2014 WL 3053210 (N.D. Ohio July 7, 2014) (rejecting request to advise opt-in plaintiffs of right to retain other counsel, as additional counsel could impair efficiency of proceeding collectively).</w:t>
      </w:r>
    </w:p>
    <w:p w14:paraId="3D63C3FF" w14:textId="365CDD27" w:rsidR="00721CCF" w:rsidRPr="00AD2F44" w:rsidRDefault="00F42107">
      <w:pPr>
        <w:pStyle w:val="14Footnote"/>
      </w:pPr>
      <w:r w:rsidRPr="00AD2F44">
        <w:rPr>
          <w:i/>
          <w:iCs/>
        </w:rPr>
        <w:t>Eighth Circuit:</w:t>
      </w:r>
      <w:r w:rsidRPr="00AD2F44">
        <w:t xml:space="preserve"> Bilskey v. Bluff City Ice, Inc., 2014 WL 320568 (E.D. Mo. Jan. 29, 2014) (refusing to require that notice advise opt-in plaintiffs that they may seek other counsel). </w:t>
      </w:r>
    </w:p>
  </w:footnote>
  <w:footnote w:id="361">
    <w:p w14:paraId="3762E754" w14:textId="77777777" w:rsidR="00721CCF" w:rsidRPr="00AD2F44" w:rsidRDefault="00F42107">
      <w:pPr>
        <w:pStyle w:val="14Footnote"/>
      </w:pPr>
      <w:r w:rsidRPr="00AD2F44">
        <w:rPr>
          <w:vertAlign w:val="superscript"/>
        </w:rPr>
        <w:footnoteRef/>
      </w:r>
      <w:r w:rsidRPr="00AD2F44">
        <w:rPr>
          <w:i/>
          <w:iCs/>
        </w:rPr>
        <w:t>See, e.g.,</w:t>
      </w:r>
    </w:p>
    <w:p w14:paraId="68514540" w14:textId="77777777" w:rsidR="00721CCF" w:rsidRPr="00AD2F44" w:rsidRDefault="00F42107">
      <w:pPr>
        <w:pStyle w:val="14Footnote"/>
      </w:pPr>
      <w:r w:rsidRPr="00AD2F44">
        <w:rPr>
          <w:i/>
          <w:iCs/>
        </w:rPr>
        <w:t>Second Circuit:</w:t>
      </w:r>
      <w:r w:rsidRPr="00AD2F44">
        <w:t xml:space="preserve"> Bittencourt v. Ferrara Bakery &amp; Café, Inc., 310 F.R.D. 106, 117–18 (S.D.N.Y. 2015) (refusing to include in notice possibility of paying costs and expenses) (citations omitted); </w:t>
      </w:r>
      <w:r w:rsidRPr="00AD2F44">
        <w:t>Dilonez v. Fox Linen Serv., Inc., 35 F. Supp. 3d 247, 256 (E.D.N.Y. 2014); Hernandez v. Immortal Rise, Inc., 2012 WL 4369746, at *7–8 (E.D.N.Y. Sept. 24, 2012) (allowing language in notice that referenced opt-in plaintiffs’ discovery obligations and statement that they would be bound by any ruling, settlement, or judgment entered in the case, whether favorable or unfavorable, but following other courts in Eastern District of New York and refusing to include language about imposition of costs); Diaz v. S &amp; H Bondi’s Dep’t Store, 2012 WL 137460, at *7 (S.D.N.Y. Jan. 18, 2012); Rosario v. Valentine Ave. Discount Store, Co., 828 F. Supp. 2d 508, 520 (E.D.N.Y. 2011) (rejecting request to include warning about liability for costs); Lujan v. Cabana Mgmt., Inc., 2011 WL 317984, at *11 (E.D.N.Y. Feb. 1, 2011) (refusing to include information about potential costs being awarded, given remote possibility of other than de minimis amounts, and risk of “in terrorem” effect out of proportion to real risk of costs); Whitehorn v. Wolfgang’s Steakhouse, Inc., 767 F. Supp. 2d 445, 451 (S.D.N.Y. 2011).</w:t>
      </w:r>
    </w:p>
    <w:p w14:paraId="10DA89E3" w14:textId="77777777" w:rsidR="00721CCF" w:rsidRPr="00AD2F44" w:rsidRDefault="00F42107">
      <w:pPr>
        <w:pStyle w:val="14Footnote"/>
      </w:pPr>
      <w:r w:rsidRPr="00AD2F44">
        <w:rPr>
          <w:i/>
          <w:iCs/>
        </w:rPr>
        <w:t>Third Circuit:</w:t>
      </w:r>
      <w:r w:rsidRPr="00AD2F44">
        <w:t xml:space="preserve"> Bath v. Red Vision Sys., Inc., 2014 WL 2436100, at *7 (D.N.J. May 29, 2014) (finding that “a statement in the notice that highlights the opt-in plaintiffs’ discovery obligations and possibility of having to pay defense costs is unwarranted” because “[s]uch statements have the potential of chilling participation in the collective action”).</w:t>
      </w:r>
    </w:p>
    <w:p w14:paraId="6048BBFB" w14:textId="23EC3A21" w:rsidR="00721CCF" w:rsidRPr="00AD2F44" w:rsidRDefault="00F42107">
      <w:pPr>
        <w:pStyle w:val="14Footnote"/>
      </w:pPr>
      <w:r w:rsidRPr="00AD2F44">
        <w:rPr>
          <w:i/>
          <w:iCs/>
        </w:rPr>
        <w:t xml:space="preserve">Fourth Circuit: </w:t>
      </w:r>
      <w:r w:rsidRPr="00AD2F44">
        <w:t xml:space="preserve">Ricketts v. NV5, LLC, 2022 BL 107595, </w:t>
      </w:r>
      <w:r w:rsidRPr="00AD0C2E">
        <w:rPr>
          <w:lang w:val="es-ES"/>
        </w:rPr>
        <w:t>2022 WL 949947 (S.D. W. Va. Mar. 29, 2022) (rejecting defendant’s argument that notice should include language on potential liability on costs, defendant’s litigation position, and plaintiffs’ counsel’s contingency fee arrangement).</w:t>
      </w:r>
    </w:p>
    <w:p w14:paraId="2AE87094" w14:textId="77777777" w:rsidR="00721CCF" w:rsidRPr="00AD2F44" w:rsidRDefault="00F42107">
      <w:pPr>
        <w:pStyle w:val="14Footnote"/>
      </w:pPr>
      <w:r w:rsidRPr="00AD2F44">
        <w:rPr>
          <w:i/>
          <w:iCs/>
        </w:rPr>
        <w:t>Fifth Circuit:</w:t>
      </w:r>
      <w:r w:rsidRPr="00AD2F44">
        <w:t xml:space="preserve"> Murillo v. Berry Bros. Gen. Contractors, Inc., 2019 WL 4640010, at *6 (W.D. La. Sept. 23, 2019) (rejecting employer’s requested language on taxable costs, noting “likely unsophisticated opt-in plaintiffs” and disproportionate “in terrorem effect” of providing such notice); Abeldano v. HMG Park Manor of Westchase, 2016 WL 5848890 (S.D. Tex. Oct. 6, 2016) (ruling that defendant’s proposed language regarding plaintiffs’ liability if they lost should not be included, reasoning that inclusion of such language was likely to dissuade participation in case and was unnecessary because it was unlikely that any costs would be significant for putative class members); Reyes v. Quality Logging, Inc., 52 F. Supp. 3d 849, 854 (S.D. Tex. 2014) (finding the language may have an </w:t>
      </w:r>
      <w:r w:rsidRPr="00AD2F44">
        <w:rPr>
          <w:i/>
          <w:iCs/>
        </w:rPr>
        <w:t>in terrorem</w:t>
      </w:r>
      <w:r w:rsidRPr="00AD2F44">
        <w:t xml:space="preserve"> effect that disproportionately outweighs the likelihood that these costs will occur to any significant magnitude).</w:t>
      </w:r>
    </w:p>
    <w:p w14:paraId="3233B090" w14:textId="1D7D7D32" w:rsidR="00721CCF" w:rsidRPr="00AD2F44" w:rsidRDefault="00F42107">
      <w:pPr>
        <w:pStyle w:val="14Footnote"/>
      </w:pPr>
      <w:r w:rsidRPr="00AD2F44">
        <w:rPr>
          <w:i/>
          <w:iCs/>
        </w:rPr>
        <w:t xml:space="preserve">Sixth Circuit: </w:t>
      </w:r>
      <w:r w:rsidRPr="00AD2F44">
        <w:t>Farmer v. LHC Grp. Inc., 2020 BL 494607, 2020 WL 7416946 (S.D. Ohio, Dec. 18, 2020) (rejecting inclusion of language that plaintiffs may be assessed costs and expenses if they join);</w:t>
      </w:r>
      <w:r w:rsidRPr="00AD2F44">
        <w:rPr>
          <w:b/>
          <w:bCs/>
        </w:rPr>
        <w:t xml:space="preserve"> </w:t>
      </w:r>
      <w:r w:rsidRPr="00AD2F44">
        <w:t>Matthews v. ALC Partner, Inc., 2009 WL 2591497, at *9 (E.D. Mich. Aug. 24, 2009) (declining to include language in notice that defendant would seek attorneys’ fees in event it was successful in litigation).</w:t>
      </w:r>
    </w:p>
    <w:p w14:paraId="04095324" w14:textId="77777777" w:rsidR="00721CCF" w:rsidRPr="00AD2F44" w:rsidRDefault="00F42107">
      <w:pPr>
        <w:pStyle w:val="14Footnote"/>
      </w:pPr>
      <w:r w:rsidRPr="00AD2F44">
        <w:rPr>
          <w:i/>
          <w:iCs/>
        </w:rPr>
        <w:t>Seventh Circuit:</w:t>
      </w:r>
      <w:r w:rsidRPr="00AD2F44">
        <w:t xml:space="preserve"> Espenscheid v. Directstat USA, LLC, 2010 WL 2330309 (W.D. Wis. June 7, 2010); Jackson v. Go-Tane Servs. Inc., 2000 WL 1221642 (N.D. Ill. Aug. 21, 2000); Herrera v. Unified Mgmt. Corp., 2000 WL 1220973 (N.D. Ill. Aug. 18, 2000); King v. ITT Continental Baking Co., 1986 WL 2628 (N.D. Ill. Feb. 13, 1986).</w:t>
      </w:r>
    </w:p>
    <w:p w14:paraId="74C742D9" w14:textId="77777777" w:rsidR="00721CCF" w:rsidRPr="00AD2F44" w:rsidRDefault="00F42107">
      <w:pPr>
        <w:pStyle w:val="14Footnote"/>
      </w:pPr>
      <w:r w:rsidRPr="00AD2F44">
        <w:rPr>
          <w:i/>
          <w:iCs/>
        </w:rPr>
        <w:t>Eighth Circuit:</w:t>
      </w:r>
      <w:r w:rsidRPr="00AD2F44">
        <w:t xml:space="preserve"> Volz v. Provider Plus, Inc., 2015 WL 4255614, at *3–4 (E.D. Mo. July 14, 2015) (refusing to include statement in notice about potential to pay costs because of its potential discouraging effect, but removing statement that it would cost plaintiffs “nothing” to join lawsuit because that was also misleading, given that costs might be assessed against unsuccessful plaintiffs); Hembree v. Mid-Continent Transp., Inc., 2010 WL 3927764, at *5 (W.D. Mo. Oct. 4, 2010) (refusing to include language that opt-in plaintiffs could be responsible for defendants’ costs because language was “potentially disarming” and “it remains unclear” that defendants are entitled to costs if they prevail in FLSA cases); Martinez v. Cargill Meat Sols., 265 F.R.D. 490, 500 (D. Neb. 2009) (refusing to include provision advising notice recipients that they could be liable for defendant’s costs if they opted in and defendant won).</w:t>
      </w:r>
    </w:p>
    <w:p w14:paraId="1B5C7692" w14:textId="2678A4DB" w:rsidR="00721CCF" w:rsidRPr="00AD2F44" w:rsidRDefault="00F42107">
      <w:pPr>
        <w:pStyle w:val="14Footnote"/>
      </w:pPr>
      <w:r w:rsidRPr="00AD2F44">
        <w:rPr>
          <w:i/>
          <w:iCs/>
        </w:rPr>
        <w:t>Ninth Circuit:</w:t>
      </w:r>
      <w:r w:rsidRPr="00AD2F44">
        <w:t xml:space="preserve"> </w:t>
      </w:r>
      <w:r>
        <w:t xml:space="preserve">Roberts v. Sidwell Air Freight, Inc., </w:t>
      </w:r>
      <w:r w:rsidR="004A078D" w:rsidRPr="004A078D">
        <w:t>2023 BL 15817</w:t>
      </w:r>
      <w:r w:rsidR="004A078D">
        <w:t xml:space="preserve">, </w:t>
      </w:r>
      <w:r>
        <w:t>2023 WL 256820 (W.D. Wash. Jan. 18, 2023) (rejecting proposal to include potential liability for costs because of potential chilling effect on putative plaintiffs); Stanfield v. Lasalle Corr</w:t>
      </w:r>
      <w:r w:rsidR="00AD0C2E">
        <w:t>s</w:t>
      </w:r>
      <w:r>
        <w:t xml:space="preserve">. W. LLC, </w:t>
      </w:r>
      <w:r w:rsidR="004A078D" w:rsidRPr="004A078D">
        <w:t>2022 BL 259650</w:t>
      </w:r>
      <w:r w:rsidR="004A078D">
        <w:t xml:space="preserve">, </w:t>
      </w:r>
      <w:r w:rsidR="00AD0C2E" w:rsidRPr="00AD0C2E">
        <w:t xml:space="preserve">2022 WL 2967711 </w:t>
      </w:r>
      <w:r>
        <w:t xml:space="preserve">(D. Ariz. July 26, 2022) (refusing to include potential for costs reasoning its deterrence outweighed its benefit); </w:t>
      </w:r>
      <w:r w:rsidRPr="00AD2F44">
        <w:t>Carrillo v. Schneider Logistics, Inc., 2012 WL 556309, at *14 (C.D. Cal. Jan. 31, 2012), </w:t>
      </w:r>
      <w:r w:rsidRPr="00AD2F44">
        <w:rPr>
          <w:i/>
          <w:iCs/>
        </w:rPr>
        <w:t>aff’d</w:t>
      </w:r>
      <w:r w:rsidRPr="00AD2F44">
        <w:t>, 501 F. App’x 713 (9th Cir. 2012) (declining to include warnings about court costs in the notice to potential opt-ins because “the potential chilling effect of defendants’ proposed warning outweighs the realistic likelihood that any future opt-ins would be required to pay a portion of defendants’ litigation costs”); Helton v. Factor 5, Inc., 2012 WL 2428219 (N.D. Cal. June 26, 2012); Adams v. Inter-Con Sec. Sys., Inc., 242 F.R.D. 530 (N.D. Cal. 2007).</w:t>
      </w:r>
    </w:p>
    <w:p w14:paraId="453D7CB4" w14:textId="77777777" w:rsidR="00721CCF" w:rsidRPr="00AD2F44" w:rsidRDefault="00F42107">
      <w:pPr>
        <w:pStyle w:val="14Footnote"/>
      </w:pPr>
      <w:r w:rsidRPr="00AD2F44">
        <w:rPr>
          <w:i/>
          <w:iCs/>
        </w:rPr>
        <w:t>Tenth Circuit:</w:t>
      </w:r>
      <w:r w:rsidRPr="00AD2F44">
        <w:t xml:space="preserve"> Darrow v. WKRP Mgmt., LLC, 18 WH Cases2d 1595, 2012 WL 638119, at *7, (D. Colo. Feb. 28, 2012) (excluding statement in notice that plaintiffs could be liable for costs where attorney agreed to cover such costs); Sloan v. Renzenberger, Inc., 2011 WL 1457368 (D. Kan. Apr. 15, 2011); Gieseke v. First Horizon Home Loan Corp., 2006 WL 2919076 (D. Kan. Oct. 11, 2006).</w:t>
      </w:r>
    </w:p>
    <w:p w14:paraId="62E5F209" w14:textId="61BB78FC" w:rsidR="00721CCF" w:rsidRPr="00AD2F44" w:rsidRDefault="00F42107">
      <w:pPr>
        <w:pStyle w:val="14Footnote"/>
      </w:pPr>
      <w:r w:rsidRPr="00AD2F44">
        <w:rPr>
          <w:i/>
          <w:iCs/>
        </w:rPr>
        <w:t>Eleventh Circuit:</w:t>
      </w:r>
      <w:r w:rsidRPr="00AD2F44">
        <w:t xml:space="preserve"> Bell v. Mynt Entm’t, LLC, 223 F.R.D. 680 (S.D. Fla. 2004).</w:t>
      </w:r>
    </w:p>
  </w:footnote>
  <w:footnote w:id="362">
    <w:p w14:paraId="2A832BA5" w14:textId="77777777" w:rsidR="00721CCF" w:rsidRPr="00AD2F44" w:rsidRDefault="00F42107">
      <w:pPr>
        <w:pStyle w:val="14Footnote"/>
      </w:pPr>
      <w:r w:rsidRPr="00AD2F44">
        <w:rPr>
          <w:vertAlign w:val="superscript"/>
        </w:rPr>
        <w:footnoteRef/>
      </w:r>
      <w:r w:rsidRPr="00AD2F44">
        <w:rPr>
          <w:i/>
          <w:iCs/>
        </w:rPr>
        <w:t>See, e.g.,</w:t>
      </w:r>
    </w:p>
    <w:p w14:paraId="052E33C2" w14:textId="77777777" w:rsidR="00721CCF" w:rsidRPr="00AD2F44" w:rsidRDefault="00F42107">
      <w:pPr>
        <w:pStyle w:val="14Footnote"/>
      </w:pPr>
      <w:r w:rsidRPr="00AD2F44">
        <w:rPr>
          <w:i/>
          <w:iCs/>
        </w:rPr>
        <w:t xml:space="preserve">Second Circuit: </w:t>
      </w:r>
      <w:r w:rsidRPr="00AD2F44">
        <w:t>Cordova v. SCCF, Inc., 2014 WL 3512820 (S.D.N.Y. July 16, 2014) (notice to include possibility of paying costs).</w:t>
      </w:r>
    </w:p>
    <w:p w14:paraId="588452A5" w14:textId="77777777" w:rsidR="00721CCF" w:rsidRPr="00AD2F44" w:rsidRDefault="00F42107">
      <w:pPr>
        <w:pStyle w:val="14Footnote"/>
      </w:pPr>
      <w:r w:rsidRPr="00AD2F44">
        <w:rPr>
          <w:i/>
          <w:iCs/>
        </w:rPr>
        <w:t xml:space="preserve">Third Circuit: </w:t>
      </w:r>
      <w:r w:rsidRPr="00AD2F44">
        <w:t>Dunkel v. Warrior Energy Servs., Inc., 304 F.R.D. 193, 207 (W.D. Pa. 2014) (finding that “because of the real possibility that at least some opt-in Plaintiffs could be responsible for certain court costs, some language on that topic should be included in the Notice in order to provide potential opt-in Plaintiffs with appropriate disclosure of the possible risks of joining the lawsuit”); Wright v. Lehigh Valley Hosp. &amp; Health Network, LLC, 2011 WL 221770, at *7 (E.D. Pa. Jan. 20, 2011) (ordering that notice include language that opt-in plaintiffs could be liable for “court costs and expenses”).</w:t>
      </w:r>
    </w:p>
    <w:p w14:paraId="6763747B" w14:textId="77777777" w:rsidR="00721CCF" w:rsidRPr="00AD2F44" w:rsidRDefault="00F42107">
      <w:pPr>
        <w:pStyle w:val="14Footnote"/>
      </w:pPr>
      <w:r w:rsidRPr="00AD2F44">
        <w:rPr>
          <w:i/>
          <w:iCs/>
        </w:rPr>
        <w:t xml:space="preserve">Fourth Circuit: </w:t>
      </w:r>
      <w:r w:rsidRPr="00AD2F44">
        <w:t>Byard v. Verizon W. Va., Inc., 287 F.R.D. 365, 374 (N.D. W. Va. 2012) (requiring that notice include language that class members could share in potential costs should defendant prevail).</w:t>
      </w:r>
    </w:p>
    <w:p w14:paraId="6D788C24" w14:textId="77777777" w:rsidR="00721CCF" w:rsidRPr="00AD2F44" w:rsidRDefault="00F42107">
      <w:pPr>
        <w:pStyle w:val="14Footnote"/>
      </w:pPr>
      <w:r w:rsidRPr="00AD2F44">
        <w:rPr>
          <w:i/>
          <w:iCs/>
        </w:rPr>
        <w:t>Fifth Circuit:</w:t>
      </w:r>
      <w:r w:rsidRPr="00AD2F44">
        <w:t xml:space="preserve"> Britt v. Mississippi Farm Bureau Cas. Ins. Co., 2019 WL 943404 (N.D. Miss. Feb. 26, 2018) (adding language related to potential liability of opt-in plaintiffs for costs if defendant prevailed); Roberts v. SB S. Welding LLC, 2015 WL 8773610, at *1–2 (N.D. Tex. Dec. 15, 2015) (ordering inclusion of language regarding potential for specific costs for which opt-in plaintiffs may be liable, “middle ground” approach) (citation omitted); Garcia v. TWC Admin., LLC, 2015 WL 1737932, at *7 (W.D. Tex. Apr. 16, 2015); Foraker v. Highpoint S.W. Servs., L.P., 2006 WL 2585047 (S.D. Tex. Sept.</w:t>
      </w:r>
      <w:r w:rsidRPr="00AD2F44">
        <w:t xml:space="preserve"> 7, 2006).</w:t>
      </w:r>
    </w:p>
    <w:p w14:paraId="44A52BC7" w14:textId="77777777" w:rsidR="00721CCF" w:rsidRPr="00AD2F44" w:rsidRDefault="00F42107">
      <w:pPr>
        <w:pStyle w:val="14Footnote"/>
      </w:pPr>
      <w:r w:rsidRPr="00AD2F44">
        <w:rPr>
          <w:i/>
          <w:iCs/>
        </w:rPr>
        <w:t>Sixth Circuit:</w:t>
      </w:r>
      <w:r w:rsidRPr="00AD2F44">
        <w:t xml:space="preserve"> </w:t>
      </w:r>
      <w:r w:rsidRPr="00AD2F44">
        <w:rPr>
          <w:i/>
          <w:iCs/>
        </w:rPr>
        <w:t>Gomez</w:t>
      </w:r>
      <w:r w:rsidRPr="00AD2F44">
        <w:t>, 2014 WL 3053210 (including statement that plaintiffs may be liable for costs gives clear understanding of potential risks and rewards); Knispel v. Chrysler Grp. LLC, 2012 WL 553722, at *8 (E.D. Mich. Feb. 21, 2012) (allowing inclusion of statement that opt-in plaintiffs could be liable for defendant’s costs in order to allow them to “make an informed decision” about joining lawsuit).</w:t>
      </w:r>
    </w:p>
    <w:p w14:paraId="0F8D3DF3" w14:textId="77777777" w:rsidR="00721CCF" w:rsidRPr="00AD2F44" w:rsidRDefault="00F42107">
      <w:pPr>
        <w:pStyle w:val="14Footnote"/>
      </w:pPr>
      <w:r w:rsidRPr="00AD2F44">
        <w:rPr>
          <w:i/>
          <w:iCs/>
        </w:rPr>
        <w:t xml:space="preserve">Seventh Circuit: </w:t>
      </w:r>
      <w:r w:rsidRPr="00AD2F44">
        <w:t>Alvarado v. International Laser Prods., Inc., 2019 WL 3337995, at *2 (N.D. Ill. June 19, 2019) (holding notice should include language about costs “without giving it undue emphasis”; approving language that stated: “it is possible that a portion of the court costs could be assessed against you”); Freeman v. Total Sec. Mgmt., 2013 WL 4049542 (W.D. Wis. Aug. 9, 2013); Fosbinder-Bittorf v. SSM Health Care of Wis., Inc., 2013 WL 3287634, at *7 (W.D. Wis. Mar. 21, 2013) (amending notice to add sentence regarding costs: “If you do not prevail on your claim, court costs and expenses may possibly be assessed against the class.”).</w:t>
      </w:r>
    </w:p>
    <w:p w14:paraId="388E3FC9" w14:textId="77777777" w:rsidR="00721CCF" w:rsidRPr="00AD2F44" w:rsidRDefault="00F42107">
      <w:pPr>
        <w:pStyle w:val="14Footnote"/>
      </w:pPr>
      <w:r w:rsidRPr="00AD2F44">
        <w:rPr>
          <w:i/>
          <w:iCs/>
        </w:rPr>
        <w:t>Eighth Circuit:</w:t>
      </w:r>
      <w:r w:rsidRPr="00AD2F44">
        <w:t xml:space="preserve"> Halsey v. Casino One Corp., 2012 WL 6200531, at *5 (E.D. Mo. Dec. 12, 2012); Perrin v. Papa John’s Int’l, Inc., 2011 WL 4815246, at *4 (E.D. Mo. Oct. 11, 2011) (ordering inclusion of statement in notice that opt-in plaintiffs could be liable for defendant’s costs if defendants prevail).</w:t>
      </w:r>
    </w:p>
    <w:p w14:paraId="4431D7D0" w14:textId="77777777" w:rsidR="00721CCF" w:rsidRPr="00AD2F44" w:rsidRDefault="00F42107">
      <w:pPr>
        <w:pStyle w:val="14Footnote"/>
      </w:pPr>
      <w:r w:rsidRPr="00AD2F44">
        <w:rPr>
          <w:i/>
          <w:iCs/>
        </w:rPr>
        <w:t>Ninth Circuit:</w:t>
      </w:r>
      <w:r w:rsidRPr="00AD2F44">
        <w:t xml:space="preserve"> Schiller v. Rite of Passage, Inc., 2014 WL 644565 (D. Ariz. Feb. 19, 2014); Labrie v. UPS Supply Chain Sols., Inc., 2009 WL 723599 (N.D. Cal. Mar. 18, 2009); Hoffman v. Securitas Sec. Servs., 2008 WL 5054684 (D. Idaho Aug. 27, 2008); Stanfield v. First NLC Fin. Servs., LLC, 2006 WL 3531729 (N.D. Cal. Dec. 5, 2006).</w:t>
      </w:r>
    </w:p>
    <w:p w14:paraId="47311F94" w14:textId="77777777" w:rsidR="00721CCF" w:rsidRPr="00AD2F44" w:rsidRDefault="00F42107">
      <w:pPr>
        <w:pStyle w:val="14Footnote"/>
      </w:pPr>
      <w:r w:rsidRPr="00AD2F44">
        <w:rPr>
          <w:i/>
          <w:iCs/>
        </w:rPr>
        <w:t xml:space="preserve">Tenth Circuit: </w:t>
      </w:r>
      <w:r w:rsidRPr="00AD2F44">
        <w:t>Wass v. NPC Int’l, Inc., 2011 WL 1118774, at *8 (D. Kan. Mar. 28, 2011) (requiring inclusion of statement that opt-in plaintiffs may be liable for costs as distinguished from attorneys’ fees).</w:t>
      </w:r>
    </w:p>
    <w:p w14:paraId="42954283" w14:textId="55381EFB" w:rsidR="00721CCF" w:rsidRPr="00AD2F44" w:rsidRDefault="00F42107">
      <w:pPr>
        <w:pStyle w:val="14Footnote"/>
      </w:pPr>
      <w:r w:rsidRPr="00AD2F44">
        <w:rPr>
          <w:i/>
          <w:iCs/>
        </w:rPr>
        <w:t>Eleventh Circuit:</w:t>
      </w:r>
      <w:r w:rsidRPr="00AD2F44">
        <w:t xml:space="preserve"> Pieczynski v. LCA Vision, Inc., 2022 BL 35547, 2022 WL 1238552 (M.D. Fla. Jan. 14, 2022), </w:t>
      </w:r>
      <w:r w:rsidRPr="00AD2F44">
        <w:rPr>
          <w:i/>
          <w:iCs/>
        </w:rPr>
        <w:t>report and recommendation adopted</w:t>
      </w:r>
      <w:r w:rsidRPr="00AD2F44">
        <w:t xml:space="preserve">, 2022 WL 1238574 (M.D. Fla. Feb. 1, 2022) (approving defendant’s request for notice to include statement that opt ins could be liable for defendant’s costs and attorneys’ fees, with modification that liability for fees would only be assessed if plaintiffs were found to have litigated in bad faith); Holmes v. Swissport Fueling, Inc., 2017 WL 8794900, at *11 (M.D. Fla. Sept. 1, 2017) (approving inclusion of statement regarding possibility of plaintiffs having to pay defendants’ costs and fees if they are unsuccessful in claims); Aguirre-Molina v. Truscapes SW Fla. Inc., 2016 WL 4472992, at *1 (M.D. Fla. Aug. 3, 2016), </w:t>
      </w:r>
      <w:r w:rsidRPr="00AD2F44">
        <w:rPr>
          <w:i/>
          <w:iCs/>
        </w:rPr>
        <w:t>report &amp; recommendation adopted</w:t>
      </w:r>
      <w:r w:rsidRPr="00AD2F44">
        <w:t>, 2016 WL 4441468 (M.D. Fla. Aug. 23, 2016) (rejecting plaintiff’s proposed notice because it failed to warn potential opt-ins of their obligation to pay attorneys’ fees and costs if they were unsuccessful in their claims); Cox v. Appliance Direct Inc., 2008 WL 3050050, at *1 (M.D. Fla. Aug. 1, 2008) (requiring inclusion of language that opt-ins may be liable for defendant’s costs if action is unsuccessful); Gonzalez v. TZ Ins. Sols., LLC, 2014 WL 1248154 (M.D. Fla. Mar. 26, 2014) (same).</w:t>
      </w:r>
    </w:p>
  </w:footnote>
  <w:footnote w:id="363">
    <w:p w14:paraId="3DA68E45" w14:textId="5649B87F" w:rsidR="00AD0C2E" w:rsidRDefault="00F42107" w:rsidP="000B6C5F">
      <w:pPr>
        <w:pStyle w:val="FootnoteText"/>
      </w:pPr>
      <w:r>
        <w:rPr>
          <w:rStyle w:val="FootnoteReference"/>
        </w:rPr>
        <w:footnoteRef/>
      </w:r>
      <w:r w:rsidRPr="00AD0C2E">
        <w:t xml:space="preserve">Petkovic v. Bloomberg L.P., </w:t>
      </w:r>
      <w:r w:rsidR="00EF0C22" w:rsidRPr="00EF0C22">
        <w:t>2023 BL 64475</w:t>
      </w:r>
      <w:r w:rsidR="00EF0C22">
        <w:t xml:space="preserve">, </w:t>
      </w:r>
      <w:r w:rsidRPr="00AD0C2E">
        <w:t>2023 WL 2263898 (D.N.J. Feb. 28, 2023)</w:t>
      </w:r>
      <w:r>
        <w:t xml:space="preserve">. </w:t>
      </w:r>
    </w:p>
  </w:footnote>
  <w:footnote w:id="364">
    <w:p w14:paraId="73257BF2" w14:textId="77777777" w:rsidR="00721CCF" w:rsidRPr="00AD2F44" w:rsidRDefault="00F42107">
      <w:pPr>
        <w:pStyle w:val="14Footnote"/>
      </w:pPr>
      <w:r w:rsidRPr="00AD2F44">
        <w:rPr>
          <w:vertAlign w:val="superscript"/>
        </w:rPr>
        <w:footnoteRef/>
      </w:r>
      <w:r w:rsidRPr="00AD2F44">
        <w:rPr>
          <w:i/>
          <w:iCs/>
        </w:rPr>
        <w:t xml:space="preserve">Second Circuit: </w:t>
      </w:r>
      <w:r w:rsidRPr="00AD2F44">
        <w:t xml:space="preserve">Fasanelli v. Heartland Brewery, Inc., 516 F. Supp. 2d 317, 324 (S.D.N.Y. 2007). </w:t>
      </w:r>
    </w:p>
    <w:p w14:paraId="0010E363" w14:textId="77777777" w:rsidR="00721CCF" w:rsidRPr="00AD2F44" w:rsidRDefault="00F42107">
      <w:pPr>
        <w:pStyle w:val="14Footnote"/>
      </w:pPr>
      <w:r w:rsidRPr="00AD2F44">
        <w:rPr>
          <w:i/>
          <w:iCs/>
        </w:rPr>
        <w:t xml:space="preserve">Fourth Circuit: </w:t>
      </w:r>
      <w:r w:rsidRPr="00AD2F44">
        <w:t>Byard v. Verizon W. Va., Inc., 287 F.R.D. 365, 375 (N.D. W. Va. 2012).</w:t>
      </w:r>
    </w:p>
    <w:p w14:paraId="22EFF2CE" w14:textId="77777777" w:rsidR="00721CCF" w:rsidRPr="00AD2F44" w:rsidRDefault="00F42107">
      <w:pPr>
        <w:pStyle w:val="14Footnote"/>
      </w:pPr>
      <w:r w:rsidRPr="00AD2F44">
        <w:rPr>
          <w:i/>
          <w:iCs/>
        </w:rPr>
        <w:t>Sixth Circuit:</w:t>
      </w:r>
      <w:r w:rsidRPr="00AD2F44">
        <w:t xml:space="preserve"> Farmer v. LHC Grp. Inc., 2020 WL 7416946 (S.D. Ohio, Dec. 18, 2020) (requiring notice to include language regarding contingency fee arrangement).</w:t>
      </w:r>
    </w:p>
    <w:p w14:paraId="6A429842" w14:textId="77777777" w:rsidR="00721CCF" w:rsidRPr="00AD2F44" w:rsidRDefault="00F42107">
      <w:pPr>
        <w:pStyle w:val="14Footnote"/>
      </w:pPr>
      <w:r w:rsidRPr="00AD2F44">
        <w:rPr>
          <w:i/>
          <w:iCs/>
        </w:rPr>
        <w:t xml:space="preserve">Ninth Circuit: </w:t>
      </w:r>
      <w:r w:rsidRPr="00AD2F44">
        <w:t>Stanfield v. First NLC Fin. Servs., LLC, 2006 WL 3531729 (N.D. Cal. Dec. 5, 2006).</w:t>
      </w:r>
    </w:p>
    <w:p w14:paraId="17D81823" w14:textId="77777777" w:rsidR="00721CCF" w:rsidRPr="00AD2F44" w:rsidRDefault="00F42107">
      <w:pPr>
        <w:pStyle w:val="14Footnote"/>
      </w:pPr>
      <w:r w:rsidRPr="00AD2F44">
        <w:rPr>
          <w:i/>
          <w:iCs/>
        </w:rPr>
        <w:t xml:space="preserve">Federal Circuit: </w:t>
      </w:r>
      <w:r w:rsidRPr="00AD2F44">
        <w:t xml:space="preserve">Whalen v. United States, 85 Fed. Cl. 380 (2009); Gayle v. United States, 85 Fed. Cl. 72 (2008). </w:t>
      </w:r>
    </w:p>
  </w:footnote>
  <w:footnote w:id="365">
    <w:p w14:paraId="5822A95D" w14:textId="77777777" w:rsidR="00721CCF" w:rsidRPr="00AD2F44" w:rsidRDefault="00F42107">
      <w:pPr>
        <w:pStyle w:val="14Footnote"/>
      </w:pPr>
      <w:r w:rsidRPr="00AD2F44">
        <w:rPr>
          <w:vertAlign w:val="superscript"/>
        </w:rPr>
        <w:footnoteRef/>
      </w:r>
      <w:r w:rsidRPr="00AD2F44">
        <w:rPr>
          <w:i/>
          <w:iCs/>
        </w:rPr>
        <w:t>Stanfield</w:t>
      </w:r>
      <w:r w:rsidRPr="00AD2F44">
        <w:t>, 2006 WL 3531729, at *3 (requiring that notice include not only statement of percentage of recovery that would go to contingency fee but also that it would “proportionately reduce the award that each class member would receive”).</w:t>
      </w:r>
    </w:p>
  </w:footnote>
  <w:footnote w:id="366">
    <w:p w14:paraId="44C84CE5" w14:textId="77777777" w:rsidR="00721CCF" w:rsidRPr="00AD2F44" w:rsidRDefault="00F42107">
      <w:pPr>
        <w:pStyle w:val="14Footnote"/>
      </w:pPr>
      <w:r w:rsidRPr="00AD2F44">
        <w:rPr>
          <w:vertAlign w:val="superscript"/>
        </w:rPr>
        <w:footnoteRef/>
      </w:r>
      <w:r w:rsidRPr="00AD2F44">
        <w:t>Hoffmann-La Roche, Inc. v. Sperling, 493 U.S. 165, 174 (1989).</w:t>
      </w:r>
    </w:p>
  </w:footnote>
  <w:footnote w:id="367">
    <w:p w14:paraId="533ACD8C" w14:textId="77777777" w:rsidR="00721CCF" w:rsidRPr="00AD2F44" w:rsidRDefault="00F42107">
      <w:pPr>
        <w:pStyle w:val="14Footnote"/>
      </w:pPr>
      <w:r w:rsidRPr="00AD2F44">
        <w:rPr>
          <w:vertAlign w:val="superscript"/>
        </w:rPr>
        <w:footnoteRef/>
      </w:r>
      <w:r w:rsidRPr="00AD2F44">
        <w:rPr>
          <w:i/>
          <w:iCs/>
        </w:rPr>
        <w:t>See, e.g.,</w:t>
      </w:r>
    </w:p>
    <w:p w14:paraId="11EC6454" w14:textId="77777777" w:rsidR="00721CCF" w:rsidRPr="00AD2F44" w:rsidRDefault="00F42107">
      <w:pPr>
        <w:pStyle w:val="14Footnote"/>
      </w:pPr>
      <w:r w:rsidRPr="00AD2F44">
        <w:rPr>
          <w:i/>
          <w:iCs/>
        </w:rPr>
        <w:t xml:space="preserve">Sixth Circuit: </w:t>
      </w:r>
      <w:r w:rsidRPr="00AD2F44">
        <w:t>Bassett v. Tennessee Valley Auth., 2010 WL 3092251, at *3 (W.D. Ky. Aug. 5, 2010) (including statement of neutrality).</w:t>
      </w:r>
    </w:p>
    <w:p w14:paraId="34D1B6A5" w14:textId="77777777" w:rsidR="00721CCF" w:rsidRPr="00AD2F44" w:rsidRDefault="00F42107">
      <w:pPr>
        <w:pStyle w:val="14Footnote"/>
      </w:pPr>
      <w:r w:rsidRPr="00AD2F44">
        <w:rPr>
          <w:i/>
          <w:iCs/>
        </w:rPr>
        <w:t>Seventh Circuit:</w:t>
      </w:r>
      <w:r w:rsidRPr="00AD2F44">
        <w:t xml:space="preserve"> Howard v. Securitas Sec. Servs., USA Inc., 2009 WL 140126 (N.D. Ill. Jan. 20, 2009); Olmstead v. Residential Plus Mortg. Corp., 2008 WL 5157973 (N.D. Ill. Dec. 9, 2008); Jirak v. Abbot Labs., Inc., 566 F. Supp. 2d 845 (N.D. Ill. 2008); Mares v. Caesars Entm’t, Inc., 2007 WL 118877 (S.D. Ind. Jan. 10, 2007); Boyd v. Jupiter Aluminum Corp., 2006 WL 1518987 (N.D. Ind. May 31, 2006); Coan v. Nightingale Home Healthcare, Inc., 2005 WL 1799454 (S.D. Ind. June 29, 2005).</w:t>
      </w:r>
    </w:p>
    <w:p w14:paraId="6C58A065" w14:textId="77777777" w:rsidR="00721CCF" w:rsidRPr="00AD2F44" w:rsidRDefault="00F42107">
      <w:pPr>
        <w:pStyle w:val="14Footnote"/>
      </w:pPr>
      <w:r w:rsidRPr="00AD2F44">
        <w:rPr>
          <w:i/>
          <w:iCs/>
        </w:rPr>
        <w:t>Eighth Circuit</w:t>
      </w:r>
      <w:r w:rsidRPr="00AD2F44">
        <w:t xml:space="preserve">: Brown v Trinity Prop. Mgmt., LLC, 2019 WL 6834018, at *6 (E.D. Ark. Dec. 13, 2019) (requiring language in notice that: “The Court does not encourage or discourage participation in this case.”). </w:t>
      </w:r>
    </w:p>
    <w:p w14:paraId="1F0E3556" w14:textId="77777777" w:rsidR="00721CCF" w:rsidRPr="00AD2F44" w:rsidRDefault="00F42107">
      <w:pPr>
        <w:pStyle w:val="14Footnote"/>
      </w:pPr>
      <w:r w:rsidRPr="00AD2F44">
        <w:rPr>
          <w:i/>
          <w:iCs/>
        </w:rPr>
        <w:t>Ninth Circuit:</w:t>
      </w:r>
      <w:r w:rsidRPr="00AD2F44">
        <w:t xml:space="preserve"> Cardoza v. Bloomin’ Brands, Inc., 2014 WL 5454178 (D. Nev. Oct. 24, 2014); Labrie v. UPS Supply Chain Sols., Inc., 2009 WL 723599 (N.D. Cal. Mar. 18, 2009); Hoffman v. Securitas Sec. Servs., 2008 WL 5054684 (D. Idaho Aug. 27, 2008); Mowdy v. Beneto Bulk Transp., 2008 WL 901546 (N.D. Cal. Mar. 31, 2008); Delgado v. Ortho-McNeil, Inc., 2007 WL 2847238 (C.D. Cal. Aug. 7, 2007); Adams v. Inter-Con Sec. Sys., Inc., 242 F.R.D. 530 (N.D. Cal. 2007).</w:t>
      </w:r>
    </w:p>
    <w:p w14:paraId="7F20D46B" w14:textId="77777777" w:rsidR="00721CCF" w:rsidRPr="00AD2F44" w:rsidRDefault="00F42107">
      <w:pPr>
        <w:pStyle w:val="14Footnote"/>
      </w:pPr>
      <w:r w:rsidRPr="00AD2F44">
        <w:rPr>
          <w:i/>
          <w:iCs/>
        </w:rPr>
        <w:t>Tenth Circuit:</w:t>
      </w:r>
      <w:r w:rsidRPr="00AD2F44">
        <w:t xml:space="preserve"> Clayton v. </w:t>
      </w:r>
      <w:r w:rsidRPr="00AD2F44">
        <w:t>Velociti, Inc., 2009 WL 304190, at *3 (D. Kan. Feb. 9, 2009) (reasoning that highlighting of “Court Approval of Notice” by putting it in all capital letters is “unnecessary and potentially unfair”).</w:t>
      </w:r>
    </w:p>
    <w:p w14:paraId="29820535" w14:textId="77777777" w:rsidR="00721CCF" w:rsidRPr="00AD2F44" w:rsidRDefault="00F42107">
      <w:pPr>
        <w:pStyle w:val="14Footnote"/>
      </w:pPr>
      <w:r w:rsidRPr="00AD2F44">
        <w:rPr>
          <w:i/>
          <w:iCs/>
        </w:rPr>
        <w:t xml:space="preserve">Eleventh Circuit: </w:t>
      </w:r>
      <w:r w:rsidRPr="00AD2F44">
        <w:t>Fantauzzi v. Agora Mktg. Sols., Inc., 2010 U.S. Dist. LEXIS 59102 (M.D. Fla. June 2, 2010) (requiring notice to be amended to include statement that court takes no position on merits of lawsuit).</w:t>
      </w:r>
    </w:p>
  </w:footnote>
  <w:footnote w:id="368">
    <w:p w14:paraId="7C0E914D" w14:textId="77777777" w:rsidR="00721CCF" w:rsidRPr="00AD2F44" w:rsidRDefault="00F42107">
      <w:pPr>
        <w:pStyle w:val="14Footnote"/>
      </w:pPr>
      <w:r w:rsidRPr="00AD2F44">
        <w:rPr>
          <w:vertAlign w:val="superscript"/>
        </w:rPr>
        <w:footnoteRef/>
      </w:r>
      <w:r w:rsidRPr="00AD2F44">
        <w:rPr>
          <w:i/>
          <w:iCs/>
        </w:rPr>
        <w:t>See, e.g.,</w:t>
      </w:r>
    </w:p>
    <w:p w14:paraId="55E92903" w14:textId="77777777" w:rsidR="00721CCF" w:rsidRPr="00AD2F44" w:rsidRDefault="00F42107">
      <w:pPr>
        <w:pStyle w:val="14Footnote"/>
      </w:pPr>
      <w:r w:rsidRPr="00AD2F44">
        <w:rPr>
          <w:i/>
          <w:iCs/>
        </w:rPr>
        <w:t>Second Circuit:</w:t>
      </w:r>
      <w:r w:rsidRPr="00AD2F44">
        <w:t xml:space="preserve"> Tracy v. NVR, Inc., 667 F. Supp. 2d 244 (W.D.N.Y. 2009) (permitting inclusion of court caption and case number where notice includes disclaimer that court has not expressed an opinion on merits of case).</w:t>
      </w:r>
    </w:p>
    <w:p w14:paraId="6CD7439C" w14:textId="77777777" w:rsidR="00721CCF" w:rsidRPr="00AD2F44" w:rsidRDefault="00F42107">
      <w:pPr>
        <w:pStyle w:val="14Footnote"/>
      </w:pPr>
      <w:r w:rsidRPr="00AD2F44">
        <w:rPr>
          <w:i/>
          <w:iCs/>
        </w:rPr>
        <w:t>Fourth Circuit:</w:t>
      </w:r>
      <w:r w:rsidRPr="00AD2F44">
        <w:t xml:space="preserve"> Byard v. Verizon W. Va., Inc., 287 F.R.D. 365, 376 (N.D. W. Va. 2012) (“After a careful review</w:t>
      </w:r>
      <w:r w:rsidRPr="00AD2F44">
        <w:t xml:space="preserve"> of the relevant authority, the Court concludes that the case caption does not suggest any judicial bias.”).</w:t>
      </w:r>
    </w:p>
    <w:p w14:paraId="1949AA9D" w14:textId="34FD9F6E" w:rsidR="00721CCF" w:rsidRPr="00AD2F44" w:rsidRDefault="00F42107">
      <w:pPr>
        <w:pStyle w:val="14Footnote"/>
      </w:pPr>
      <w:r w:rsidRPr="00AD2F44">
        <w:rPr>
          <w:i/>
          <w:iCs/>
        </w:rPr>
        <w:t>Sixth Circuit:</w:t>
      </w:r>
      <w:r w:rsidRPr="00AD2F44">
        <w:t xml:space="preserve"> York v. Velox Express, Inc., 524 F. Supp. 3d 679 (W.D. Ky. 2021) (permitting format of notice in style of pleading, with court caption, over defendant’s objections); Stine v. FedEx Ground Package Sys., Inc., 2019 WL 2518127, at *6 (E.D. Ky. June 18, 2019) (striking notice language that had put court title in bold caps on first page); Carlson v. Leprino Foods Co., 2006 WL 2375046, at *1 (W.D. Mich. Aug. 15, 2006) (deeming use of caption “important” so readers will not confuse the notice with junk mail).</w:t>
      </w:r>
    </w:p>
    <w:p w14:paraId="3A231517" w14:textId="6CD16106" w:rsidR="00721CCF" w:rsidRPr="00AD2F44" w:rsidRDefault="00F42107">
      <w:pPr>
        <w:pStyle w:val="14Footnote"/>
      </w:pPr>
      <w:r w:rsidRPr="00AD2F44">
        <w:rPr>
          <w:i/>
          <w:iCs/>
        </w:rPr>
        <w:t>Seventh Circuit:</w:t>
      </w:r>
      <w:r w:rsidRPr="00AD2F44">
        <w:t xml:space="preserve"> Woods v. New York Life Ins. Co., 686 F.2d 578 (7th Cir. 1982) (finding it improper for the district court to direct that the notice go out on its letterhead, over the signature of the clerk of court or other judicial officer); Binissia v. ABM Indus., Inc., 2014 WL 793111 (N.D. Ill. Feb. 26, 2014) (encouraging the plaintiffs’ counsel to send out the notice under their letterhead and not place the caption on the first page of the notice); North v. Board of Trs. of Ill. State Univ., 676 F. Supp. 2d 690 (C.D. Ill. 2009) (holding that the caption and the judge’s name were not likely to mislead a recipient into believing that the notice constituted an invitation from the court as the proposed notice stated that the court had taken no position on the merits of the action); Dekeyser v. Thyssenkrupp Waupaca, Inc., 2008 WL 5263750 (E.D. Wis. Dec. 18, 2008) (refusing to approve notice that included space for signature of the court and the heading “U.S. District Court for the Eastern District of Wisconsin”); Olmstead v. Residential Plus Mortg. Corp., 2008 WL 5157973 (N.D. Ill. Dec. 9, 2008) (deeming inclusion of entire caption sufficient where neutral statement of court included); Russell v. Illinois Bell Tel. Co., 575 F. Supp. 2d 930, 938 (N.D. Ill. 2008) (approving inclusion of full caption, since it “could not reasonably be construed as a letter from the Court”); Jirak v. Abbot Labs., Inc., 566 F. Supp. 2d 845 (N.D. Ill. 2008) (requiring that either full caption be included or heading removed); Boyd v. Jupiter Aluminum Corp., 2006 WL 1518987, at *6 (N.D. Ind. May 31, 2006) (“The use of a case caption in Plaintiff’s proposed notice does not suggest any judicial sponsorship of Plaintiffs’ claims in the case. Even if it did, the effect of any such suggestion is cured by the disclaimer in boldface at the end of the notice, which states unequivocally that the Court takes no position as to the merits … .”).</w:t>
      </w:r>
    </w:p>
    <w:p w14:paraId="6EECD4D7" w14:textId="77777777" w:rsidR="00721CCF" w:rsidRPr="00AD2F44" w:rsidRDefault="00F42107">
      <w:pPr>
        <w:pStyle w:val="14Footnote"/>
      </w:pPr>
      <w:r w:rsidRPr="00AD2F44">
        <w:rPr>
          <w:i/>
          <w:iCs/>
        </w:rPr>
        <w:t>Ninth Circuit:</w:t>
      </w:r>
      <w:r w:rsidRPr="00AD2F44">
        <w:t xml:space="preserve"> </w:t>
      </w:r>
      <w:r w:rsidRPr="00AD2F44">
        <w:rPr>
          <w:i/>
          <w:iCs/>
        </w:rPr>
        <w:t>Cardoza</w:t>
      </w:r>
      <w:r w:rsidRPr="00AD2F44">
        <w:t>, 2014 WL 5454178 (permitting caption); Gilbert v. Citigroup, Inc., 2009 WL 424320 (N.D. Cal. Feb. 18, 2009); Hoffman v. Securitas Sec. Servs., 2008 WL 5054684 (D. Idaho Aug. 27, 2008) (permitting inclusion of caption but requiring that it be immediately followed by bolded statement of neutrality); Prentice v. Fund for Pub. Interest Rsch., Inc., 2007 WL 2729187 (N.D. Cal. Sept. 18, 2007); Delgado v. Ortho-McNeil, Inc., 2007 WL 2847238 (C.D. Cal. Aug. 7, 2007) (approving inclusion of caption but requiring that it be immediately followed by conspicuous language that the court has not taken a position on the merits); Adams v. Inter-Con Sec. Sys., Inc., 242 F.R.D. 530, 540 (N.D. Cal. 2007) (“However, notices typically contain a court caption and the bolded statement of neutrality below the caption should make the court’s position clear to potential plaintiffs.”); Gerlach v. Wells Fargo &amp; Co., 2006 WL 824652 (N.D. Cal. Mar. 28, 2006) (ordering the caption deleted from the proposed notice).</w:t>
      </w:r>
    </w:p>
    <w:p w14:paraId="0EAE32DF" w14:textId="77777777" w:rsidR="00721CCF" w:rsidRPr="00AD2F44" w:rsidRDefault="00F42107">
      <w:pPr>
        <w:pStyle w:val="14Footnote"/>
      </w:pPr>
      <w:r w:rsidRPr="00AD2F44">
        <w:rPr>
          <w:i/>
          <w:iCs/>
        </w:rPr>
        <w:t>Tenth Circuit</w:t>
      </w:r>
      <w:r w:rsidRPr="00AD2F44">
        <w:t>: Pack v. Investools, Inc., 2011 WL 5325290, at *2 (D. Utah Nov. 3, 2011) (striking word “from” before “United States District Court for the District of Utah” on notice, because “from” would suggest court, rather than plaintiff’s counsel, was sending notice, and could suggest that court was encouraging the joining of the suit).</w:t>
      </w:r>
    </w:p>
    <w:p w14:paraId="4BE244BE" w14:textId="739107FF" w:rsidR="00721CCF" w:rsidRPr="00AD2F44" w:rsidRDefault="00F42107">
      <w:pPr>
        <w:pStyle w:val="14Footnote"/>
      </w:pPr>
      <w:r w:rsidRPr="00AD2F44">
        <w:rPr>
          <w:i/>
          <w:iCs/>
        </w:rPr>
        <w:t>Eleventh Circuit:</w:t>
      </w:r>
      <w:r w:rsidRPr="00AD2F44">
        <w:t xml:space="preserve"> Villamar v. Carrier Compliance Servs. Corp., 2022 BL 114099, 2022 WL 1650100 (S.D. Fla. May 24, 2022) (rejecting defendant’s argument that case caption should be removed from notice); Earle v. Convergent Outsourcing, Inc., 2013 WL 6252422 (M.D. Ala. Sept. 5, 2013) (inclusion of court’s name at the top of the notice fine given the presence of a one-line disclaimer stating the court’s neutrality); Pares v. Kendall Lakes Auto., LLC, 2013 WL 3279803 (S.D. Fla. June 27, 2013) (ordering that the case name and number be included in the notice in order to show that the court had approved the notice and that the notice was more than a mere solicitation).</w:t>
      </w:r>
    </w:p>
    <w:p w14:paraId="4273FB8C" w14:textId="6F4C7F7E" w:rsidR="00721CCF" w:rsidRPr="00AD2F44" w:rsidRDefault="00F42107">
      <w:pPr>
        <w:pStyle w:val="14Footnote"/>
      </w:pPr>
      <w:r w:rsidRPr="00AD2F44">
        <w:rPr>
          <w:i/>
          <w:iCs/>
        </w:rPr>
        <w:t>Federal Circuit:</w:t>
      </w:r>
      <w:r w:rsidRPr="00AD2F44">
        <w:t xml:space="preserve"> Whalen v. United States, 85 Fed. Cl. 380 (2009) (the notice should avoid any bold heading that includes the court’s name).</w:t>
      </w:r>
    </w:p>
  </w:footnote>
  <w:footnote w:id="369">
    <w:p w14:paraId="7686117B" w14:textId="77777777" w:rsidR="00721CCF" w:rsidRPr="00AD2F44" w:rsidRDefault="00F42107">
      <w:pPr>
        <w:pStyle w:val="14Footnote"/>
      </w:pPr>
      <w:r w:rsidRPr="00AD2F44">
        <w:rPr>
          <w:vertAlign w:val="superscript"/>
        </w:rPr>
        <w:footnoteRef/>
      </w:r>
      <w:r w:rsidRPr="00AD2F44">
        <w:t>Bassett v. Tennessee Valley Auth., 2010 WL 3092251, at *3 (W.D. Ky. Aug. 5, 2010) (including statement advising putative class members not to contact court); Hoffman v. Securitas Sec. Servs., 2008 WL 5054684 (D. Idaho Aug. 27, 2008); Bailey v. Youth Vills., Inc., 2008 WL 2987201 (W.D. Tenn. July 30, 2008); Mowdy v. Beneto Bulk Transp., 2008 WL 901546 (N.D. Cal. Mar. 31, 2008); Gerlach v. Wells Fargo &amp; Co., 2006 WL 824652 (N.D. Cal. Mar. 28, 2006).</w:t>
      </w:r>
    </w:p>
  </w:footnote>
  <w:footnote w:id="370">
    <w:p w14:paraId="1059A3E8" w14:textId="77777777" w:rsidR="00721CCF" w:rsidRPr="00AD2F44" w:rsidRDefault="00F42107">
      <w:pPr>
        <w:pStyle w:val="14Footnote"/>
      </w:pPr>
      <w:r w:rsidRPr="00AD2F44">
        <w:rPr>
          <w:vertAlign w:val="superscript"/>
        </w:rPr>
        <w:footnoteRef/>
      </w:r>
      <w:r w:rsidRPr="00AD2F44">
        <w:t>Woods v. New York Life Ins. Co., 686 F.2d 578 (7th Cir. 1982); Labrie v. UPS Supply Chain Sols., Inc., 2009 WL 723599 (N.D. Cal. Mar. 18, 2009); Gilbert v. Citigroup, Inc., 2009 WL 424320 (N.D. Cal. Feb. 18, 2009); Dekeyser v. Thyssenkrupp Waupaca, Inc., 2008 WL 5263750 (E.D. Wis. Dec. 18, 2008).</w:t>
      </w:r>
    </w:p>
  </w:footnote>
  <w:footnote w:id="371">
    <w:p w14:paraId="59F1B773" w14:textId="77777777" w:rsidR="00721CCF" w:rsidRPr="00AD2F44" w:rsidRDefault="00F42107">
      <w:pPr>
        <w:pStyle w:val="14Footnote"/>
      </w:pPr>
      <w:r w:rsidRPr="00AD2F44">
        <w:rPr>
          <w:vertAlign w:val="superscript"/>
        </w:rPr>
        <w:footnoteRef/>
      </w:r>
      <w:r w:rsidRPr="00AD2F44">
        <w:rPr>
          <w:i/>
          <w:iCs/>
        </w:rPr>
        <w:t>Seventh Circuit:</w:t>
      </w:r>
      <w:r w:rsidRPr="00AD2F44">
        <w:t xml:space="preserve"> Howard v. Securitas Sec. Servs., USA Inc., 2009 WL 140126 (N.D. Ill. Jan. 20, 2009); Jirak v. Abbot Labs., Inc., 566 F. Supp. 2d 845 (N.D. Ill. 2008).</w:t>
      </w:r>
    </w:p>
    <w:p w14:paraId="29178B26" w14:textId="77777777" w:rsidR="00721CCF" w:rsidRPr="00AD2F44" w:rsidRDefault="00F42107">
      <w:pPr>
        <w:pStyle w:val="14Footnote"/>
      </w:pPr>
      <w:r w:rsidRPr="00AD2F44">
        <w:rPr>
          <w:i/>
          <w:iCs/>
        </w:rPr>
        <w:t>Ninth Circuit:</w:t>
      </w:r>
      <w:r w:rsidRPr="00AD2F44">
        <w:t xml:space="preserve"> Delgado v. Ortho-McNeil, Inc., 2007 WL 2847238 (C.D. Cal. Aug. 7, 2007).</w:t>
      </w:r>
    </w:p>
    <w:p w14:paraId="0741F884" w14:textId="05026BF2" w:rsidR="00721CCF" w:rsidRPr="00AD2F44" w:rsidRDefault="00F42107">
      <w:pPr>
        <w:pStyle w:val="14Footnote"/>
      </w:pPr>
      <w:r w:rsidRPr="00AD2F44">
        <w:rPr>
          <w:i/>
          <w:iCs/>
        </w:rPr>
        <w:t>Federal Circuit:</w:t>
      </w:r>
      <w:r w:rsidRPr="00AD2F44">
        <w:t xml:space="preserve"> Whalen v. United States, 85 Fed. Cl. 380 (2009).</w:t>
      </w:r>
    </w:p>
  </w:footnote>
  <w:footnote w:id="372">
    <w:p w14:paraId="08E78CEA" w14:textId="77777777" w:rsidR="00721CCF" w:rsidRPr="00AD2F44" w:rsidRDefault="00F42107">
      <w:pPr>
        <w:pStyle w:val="14Footnote"/>
      </w:pPr>
      <w:r w:rsidRPr="00AD2F44">
        <w:rPr>
          <w:vertAlign w:val="superscript"/>
        </w:rPr>
        <w:footnoteRef/>
      </w:r>
      <w:r w:rsidRPr="00AD2F44">
        <w:t xml:space="preserve">Notices routinely include a disclaimer similar to the following, in all capital letters, and often in boldface type: “THE COURT HAS TAKEN NO POSITION IN THIS CASE REGARDING THE MERITS OF THE PLAINTIFF’S CLAIMS OR OF THE DEFENDANTS’ DEFENSES.” </w:t>
      </w:r>
    </w:p>
    <w:p w14:paraId="36159FE3" w14:textId="77777777" w:rsidR="00721CCF" w:rsidRPr="00AD2F44" w:rsidRDefault="00F42107">
      <w:pPr>
        <w:pStyle w:val="14Footnote"/>
      </w:pPr>
      <w:r w:rsidRPr="00AD2F44">
        <w:rPr>
          <w:i/>
          <w:iCs/>
        </w:rPr>
        <w:t>See, e.g.,</w:t>
      </w:r>
    </w:p>
    <w:p w14:paraId="76A387C0" w14:textId="77777777" w:rsidR="00721CCF" w:rsidRPr="00AD2F44" w:rsidRDefault="00F42107">
      <w:pPr>
        <w:pStyle w:val="14Footnote"/>
      </w:pPr>
      <w:r w:rsidRPr="00AD2F44">
        <w:rPr>
          <w:i/>
          <w:iCs/>
        </w:rPr>
        <w:t>Second Circuit:</w:t>
      </w:r>
      <w:r w:rsidRPr="00AD2F44">
        <w:t xml:space="preserve"> </w:t>
      </w:r>
      <w:r w:rsidRPr="00AD2F44">
        <w:t>Gjurovich v. Emmanuel’s Marketplace, Inc., 282 F. Supp. 2d 101 (S.D.N.Y. 2003).</w:t>
      </w:r>
    </w:p>
    <w:p w14:paraId="7A9BCB1B" w14:textId="77777777" w:rsidR="00721CCF" w:rsidRPr="00AD2F44" w:rsidRDefault="00F42107">
      <w:pPr>
        <w:pStyle w:val="14Footnote"/>
      </w:pPr>
      <w:r w:rsidRPr="00AD2F44">
        <w:rPr>
          <w:i/>
          <w:iCs/>
        </w:rPr>
        <w:t>Sixth Circuit:</w:t>
      </w:r>
      <w:r w:rsidRPr="00AD2F44">
        <w:t xml:space="preserve"> Belcher v. Shoney’s, Inc., 927 F. Supp. 249 (M.D. Tenn. 1996).</w:t>
      </w:r>
    </w:p>
    <w:p w14:paraId="45CBBC7A" w14:textId="77777777" w:rsidR="00721CCF" w:rsidRPr="00AD2F44" w:rsidRDefault="00F42107">
      <w:pPr>
        <w:pStyle w:val="14Footnote"/>
      </w:pPr>
      <w:r w:rsidRPr="00AD2F44">
        <w:rPr>
          <w:i/>
          <w:iCs/>
        </w:rPr>
        <w:t>Seventh Circuit:</w:t>
      </w:r>
      <w:r w:rsidRPr="00AD2F44">
        <w:t xml:space="preserve"> Vennet v. American Intercontinental Univ. Online, 2005 WL 6215171 (N.D. Ill. Dec. 22, 2005).</w:t>
      </w:r>
    </w:p>
    <w:p w14:paraId="340A5CED" w14:textId="77777777" w:rsidR="00721CCF" w:rsidRPr="00AD2F44" w:rsidRDefault="00F42107">
      <w:pPr>
        <w:pStyle w:val="14Footnote"/>
      </w:pPr>
      <w:r w:rsidRPr="00AD2F44">
        <w:rPr>
          <w:i/>
          <w:iCs/>
        </w:rPr>
        <w:t>Tenth</w:t>
      </w:r>
      <w:r w:rsidRPr="00AD2F44">
        <w:t xml:space="preserve"> </w:t>
      </w:r>
      <w:r w:rsidRPr="00AD2F44">
        <w:rPr>
          <w:i/>
          <w:iCs/>
        </w:rPr>
        <w:t>Circuit:</w:t>
      </w:r>
      <w:r w:rsidRPr="00AD2F44">
        <w:t xml:space="preserve"> Fortna v. QC Holdings, Inc., 2006 WL 2385303 (N.D. Okla. Aug. 17, 2006).</w:t>
      </w:r>
    </w:p>
    <w:p w14:paraId="0C9BCA51" w14:textId="77777777" w:rsidR="00721CCF" w:rsidRPr="00AD2F44" w:rsidRDefault="00F42107">
      <w:pPr>
        <w:pStyle w:val="14Footnote"/>
      </w:pPr>
      <w:r w:rsidRPr="00AD2F44">
        <w:rPr>
          <w:i/>
          <w:iCs/>
        </w:rPr>
        <w:t>Federal Circuit:</w:t>
      </w:r>
      <w:r w:rsidRPr="00AD2F44">
        <w:t xml:space="preserve"> Gayle v. United States, 85 Fed. Cl. 72 (2008).</w:t>
      </w:r>
    </w:p>
    <w:p w14:paraId="4FAD2D36" w14:textId="77777777" w:rsidR="00721CCF" w:rsidRPr="00AD2F44" w:rsidRDefault="00F42107">
      <w:pPr>
        <w:pStyle w:val="14Footnote"/>
      </w:pPr>
      <w:r w:rsidRPr="00AD2F44">
        <w:rPr>
          <w:i/>
        </w:rPr>
        <w:t>See also</w:t>
      </w:r>
    </w:p>
    <w:p w14:paraId="41AC5BC4" w14:textId="77777777" w:rsidR="00721CCF" w:rsidRPr="00AD2F44" w:rsidRDefault="00F42107">
      <w:pPr>
        <w:pStyle w:val="14Footnote"/>
      </w:pPr>
      <w:r w:rsidRPr="00AD2F44">
        <w:rPr>
          <w:i/>
          <w:iCs/>
        </w:rPr>
        <w:t xml:space="preserve">Fifth Circuit: </w:t>
      </w:r>
      <w:r w:rsidRPr="00AD2F44">
        <w:t>Reyes v. Quality Logging, Inc., 52 F. Supp. 3d 849, 853 (S.D. Tex. 2014) (statement that “there is no assurance that the Court will grant any relief to him or to you in this case” sufficient to preserve neutrality).</w:t>
      </w:r>
    </w:p>
    <w:p w14:paraId="0C493E4E" w14:textId="77777777" w:rsidR="00721CCF" w:rsidRPr="00AD2F44" w:rsidRDefault="00F42107">
      <w:pPr>
        <w:pStyle w:val="14Footnote"/>
      </w:pPr>
      <w:r w:rsidRPr="00AD2F44">
        <w:rPr>
          <w:i/>
          <w:iCs/>
        </w:rPr>
        <w:t>Eighth Circuit:</w:t>
      </w:r>
      <w:r w:rsidRPr="00AD2F44">
        <w:t xml:space="preserve"> Martinez v. Cargill Meat Sols., 265 F.R.D. 490, 499 (D. Neb. 2009) (requiring that judicial disclaimer be placed immediately after case name in caption to ensure judicial neutrality).</w:t>
      </w:r>
    </w:p>
    <w:p w14:paraId="70E7F07A" w14:textId="0AFD5372" w:rsidR="00721CCF" w:rsidRPr="00AD2F44" w:rsidRDefault="00F42107">
      <w:pPr>
        <w:pStyle w:val="14Footnote"/>
      </w:pPr>
      <w:r w:rsidRPr="00AD2F44">
        <w:rPr>
          <w:i/>
          <w:iCs/>
        </w:rPr>
        <w:t>Ninth Circuit:</w:t>
      </w:r>
      <w:r w:rsidRPr="00AD2F44">
        <w:t xml:space="preserve"> Benedict v. Hewlett-Packard Co., 2014 WL 587135 (N.D. Cal. Feb. 13, 2014); Helton v. Factor 5, Inc., 2012 WL 2428219 (N.D. Cal. June 26, 2012).</w:t>
      </w:r>
    </w:p>
  </w:footnote>
  <w:footnote w:id="373">
    <w:p w14:paraId="0D0176BA" w14:textId="77777777" w:rsidR="00721CCF" w:rsidRPr="00AD2F44" w:rsidRDefault="00F42107">
      <w:pPr>
        <w:pStyle w:val="14Footnote"/>
      </w:pPr>
      <w:r w:rsidRPr="00AD2F44">
        <w:rPr>
          <w:vertAlign w:val="superscript"/>
        </w:rPr>
        <w:footnoteRef/>
      </w:r>
      <w:r w:rsidRPr="00AD2F44">
        <w:t>Issues concerning the distribution and return of those consent forms are described in §II.B [Procedural Requirements of Section 216(b); The Consent Requirement] of this chapter.</w:t>
      </w:r>
    </w:p>
  </w:footnote>
  <w:footnote w:id="374">
    <w:p w14:paraId="0C348189" w14:textId="77777777" w:rsidR="00721CCF" w:rsidRPr="00AD2F44" w:rsidRDefault="00F42107">
      <w:pPr>
        <w:pStyle w:val="14Footnote"/>
      </w:pPr>
      <w:r w:rsidRPr="00AD2F44">
        <w:rPr>
          <w:vertAlign w:val="superscript"/>
        </w:rPr>
        <w:footnoteRef/>
      </w:r>
      <w:r w:rsidRPr="00AD2F44">
        <w:t>Madrid v. Peak Constr., Inc., 2009 WL 3710719, at *1 (D. Ariz. Nov. 2, 2009) (allowing consent form to be on bright green stationery, be included in envelope with “Did you work more than 40 hours per week for Peak Painting? OPEN THIS ENVELOPE” printed in Spanish on outside of envelope, and containing self-addressed, stamped envelope, but rejecting use of “sign here” stickers as inappropriately suggestive to potential collective action members that their signature was required).</w:t>
      </w:r>
    </w:p>
  </w:footnote>
  <w:footnote w:id="375">
    <w:p w14:paraId="555A0E94" w14:textId="77777777" w:rsidR="00721CCF" w:rsidRPr="00AD2F44" w:rsidRDefault="00F42107">
      <w:pPr>
        <w:pStyle w:val="14Footnote"/>
      </w:pPr>
      <w:r w:rsidRPr="00AD2F44">
        <w:rPr>
          <w:vertAlign w:val="superscript"/>
        </w:rPr>
        <w:footnoteRef/>
      </w:r>
      <w:r w:rsidRPr="00AD2F44">
        <w:t xml:space="preserve">As explained above, under 29 U.S.C. §216(b), a person may not become a party plaintiff to an FLSA collective action “unless he gives his consent in writing to become such a party and such consent is filed in the court in which such action is brought.” </w:t>
      </w:r>
      <w:r w:rsidRPr="00AD2F44">
        <w:rPr>
          <w:i/>
          <w:iCs/>
        </w:rPr>
        <w:t>See</w:t>
      </w:r>
      <w:r w:rsidRPr="00AD2F44">
        <w:t xml:space="preserve"> Delaney v. Geisha NYC, LLC, 261 F.R.D. 55, 59–60 (S.D.N.Y. 2009) (rejecting defendant’s proposal to make opt-ins sign consent forms under penalty of perjury).</w:t>
      </w:r>
    </w:p>
  </w:footnote>
  <w:footnote w:id="376">
    <w:p w14:paraId="7AEE2B3D" w14:textId="77777777" w:rsidR="00721CCF" w:rsidRPr="00AD2F44" w:rsidRDefault="00F42107">
      <w:pPr>
        <w:pStyle w:val="14Footnote"/>
      </w:pPr>
      <w:r w:rsidRPr="00AD2F44">
        <w:rPr>
          <w:vertAlign w:val="superscript"/>
        </w:rPr>
        <w:footnoteRef/>
      </w:r>
      <w:r w:rsidRPr="00AD2F44">
        <w:rPr>
          <w:i/>
          <w:iCs/>
        </w:rPr>
        <w:t>See, e.g.,</w:t>
      </w:r>
    </w:p>
    <w:p w14:paraId="1DFDBD72" w14:textId="36D51794" w:rsidR="00721CCF" w:rsidRPr="00AD2F44" w:rsidRDefault="00F42107">
      <w:pPr>
        <w:pStyle w:val="14Footnote"/>
      </w:pPr>
      <w:r w:rsidRPr="00AD2F44">
        <w:rPr>
          <w:i/>
          <w:iCs/>
        </w:rPr>
        <w:t>Second Circuit: Compare</w:t>
      </w:r>
      <w:r w:rsidRPr="00AD2F44">
        <w:t xml:space="preserve"> </w:t>
      </w:r>
      <w:r>
        <w:t>Zimnicki v. Krysiak Constr. Corp.,</w:t>
      </w:r>
      <w:r w:rsidR="003E60AC" w:rsidRPr="003E60AC">
        <w:t xml:space="preserve"> </w:t>
      </w:r>
      <w:r w:rsidR="003E60AC" w:rsidRPr="00846456">
        <w:t>2022 BL 459417</w:t>
      </w:r>
      <w:r w:rsidR="003E60AC">
        <w:t xml:space="preserve">, </w:t>
      </w:r>
      <w:r>
        <w:t xml:space="preserve"> </w:t>
      </w:r>
      <w:r w:rsidR="00AF5B38" w:rsidRPr="00AF5B38">
        <w:t>2022 WL 17820139</w:t>
      </w:r>
      <w:r>
        <w:t>,</w:t>
      </w:r>
      <w:r>
        <w:t xml:space="preserve"> at *</w:t>
      </w:r>
      <w:r w:rsidR="00AF5B38">
        <w:t>11</w:t>
      </w:r>
      <w:r>
        <w:t xml:space="preserve"> (E.D.N.Y. Sept. 27, 2022) (requiring consents to be sent to court to avoid “improperly discourage[ing]” recipients from seeking their own counsel, and noting “this concern has been expressed by numerous courts in the Eastern District”); </w:t>
      </w:r>
      <w:r w:rsidRPr="00AD2F44">
        <w:t xml:space="preserve">Castillo v. Perfume Worldwide, Inc., 2018 WL 1581975, at *10 (E.D.N.Y. Mar. 20, 2018) (instructing that consent forms be mailed directly to clerk of the court, who was instructed to redact opt-ins’ contact information), Zaldivar v. JMJ Caterers, Inc., 2016 WL 1029494, at *1 (E.D.N.Y. Mar. 15, 2016) (stating that “‘[t]he common practice in the Eastern District is to have opt-in plaintiffs send their consent forms to the Clerk of the Court rather than to plaintiff[’s] counsel’”) (citation omitted), Diaz v. S &amp; H Bondi’s Dep’t Store, 2012 WL 137460, at *8 (S.D.N.Y. Jan. 18, 2012) (concluding that consent forms should be returned to clerk), </w:t>
      </w:r>
      <w:r w:rsidRPr="00AD2F44">
        <w:rPr>
          <w:i/>
          <w:iCs/>
        </w:rPr>
        <w:t>and</w:t>
      </w:r>
      <w:r w:rsidRPr="00AD2F44">
        <w:t xml:space="preserve"> Iriarte v. Redwood Deli &amp; Catering, Inc., 2008 WL 2622929, at *4 (E.D.N.Y. June 30, 2008) (rejecting proposal to return consent forms to plaintiff’s counsel because “recent decisions” had found that sending forms to plaintiffs’ counsel discouraged retention of outside counsel; thus, forms must be sent to court), </w:t>
      </w:r>
      <w:r w:rsidRPr="00AD2F44">
        <w:rPr>
          <w:i/>
          <w:iCs/>
        </w:rPr>
        <w:t xml:space="preserve">with </w:t>
      </w:r>
      <w:r w:rsidRPr="00AD2F44">
        <w:t xml:space="preserve">Martinenko v. 212 Steakhouse Inc., 2022 BL 143725, 2022 WL 1227140 (S.D.N.Y. Apr. 26, 2022) (allowing consent forms to be collected by plaintiffs’ counsel and requiring forms be filed with court on same day they are received); Sultonmurodov v. Mesivita of Long Beach, 2015 WL 5918415, at *2–3 (E.D.N.Y. Oct. 9, 2015) (directing that consent forms be returned to plaintiffs’ counsel; more efficient given budgetary constraints on court, and limited risk that returning forms to plaintiffs’ counsel would confuse opt-ins about ability to choose their own counsel was addressed by including language about that right in notice), Hart v. Crab Addison, Inc., 2015 WL 365785 (W.D.N.Y. Jan 27, 2015) (rejecting request that forms be returned to clerk), Cordova v. SCCF, Inc., 2014 WL 3512820 (S.D.N.Y. July 16, 2014) (rejecting request that all consent forms be returned to clerk; individuals wishing to be represented by plaintiff’s counsel should return forms to such counsel), Laroque v. Domino’s Pizza, LLC, 557 F. Supp. 2d 346 (E.D.N.Y. 2008) (consent form to be returned to plaintiff’s counsel), Sobczak v. AWL Indus., Inc., 540 F. Supp. 2d 354 (E.D.N.Y. 2007) (same), </w:t>
      </w:r>
      <w:r w:rsidRPr="00AD2F44">
        <w:rPr>
          <w:i/>
          <w:iCs/>
        </w:rPr>
        <w:t>and</w:t>
      </w:r>
      <w:r w:rsidRPr="00AD2F44">
        <w:t xml:space="preserve"> Ayers v. SGS Control Servs., Inc., 2007 WL 3171342 (S.D.N.Y. Oct. 9, 2007) (same). </w:t>
      </w:r>
      <w:r w:rsidRPr="00AD2F44">
        <w:rPr>
          <w:i/>
          <w:iCs/>
        </w:rPr>
        <w:t>See also</w:t>
      </w:r>
      <w:r w:rsidRPr="00AD2F44">
        <w:t xml:space="preserve"> Delaney v. Geisha NYC, LLC, 261 F.R.D. 55 (S.D.N.Y. 2009) (allowing that consent forms could be mailed to plaintiffs’ counsel or to court); Francis v. A &amp; E Stores, Inc., 2008 WL 2588851 (S.D.N.Y. June 26, 2008) (allowing plaintiffs to return consent forms to plaintiffs’ counsel, but also offering option immediately below plaintiffs’ counsel’s address to retain their own attorneys and have such attorneys file consent forms with court).</w:t>
      </w:r>
    </w:p>
    <w:p w14:paraId="2A5982AD" w14:textId="77777777" w:rsidR="00721CCF" w:rsidRPr="00AD2F44" w:rsidRDefault="00F42107">
      <w:pPr>
        <w:pStyle w:val="14Footnote"/>
      </w:pPr>
      <w:r w:rsidRPr="00AD2F44">
        <w:rPr>
          <w:i/>
          <w:iCs/>
        </w:rPr>
        <w:t>Sixth Circuit:</w:t>
      </w:r>
      <w:r w:rsidRPr="00AD2F44">
        <w:t xml:space="preserve"> Belcher v. Shoney’s, Inc., 927 F. Supp. 249 (M.D. Tenn. 1996) (consent forms to be returned to plaintiff’s counsel).</w:t>
      </w:r>
    </w:p>
    <w:p w14:paraId="46F6EC88" w14:textId="77777777" w:rsidR="00721CCF" w:rsidRPr="00AD2F44" w:rsidRDefault="00F42107">
      <w:pPr>
        <w:pStyle w:val="14Footnote"/>
      </w:pPr>
      <w:r w:rsidRPr="00AD2F44">
        <w:rPr>
          <w:i/>
          <w:iCs/>
        </w:rPr>
        <w:t>Fifth Circuit:</w:t>
      </w:r>
      <w:r w:rsidRPr="00AD2F44">
        <w:t xml:space="preserve"> Ferguson v. Texas Farm Bureau Bus. Corp., 2017 WL 7053928, at *7 (W.D. Tex. Dec. 11, 2017) (consent forms to be sent to plaintiffs’ counsel).</w:t>
      </w:r>
    </w:p>
    <w:p w14:paraId="09DCF467" w14:textId="77777777" w:rsidR="00721CCF" w:rsidRPr="00AD2F44" w:rsidRDefault="00F42107">
      <w:pPr>
        <w:pStyle w:val="14Footnote"/>
      </w:pPr>
      <w:r w:rsidRPr="00AD2F44">
        <w:rPr>
          <w:i/>
          <w:iCs/>
        </w:rPr>
        <w:t>Seventh Circuit:</w:t>
      </w:r>
      <w:r w:rsidRPr="00AD2F44">
        <w:t xml:space="preserve"> Schaefer-Larose v. Eli Lilly &amp; Co., 2008 WL 5384340 (S.D. Ind. Dec. 17, 2008) (consent forms to be returned to plaintiff’s counsel or its agent); Perry v. National City Mortg., Inc., 2007 WL 1810472, at *4 (S.D. Ill. June 21, 2007) (permitting notice to direct recipients to plaintiffs’ counsel for further information and noting that “[i]t would not make sense for a potential putative class member to seek information from Defendant’s counsel”); Vennet v. American Intercontinental Univ. Online, 2005 WL 6215171 (N.D. Ill. Dec. 22, 2005) (consent forms to be returned to plaintiff’s counsel); Ponce v. Tim’s Time, Inc., 2004 WL 1921038 (N.D. Ill. July 8, 2004) (same).</w:t>
      </w:r>
    </w:p>
    <w:p w14:paraId="7C98C278" w14:textId="77777777" w:rsidR="00721CCF" w:rsidRPr="00AD2F44" w:rsidRDefault="00F42107">
      <w:pPr>
        <w:pStyle w:val="14Footnote"/>
      </w:pPr>
      <w:r w:rsidRPr="00AD2F44">
        <w:rPr>
          <w:i/>
          <w:iCs/>
        </w:rPr>
        <w:t>Tenth Circuit:</w:t>
      </w:r>
      <w:r w:rsidRPr="00AD2F44">
        <w:t xml:space="preserve"> Cannon v. Time Warner NY Cable, LLC, 2014 WL 4401313 (D. Colo. Sept. 5, 2014) (consent forms to be sent and collected by third-party administrator because of poor relationship between parties’ counsel); Fortna v. QC Holdings, Inc., 2006 WL 2385303 (N.D. Okla. Aug. 17, 2006) (consent forms to be returned to plaintiff’s counsel); Reab v. Electronic Arts, Inc., 214 F.R.D. 623 (D. Colo. 2002) (same); Sloan v. Renzenberger, Inc., 2011 WL 1457368 (D. Kan. Apr. 15, 2011) (same).</w:t>
      </w:r>
    </w:p>
    <w:p w14:paraId="0B69787F" w14:textId="77777777" w:rsidR="00721CCF" w:rsidRPr="00AD2F44" w:rsidRDefault="00F42107">
      <w:pPr>
        <w:pStyle w:val="14Footnote"/>
      </w:pPr>
      <w:r w:rsidRPr="00AD2F44">
        <w:rPr>
          <w:i/>
          <w:iCs/>
        </w:rPr>
        <w:t>Eleventh Circuit:</w:t>
      </w:r>
      <w:r w:rsidRPr="00AD2F44">
        <w:t xml:space="preserve"> Ackley v. City of Fort Lauderdale, 2008 WL 214721 (S.D. Fla. Jan. 24, 2008) (consent forms to be returned to plaintiff’s counsel); Wajcman v. Hartman &amp; Tyner, Inc., 2008 WL 203579 (S.D. Fla. Jan. 23, 2008) (same).</w:t>
      </w:r>
    </w:p>
    <w:p w14:paraId="08B769FC" w14:textId="3D0FE651" w:rsidR="00721CCF" w:rsidRPr="00AD2F44" w:rsidRDefault="00F42107" w:rsidP="00FC6CD7">
      <w:pPr>
        <w:pStyle w:val="14Footnote"/>
      </w:pPr>
      <w:r w:rsidRPr="00AD2F44">
        <w:rPr>
          <w:i/>
          <w:iCs/>
        </w:rPr>
        <w:t>Federal Circuit:</w:t>
      </w:r>
      <w:r w:rsidRPr="00AD2F44">
        <w:t xml:space="preserve"> Gayle v. United States, 85 Fed. Cl. 72 (2008) (consent forms to be returned to plaintiff’s counsel). </w:t>
      </w:r>
    </w:p>
  </w:footnote>
  <w:footnote w:id="377">
    <w:p w14:paraId="7F6999C5" w14:textId="77777777" w:rsidR="00721CCF" w:rsidRPr="00AD2F44" w:rsidRDefault="00F42107">
      <w:pPr>
        <w:pStyle w:val="14Footnote"/>
      </w:pPr>
      <w:r w:rsidRPr="00AD2F44">
        <w:rPr>
          <w:vertAlign w:val="superscript"/>
        </w:rPr>
        <w:footnoteRef/>
      </w:r>
      <w:r w:rsidRPr="00AD2F44">
        <w:t>See §II [Procedural Requirements of Section 216(b)] of this chapter.</w:t>
      </w:r>
    </w:p>
  </w:footnote>
  <w:footnote w:id="378">
    <w:p w14:paraId="113D27BC" w14:textId="77777777" w:rsidR="00721CCF" w:rsidRPr="00AD2F44" w:rsidRDefault="00F42107">
      <w:pPr>
        <w:pStyle w:val="14Footnote"/>
      </w:pPr>
      <w:r w:rsidRPr="00AD2F44">
        <w:rPr>
          <w:vertAlign w:val="superscript"/>
        </w:rPr>
        <w:footnoteRef/>
      </w:r>
      <w:r w:rsidRPr="00AD2F44">
        <w:rPr>
          <w:i/>
          <w:iCs/>
        </w:rPr>
        <w:t>See, e.g</w:t>
      </w:r>
      <w:r w:rsidRPr="00AD2F44">
        <w:t>., Ayers v. SGS Control Servs., Inc., 2007 WL 3171342 (S.D.N.Y. Oct. 9, 2007) (holding that ambiguity in how the deadline would be measured should be construed in plaintiffs’ favor).</w:t>
      </w:r>
    </w:p>
  </w:footnote>
  <w:footnote w:id="379">
    <w:p w14:paraId="722A12DD" w14:textId="77777777" w:rsidR="00721CCF" w:rsidRPr="00AD2F44" w:rsidRDefault="00F42107">
      <w:pPr>
        <w:pStyle w:val="14Footnote"/>
      </w:pPr>
      <w:r w:rsidRPr="00AD2F44">
        <w:rPr>
          <w:vertAlign w:val="superscript"/>
        </w:rPr>
        <w:footnoteRef/>
      </w:r>
      <w:r w:rsidRPr="00AD2F44">
        <w:t>Vondriska v.</w:t>
      </w:r>
      <w:r w:rsidRPr="00AD2F44">
        <w:t xml:space="preserve"> Premier Mortg. Funding, Inc., 564 F. Supp. 2d 1330 (M.D. Fla. 2007); Mares v. Caesars Entm’t, Inc., 2007 WL 118877 (S.D. Ind. Jan. 10, 2007); Coan v. Nightingale Home Healthcare, Inc., 2005 WL 1799454 (S.D. Ind. June 29, 2005); Champenys v. Ferguson Enter., Inc., 2003 WL 1562219 (S.D. Ind. Mar. 11, 2003).</w:t>
      </w:r>
    </w:p>
  </w:footnote>
  <w:footnote w:id="380">
    <w:p w14:paraId="532291A2" w14:textId="77777777" w:rsidR="00721CCF" w:rsidRPr="00AD2F44" w:rsidRDefault="00F42107">
      <w:pPr>
        <w:pStyle w:val="14Footnote"/>
      </w:pPr>
      <w:r w:rsidRPr="00AD2F44">
        <w:rPr>
          <w:vertAlign w:val="superscript"/>
        </w:rPr>
        <w:footnoteRef/>
      </w:r>
      <w:r w:rsidRPr="00AD2F44">
        <w:t xml:space="preserve">Love v. Phillips Oil, Inc., 2008 U.S. Dist. LEXIS 102366 (N.D. Fla. Dec. 9, 2008); Mowdy v. Beneto Bulk Transp., 2008 U.S. Dist. LEXIS 26233 (N.D. Cal. Mar. 31, 2008); </w:t>
      </w:r>
      <w:r w:rsidRPr="00AD2F44">
        <w:t>Wajcman v. Hartman &amp; Tyner, Inc., 2008 U.S. Dist. LEXIS 4708 (S.D. Fla. Jan. 23, 2008); Adams v. Inter-Con Sec. Sys., 242 F.R.D. 530 (N.D. Cal. 2007).</w:t>
      </w:r>
    </w:p>
  </w:footnote>
  <w:footnote w:id="381">
    <w:p w14:paraId="7039DCAC" w14:textId="77777777" w:rsidR="00721CCF" w:rsidRPr="00AD2F44" w:rsidRDefault="00F42107">
      <w:pPr>
        <w:pStyle w:val="14Footnote"/>
      </w:pPr>
      <w:r w:rsidRPr="00AD2F44">
        <w:rPr>
          <w:vertAlign w:val="superscript"/>
        </w:rPr>
        <w:footnoteRef/>
      </w:r>
      <w:r w:rsidRPr="00AD2F44">
        <w:rPr>
          <w:i/>
          <w:iCs/>
        </w:rPr>
        <w:t>See, e.g.,</w:t>
      </w:r>
    </w:p>
    <w:p w14:paraId="76D3B71B" w14:textId="77777777" w:rsidR="00721CCF" w:rsidRPr="00AD2F44" w:rsidRDefault="00F42107">
      <w:pPr>
        <w:pStyle w:val="14Footnote"/>
      </w:pPr>
      <w:r w:rsidRPr="00AD2F44">
        <w:rPr>
          <w:i/>
          <w:iCs/>
        </w:rPr>
        <w:t>First Circuit:</w:t>
      </w:r>
      <w:r w:rsidRPr="00AD2F44">
        <w:t xml:space="preserve"> O’Connor v. Oakhurst Dairy, 2015 WL 2452678, at *4 (D. Me. May 22, 2015).</w:t>
      </w:r>
    </w:p>
    <w:p w14:paraId="33247421" w14:textId="77777777" w:rsidR="00721CCF" w:rsidRPr="00AD2F44" w:rsidRDefault="00F42107">
      <w:pPr>
        <w:pStyle w:val="14Footnote"/>
      </w:pPr>
      <w:r w:rsidRPr="00AD2F44">
        <w:rPr>
          <w:i/>
          <w:iCs/>
        </w:rPr>
        <w:t>Second Circuit:</w:t>
      </w:r>
      <w:r w:rsidRPr="00AD2F44">
        <w:t xml:space="preserve"> Iriarte v. Redwood Deli &amp; Catering, Inc., 2008 WL 2622929 (E.D.N.Y. June 30, 2008); Hallissey v. America Online, Inc., 2008 WL 465112 (S.D.N.Y. Feb. 19, 2008); Guzman v. VLM, Inc., 2007 WL 2994278 (E.D.N.Y. Oct. 11, 2007); Mentor v. Imperial Parking Sys., Inc., 246 F.R.D. 178 (S.D.N.Y. Sept. 27, 2007); </w:t>
      </w:r>
      <w:r w:rsidRPr="00AD2F44">
        <w:t>Gjurovich v. Emmanuel’s Marketplace, Inc., 282 F. Supp. 2d 101 (S.D.N.Y. 2003).</w:t>
      </w:r>
    </w:p>
    <w:p w14:paraId="1887F06E" w14:textId="77777777" w:rsidR="00721CCF" w:rsidRPr="00AD2F44" w:rsidRDefault="00F42107">
      <w:pPr>
        <w:pStyle w:val="14Footnote"/>
      </w:pPr>
      <w:r w:rsidRPr="00AD2F44">
        <w:rPr>
          <w:i/>
          <w:iCs/>
        </w:rPr>
        <w:t>Third Circuit:</w:t>
      </w:r>
      <w:r w:rsidRPr="00AD2F44">
        <w:t xml:space="preserve"> Ritzer v. UBS Fin. Servs., Inc., 2008 WL 4372784 (D.N.J. Sept. 22, 2008).</w:t>
      </w:r>
    </w:p>
    <w:p w14:paraId="321F68A7" w14:textId="77777777" w:rsidR="00721CCF" w:rsidRPr="00AD2F44" w:rsidRDefault="00F42107">
      <w:pPr>
        <w:pStyle w:val="14Footnote"/>
      </w:pPr>
      <w:r w:rsidRPr="00AD2F44">
        <w:rPr>
          <w:i/>
          <w:iCs/>
        </w:rPr>
        <w:t>Fifth Circuit:</w:t>
      </w:r>
      <w:r w:rsidRPr="00AD2F44">
        <w:t xml:space="preserve"> Updite v. Delta Beverage Grp., Inc., 2006 WL 3718229 (W.D. La. Dec. 15, 2006); Vogt v. Texas Instruments, Inc., 2006 WL 4660134 (N.D. Tex. Sept. 19, 2006); Belt v. Emcare, Inc., 299 F. Supp. 2d 664 (E.D. Tex. 2003); Solis v. Hotels.com Tex. Inc., 2003 WL 22272008 (N.D. Tex. Oct. 1, 2003); Camp v. Progressive Corp., 2002 WL 31496661 (E.D. La. Nov. 8, 2002).</w:t>
      </w:r>
    </w:p>
    <w:p w14:paraId="79FEAD73" w14:textId="77777777" w:rsidR="00721CCF" w:rsidRPr="00AD2F44" w:rsidRDefault="00F42107">
      <w:pPr>
        <w:pStyle w:val="14Footnote"/>
      </w:pPr>
      <w:r w:rsidRPr="00AD2F44">
        <w:rPr>
          <w:i/>
          <w:iCs/>
        </w:rPr>
        <w:t>Sixth Circuit:</w:t>
      </w:r>
      <w:r w:rsidRPr="00AD2F44">
        <w:t xml:space="preserve"> Baden-Winterwood v. Life Time Fitness, 2006 WL 2225825 (S.D. Ohio Aug. 2, 2006); Belcher v. Shoney’s, Inc., 927 F. Supp. 249, 252–55 (M.D. Tenn. 1996).</w:t>
      </w:r>
    </w:p>
    <w:p w14:paraId="3A510C5D" w14:textId="77777777" w:rsidR="00721CCF" w:rsidRPr="00AD2F44" w:rsidRDefault="00F42107">
      <w:pPr>
        <w:pStyle w:val="14Footnote"/>
      </w:pPr>
      <w:r w:rsidRPr="00AD2F44">
        <w:rPr>
          <w:i/>
          <w:iCs/>
        </w:rPr>
        <w:t>Seventh Circuit:</w:t>
      </w:r>
      <w:r w:rsidRPr="00AD2F44">
        <w:t xml:space="preserve"> Craft v. Ray’s, LLC, 2008 WL 5458947 (S.D. Ind. Dec. 31, 2008); Cheesman v. Nexstar Broad. Grp., Inc., 2008 WL 2225617 (S.D. Ind. May 27, 2008); Perry v. National City Mortg., Inc., 2007 WL 1810472 (S.D. Ill. June 21, 2007); Ladegaard v. Hard Rock Concrete Cutters, Inc., 2004 WL 1459486 (N.D. Ill. June 28, 2004); Bontempo v. Metro Networks Comm’cns Ltd. P’ship, 2002 WL 1925911 (N.D. Ill. May 3, 2002).</w:t>
      </w:r>
    </w:p>
    <w:p w14:paraId="525421BA" w14:textId="77777777" w:rsidR="00721CCF" w:rsidRPr="00AD2F44" w:rsidRDefault="00F42107">
      <w:pPr>
        <w:pStyle w:val="14Footnote"/>
      </w:pPr>
      <w:r w:rsidRPr="00AD2F44">
        <w:rPr>
          <w:i/>
          <w:iCs/>
        </w:rPr>
        <w:t>Ninth Circuit:</w:t>
      </w:r>
      <w:r w:rsidRPr="00AD2F44">
        <w:t xml:space="preserve"> Russell v. Wells Fargo &amp; Co., 2008 WL 4104212 (N.D. Cal. Sept. 3, 2008); Hoffman v. Securitas Sec. Servs., 2008 WL 5054684 (D. Idaho Aug. 27, 2008); Delgado v. Ortho-McNeil, Inc., 2007 WL 2847238 (C.D. Cal. Aug. 7, 2007); Lemus v. Burnham Painting &amp; Drywall Corp, 2007 WL 1875540 (D. Nev. June 25, 2007); Adams v. Inter-Con Sec. Sys., Inc., 242 F.R.D. 530 (N.D. Cal. 2007); Agdipa v. Grant Joint Union High Sch. Dist., 2007 WL 1106099 (E.D. Cal. Apr. 10, 2007); Gerlach v. Wells Fargo &amp; Co., 2006 WL 824652 (N.D. Cal. Mar. 28, 2006).</w:t>
      </w:r>
    </w:p>
    <w:p w14:paraId="009EC387" w14:textId="77777777" w:rsidR="00721CCF" w:rsidRPr="00AD2F44" w:rsidRDefault="00F42107">
      <w:pPr>
        <w:pStyle w:val="14Footnote"/>
      </w:pPr>
      <w:r w:rsidRPr="00AD2F44">
        <w:rPr>
          <w:i/>
          <w:iCs/>
        </w:rPr>
        <w:t>Tenth Circuit:</w:t>
      </w:r>
      <w:r w:rsidRPr="00AD2F44">
        <w:t xml:space="preserve"> Reab v. Electronic Arts, Inc., 214 F.R.D. 623, 629 (D. Colo. 2002).</w:t>
      </w:r>
    </w:p>
    <w:p w14:paraId="65BFB52F" w14:textId="77777777" w:rsidR="00721CCF" w:rsidRPr="00AD2F44" w:rsidRDefault="00F42107">
      <w:pPr>
        <w:pStyle w:val="14Footnote"/>
      </w:pPr>
      <w:r w:rsidRPr="00AD2F44">
        <w:rPr>
          <w:i/>
          <w:iCs/>
        </w:rPr>
        <w:t>Eleventh Circuit:</w:t>
      </w:r>
      <w:r w:rsidRPr="00AD2F44">
        <w:t xml:space="preserve"> Garrison v. Chuck, Carol &amp; Co., 2007 WL 1106128 (M.D. Fla. Apr. 11, 2007).</w:t>
      </w:r>
    </w:p>
    <w:p w14:paraId="0696AD30" w14:textId="7E364202" w:rsidR="00721CCF" w:rsidRPr="00AD2F44" w:rsidRDefault="00F42107">
      <w:pPr>
        <w:pStyle w:val="14Footnote"/>
      </w:pPr>
      <w:r w:rsidRPr="00AD2F44">
        <w:rPr>
          <w:i/>
          <w:iCs/>
        </w:rPr>
        <w:t>Federal Circuit:</w:t>
      </w:r>
      <w:r w:rsidRPr="00AD2F44">
        <w:t xml:space="preserve"> Whalen v. United States, 85 Fed. Cl. 380 (2009).</w:t>
      </w:r>
    </w:p>
  </w:footnote>
  <w:footnote w:id="382">
    <w:p w14:paraId="5D7EB299" w14:textId="77777777" w:rsidR="00721CCF" w:rsidRPr="00AD2F44" w:rsidRDefault="00F42107">
      <w:pPr>
        <w:pStyle w:val="14Footnote"/>
      </w:pPr>
      <w:r w:rsidRPr="00AD2F44">
        <w:rPr>
          <w:vertAlign w:val="superscript"/>
        </w:rPr>
        <w:footnoteRef/>
      </w:r>
      <w:r w:rsidRPr="00AD2F44">
        <w:rPr>
          <w:i/>
          <w:iCs/>
        </w:rPr>
        <w:t>See. e.g.,</w:t>
      </w:r>
    </w:p>
    <w:p w14:paraId="60967F35" w14:textId="77777777" w:rsidR="00721CCF" w:rsidRPr="00AD2F44" w:rsidRDefault="00F42107">
      <w:pPr>
        <w:pStyle w:val="14Footnote"/>
      </w:pPr>
      <w:r w:rsidRPr="00AD2F44">
        <w:rPr>
          <w:i/>
          <w:iCs/>
        </w:rPr>
        <w:t>First Circuit:</w:t>
      </w:r>
      <w:r w:rsidRPr="00AD2F44">
        <w:t xml:space="preserve"> O’Connor v. Oakhurst Dairy, 2015 WL 2452678, at *4 (D. Me. May 22, 2015).</w:t>
      </w:r>
    </w:p>
    <w:p w14:paraId="089AF61D" w14:textId="77777777" w:rsidR="00721CCF" w:rsidRPr="00AD2F44" w:rsidRDefault="00F42107">
      <w:pPr>
        <w:pStyle w:val="14Footnote"/>
      </w:pPr>
      <w:r w:rsidRPr="00AD2F44">
        <w:rPr>
          <w:i/>
          <w:iCs/>
        </w:rPr>
        <w:t>Second Circuit:</w:t>
      </w:r>
      <w:r w:rsidRPr="00AD2F44">
        <w:t xml:space="preserve"> Hallissey v. America Online, Inc., 2008 WL 465112 (S.D.N.Y. Feb. 19, 2008).</w:t>
      </w:r>
    </w:p>
    <w:p w14:paraId="3BE0728E" w14:textId="77777777" w:rsidR="00721CCF" w:rsidRPr="00AD2F44" w:rsidRDefault="00F42107">
      <w:pPr>
        <w:pStyle w:val="14Footnote"/>
      </w:pPr>
      <w:r w:rsidRPr="00AD2F44">
        <w:rPr>
          <w:i/>
          <w:iCs/>
        </w:rPr>
        <w:t>Fifth Circuit:</w:t>
      </w:r>
      <w:r w:rsidRPr="00AD2F44">
        <w:t xml:space="preserve"> Reyes v. Quality Logging, Inc., 52 F. Supp. 3d 849, 853 (S.D. Tex. 2014); Valcho v. Dallas Cnty. Hosp. Dist., 574 F. Supp. 2d 618, 622 (N.D. Tex. 2008).</w:t>
      </w:r>
    </w:p>
    <w:p w14:paraId="2C977805" w14:textId="77777777" w:rsidR="00721CCF" w:rsidRPr="00AD2F44" w:rsidRDefault="00F42107">
      <w:pPr>
        <w:pStyle w:val="14Footnote"/>
      </w:pPr>
      <w:r w:rsidRPr="00AD2F44">
        <w:rPr>
          <w:i/>
          <w:iCs/>
        </w:rPr>
        <w:t>Eighth Circuit:</w:t>
      </w:r>
      <w:r w:rsidRPr="00AD2F44">
        <w:t xml:space="preserve"> Littlefield v. Dealer Warranty Servs., LLC, 679 F. Supp. 2d 1014, 1018 (E.D. Mo. 2010).</w:t>
      </w:r>
    </w:p>
    <w:p w14:paraId="49E427C4" w14:textId="5C01783F" w:rsidR="00721CCF" w:rsidRPr="00AD2F44" w:rsidRDefault="00F42107">
      <w:pPr>
        <w:pStyle w:val="14Footnote"/>
      </w:pPr>
      <w:r w:rsidRPr="00AD2F44">
        <w:rPr>
          <w:i/>
          <w:iCs/>
        </w:rPr>
        <w:t>Eleventh Circuit:</w:t>
      </w:r>
      <w:r w:rsidRPr="00AD2F44">
        <w:t xml:space="preserve"> Bell v. Mynt Entm’t, LLC, 223 F.R.D. 680, 683 (S.D. Fla. 2004).</w:t>
      </w:r>
    </w:p>
  </w:footnote>
  <w:footnote w:id="383">
    <w:p w14:paraId="50D65CC6" w14:textId="7F1425EA" w:rsidR="00721CCF" w:rsidRPr="00AD2F44" w:rsidRDefault="00F42107">
      <w:pPr>
        <w:pStyle w:val="14Footnote"/>
      </w:pPr>
      <w:r w:rsidRPr="00AD2F44">
        <w:rPr>
          <w:vertAlign w:val="superscript"/>
        </w:rPr>
        <w:footnoteRef/>
      </w:r>
      <w:r w:rsidRPr="00AD2F44">
        <w:rPr>
          <w:i/>
          <w:iCs/>
        </w:rPr>
        <w:t>See, e.g</w:t>
      </w:r>
      <w:r w:rsidRPr="00AD2F44">
        <w:t xml:space="preserve">., </w:t>
      </w:r>
      <w:r>
        <w:t>Stanfield v. Lasalle Corr</w:t>
      </w:r>
      <w:r w:rsidR="006F46AE">
        <w:t>s</w:t>
      </w:r>
      <w:r>
        <w:t>. W.</w:t>
      </w:r>
      <w:r>
        <w:t xml:space="preserve"> LLC, </w:t>
      </w:r>
      <w:r w:rsidR="00340506" w:rsidRPr="004A078D">
        <w:t>2022 BL 259650</w:t>
      </w:r>
      <w:r w:rsidR="00340506">
        <w:t xml:space="preserve">, </w:t>
      </w:r>
      <w:r w:rsidR="009B2156" w:rsidRPr="009B2156">
        <w:t xml:space="preserve">2022 WL 2967711 </w:t>
      </w:r>
      <w:r>
        <w:t>(D. Ariz. July 26, 2022) (ordering deletion of sections of notice advis</w:t>
      </w:r>
      <w:r w:rsidR="009F166D">
        <w:t>ing</w:t>
      </w:r>
      <w:r>
        <w:t xml:space="preserve"> putative members about ability to contact plaintiff’s counsel for updates, deadlines or other questions, because those could be read as suggestive to call plaintiff’s counsel); </w:t>
      </w:r>
      <w:r w:rsidRPr="00AD2F44">
        <w:t xml:space="preserve">McBeth v. Gabrielli Truck Sales, Ltd., 768 F. Supp. 2d 396, 400–01 (E.D.N.Y. 2011) (refusing to allow plaintiff’s counsel’s website to be in notice, because it was superfluous in light of inclusion of plaintiffs’ counsel’s name, address, and phone number in notice); Gandhi v. Dell Inc., 2009 WL 3427218, at *2 (W.D. Tex. Oct. 20, 2009) (refusing to allow plaintiffs’ counsel to include its contact information—attorney names, phone number, and firm website—in footer that appeared on every page of notice, and limiting it to inclusion in response to one of questions in notice). </w:t>
      </w:r>
      <w:r w:rsidRPr="00AD2F44">
        <w:rPr>
          <w:i/>
          <w:iCs/>
        </w:rPr>
        <w:t>But see</w:t>
      </w:r>
      <w:r w:rsidRPr="00AD2F44">
        <w:t xml:space="preserve"> Agerbrink v. Model Serv. LLC, 2016 WL 406385, at *4 (S.D.N.Y. Feb. 2, 2016) (permitting inclusion of plaintiffs’ counsel’s contact information on every page of notice).</w:t>
      </w:r>
    </w:p>
  </w:footnote>
  <w:footnote w:id="384">
    <w:p w14:paraId="4AB1F836" w14:textId="77777777" w:rsidR="00721CCF" w:rsidRPr="00AD2F44" w:rsidRDefault="00F42107">
      <w:pPr>
        <w:pStyle w:val="14Footnote"/>
      </w:pPr>
      <w:r w:rsidRPr="00AD2F44">
        <w:rPr>
          <w:vertAlign w:val="superscript"/>
        </w:rPr>
        <w:footnoteRef/>
      </w:r>
      <w:r w:rsidRPr="00AD2F44">
        <w:t xml:space="preserve">Guzman v. VLM, Inc., 2007 WL 2994278 (E.D.N.Y. Oct. 11, 2007). </w:t>
      </w:r>
    </w:p>
  </w:footnote>
  <w:footnote w:id="385">
    <w:p w14:paraId="288C191E" w14:textId="77777777" w:rsidR="00721CCF" w:rsidRPr="00AD2F44" w:rsidRDefault="00F42107">
      <w:pPr>
        <w:pStyle w:val="14Footnote"/>
      </w:pPr>
      <w:r w:rsidRPr="00AD2F44">
        <w:rPr>
          <w:vertAlign w:val="superscript"/>
        </w:rPr>
        <w:footnoteRef/>
      </w:r>
      <w:r w:rsidRPr="00AD2F44">
        <w:rPr>
          <w:i/>
          <w:iCs/>
        </w:rPr>
        <w:t>See, e.g.,</w:t>
      </w:r>
    </w:p>
    <w:p w14:paraId="21AC6426" w14:textId="77777777" w:rsidR="00721CCF" w:rsidRDefault="00F42107">
      <w:pPr>
        <w:pStyle w:val="14Footnote"/>
      </w:pPr>
      <w:r w:rsidRPr="00AD2F44">
        <w:rPr>
          <w:i/>
          <w:iCs/>
        </w:rPr>
        <w:t>First Circuit:</w:t>
      </w:r>
      <w:r w:rsidRPr="00AD2F44">
        <w:t xml:space="preserve"> O’Connor v. Oakhurst Dairy, 2015 WL 2452678, at *4 (D. Me. May 22, 2015) (“The inclusion of Defendants’ counsels’ contact information here, where such counsel has no part in distributing or collecting consent forms, could confuse notice recipients.”).</w:t>
      </w:r>
    </w:p>
    <w:p w14:paraId="0D4966AC" w14:textId="42FF820F" w:rsidR="00721CCF" w:rsidRPr="00FB2A46" w:rsidRDefault="00F42107">
      <w:pPr>
        <w:pStyle w:val="14Footnote"/>
      </w:pPr>
      <w:r>
        <w:rPr>
          <w:i/>
          <w:iCs/>
        </w:rPr>
        <w:t>Second Circuit</w:t>
      </w:r>
      <w:r>
        <w:t xml:space="preserve">: Richards v. Empire Scaffolding Sys., </w:t>
      </w:r>
      <w:r w:rsidR="001A0800" w:rsidRPr="001A0800">
        <w:t>2022 BL 229929</w:t>
      </w:r>
      <w:r w:rsidR="001A0800">
        <w:t xml:space="preserve">, </w:t>
      </w:r>
      <w:r w:rsidR="009B2156" w:rsidRPr="009B2156">
        <w:t xml:space="preserve">2022 WL 2384154 </w:t>
      </w:r>
      <w:r>
        <w:t>(S.D.N.Y.</w:t>
      </w:r>
      <w:r>
        <w:t xml:space="preserve"> July 1, 2022) (declining to include defendant’s counsel’s contact information as potentially confusing or discouraging to joining the case).</w:t>
      </w:r>
    </w:p>
    <w:p w14:paraId="6D8ACDE2" w14:textId="77777777" w:rsidR="00721CCF" w:rsidRPr="00AD2F44" w:rsidRDefault="00F42107">
      <w:pPr>
        <w:pStyle w:val="14Footnote"/>
      </w:pPr>
      <w:r w:rsidRPr="00AD2F44">
        <w:rPr>
          <w:i/>
          <w:iCs/>
        </w:rPr>
        <w:t xml:space="preserve">Fourth Circuit: </w:t>
      </w:r>
      <w:r w:rsidRPr="00AD2F44">
        <w:t xml:space="preserve">McCoy v. Transdev Servs., Inc., 2020 WL 2319117, at *7 (D. Md. May 11, 2020) (denying request to include defense counsel’s contact information in notice). </w:t>
      </w:r>
    </w:p>
    <w:p w14:paraId="01094D45" w14:textId="77777777" w:rsidR="00721CCF" w:rsidRPr="00AD2F44" w:rsidRDefault="00F42107">
      <w:pPr>
        <w:pStyle w:val="14Footnote"/>
      </w:pPr>
      <w:r w:rsidRPr="00AD2F44">
        <w:rPr>
          <w:i/>
          <w:iCs/>
        </w:rPr>
        <w:t>Fifth Circuit:</w:t>
      </w:r>
      <w:r w:rsidRPr="00AD2F44">
        <w:t xml:space="preserve"> Britt v. Mississippi Farm Bureau Cas. Ins. Co., 2019 WL 943404 (N.D. Miss. Feb. 26, 2018) (refusing to include defense counsel contact information based on ethical concerns of post-certification communication with defense counsel); Turner v. Nine Energy Serv., LLC, 2016 WL 6638849 (S.D. Tex. Oct. 4, 2016) (rejecting defendant’s argument that defense counsel’s contact information should be included in notice, finding that doing so would create potential ethical concerns if putative class members were to reach out to defense counsel); Garcia v. TWC Admin., LLC, 2015 WL 1737932, at *7 (W.D. Tex. Apr. 16, 2015); Behnken v. Luminant Min. Co., LLC, 997 F. Supp. 2d 511, 525 (N.D. Tex. 2014) (noting lack of authority to support defendant’s position and finding inclusion of defense counsel’s contact information unwarranted).</w:t>
      </w:r>
    </w:p>
    <w:p w14:paraId="5CE5EE69" w14:textId="77777777" w:rsidR="00721CCF" w:rsidRPr="00AD2F44" w:rsidRDefault="00F42107">
      <w:pPr>
        <w:pStyle w:val="14Footnote"/>
      </w:pPr>
      <w:r w:rsidRPr="00AD2F44">
        <w:rPr>
          <w:i/>
          <w:iCs/>
        </w:rPr>
        <w:t>Sixth Circuit:</w:t>
      </w:r>
      <w:r w:rsidRPr="00AD2F44">
        <w:t xml:space="preserve"> Gomez v. ERMC Mgmt. Co., LLC, 2014 WL 3053210 (N.D. Ohio July 7, 2014) (statement that defendants are represented by counsel was appropriate, but contact information for defense counsel was inappropriate).</w:t>
      </w:r>
    </w:p>
    <w:p w14:paraId="7BF821A3" w14:textId="77777777" w:rsidR="00721CCF" w:rsidRPr="00AD2F44" w:rsidRDefault="00F42107">
      <w:pPr>
        <w:pStyle w:val="14Footnote"/>
      </w:pPr>
      <w:r w:rsidRPr="00AD2F44">
        <w:rPr>
          <w:i/>
          <w:iCs/>
        </w:rPr>
        <w:t>Seventh Circuit:</w:t>
      </w:r>
      <w:r w:rsidRPr="00AD2F44">
        <w:t xml:space="preserve"> Frebes v. Mask Rests., LLC, 2014 WL 1848461 (N.D. Ill. May 8, 2014); Kelly v. Bluegreen Corp., 2009 WL 425809 (W.D. Wis. Feb. 20, 2009); Perry v. National City Mortg., Inc., 2007 WL 1810472 (S.D. Ill. June 21, 2007); Gambo v. Lucent Tech., Inc., 2005 WL 3542485, at *7 (N.D. Ill. Dec. 22, 2005) (finding that there was no “law or logic” supporting the defense counsel’s request to include their contact information).</w:t>
      </w:r>
    </w:p>
    <w:p w14:paraId="792F5A4E" w14:textId="77777777" w:rsidR="00721CCF" w:rsidRPr="00AD2F44" w:rsidRDefault="00F42107">
      <w:pPr>
        <w:pStyle w:val="14Footnote"/>
      </w:pPr>
      <w:r w:rsidRPr="00AD2F44">
        <w:rPr>
          <w:i/>
          <w:iCs/>
        </w:rPr>
        <w:t>Eighth Circuit:</w:t>
      </w:r>
      <w:r w:rsidRPr="00AD2F44">
        <w:t xml:space="preserve"> Ahle v. Veracity Rsch. Co., 2009 WL 3103852, at *6 (D. Minn. Sept. 23, 2009).</w:t>
      </w:r>
    </w:p>
    <w:p w14:paraId="28A8585A" w14:textId="77777777" w:rsidR="00721CCF" w:rsidRPr="00AD2F44" w:rsidRDefault="00F42107">
      <w:pPr>
        <w:pStyle w:val="14Footnote"/>
      </w:pPr>
      <w:r w:rsidRPr="00AD2F44">
        <w:rPr>
          <w:i/>
          <w:iCs/>
        </w:rPr>
        <w:t>Ninth Circuit:</w:t>
      </w:r>
      <w:r w:rsidRPr="00AD2F44">
        <w:t xml:space="preserve"> Adams v. Inter-Con Sec. Sys., Inc., 242 F.R.D. 530 (N.D. Cal. 2007); Morden v. T-Mobile USA, Inc., 2006 WL 2620320 (W.D. Wash. Sept. 12, 2006).</w:t>
      </w:r>
    </w:p>
    <w:p w14:paraId="5D522B77" w14:textId="77777777" w:rsidR="00721CCF" w:rsidRPr="00AD2F44" w:rsidRDefault="00F42107">
      <w:pPr>
        <w:pStyle w:val="14Footnote"/>
      </w:pPr>
      <w:r w:rsidRPr="00AD2F44">
        <w:rPr>
          <w:i/>
          <w:iCs/>
        </w:rPr>
        <w:t xml:space="preserve">Tenth Circuit: </w:t>
      </w:r>
      <w:r w:rsidRPr="00AD2F44">
        <w:t>Wass v. NPC Int’l, Inc., 2011 WL 1118774, at *11 (D. Kan. Mar. 28, 2011) (refusing to include defense counsel’s contact information in notice, because defense counsel has no part in distributing notice or collecting consent forms, and inclusion of more lawyers on notice merely increases chance for confusion by notice recipients).</w:t>
      </w:r>
    </w:p>
    <w:p w14:paraId="345A6BF8" w14:textId="4F7B1AB2" w:rsidR="00721CCF" w:rsidRPr="00AD2F44" w:rsidRDefault="00F42107">
      <w:pPr>
        <w:pStyle w:val="14Footnote"/>
      </w:pPr>
      <w:r w:rsidRPr="00AD2F44">
        <w:rPr>
          <w:i/>
          <w:iCs/>
        </w:rPr>
        <w:t>Eleventh Circuit:</w:t>
      </w:r>
      <w:r w:rsidRPr="00AD2F44">
        <w:t xml:space="preserve"> Villamar v. Carrier Compliance Servs. Corp., 2022 WL 1650100, at *5 (S.D. Fla. May 24, 2022) (expressing concern that including defense counsel’s information could create “ethical dilemma” under professional conduct rules governing contact with unrepresented parties); Anish v. National Sec. Corp., 2012 WL 3818283, at *3 (S.D. Fla. Sept. 4, 2012).</w:t>
      </w:r>
    </w:p>
    <w:p w14:paraId="0BECC69D" w14:textId="77777777" w:rsidR="00721CCF" w:rsidRPr="00AD2F44" w:rsidRDefault="00F42107">
      <w:pPr>
        <w:pStyle w:val="14Footnote"/>
      </w:pPr>
      <w:r w:rsidRPr="00AD2F44">
        <w:rPr>
          <w:i/>
          <w:iCs/>
        </w:rPr>
        <w:t>D.C. Circuit:</w:t>
      </w:r>
      <w:r w:rsidRPr="00AD2F44">
        <w:t xml:space="preserve"> Cryer v. Intersolutions, Inc., 2007 WL 1053214, at *3–4 (D.D.C. Apr. 7, 2007)</w:t>
      </w:r>
    </w:p>
  </w:footnote>
  <w:footnote w:id="386">
    <w:p w14:paraId="158C2D62" w14:textId="77777777" w:rsidR="00721CCF" w:rsidRPr="00AD2F44" w:rsidRDefault="00F42107">
      <w:pPr>
        <w:pStyle w:val="14Footnote"/>
      </w:pPr>
      <w:r w:rsidRPr="00AD2F44">
        <w:rPr>
          <w:vertAlign w:val="superscript"/>
        </w:rPr>
        <w:footnoteRef/>
      </w:r>
      <w:r w:rsidRPr="00AD2F44">
        <w:rPr>
          <w:i/>
          <w:iCs/>
        </w:rPr>
        <w:t>See, e.g.,</w:t>
      </w:r>
    </w:p>
    <w:p w14:paraId="3DB5D2DB" w14:textId="5F2D639F" w:rsidR="00721CCF" w:rsidRPr="00AD2F44" w:rsidRDefault="00F42107">
      <w:pPr>
        <w:pStyle w:val="14Footnote"/>
      </w:pPr>
      <w:r w:rsidRPr="00AD2F44">
        <w:rPr>
          <w:i/>
          <w:iCs/>
        </w:rPr>
        <w:t>Second Circuit:</w:t>
      </w:r>
      <w:r w:rsidRPr="00AD2F44">
        <w:t xml:space="preserve"> </w:t>
      </w:r>
      <w:r>
        <w:t xml:space="preserve">Zimnicki v. Krysiak Constr. Corp., </w:t>
      </w:r>
      <w:r w:rsidR="00AF2D17" w:rsidRPr="00846456">
        <w:t>2022 BL 459417</w:t>
      </w:r>
      <w:r w:rsidR="00AF2D17">
        <w:t xml:space="preserve">, </w:t>
      </w:r>
      <w:r w:rsidR="009B2156" w:rsidRPr="009B2156">
        <w:t xml:space="preserve">2022 WL 17820139 </w:t>
      </w:r>
      <w:r>
        <w:t>(E.D.N.Y.</w:t>
      </w:r>
      <w:r>
        <w:t xml:space="preserve"> Sept. 27, 2022); </w:t>
      </w:r>
      <w:r w:rsidRPr="00AD2F44">
        <w:t xml:space="preserve">Nyarko v. M&amp;A Projects Restoration Inc., 2021 BL 345815, 2021 WL 4755602 (E.D.N.Y. Sept. 13, 2021), </w:t>
      </w:r>
      <w:r w:rsidRPr="00AD2F44">
        <w:rPr>
          <w:i/>
          <w:iCs/>
        </w:rPr>
        <w:t>report and recommendation adopted</w:t>
      </w:r>
      <w:r w:rsidRPr="00AD2F44">
        <w:t>, 2021 WL 44772618 (E.D.N.Y. Sept. 30, 2021) (allowing defense counsel’s contact information with language that instructs recipients who decide to join not to contact defense counsel); Jibowu v. Target Corp., 2020 WL 7385695 (E.D.N.Y. Dec. 16, 2020); Anjum v. J.C. Penney Co., 2015 WL 3603973, at *14 (E.D.N.Y. June 5, 2015); Cordova v. SCCF, Inc., 2014 WL 3512820 (S.D.N.Y. July 16, 2014); Guzman v. VLM, Inc., 2007 WL 2994278 (E.D.N.Y. Oct. 11, 2007).</w:t>
      </w:r>
    </w:p>
    <w:p w14:paraId="0366F5A0" w14:textId="6B53B35C" w:rsidR="00721CCF" w:rsidRPr="00AD2F44" w:rsidRDefault="00F42107">
      <w:pPr>
        <w:pStyle w:val="14Footnote"/>
      </w:pPr>
      <w:r w:rsidRPr="00AD2F44">
        <w:rPr>
          <w:i/>
          <w:iCs/>
        </w:rPr>
        <w:t>Third Circuit:</w:t>
      </w:r>
      <w:r w:rsidRPr="00AD2F44">
        <w:t xml:space="preserve"> </w:t>
      </w:r>
      <w:r>
        <w:t xml:space="preserve">Weinmann v. Cont. Land Staff, LLC, </w:t>
      </w:r>
      <w:r w:rsidR="001A0800" w:rsidRPr="001A0800">
        <w:t>2023 BL 200591</w:t>
      </w:r>
      <w:r w:rsidR="001A0800">
        <w:t xml:space="preserve">, </w:t>
      </w:r>
      <w:r w:rsidR="009B2156" w:rsidRPr="009B2156">
        <w:t xml:space="preserve">2023 WL 3881394 </w:t>
      </w:r>
      <w:r>
        <w:t xml:space="preserve">(W.D. Pa. June 8, 2023) (ordering inclusion of defense counsel’s contact information); </w:t>
      </w:r>
      <w:r w:rsidRPr="00AD2F44">
        <w:t>Bland v. PNC Bank N.A, 2015 WL 7587365, at *4 (W.D. Pa. Nov. 25, 2015) (providing for inclusion of defendant’s counsel’s name and law firm, but not emails or telephone numbers, so that information about employer’s representation was included without encouraging contact by putative class members); Mott v. Driveline Retail Merch., Inc., 23 F. Supp. 3d 483, 491 (E.D. Pa. 2014).</w:t>
      </w:r>
    </w:p>
    <w:p w14:paraId="1FE9BB57" w14:textId="0D25CE29" w:rsidR="00721CCF" w:rsidRPr="00AD2F44" w:rsidRDefault="00F42107">
      <w:pPr>
        <w:pStyle w:val="14Footnote"/>
      </w:pPr>
      <w:r w:rsidRPr="00AD2F44">
        <w:rPr>
          <w:i/>
          <w:iCs/>
        </w:rPr>
        <w:t xml:space="preserve">Fourth Circuit: </w:t>
      </w:r>
      <w:r w:rsidRPr="00AD2F44">
        <w:t>Amoko v. N&amp;C Claims Serv., Inc., 577 F. Supp. 3d 408 (D.S.C. 2021) (allowing only names and addresses of defense counsel in notice);</w:t>
      </w:r>
      <w:r w:rsidRPr="00AD2F44">
        <w:rPr>
          <w:i/>
          <w:iCs/>
        </w:rPr>
        <w:t xml:space="preserve"> </w:t>
      </w:r>
      <w:r w:rsidRPr="00AD2F44">
        <w:t>Arevalo v. D.J.’s Underground, Inc., 2010 WL 2639888, at *3–4 (D. Md. June 29, 2010) (ordering inclusion of name and address of defense counsel, but not phone number, and including statement that “defense counsel is obligated to represent the best interest of Defendants and have no legal obligation to you or your interests”).</w:t>
      </w:r>
    </w:p>
    <w:p w14:paraId="64C4C5A1" w14:textId="77777777" w:rsidR="00721CCF" w:rsidRPr="00AD2F44" w:rsidRDefault="00F42107">
      <w:pPr>
        <w:pStyle w:val="14Footnote"/>
      </w:pPr>
      <w:r w:rsidRPr="00AD2F44">
        <w:rPr>
          <w:i/>
          <w:iCs/>
        </w:rPr>
        <w:t>Fifth Circuit:</w:t>
      </w:r>
      <w:r w:rsidRPr="00AD2F44">
        <w:t xml:space="preserve"> Gonzalez v. Ridgewood Landscaping, Inc., 2010 WL 1903602, at *8 (S.D. Tex. May 10, 2010) (“Provided that the notice form clearly states which party each attorney represents and which attorneys should be contacted to join the lawsuit, there is little risk of confusion.”).</w:t>
      </w:r>
    </w:p>
    <w:p w14:paraId="6BDEA733" w14:textId="77777777" w:rsidR="00721CCF" w:rsidRPr="00AD2F44" w:rsidRDefault="00F42107">
      <w:pPr>
        <w:pStyle w:val="14Footnote"/>
      </w:pPr>
      <w:r w:rsidRPr="00AD2F44">
        <w:rPr>
          <w:i/>
          <w:iCs/>
        </w:rPr>
        <w:t>Sixth Circuit:</w:t>
      </w:r>
      <w:r w:rsidRPr="00AD2F44">
        <w:t xml:space="preserve"> Baden-Winterwood v. Life Time Fitness, 2006 WL 2225825 (S.D. Ohio Aug. 2, 2006) (ordering notice to list names and addresses of defendant’s counsel but not their telephone numbers); Belcher v. Shoney’s, Inc., 927 F. Supp. 249, 252–55 (M.D. Tenn. 1996).</w:t>
      </w:r>
    </w:p>
    <w:p w14:paraId="57C13714" w14:textId="77777777" w:rsidR="00721CCF" w:rsidRPr="00AD2F44" w:rsidRDefault="00F42107">
      <w:pPr>
        <w:pStyle w:val="14Footnote"/>
      </w:pPr>
      <w:r w:rsidRPr="00AD2F44">
        <w:rPr>
          <w:i/>
          <w:iCs/>
        </w:rPr>
        <w:t>Seventh Circuit:</w:t>
      </w:r>
      <w:r w:rsidRPr="00AD2F44">
        <w:t xml:space="preserve"> Craft v. Ray’s, LLC, 2008 WL 5458947 (S.D. Ind. Dec. 31, 2008); Cheesman v. Nexstar Broad. Grp., Inc., 2008 WL 2225617 (S.D. Ind. May 27, 2008).</w:t>
      </w:r>
    </w:p>
    <w:p w14:paraId="2A6AD54E" w14:textId="77777777" w:rsidR="00721CCF" w:rsidRPr="00AD2F44" w:rsidRDefault="00F42107">
      <w:pPr>
        <w:pStyle w:val="14Footnote"/>
      </w:pPr>
      <w:r w:rsidRPr="00AD2F44">
        <w:rPr>
          <w:i/>
          <w:iCs/>
        </w:rPr>
        <w:t>Ninth Circuit:</w:t>
      </w:r>
      <w:r w:rsidRPr="00AD2F44">
        <w:t xml:space="preserve"> Agdipa v. Grant Joint Union High Sch. Dist., 2007 WL 1106099 (E.D. Cal. Apr. 10, 2007) (granting unopposed request to include contact information for both parties).</w:t>
      </w:r>
    </w:p>
    <w:p w14:paraId="5F85DF69" w14:textId="77777777" w:rsidR="00721CCF" w:rsidRPr="00AD2F44" w:rsidRDefault="00F42107">
      <w:pPr>
        <w:pStyle w:val="14Footnote"/>
      </w:pPr>
      <w:r w:rsidRPr="00AD2F44">
        <w:rPr>
          <w:i/>
          <w:iCs/>
        </w:rPr>
        <w:t>Tenth Circuit:</w:t>
      </w:r>
      <w:r w:rsidRPr="00AD2F44">
        <w:t xml:space="preserve"> </w:t>
      </w:r>
      <w:r w:rsidRPr="00AD2F44">
        <w:rPr>
          <w:i/>
          <w:iCs/>
        </w:rPr>
        <w:t>Reab</w:t>
      </w:r>
      <w:r w:rsidRPr="00AD2F44">
        <w:t>, 214 F.R.D. at 629.</w:t>
      </w:r>
    </w:p>
    <w:p w14:paraId="2DD8A353" w14:textId="77777777" w:rsidR="00721CCF" w:rsidRPr="00AD2F44" w:rsidRDefault="00F42107">
      <w:pPr>
        <w:pStyle w:val="14Footnote"/>
      </w:pPr>
      <w:r w:rsidRPr="00AD2F44">
        <w:rPr>
          <w:i/>
          <w:iCs/>
        </w:rPr>
        <w:t>Eleventh Circuit:</w:t>
      </w:r>
      <w:r w:rsidRPr="00AD2F44">
        <w:t xml:space="preserve"> Gonzalez v. TZ Ins. Sols., LLC, 2014 WL 1248154 (M.D. Fla. Mar. 26, 2014)</w:t>
      </w:r>
    </w:p>
  </w:footnote>
  <w:footnote w:id="387">
    <w:p w14:paraId="6AFE7B5F" w14:textId="77777777" w:rsidR="00721CCF" w:rsidRPr="00AD2F44" w:rsidRDefault="00F42107">
      <w:pPr>
        <w:pStyle w:val="14Footnote"/>
      </w:pPr>
      <w:r w:rsidRPr="00AD2F44">
        <w:rPr>
          <w:vertAlign w:val="superscript"/>
        </w:rPr>
        <w:footnoteRef/>
      </w:r>
      <w:r w:rsidRPr="00AD2F44">
        <w:rPr>
          <w:i/>
          <w:iCs/>
        </w:rPr>
        <w:t>See, e.g.,</w:t>
      </w:r>
    </w:p>
    <w:p w14:paraId="3FCFCBA5" w14:textId="2F504854" w:rsidR="00721CCF" w:rsidRPr="00AD2F44" w:rsidRDefault="00F42107">
      <w:pPr>
        <w:pStyle w:val="14Footnote"/>
      </w:pPr>
      <w:r w:rsidRPr="00AD2F44">
        <w:rPr>
          <w:i/>
          <w:iCs/>
        </w:rPr>
        <w:t>Second Circuit:</w:t>
      </w:r>
      <w:r w:rsidRPr="00AD2F44">
        <w:t xml:space="preserve"> Barron v. Casa Luis Corp., 2022 BL 20996, 2022 WL 2467595 (E.D.N.Y. Jan. 21, 2022) (allowing notice to include reference to state law claims with statement that opt-in consent is only for joining FLSA claims); Cohan v. Columbia Sussex Mgmt., LLC, 2016 WL 1045532, at *2 (E.D.N.Y. Mar. 15, 2016) (allowing use of New York state law six-year limitations period in light of inclusion of state law claims in case); </w:t>
      </w:r>
      <w:r w:rsidRPr="00AD2F44">
        <w:t>Jemine v. Dennis, 2009 WL 837802 (E.D.N.Y. Mar. 26, 2009).</w:t>
      </w:r>
    </w:p>
    <w:p w14:paraId="21C45495" w14:textId="77777777" w:rsidR="00721CCF" w:rsidRPr="00AD2F44" w:rsidRDefault="00F42107">
      <w:pPr>
        <w:pStyle w:val="14Footnote"/>
      </w:pPr>
      <w:r w:rsidRPr="00AD2F44">
        <w:rPr>
          <w:i/>
          <w:iCs/>
        </w:rPr>
        <w:t>Seventh Circuit:</w:t>
      </w:r>
      <w:r w:rsidRPr="00AD2F44">
        <w:t xml:space="preserve"> Molina v. First Line Sols. LLC, 566 F. Supp. 2d 770 (N.D. Ill. 2007).</w:t>
      </w:r>
    </w:p>
    <w:p w14:paraId="03ED913A" w14:textId="77777777" w:rsidR="00721CCF" w:rsidRPr="00AD2F44" w:rsidRDefault="00F42107">
      <w:pPr>
        <w:pStyle w:val="14Footnote"/>
      </w:pPr>
      <w:r w:rsidRPr="00AD2F44">
        <w:rPr>
          <w:i/>
          <w:iCs/>
        </w:rPr>
        <w:t>Eighth Circuit:</w:t>
      </w:r>
      <w:r w:rsidRPr="00AD2F44">
        <w:t xml:space="preserve"> Bouaphakeo v. Tyson Foods, Inc., 564 F. Supp. 2d 870 (N.D. Iowa 2008).</w:t>
      </w:r>
    </w:p>
    <w:p w14:paraId="4BE92148" w14:textId="77777777" w:rsidR="00721CCF" w:rsidRPr="00AD2F44" w:rsidRDefault="00F42107">
      <w:pPr>
        <w:pStyle w:val="14Footnote"/>
      </w:pPr>
      <w:r w:rsidRPr="00AD2F44">
        <w:rPr>
          <w:i/>
          <w:iCs/>
        </w:rPr>
        <w:t>D.C. Circuit:</w:t>
      </w:r>
      <w:r w:rsidRPr="00AD2F44">
        <w:t xml:space="preserve"> Cryer v. Intersolutions, Inc., 2007 WL 1191928 (D.D.C. Apr. 20, 2007).</w:t>
      </w:r>
    </w:p>
    <w:p w14:paraId="49AE9E5F" w14:textId="77777777" w:rsidR="00721CCF" w:rsidRPr="00AD2F44" w:rsidRDefault="00F42107">
      <w:pPr>
        <w:pStyle w:val="14Footnote"/>
      </w:pPr>
      <w:r w:rsidRPr="00AD2F44">
        <w:t>See also §XI [Hybrid FLSA/State Law Class Actions] of this chapter.</w:t>
      </w:r>
    </w:p>
  </w:footnote>
  <w:footnote w:id="388">
    <w:p w14:paraId="4AFE8CD6" w14:textId="0514C025" w:rsidR="00721CCF" w:rsidRPr="00AD2F44" w:rsidRDefault="00F42107">
      <w:pPr>
        <w:pStyle w:val="14Footnote"/>
      </w:pPr>
      <w:r w:rsidRPr="00AD2F44">
        <w:rPr>
          <w:vertAlign w:val="superscript"/>
        </w:rPr>
        <w:footnoteRef/>
      </w:r>
      <w:r w:rsidRPr="00AD2F44">
        <w:rPr>
          <w:i/>
          <w:iCs/>
        </w:rPr>
        <w:t>See, e.g</w:t>
      </w:r>
      <w:r w:rsidRPr="00AD2F44">
        <w:t xml:space="preserve">., </w:t>
      </w:r>
      <w:r>
        <w:t xml:space="preserve">Zimnicki v. Krysiak Constr. Corp., </w:t>
      </w:r>
      <w:r w:rsidR="00384564" w:rsidRPr="00846456">
        <w:t>2022 BL 459417</w:t>
      </w:r>
      <w:r w:rsidR="00384564">
        <w:t xml:space="preserve">, </w:t>
      </w:r>
      <w:r w:rsidR="009B2156" w:rsidRPr="009B2156">
        <w:t xml:space="preserve">2022 WL 17820139 </w:t>
      </w:r>
      <w:r>
        <w:t>(E.D.N.Y.</w:t>
      </w:r>
      <w:r>
        <w:t xml:space="preserve"> Sept. 27, 2022) (refusing to include reference to N</w:t>
      </w:r>
      <w:r w:rsidR="009F166D">
        <w:t xml:space="preserve">ew </w:t>
      </w:r>
      <w:r>
        <w:t>Y</w:t>
      </w:r>
      <w:r w:rsidR="009F166D">
        <w:t>ork state law</w:t>
      </w:r>
      <w:r>
        <w:t xml:space="preserve"> claims and limiting notice to FLSA claims); </w:t>
      </w:r>
      <w:r w:rsidRPr="00AD2F44">
        <w:t>Leuthold v. Destination Am., Inc., 224 F.R.D. 462 (N.D. Cal. 2004).</w:t>
      </w:r>
    </w:p>
  </w:footnote>
  <w:footnote w:id="389">
    <w:p w14:paraId="226DBDEB" w14:textId="77777777" w:rsidR="00721CCF" w:rsidRPr="00AD2F44" w:rsidRDefault="00F42107">
      <w:pPr>
        <w:pStyle w:val="14Footnote"/>
      </w:pPr>
      <w:r w:rsidRPr="00AD2F44">
        <w:rPr>
          <w:vertAlign w:val="superscript"/>
        </w:rPr>
        <w:footnoteRef/>
      </w:r>
      <w:r w:rsidRPr="00AD2F44">
        <w:rPr>
          <w:i/>
          <w:iCs/>
        </w:rPr>
        <w:t>See, e.g.</w:t>
      </w:r>
      <w:r w:rsidRPr="00AD2F44">
        <w:t>, Adkinson v. Tiger Eye Pizza, LLC, 2019 WL 5213957 (W.D. Ark. Oct. 16, 2019) (approving anti-retaliation language in notice and also requiring language that no allegations or claims had been made that defendant had engaged in retaliation); Tutein v. Esteemed Patrol, Inc., 2013 WL 8115441 (E.D.N.Y. June 10, 2013) (noting that anti-retaliation language on a notice form is routine).</w:t>
      </w:r>
    </w:p>
  </w:footnote>
  <w:footnote w:id="390">
    <w:p w14:paraId="671BA17B" w14:textId="77777777" w:rsidR="00721CCF" w:rsidRPr="00AD2F44" w:rsidRDefault="00F42107">
      <w:pPr>
        <w:pStyle w:val="14Footnote"/>
      </w:pPr>
      <w:r w:rsidRPr="00AD2F44">
        <w:rPr>
          <w:vertAlign w:val="superscript"/>
        </w:rPr>
        <w:footnoteRef/>
      </w:r>
      <w:r w:rsidRPr="00AD2F44">
        <w:t>2013 WL 6836535 (M.D. Fla. Dec. 26, 2013).</w:t>
      </w:r>
      <w:r w:rsidRPr="00AD2F44">
        <w:rPr>
          <w:i/>
          <w:iCs/>
        </w:rPr>
        <w:t xml:space="preserve"> Accord </w:t>
      </w:r>
      <w:r w:rsidRPr="00AD2F44">
        <w:t>Cox v. Appliance Direct, Inc., 2008 WL 3050050, at *5 (M.D. Fla. Aug. 1, 2008) (rejecting inclusion of statement proposed by plaintiffs’ counsel that if employees believe they have been retaliated against to contact plaintiffs’ counsel).</w:t>
      </w:r>
    </w:p>
  </w:footnote>
  <w:footnote w:id="391">
    <w:p w14:paraId="2A0EE5F8" w14:textId="77777777" w:rsidR="00721CCF" w:rsidRPr="00AD2F44" w:rsidRDefault="00F42107">
      <w:pPr>
        <w:pStyle w:val="14Footnote"/>
      </w:pPr>
      <w:r w:rsidRPr="00AD2F44">
        <w:rPr>
          <w:vertAlign w:val="superscript"/>
        </w:rPr>
        <w:footnoteRef/>
      </w:r>
      <w:r w:rsidRPr="00AD2F44">
        <w:rPr>
          <w:i/>
          <w:iCs/>
        </w:rPr>
        <w:t>Palma</w:t>
      </w:r>
      <w:r w:rsidRPr="00AD2F44">
        <w:t>, 2013 WL 6836535.</w:t>
      </w:r>
    </w:p>
  </w:footnote>
  <w:footnote w:id="392">
    <w:p w14:paraId="18991F5B" w14:textId="77777777" w:rsidR="00721CCF" w:rsidRPr="00AD2F44" w:rsidRDefault="00F42107">
      <w:pPr>
        <w:pStyle w:val="14Footnote"/>
      </w:pPr>
      <w:r w:rsidRPr="00AD2F44">
        <w:rPr>
          <w:vertAlign w:val="superscript"/>
        </w:rPr>
        <w:footnoteRef/>
      </w:r>
      <w:r w:rsidRPr="00AD2F44">
        <w:t>Brown v. Consolidated Rest. Operations, Inc., 2013 WL 4804780 (M.D. Tenn. Sept. 6, 2013).</w:t>
      </w:r>
    </w:p>
  </w:footnote>
  <w:footnote w:id="393">
    <w:p w14:paraId="4554ABBE" w14:textId="77777777" w:rsidR="00721CCF" w:rsidRPr="00AD2F44" w:rsidRDefault="00F42107">
      <w:pPr>
        <w:pStyle w:val="14Footnote"/>
      </w:pPr>
      <w:r w:rsidRPr="00AD2F44">
        <w:rPr>
          <w:vertAlign w:val="superscript"/>
        </w:rPr>
        <w:footnoteRef/>
      </w:r>
      <w:r w:rsidRPr="00AD2F44">
        <w:t xml:space="preserve">29 U.S.C. §255(a). The issue of willfulness is addressed in detail in Chapter 16, Litigation Issues, §VI.B [Statute of Limitations; Willful and </w:t>
      </w:r>
      <w:r w:rsidRPr="00AD2F44">
        <w:t>Nonwillful Violations].</w:t>
      </w:r>
    </w:p>
  </w:footnote>
  <w:footnote w:id="394">
    <w:p w14:paraId="5C4D6F04" w14:textId="77777777" w:rsidR="00721CCF" w:rsidRPr="00AD2F44" w:rsidRDefault="00F42107">
      <w:pPr>
        <w:pStyle w:val="14Footnote"/>
      </w:pPr>
      <w:r w:rsidRPr="00AD2F44">
        <w:rPr>
          <w:vertAlign w:val="superscript"/>
        </w:rPr>
        <w:footnoteRef/>
      </w:r>
      <w:r w:rsidRPr="00AD2F44">
        <w:rPr>
          <w:i/>
          <w:iCs/>
        </w:rPr>
        <w:t>See, e.g</w:t>
      </w:r>
      <w:r w:rsidRPr="00AD2F44">
        <w:t xml:space="preserve">., Reeves v. Alliant Techsys., Inc., 77 F. Supp. 2d 242, 250 (D.R.I. 1999) (applying two-year statute of limitations when insufficient allegations of willfulness); </w:t>
      </w:r>
      <w:r w:rsidRPr="00AD2F44">
        <w:rPr>
          <w:i/>
          <w:iCs/>
        </w:rPr>
        <w:t xml:space="preserve">see also </w:t>
      </w:r>
      <w:r w:rsidRPr="00AD2F44">
        <w:t>Goody v. Jefferson Cnty., 2010 WL 1418395, at *3 (D. Idaho Apr. 6, 2010) (limiting class period to two years where plaintiff did not allege facts indicating that defendant’s actions were willful).</w:t>
      </w:r>
    </w:p>
  </w:footnote>
  <w:footnote w:id="395">
    <w:p w14:paraId="21A8C1E0" w14:textId="77777777" w:rsidR="00721CCF" w:rsidRPr="00AD2F44" w:rsidRDefault="00F42107">
      <w:pPr>
        <w:pStyle w:val="14Footnote"/>
      </w:pPr>
      <w:r w:rsidRPr="00AD2F44">
        <w:rPr>
          <w:vertAlign w:val="superscript"/>
        </w:rPr>
        <w:footnoteRef/>
      </w:r>
      <w:r w:rsidRPr="00AD2F44">
        <w:rPr>
          <w:i/>
          <w:iCs/>
        </w:rPr>
        <w:t>See, e.g.,</w:t>
      </w:r>
    </w:p>
    <w:p w14:paraId="6222648C" w14:textId="77777777" w:rsidR="00721CCF" w:rsidRPr="00AD2F44" w:rsidRDefault="00F42107">
      <w:pPr>
        <w:pStyle w:val="14Footnote"/>
      </w:pPr>
      <w:r w:rsidRPr="00AD2F44">
        <w:rPr>
          <w:i/>
          <w:iCs/>
        </w:rPr>
        <w:t>First Circuit:</w:t>
      </w:r>
      <w:r w:rsidRPr="00AD2F44">
        <w:t xml:space="preserve"> Trezvant v. Fidelity Emp. Servs. Corp., 434 F. Supp. 2d 40 (D. Mass. 2006).</w:t>
      </w:r>
    </w:p>
    <w:p w14:paraId="5C783536" w14:textId="34125A6D" w:rsidR="00721CCF" w:rsidRPr="00AD2F44" w:rsidRDefault="00F42107">
      <w:pPr>
        <w:pStyle w:val="14Footnote"/>
      </w:pPr>
      <w:r w:rsidRPr="00AD2F44">
        <w:rPr>
          <w:i/>
          <w:iCs/>
        </w:rPr>
        <w:t>Second Circuit:</w:t>
      </w:r>
      <w:r w:rsidRPr="00AD2F44">
        <w:t xml:space="preserve"> </w:t>
      </w:r>
      <w:r>
        <w:t>Zimnicki v. Krysiak Constr. Corp.,</w:t>
      </w:r>
      <w:r w:rsidR="00384564" w:rsidRPr="00384564">
        <w:t xml:space="preserve"> </w:t>
      </w:r>
      <w:r w:rsidR="00384564" w:rsidRPr="00846456">
        <w:t>2022 BL 459417</w:t>
      </w:r>
      <w:r w:rsidR="00384564">
        <w:t>,</w:t>
      </w:r>
      <w:r>
        <w:t xml:space="preserve"> </w:t>
      </w:r>
      <w:r w:rsidR="009B2156" w:rsidRPr="009B2156">
        <w:t xml:space="preserve">2022 WL 17820139 </w:t>
      </w:r>
      <w:r>
        <w:t>(E.D.N.Y.</w:t>
      </w:r>
      <w:r>
        <w:t xml:space="preserve"> Sept. 27, 2022) (using three-year period but rejecting six-year period for N</w:t>
      </w:r>
      <w:r w:rsidR="009F166D">
        <w:t xml:space="preserve">ew </w:t>
      </w:r>
      <w:r>
        <w:t>Y</w:t>
      </w:r>
      <w:r w:rsidR="009F166D">
        <w:t>ork</w:t>
      </w:r>
      <w:r>
        <w:t xml:space="preserve"> claims, reasoning class claims are tolled and six years would include FLSA claims that were time-barred, creating confusion among recipients); </w:t>
      </w:r>
      <w:r w:rsidRPr="00AD2F44">
        <w:t>Franze v. Bimbo Foods Bakeries Distribution, LLC, 2019 WL 1417125 (S.D.N.Y. Mar. 29, 2019) (granting plaintiff’s request for conditional certification, but limiting period to three years, rather than the six-year period found in New York state law); Gurrieri v. City of Nassau, 2019 WL 2233830 (E.D.N.Y. May 23, 2019) (same); Hernandez v. City of N.Y., 2017 WL 2829816 (S.D.N.Y. June 29, 2017); Davis v. Abercrombie &amp; Fitch Co., 2008 U.S. Dist. LEXIS 86577 (S.D.N.Y. Oct. 23, 2008); Francis v. A &amp; E Stores, Inc., 2008 U.S. Dist. LEXIS 49971 (S.D.N.Y. June 26, 2008); Neary v. Metropolitan Prop. &amp; Cas. Ins. Co., 517 F. Supp. 2d 606 (D. Conn. 2007); Fasanelli v. Heartland Brewery, Inc., 516 F. Supp. 2d 317 (S.D.N.Y. 2007); Patton v. Thomson Corp., 364 F. Supp. 2d 263 (E.D.N.Y. 2005); Roebuck v. Hudson Valley Farms, Inc., 239 F. Supp. 2d 234, 240 (N.D.N.Y. 2002).</w:t>
      </w:r>
    </w:p>
    <w:p w14:paraId="0A9E371B" w14:textId="77777777" w:rsidR="00721CCF" w:rsidRPr="00AD2F44" w:rsidRDefault="00F42107">
      <w:pPr>
        <w:pStyle w:val="14Footnote"/>
      </w:pPr>
      <w:r w:rsidRPr="00AD2F44">
        <w:rPr>
          <w:i/>
          <w:iCs/>
        </w:rPr>
        <w:t>Third Circuit:</w:t>
      </w:r>
      <w:r w:rsidRPr="00AD2F44">
        <w:t xml:space="preserve"> Gallagher v. Lackawanna Cnty., 2008 U.S. Dist. LEXIS 43722 (M.D. Pa. May 30, 2008).</w:t>
      </w:r>
    </w:p>
    <w:p w14:paraId="72B4BC28" w14:textId="77777777" w:rsidR="00721CCF" w:rsidRPr="00AD2F44" w:rsidRDefault="00F42107">
      <w:pPr>
        <w:pStyle w:val="14Footnote"/>
      </w:pPr>
      <w:r w:rsidRPr="00AD2F44">
        <w:rPr>
          <w:i/>
          <w:iCs/>
        </w:rPr>
        <w:t>Fourth Circuit:</w:t>
      </w:r>
      <w:r w:rsidRPr="00AD2F44">
        <w:t xml:space="preserve"> Rodgers v. Abbster Enters., LLC, 2017 WL 402055 (N.D. W. Va. Jan. 30, 2017); Regan v. City of Charleston, S.C., 2014 WL 3530135, at *5 (D.S.C. July 16, 2014), </w:t>
      </w:r>
      <w:r w:rsidRPr="00AD2F44">
        <w:rPr>
          <w:i/>
          <w:iCs/>
        </w:rPr>
        <w:t>reconsideration denied</w:t>
      </w:r>
      <w:r w:rsidRPr="00AD2F44">
        <w:t>, 40 F. Supp. 3d 698 (D.S.C. 2014); Houston v. URS Corp., 591 F. Supp. 2d 827, 835 (E.D. Va. 2008).</w:t>
      </w:r>
    </w:p>
    <w:p w14:paraId="1AA330F6" w14:textId="77777777" w:rsidR="00721CCF" w:rsidRPr="00AD2F44" w:rsidRDefault="00F42107">
      <w:pPr>
        <w:pStyle w:val="14Footnote"/>
      </w:pPr>
      <w:r w:rsidRPr="00AD2F44">
        <w:rPr>
          <w:i/>
          <w:iCs/>
        </w:rPr>
        <w:t>Fifth Circuit:</w:t>
      </w:r>
      <w:r w:rsidRPr="00AD2F44">
        <w:t xml:space="preserve"> Albanil v. Coast 2 Coast, Inc., 2008 U.S. Dist. LEXIS 93035 (S.D. Tex. Nov. 17, 2008).</w:t>
      </w:r>
    </w:p>
    <w:p w14:paraId="019A0C89" w14:textId="622BE802" w:rsidR="00721CCF" w:rsidRPr="00AD2F44" w:rsidRDefault="00F42107">
      <w:pPr>
        <w:pStyle w:val="14Footnote"/>
      </w:pPr>
      <w:r w:rsidRPr="00AD2F44">
        <w:rPr>
          <w:i/>
          <w:iCs/>
        </w:rPr>
        <w:t>Sixth Circuit:</w:t>
      </w:r>
      <w:r w:rsidRPr="00AD2F44">
        <w:t xml:space="preserve"> York v. Velox Express, Inc., 524 F. Supp. 3d 679 (W.D. Ky. 2021) (allowing three-year period for purposes of notice but beginning three-year period from date of conditional certification order, not complaint filing); Arends v. Family Sols. of Ohio, Inc., 2019 WL 4417674, at *10 (N.D. Ohio Sept. 16, 2019); Bacon v. Subway Sandwiches &amp; Salads LLC, 2015 WL 729632, at *6 (E.D. Tenn. Feb. 19, 2015); Pearson v. CSK Auto, Inc., 2014 WL 1333273 (N.D. Ohio Mar. 28, 2014); Larson v. Rush Fitness Corp., 2012 U.S. Dist. LEXIS 189211 (E.D. Tenn. Oct. 17, 2012), </w:t>
      </w:r>
      <w:r w:rsidRPr="00AD2F44">
        <w:rPr>
          <w:i/>
          <w:iCs/>
        </w:rPr>
        <w:t>adopted by</w:t>
      </w:r>
      <w:r w:rsidRPr="00AD2F44">
        <w:t xml:space="preserve"> 2013 U.S. Dist. LEXIS 163541 (E.D. Tenn. Sept. 23, 2013). </w:t>
      </w:r>
      <w:r w:rsidRPr="00AD2F44">
        <w:rPr>
          <w:i/>
          <w:iCs/>
        </w:rPr>
        <w:t xml:space="preserve">But see </w:t>
      </w:r>
      <w:r w:rsidRPr="00AD2F44">
        <w:t>Watson v. Advanced Distribution Servs.,</w:t>
      </w:r>
      <w:r w:rsidRPr="00AD2F44">
        <w:rPr>
          <w:i/>
          <w:iCs/>
        </w:rPr>
        <w:t xml:space="preserve"> </w:t>
      </w:r>
      <w:r w:rsidRPr="00AD2F44">
        <w:t>LLC, 298 F.R.D. 558, 561 (M.D. Tenn. 2014) (limiting the time period to two years where a previous DOL investigation had made no liability finding against the defendant).</w:t>
      </w:r>
    </w:p>
    <w:p w14:paraId="0DDF9BF8" w14:textId="77777777" w:rsidR="00721CCF" w:rsidRPr="00AD2F44" w:rsidRDefault="00F42107">
      <w:pPr>
        <w:pStyle w:val="14Footnote"/>
      </w:pPr>
      <w:r w:rsidRPr="00AD2F44">
        <w:rPr>
          <w:i/>
          <w:iCs/>
        </w:rPr>
        <w:t>Seventh Circuit:</w:t>
      </w:r>
      <w:r w:rsidRPr="00AD2F44">
        <w:t xml:space="preserve"> Frebes v. Mask Rests., LLC, 2014 WL 1848461 (N.D. Ill. May 8, 2014); O’Brien v. Morse, 2002 U.S. Dist. LEXIS 10495 (N.D. Ill. June 11, 2002); Krieg v. Pell’s, Inc., 2001 U.S. Dist. LEXIS 6769 (S.D. Ind. May 29, 2001).</w:t>
      </w:r>
    </w:p>
    <w:p w14:paraId="566F3569" w14:textId="77777777" w:rsidR="00721CCF" w:rsidRPr="00AD2F44" w:rsidRDefault="00F42107">
      <w:pPr>
        <w:pStyle w:val="14Footnote"/>
      </w:pPr>
      <w:r w:rsidRPr="00AD2F44">
        <w:rPr>
          <w:i/>
          <w:iCs/>
        </w:rPr>
        <w:t>Eighth Circuit:</w:t>
      </w:r>
      <w:r w:rsidRPr="00AD2F44">
        <w:t xml:space="preserve"> Resendiz-Ramirez v. P &amp; H Forestry, LLC, 515 F. Supp. 2d 937 (W.D. Ark. 2007); Kautsch v. Premier Commc’ns, 504 F. Supp. 2d 685 (W.D. Mo. 2007); Burch v. Qwest Commc’ns Int’l, Inc., 500 F. Supp. 2d 1181 (D. Minn. 2007); Fast v. Applebee’s Int’l, Inc., 243 F.R.D. 360 (W.D. Mo. 2007).</w:t>
      </w:r>
    </w:p>
    <w:p w14:paraId="0360EAF5" w14:textId="77777777" w:rsidR="00721CCF" w:rsidRPr="00AD2F44" w:rsidRDefault="00F42107">
      <w:pPr>
        <w:pStyle w:val="14Footnote"/>
      </w:pPr>
      <w:r w:rsidRPr="00AD2F44">
        <w:rPr>
          <w:i/>
          <w:iCs/>
        </w:rPr>
        <w:t>Ninth Circuit:</w:t>
      </w:r>
      <w:r w:rsidRPr="00AD2F44">
        <w:t xml:space="preserve"> Chastain v. Cam, 2014 WL 3734368, at *7 (D. Or. July 28, 2014); Mitchell v. Acosta Sales, LLC, 841 F. Supp. 2d 1105, 1119 (C.D. Cal. 2011) (issuing notice for three-year limitations period “based on the evidence adduced” at conditional certification stage, including nationally applicable written policies, as well as practices and procedures that discouraged employees “from seeking compensation for all hours worked”); Centurioni v. City &amp; Cnty. of S.F., 2008 U.S. Dist. LEXIS 10856 (N.D. Cal. Feb. 1, 2008); Adams v. Inter-Con Sec. Sys., 242 F.R.D. 530 (N.D. Cal. 2007); Agdipa v. Grant Joint Union High Sch. Dist., 2007 WL 1106099 (E.D. Cal. Apr. 10, 2007).</w:t>
      </w:r>
    </w:p>
    <w:p w14:paraId="382260B7" w14:textId="77777777" w:rsidR="00721CCF" w:rsidRPr="00AD2F44" w:rsidRDefault="00F42107">
      <w:pPr>
        <w:pStyle w:val="14Footnote"/>
      </w:pPr>
      <w:r w:rsidRPr="00AD2F44">
        <w:rPr>
          <w:i/>
          <w:iCs/>
        </w:rPr>
        <w:t>Tenth Circuit:</w:t>
      </w:r>
      <w:r w:rsidRPr="00AD2F44">
        <w:t xml:space="preserve"> Pegues v. Carecentrix, Inc., 2013 WL 1896994, at *4 (D. Kan. May 6, 2013).</w:t>
      </w:r>
    </w:p>
    <w:p w14:paraId="19E530AA" w14:textId="186D485F" w:rsidR="00721CCF" w:rsidRPr="00AD2F44" w:rsidRDefault="00F42107">
      <w:pPr>
        <w:pStyle w:val="14Footnote"/>
      </w:pPr>
      <w:r w:rsidRPr="00AD2F44">
        <w:rPr>
          <w:i/>
          <w:iCs/>
        </w:rPr>
        <w:t>Eleventh Circuit:</w:t>
      </w:r>
      <w:r w:rsidRPr="00AD2F44">
        <w:t xml:space="preserve"> Holmes v. Swissport Fueling, Inc., 2017 WL 8794900 (M.D. Fla. Sept. 1, 2017); Aguirre-Molina v. Truscapes SW Fla. Inc., 2016 WL 4472992, at *1 (M.D. Fla. Aug. 3, 2016), </w:t>
      </w:r>
      <w:r w:rsidRPr="00AD2F44">
        <w:rPr>
          <w:i/>
          <w:iCs/>
        </w:rPr>
        <w:t>report &amp; recommendation adopted</w:t>
      </w:r>
      <w:r w:rsidRPr="00AD2F44">
        <w:t>, 2016 WL 4441468 (M.D. Fla. Aug. 23, 2016); Whitaker v. Kablelink Commc’ns, LLC, 2013 WL 5919351, at *1 (M.D. Fla. Nov. 4, 2013); Simpkins v. Pulte Home Corp., 2008 U.S. Dist. LEXIS 64270 (M.D. Fla. Aug. 21, 2008); Ohsann v. L.V. Stabler Hosp., 2008 U.S. Dist. LEXIS 47074 (M.D. Ala. June 17, 2008).</w:t>
      </w:r>
    </w:p>
  </w:footnote>
  <w:footnote w:id="396">
    <w:p w14:paraId="0888979E" w14:textId="77777777" w:rsidR="00721CCF" w:rsidRPr="00AD2F44" w:rsidRDefault="00F42107">
      <w:pPr>
        <w:pStyle w:val="14Footnote"/>
      </w:pPr>
      <w:r w:rsidRPr="00AD2F44">
        <w:rPr>
          <w:vertAlign w:val="superscript"/>
        </w:rPr>
        <w:footnoteRef/>
      </w:r>
      <w:r w:rsidRPr="00AD2F44">
        <w:t xml:space="preserve">29 U.S.C. §256; </w:t>
      </w:r>
      <w:r w:rsidRPr="00AD2F44">
        <w:rPr>
          <w:i/>
          <w:iCs/>
        </w:rPr>
        <w:t>see also</w:t>
      </w:r>
      <w:r w:rsidRPr="00AD2F44">
        <w:t xml:space="preserve"> Redman v. United States W. Bus. Res., Inc., 153 F.3d 691 (8th Cir. 1998).</w:t>
      </w:r>
    </w:p>
  </w:footnote>
  <w:footnote w:id="397">
    <w:p w14:paraId="7B2D422A" w14:textId="77777777" w:rsidR="00721CCF" w:rsidRPr="00AD2F44" w:rsidRDefault="00F42107">
      <w:pPr>
        <w:pStyle w:val="14Footnote"/>
      </w:pPr>
      <w:r w:rsidRPr="00AD2F44">
        <w:rPr>
          <w:vertAlign w:val="superscript"/>
        </w:rPr>
        <w:footnoteRef/>
      </w:r>
      <w:r w:rsidRPr="00AD2F44">
        <w:rPr>
          <w:i/>
          <w:iCs/>
        </w:rPr>
        <w:t>See, e.g.,</w:t>
      </w:r>
    </w:p>
    <w:p w14:paraId="12504730" w14:textId="77777777" w:rsidR="00721CCF" w:rsidRPr="00AD2F44" w:rsidRDefault="00F42107">
      <w:pPr>
        <w:pStyle w:val="14Footnote"/>
      </w:pPr>
      <w:r w:rsidRPr="00AD2F44">
        <w:rPr>
          <w:i/>
          <w:iCs/>
        </w:rPr>
        <w:t>First Circuit:</w:t>
      </w:r>
      <w:r w:rsidRPr="00AD2F44">
        <w:t xml:space="preserve"> Tidd v. Adecco USA, Inc., 2008 U.S. Dist. LEXIS 69825 (D. Mass. Sept. 17, 2008); Kane v. Gage Merch. Servs., 138 F. Supp. 2d 212 (D. Mass. 2001).</w:t>
      </w:r>
    </w:p>
    <w:p w14:paraId="2CC7AEB7" w14:textId="5B563C58" w:rsidR="00721CCF" w:rsidRPr="00AD2F44" w:rsidRDefault="00F42107">
      <w:pPr>
        <w:pStyle w:val="14Footnote"/>
      </w:pPr>
      <w:r w:rsidRPr="00AD2F44">
        <w:rPr>
          <w:i/>
          <w:iCs/>
        </w:rPr>
        <w:t>Second Circuit:</w:t>
      </w:r>
      <w:r w:rsidRPr="00AD2F44">
        <w:t xml:space="preserve"> </w:t>
      </w:r>
      <w:r>
        <w:t xml:space="preserve">Tlapanco v. City Metal Traders, Inc., </w:t>
      </w:r>
      <w:r w:rsidR="002709C5" w:rsidRPr="002709C5">
        <w:t>2023 BL 62127</w:t>
      </w:r>
      <w:r w:rsidR="002709C5">
        <w:t xml:space="preserve">, </w:t>
      </w:r>
      <w:r w:rsidR="009B2156" w:rsidRPr="009B2156">
        <w:t xml:space="preserve">2023 WL 2240396 </w:t>
      </w:r>
      <w:r>
        <w:t>(E.D.N.Y.</w:t>
      </w:r>
      <w:r>
        <w:t xml:space="preserve"> Feb. 2</w:t>
      </w:r>
      <w:r w:rsidR="009B2156">
        <w:t>7</w:t>
      </w:r>
      <w:r>
        <w:t xml:space="preserve">, 2023) (measuring notice period from date of order, but tolling period for 60 days to account for time the court spent deciding the motion); </w:t>
      </w:r>
      <w:r w:rsidRPr="00AD2F44">
        <w:t>Doucoure v. Matlyn Food, Inc., 554 F. Supp. 2d 369 (E.D.N.Y. 2008).</w:t>
      </w:r>
    </w:p>
    <w:p w14:paraId="038677C1" w14:textId="77777777" w:rsidR="00721CCF" w:rsidRPr="00AD2F44" w:rsidRDefault="00F42107">
      <w:pPr>
        <w:pStyle w:val="14Footnote"/>
      </w:pPr>
      <w:r w:rsidRPr="00AD2F44">
        <w:rPr>
          <w:i/>
          <w:iCs/>
        </w:rPr>
        <w:t>Third Circuit:</w:t>
      </w:r>
      <w:r w:rsidRPr="00AD2F44">
        <w:t xml:space="preserve"> Titchenell v. Apria Healthcare Inc., 2011 WL 5428559, at *7 (E.D. Pa. Nov. 8, 2011) (ordering that limitations period for notice would be three years before date on which notice was issued).</w:t>
      </w:r>
    </w:p>
    <w:p w14:paraId="2124CFDA" w14:textId="352F7A49" w:rsidR="00721CCF" w:rsidRPr="00AD2F44" w:rsidRDefault="00F42107">
      <w:pPr>
        <w:pStyle w:val="14Footnote"/>
      </w:pPr>
      <w:r w:rsidRPr="00AD2F44">
        <w:rPr>
          <w:i/>
          <w:iCs/>
        </w:rPr>
        <w:t>Fourth Circuit</w:t>
      </w:r>
      <w:r w:rsidRPr="00AD2F44">
        <w:t xml:space="preserve">: Santos v. E&amp;R Servs., Inc., 2021 BL 489573, 2021 WL 6073039 (D. Md. Dec. 23, 2021) (holding conditional certification period extends back from date of conditional certification order). </w:t>
      </w:r>
    </w:p>
    <w:p w14:paraId="58ACCF59" w14:textId="1F8735B9" w:rsidR="00721CCF" w:rsidRPr="00AD2F44" w:rsidRDefault="00F42107">
      <w:pPr>
        <w:pStyle w:val="14Footnote"/>
      </w:pPr>
      <w:r w:rsidRPr="00AD2F44">
        <w:rPr>
          <w:i/>
          <w:iCs/>
        </w:rPr>
        <w:t>Fifth Circuit:</w:t>
      </w:r>
      <w:r w:rsidRPr="00AD2F44">
        <w:t xml:space="preserve"> Montgomery v. Wal-Mart Stores, Inc., 2007 U.S. Dist. LEXIS 70574 (S.D. Miss. Sept. 21, 2007); Foraker v. Highpoint Sw., Servs. L.P., 2006 U.S. Dist. LEXIS 63951 (S.D. Tex. Sept. 7, 2006).</w:t>
      </w:r>
    </w:p>
    <w:p w14:paraId="789B77EC" w14:textId="0C482FE2" w:rsidR="00721CCF" w:rsidRPr="00AD2F44" w:rsidRDefault="00F42107">
      <w:pPr>
        <w:pStyle w:val="14Footnote"/>
      </w:pPr>
      <w:r w:rsidRPr="00AD2F44">
        <w:rPr>
          <w:i/>
          <w:iCs/>
        </w:rPr>
        <w:t>Sixth Circuit:</w:t>
      </w:r>
      <w:r w:rsidRPr="00AD2F44">
        <w:rPr>
          <w:rFonts w:asciiTheme="minorHAnsi" w:eastAsiaTheme="minorEastAsia" w:hAnsiTheme="minorHAnsi" w:cstheme="minorBidi"/>
          <w:sz w:val="22"/>
          <w:szCs w:val="22"/>
        </w:rPr>
        <w:t xml:space="preserve"> </w:t>
      </w:r>
      <w:r w:rsidRPr="00AD2F44">
        <w:t>York v. Velox Express, Inc., 524 F. Supp. 3d 679 (W.D. Ky. 2021) (allowing three-year period for purposes of notice but beginning three-year period from date of conditional certification order, not complaint filing).</w:t>
      </w:r>
    </w:p>
    <w:p w14:paraId="7F549CD4" w14:textId="77777777" w:rsidR="00721CCF" w:rsidRPr="00AD2F44" w:rsidRDefault="00F42107">
      <w:pPr>
        <w:pStyle w:val="14Footnote"/>
      </w:pPr>
      <w:r w:rsidRPr="00AD2F44">
        <w:rPr>
          <w:i/>
          <w:iCs/>
        </w:rPr>
        <w:t>Seventh Circuit:</w:t>
      </w:r>
      <w:r w:rsidRPr="00AD2F44">
        <w:t xml:space="preserve"> Powers v. Centennial Commc’ns Corp., 2010 WL 746776, at *2–3 (N.D. Ind. Feb. 26, 2010) (modifying and shortening limitations period for conditionally certified class from three years prior to date of filing of complaint to three years prior to date of motion for reconsideration on grant of conditional certification, because individuals who did not opt in prior to court deciding notice issue may have claims time-barred given FLSA’s requirement that employee must opt in to toll limitations period).</w:t>
      </w:r>
    </w:p>
    <w:p w14:paraId="6C117A35" w14:textId="77777777" w:rsidR="00721CCF" w:rsidRPr="00AD2F44" w:rsidRDefault="00F42107">
      <w:pPr>
        <w:pStyle w:val="14Footnote"/>
      </w:pPr>
      <w:r w:rsidRPr="00AD2F44">
        <w:rPr>
          <w:i/>
          <w:iCs/>
        </w:rPr>
        <w:t>Tenth Circuit:</w:t>
      </w:r>
      <w:r w:rsidRPr="00AD2F44">
        <w:t xml:space="preserve"> Renfro v. Spartan Comput. Servs., 243 F.R.D. 431 (D. Kan. 2007).</w:t>
      </w:r>
    </w:p>
    <w:p w14:paraId="758A3392" w14:textId="66191AE4" w:rsidR="00721CCF" w:rsidRPr="00AD2F44" w:rsidRDefault="00F42107">
      <w:pPr>
        <w:pStyle w:val="14Footnote"/>
      </w:pPr>
      <w:r w:rsidRPr="00AD2F44">
        <w:rPr>
          <w:i/>
          <w:iCs/>
        </w:rPr>
        <w:t>Eleventh Circuit:</w:t>
      </w:r>
      <w:r w:rsidRPr="00AD2F44">
        <w:t xml:space="preserve"> Simpkins v. Pulte Home Corp., 2008 U.S. Dist. LEXIS 64270 (M.D. Fla. Aug. 21, 2008); Gutescu v. Carey Int’l, Inc., 2003 U.S. Dist. LEXIS 27507 (S.D. Fla. June 16, 2003) (holding notice should be sent to those employed within three-year period preceding the date of mailing of notice).</w:t>
      </w:r>
    </w:p>
  </w:footnote>
  <w:footnote w:id="398">
    <w:p w14:paraId="51E94CAB" w14:textId="77777777" w:rsidR="00721CCF" w:rsidRPr="00AD2F44" w:rsidRDefault="00F42107">
      <w:pPr>
        <w:pStyle w:val="14Footnote"/>
      </w:pPr>
      <w:r w:rsidRPr="00AD2F44">
        <w:rPr>
          <w:vertAlign w:val="superscript"/>
        </w:rPr>
        <w:footnoteRef/>
      </w:r>
      <w:r w:rsidRPr="00AD2F44">
        <w:rPr>
          <w:i/>
          <w:iCs/>
        </w:rPr>
        <w:t>See, e.g.,</w:t>
      </w:r>
    </w:p>
    <w:p w14:paraId="7E2F13DC" w14:textId="1AA2CF9B" w:rsidR="00721CCF" w:rsidRPr="00AD2F44" w:rsidRDefault="00F42107">
      <w:pPr>
        <w:pStyle w:val="14Footnote"/>
      </w:pPr>
      <w:r w:rsidRPr="00AD2F44">
        <w:rPr>
          <w:i/>
          <w:iCs/>
        </w:rPr>
        <w:t>Second Circuit:</w:t>
      </w:r>
      <w:r w:rsidRPr="00AD2F44">
        <w:t xml:space="preserve"> </w:t>
      </w:r>
      <w:r>
        <w:t xml:space="preserve">Zimnicki v. Krysiak Constr. Corp., </w:t>
      </w:r>
      <w:r w:rsidR="00384564" w:rsidRPr="00846456">
        <w:t>2022 BL 459417</w:t>
      </w:r>
      <w:r w:rsidR="00384564">
        <w:t xml:space="preserve">, </w:t>
      </w:r>
      <w:r w:rsidR="009B2156" w:rsidRPr="009B2156">
        <w:t xml:space="preserve">2022 WL 17820139 </w:t>
      </w:r>
      <w:r>
        <w:t>(E.D.N.Y.</w:t>
      </w:r>
      <w:r>
        <w:t xml:space="preserve"> Sept. 27, 2022) (setting notice period based on the date of the complaint to avoid prejudicing recipients due to litigation delays); Richards v. Empire Scaffolding Sys., </w:t>
      </w:r>
      <w:r w:rsidR="009C128E" w:rsidRPr="001A0800">
        <w:t>2022 BL 229929</w:t>
      </w:r>
      <w:r w:rsidR="009C128E">
        <w:t xml:space="preserve">, </w:t>
      </w:r>
      <w:r w:rsidR="009B2156" w:rsidRPr="009B2156">
        <w:t xml:space="preserve">2022 WL 2384154 </w:t>
      </w:r>
      <w:r>
        <w:t xml:space="preserve">(S.D.N.Y. July 1, 2022) (allowing notice to be measured from date of complaint and explaining challenges to timeliness of individual opt-ins and whether any tolling would apply can be addressed at a later date); </w:t>
      </w:r>
      <w:r w:rsidRPr="00AD2F44">
        <w:t>Jibowu v. Target Corp., 492 F. Supp. 3d 87 (E.D.N.Y. 2020) (granting plaintiff’s request for notice to be sent to employees who worked three years prior to filing of complaint and equitable tolled statute of limitations from date of filing due to protracted discovery proceedings and summary judgment motion practice); Gaspar v. Personal Touch Moving, Inc., 2014 WL 4593944 (S.D.N.Y. Sept. 15, 2014) (allowing three years from filing of complaint because failing to post notice creates colorable argument for equitable tolling); Velasquez v. Digital Page, Inc., 2014 WL 2048425 (E.D.N.Y. May 19, 2014); Chhab v. Darden Rests., Inc., 2013 WL 5308004, at *15 (S.D.N.Y. Sept. 20, 2013) (finding this approach necessary because otherwise “defendants would be perversely incentivized to drag out preliminary discovery so as to shorten the pre-filing notice period”); Trinidad v. Pret A Manger (USA), Ltd., 962 F. Supp. 2d 545 (S.D.N.Y. 2013).</w:t>
      </w:r>
    </w:p>
    <w:p w14:paraId="6F19D3A8" w14:textId="77777777" w:rsidR="00721CCF" w:rsidRPr="00AD2F44" w:rsidRDefault="00F42107">
      <w:pPr>
        <w:pStyle w:val="14Footnote"/>
      </w:pPr>
      <w:r w:rsidRPr="00AD2F44">
        <w:rPr>
          <w:i/>
          <w:iCs/>
        </w:rPr>
        <w:t>Fourth Circuit:</w:t>
      </w:r>
      <w:r w:rsidRPr="00AD2F44">
        <w:t xml:space="preserve"> De Luna-Guerrero v. North Carolina Grower’s Ass’n, Inc., 338 F. Supp. 2d 649, 666 (E.D.N.C. 2004).</w:t>
      </w:r>
    </w:p>
    <w:p w14:paraId="4CD9D43C" w14:textId="77777777" w:rsidR="00721CCF" w:rsidRPr="00AD2F44" w:rsidRDefault="00F42107">
      <w:pPr>
        <w:pStyle w:val="14Footnote"/>
      </w:pPr>
      <w:r w:rsidRPr="00AD2F44">
        <w:rPr>
          <w:i/>
          <w:iCs/>
        </w:rPr>
        <w:t>Fifth Circuit:</w:t>
      </w:r>
      <w:r w:rsidRPr="00AD2F44">
        <w:t xml:space="preserve"> Case v. Danos &amp; Curole Marine Contractors, 2015 WL 1978653 (E.D. La. May 4, 2015); Nguyen v. Versacom, LLC, 2015 WL 1400564 (N.D. Tex. Mar. 27, 2015) (because equitable tolling issues may arise, notice issued to those working three years prior to filing of complaint); Lopez v. Sam Kane Beef Processors, Inc., 2008 U.S. Dist. LEXIS 15572 (S.D. Tex. Feb. 29, 2008).</w:t>
      </w:r>
    </w:p>
    <w:p w14:paraId="5BAFD38B" w14:textId="77777777" w:rsidR="00721CCF" w:rsidRPr="00AD2F44" w:rsidRDefault="00F42107">
      <w:pPr>
        <w:pStyle w:val="14Footnote"/>
      </w:pPr>
      <w:r w:rsidRPr="00AD2F44">
        <w:rPr>
          <w:i/>
          <w:iCs/>
        </w:rPr>
        <w:t>Sixth Circuit:</w:t>
      </w:r>
      <w:r w:rsidRPr="00AD2F44">
        <w:t xml:space="preserve"> Larson v. Rush Fitness Corp., 2012 U.S. Dist. LEXIS 189211 (E.D. Tenn. Oct. 17, 2012), </w:t>
      </w:r>
      <w:r w:rsidRPr="00AD2F44">
        <w:rPr>
          <w:i/>
          <w:iCs/>
        </w:rPr>
        <w:t>adopted by</w:t>
      </w:r>
      <w:r w:rsidRPr="00AD2F44">
        <w:t xml:space="preserve"> 2013 U.S. Dist. LEXIS 163541 (E.D. Tenn. Sept. 23, 2013); Belcher v. Shoney’s, Inc., 927 F. Supp. 249 (M.D. Tenn. 1996).</w:t>
      </w:r>
    </w:p>
    <w:p w14:paraId="03535BDC" w14:textId="77777777" w:rsidR="00721CCF" w:rsidRPr="00AD2F44" w:rsidRDefault="00F42107">
      <w:pPr>
        <w:pStyle w:val="14Footnote"/>
      </w:pPr>
      <w:r w:rsidRPr="00AD2F44">
        <w:rPr>
          <w:i/>
          <w:iCs/>
        </w:rPr>
        <w:t>Ninth Circuit:</w:t>
      </w:r>
      <w:r w:rsidRPr="00AD2F44">
        <w:t xml:space="preserve"> Davis v. Westgate Planet Hollywood Las Vegas, LLC, 2009 U.S. Dist. LEXIS 5941 (D. Nev. Jan. 12, 2009).</w:t>
      </w:r>
    </w:p>
    <w:p w14:paraId="2FF7AAAA" w14:textId="77777777" w:rsidR="00721CCF" w:rsidRPr="00AD2F44" w:rsidRDefault="00F42107">
      <w:pPr>
        <w:pStyle w:val="14Footnote"/>
      </w:pPr>
      <w:r w:rsidRPr="00AD2F44">
        <w:rPr>
          <w:i/>
          <w:iCs/>
        </w:rPr>
        <w:t>Eleventh Circuit:</w:t>
      </w:r>
      <w:r w:rsidRPr="00AD2F44">
        <w:t xml:space="preserve"> Carmody v. Florida Ctr. For Recovery, Inc., 2006 U.S. Dist. LEXIS 81640 (S.D. Fla. Nov. 7, 2006); Harper v. Lovett’s Buffet, Inc., 185 F.R.D. 358 (M.D. Ala. 1999).</w:t>
      </w:r>
    </w:p>
    <w:p w14:paraId="4B5B07E3" w14:textId="0A4C25F3" w:rsidR="00721CCF" w:rsidRPr="00AD2F44" w:rsidRDefault="00F42107">
      <w:pPr>
        <w:pStyle w:val="14Footnote"/>
      </w:pPr>
      <w:r w:rsidRPr="00AD2F44">
        <w:rPr>
          <w:i/>
          <w:iCs/>
        </w:rPr>
        <w:t>D.C. Circuit:</w:t>
      </w:r>
      <w:r w:rsidRPr="00AD2F44">
        <w:t xml:space="preserve"> Castillo v. P &amp; R Enters., 517 F. Supp. 2d 440 (D.D.C. 2007).</w:t>
      </w:r>
    </w:p>
  </w:footnote>
  <w:footnote w:id="399">
    <w:p w14:paraId="7E4A6EEC" w14:textId="77777777" w:rsidR="00721CCF" w:rsidRPr="00AD2F44" w:rsidRDefault="00F42107">
      <w:pPr>
        <w:pStyle w:val="14Footnote"/>
      </w:pPr>
      <w:r w:rsidRPr="00AD2F44">
        <w:rPr>
          <w:vertAlign w:val="superscript"/>
        </w:rPr>
        <w:footnoteRef/>
      </w:r>
      <w:r w:rsidRPr="00AD2F44">
        <w:rPr>
          <w:i/>
          <w:iCs/>
        </w:rPr>
        <w:t>See</w:t>
      </w:r>
      <w:r w:rsidRPr="00AD2F44">
        <w:t xml:space="preserve"> </w:t>
      </w:r>
      <w:r w:rsidRPr="00AD2F44">
        <w:t xml:space="preserve">Dilonez v. Fox Linen Serv., Inc., 35 F. Supp. 3d 247 (E.D.N.Y. 2014); Moore v. Eagle Sanitation, Inc., 276 F.R.D. 54 (E.D.N.Y. 2011) (using New York’s six-year limitations period for FLSA notice); Barry v. S.E.B. Service of N.Y., Inc., 2013 WL 6150718 (E.D.N.Y. Nov. 22, 2013) (same); Martinez v. Midtown Cleaner, Inc., 2013 WL 5807178 (S.D.N.Y. Oct. 29, 2013) (same); Schwerdtfeger v. Demarchelier Mgmt., Inc., 2011 WL 2207517 (S.D.N.Y. June 6, 2011) (same). </w:t>
      </w:r>
      <w:r w:rsidRPr="00AD2F44">
        <w:rPr>
          <w:i/>
          <w:iCs/>
        </w:rPr>
        <w:t>Cf</w:t>
      </w:r>
      <w:r w:rsidRPr="00AD2F44">
        <w:t>. Benavides v. Serenity Spa NY Inc., 166 F. Supp. 3d 474 (S.D.N.Y. 2016) (limiting notice to three-year period, but noting that plaintiff could submit revised notice more clearly delineating different statutes of limitations under FLSA and New York Labor Law if she wanted court to expand notice period to six years); Martin v. Psalms, Inc., 2011 WL 2882387 (W.D. Tenn. July 15, 2011) (conditionally certifying FLSA and state law breach-of-contract claims, and ordering that notice be issued based on Tennessee’s six-year breach-of-contract claim limitations period).</w:t>
      </w:r>
    </w:p>
  </w:footnote>
  <w:footnote w:id="400">
    <w:p w14:paraId="088E3D50" w14:textId="73032A86" w:rsidR="00721CCF" w:rsidRPr="00AD2F44" w:rsidRDefault="00F42107">
      <w:pPr>
        <w:pStyle w:val="14Footnote"/>
      </w:pPr>
      <w:r w:rsidRPr="00AD2F44">
        <w:rPr>
          <w:vertAlign w:val="superscript"/>
        </w:rPr>
        <w:footnoteRef/>
      </w:r>
      <w:r w:rsidRPr="00AD2F44">
        <w:rPr>
          <w:i/>
          <w:iCs/>
        </w:rPr>
        <w:t xml:space="preserve">See </w:t>
      </w:r>
      <w:r>
        <w:t xml:space="preserve">Zimnicki v. Krysiak Constr. Corp., </w:t>
      </w:r>
      <w:r w:rsidR="008B3858" w:rsidRPr="00846456">
        <w:t>2022 BL 459417</w:t>
      </w:r>
      <w:r w:rsidR="008B3858">
        <w:t xml:space="preserve">, </w:t>
      </w:r>
      <w:r w:rsidR="009B2156" w:rsidRPr="009B2156">
        <w:t xml:space="preserve">2022 WL 17820139 </w:t>
      </w:r>
      <w:r>
        <w:t>(E.D.N.Y.</w:t>
      </w:r>
      <w:r>
        <w:t xml:space="preserve"> Sept. 27, 2022) (using three-year period under FLSA and rejecting N</w:t>
      </w:r>
      <w:r w:rsidR="009F166D">
        <w:t xml:space="preserve">ew </w:t>
      </w:r>
      <w:r>
        <w:t>Y</w:t>
      </w:r>
      <w:r w:rsidR="009F166D">
        <w:t>ork</w:t>
      </w:r>
      <w:r>
        <w:t xml:space="preserve">’s six-year period); </w:t>
      </w:r>
      <w:r w:rsidRPr="00AD2F44">
        <w:t>King v. Fedcap Rehab. Servs., Inc., 2022 BL 33551, 2022 WL 292914 (S.D.N.Y. Feb. 1, 2022) (applying three-year statute of limitations and rejecting six-year period based on New York state law claims); Aleman-Valdivia v. Top Dog Plumbing &amp; Heating Corp., 2021 BL 374247, 2021 WL 4502479 (E.D.N.Y. Sept. 30, 2021) (same); Gurrieri v. City of Nassau, 2019 WL 2233830 (E.D.N.Y. May 23, 2019) (same); Perez v. De Domenico Pizza &amp; Rest., Inc., 204 F. Supp. 3d 494 (E.D.N.Y. 2016) (requiring notice to reflect three-year statute of limitations because conditional certification was granted as to FLSA claims, not as to New York state law claims); Colon v. Major Perry St. Corp., 2013 WL 3328223, at *7 (S.D.N.Y. July 2, 2013); Romero v. La Revise Assocs., 968 F. Supp. 2d 639 (S.D.N.Y. 2013); Alvarez v. IBM Rests., Inc., 839 F. Supp. 2d 580 (E.D.N.Y. 2012) (relying on FLSA three-year maximum limitations period, rejecting plaintiffs’ proposal to use New York’s six-year limitations period); Madero v. Trattoria La Regina, Inc., 789 F. Supp. 2d 401 (E.D.N.Y. 2011) (same); Dolinski v. Avant Bus. Serv. Corp., 2014 WL 316991 (S.D.N.Y. Jan. 28, 2014) (same).</w:t>
      </w:r>
    </w:p>
  </w:footnote>
  <w:footnote w:id="401">
    <w:p w14:paraId="53D2D6FD" w14:textId="77777777" w:rsidR="00721CCF" w:rsidRPr="00AD2F44" w:rsidRDefault="00F42107">
      <w:pPr>
        <w:pStyle w:val="14Footnote"/>
      </w:pPr>
      <w:r w:rsidRPr="00AD2F44">
        <w:rPr>
          <w:vertAlign w:val="superscript"/>
        </w:rPr>
        <w:footnoteRef/>
      </w:r>
      <w:r w:rsidRPr="00AD2F44">
        <w:t xml:space="preserve">See the discussion of general principles of equitable tolling in Chapter 16, §VI.E [Statute of Limitations; Application of Doctrines of Equitable Estoppel and Tolling to Limitations Period]. </w:t>
      </w:r>
    </w:p>
  </w:footnote>
  <w:footnote w:id="402">
    <w:p w14:paraId="5A8E9933" w14:textId="77777777" w:rsidR="00721CCF" w:rsidRPr="00AD2F44" w:rsidRDefault="00F42107">
      <w:pPr>
        <w:pStyle w:val="14Footnote"/>
      </w:pPr>
      <w:r w:rsidRPr="00AD2F44">
        <w:rPr>
          <w:vertAlign w:val="superscript"/>
        </w:rPr>
        <w:footnoteRef/>
      </w:r>
      <w:r w:rsidRPr="00AD2F44">
        <w:rPr>
          <w:i/>
          <w:iCs/>
        </w:rPr>
        <w:t xml:space="preserve">Second Circuit: </w:t>
      </w:r>
      <w:r w:rsidRPr="00AD2F44">
        <w:t>Gaspar v. Personal Touch Moving, Inc., 2014 WL 4593944 (S.D.N.Y. Sept. 15, 2014) (failing to post notice warranted equitable tolling).</w:t>
      </w:r>
    </w:p>
    <w:p w14:paraId="2B982BF2" w14:textId="77777777" w:rsidR="00721CCF" w:rsidRPr="00AD2F44" w:rsidRDefault="00F42107">
      <w:pPr>
        <w:pStyle w:val="14Footnote"/>
      </w:pPr>
      <w:r w:rsidRPr="00AD2F44">
        <w:rPr>
          <w:i/>
          <w:iCs/>
        </w:rPr>
        <w:t>Third Circuit:</w:t>
      </w:r>
      <w:r w:rsidRPr="00AD2F44">
        <w:t xml:space="preserve"> Bonham v. Dresser Indus., 569 F.2d 187, 193 (3d Cir. 1977) (stating, in ADEA case, that “posting requirement was created because Congress recognized that the very persons protected by the [ADEA] might be unaware of its existence,” and not tolling “would place a duty upon the employer to comply without penalty for breach, and would grant to the employee a right to be informed without redress for violation”); Kim v. Dongbu Tour &amp; Travel, Inc., 2013 U.S. Dist. LEXIS 148549 (D.N.J. Oct. 16, 2013). </w:t>
      </w:r>
    </w:p>
    <w:p w14:paraId="07DAA468" w14:textId="77777777" w:rsidR="00721CCF" w:rsidRPr="00AD2F44" w:rsidRDefault="00F42107">
      <w:pPr>
        <w:pStyle w:val="14Footnote"/>
      </w:pPr>
      <w:r w:rsidRPr="00AD2F44">
        <w:rPr>
          <w:i/>
          <w:iCs/>
        </w:rPr>
        <w:t xml:space="preserve">Seventh Circuit: </w:t>
      </w:r>
      <w:r w:rsidRPr="00AD2F44">
        <w:t xml:space="preserve">Cortez v. Medina’s Landscaping, 2002 U.S. Dist. LEXIS 18831, at *20 (N.D. Ill. Sept. 30, 2002). </w:t>
      </w:r>
    </w:p>
  </w:footnote>
  <w:footnote w:id="403">
    <w:p w14:paraId="69E1D3D0" w14:textId="77777777" w:rsidR="00721CCF" w:rsidRPr="00AD2F44" w:rsidRDefault="00F42107">
      <w:pPr>
        <w:pStyle w:val="14Footnote"/>
      </w:pPr>
      <w:r w:rsidRPr="00AD2F44">
        <w:rPr>
          <w:vertAlign w:val="superscript"/>
        </w:rPr>
        <w:footnoteRef/>
      </w:r>
      <w:r w:rsidRPr="00AD2F44">
        <w:t xml:space="preserve">McClinton v. Alabama By-Prods. Corp., 743 F.2d 1483, 1486 (11th Cir. 1984); Ramos v. Platt, 2014 WL 3639194 (S.D.N.Y. July 23, 2014). </w:t>
      </w:r>
      <w:r w:rsidRPr="00AD2F44">
        <w:rPr>
          <w:i/>
          <w:iCs/>
        </w:rPr>
        <w:t>But see</w:t>
      </w:r>
      <w:r w:rsidRPr="00AD2F44">
        <w:t xml:space="preserve"> Henchy v. City of Absecon, 148 F. Supp. 2d 435, 439 (D.N.J. 2001) (denying defendant’s motion for summary judgment on applicability of equitable tolling due to factual dispute about whether required notice was posted, despite plaintiff’s “contemporaneous suspicion” that employer’s actions were illegal). </w:t>
      </w:r>
    </w:p>
  </w:footnote>
  <w:footnote w:id="404">
    <w:p w14:paraId="1787CEF2" w14:textId="77777777" w:rsidR="00721CCF" w:rsidRPr="00AD2F44" w:rsidRDefault="00F42107">
      <w:pPr>
        <w:pStyle w:val="14Footnote"/>
      </w:pPr>
      <w:r w:rsidRPr="00AD2F44">
        <w:rPr>
          <w:vertAlign w:val="superscript"/>
        </w:rPr>
        <w:footnoteRef/>
      </w:r>
      <w:r w:rsidRPr="00AD2F44">
        <w:rPr>
          <w:i/>
          <w:iCs/>
        </w:rPr>
        <w:t>See</w:t>
      </w:r>
    </w:p>
    <w:p w14:paraId="501AE178" w14:textId="77777777" w:rsidR="00721CCF" w:rsidRPr="00AD2F44" w:rsidRDefault="00F42107">
      <w:pPr>
        <w:pStyle w:val="14Footnote"/>
      </w:pPr>
      <w:r w:rsidRPr="00AD2F44">
        <w:rPr>
          <w:i/>
          <w:iCs/>
        </w:rPr>
        <w:t>Supreme Court:</w:t>
      </w:r>
      <w:r w:rsidRPr="00AD2F44">
        <w:t xml:space="preserve"> Irwin v. Department of Veterans Affairs, 498 U.S. 89, 96 (1990) (noting that equitable tolling has been allowed where the plaintiff has filed a defective complaint during the statutory period).</w:t>
      </w:r>
    </w:p>
    <w:p w14:paraId="3248A457" w14:textId="77777777" w:rsidR="00721CCF" w:rsidRPr="00AD2F44" w:rsidRDefault="00F42107">
      <w:pPr>
        <w:pStyle w:val="14Footnote"/>
      </w:pPr>
      <w:r w:rsidRPr="00AD2F44">
        <w:rPr>
          <w:i/>
          <w:iCs/>
        </w:rPr>
        <w:t>Fourth Circuit:</w:t>
      </w:r>
      <w:r w:rsidRPr="00AD2F44">
        <w:t xml:space="preserve"> Chao v. Virginia Dep’t of Trans., 291 F.3d 276, 283 (4th Cir. 2002) (same).</w:t>
      </w:r>
    </w:p>
    <w:p w14:paraId="27D57F17" w14:textId="74278C51" w:rsidR="00721CCF" w:rsidRPr="00AD2F44" w:rsidRDefault="00F42107">
      <w:pPr>
        <w:pStyle w:val="14Footnote"/>
      </w:pPr>
      <w:r w:rsidRPr="00AD2F44">
        <w:rPr>
          <w:i/>
          <w:iCs/>
        </w:rPr>
        <w:t>Federal Circuit:</w:t>
      </w:r>
      <w:r w:rsidRPr="00AD2F44">
        <w:t xml:space="preserve"> Moreno v. United States, 2009 WL 2345114, at *12–15 (Ct. Cl. July 27, 2009) (noting that FLSA statute of limitations’ “emphasis on the court in which the action is ‘brought’ or ‘commenced’ is consistent with an allowance for tolling as a result of timely filed pleadings filed in the wrong court”).</w:t>
      </w:r>
    </w:p>
  </w:footnote>
  <w:footnote w:id="405">
    <w:p w14:paraId="447954E5" w14:textId="77777777" w:rsidR="00721CCF" w:rsidRPr="00AD2F44" w:rsidRDefault="00F42107">
      <w:pPr>
        <w:pStyle w:val="14Footnote"/>
      </w:pPr>
      <w:r w:rsidRPr="00AD2F44">
        <w:rPr>
          <w:vertAlign w:val="superscript"/>
        </w:rPr>
        <w:footnoteRef/>
      </w:r>
      <w:r w:rsidRPr="00AD2F44">
        <w:rPr>
          <w:i/>
          <w:iCs/>
        </w:rPr>
        <w:t>See, e.g.,</w:t>
      </w:r>
    </w:p>
    <w:p w14:paraId="7DBAB03A" w14:textId="77777777" w:rsidR="00721CCF" w:rsidRPr="00AD2F44" w:rsidRDefault="00F42107">
      <w:pPr>
        <w:pStyle w:val="14Footnote"/>
      </w:pPr>
      <w:r w:rsidRPr="00AD2F44">
        <w:rPr>
          <w:i/>
          <w:iCs/>
        </w:rPr>
        <w:t>Supreme Court:</w:t>
      </w:r>
      <w:r w:rsidRPr="00AD2F44">
        <w:t xml:space="preserve"> Baldwin Cnty. Welcome Ctr. v. Brown, 466 U.S. 147, 151 (1984) (describing circumstances under which court action, or inaction, could support equitable tolling).</w:t>
      </w:r>
    </w:p>
    <w:p w14:paraId="7E079581" w14:textId="77777777" w:rsidR="00721CCF" w:rsidRPr="00AD2F44" w:rsidRDefault="00F42107">
      <w:pPr>
        <w:pStyle w:val="14Footnote"/>
      </w:pPr>
      <w:r w:rsidRPr="00AD2F44">
        <w:rPr>
          <w:i/>
          <w:iCs/>
        </w:rPr>
        <w:t>Second Circuit</w:t>
      </w:r>
      <w:r w:rsidRPr="00AD2F44">
        <w:t xml:space="preserve">: </w:t>
      </w:r>
      <w:r w:rsidRPr="00AD2F44">
        <w:t>Agonath v. Interstate Home Loans Ctr., Inc., 2019 WL 1060627, at *5 (E.D.N.Y. Mar. 3, 2019) (applying equitable tolling for the period while the court had plaintiff’s motion for conditional certification but had not ruled, noting that plaintiff had “diligently pursued conditional certification” by filing the motion less than one month after defendants answered); Gurrieri v. City of Nassau, 2019 WL 2233830 (E.D.N.Y. May 23, 2019) (finding that equitable tolling of the period between the filing of plaintiff’s motion for conditional certification and the court’s ultimate order was appropriate because the record established that plaintiffs acted diligently, filing the motion less than two months after initiating the suit); Brown v. Avalonbay Cmtys., Inc., 2019 WL 1507901 (E.D.N.Y. Mar. 29, 2019) (applying equitable tolling while the court decided plaintiff’s conditional certification motion upon a finding that plaintiffs acted reasonably and promptly); Varghese v. JP Morgan Chase &amp; Co., 2016 WL 4718413 (S.D.N.Y. Sept. 9, 2016) (finding that claims should be equitably tolled back to filing date of conditional certification motion where court took more than one year to rule on motion); Hart v. Crab Addison, Inc., 2015 WL 365785 (W.D.N.Y. Jan. 27, 2015) (limitations equitably tolled during one-year, three-month period when certification motion was pending); Mark v. Gawker Media LLC, 2014 WL 5557489, at *32 (S.D.N.Y. Nov. 3, 2014) (equitable tolling denied where approximately eight-month delay in ruling was not found to be “extraordinary”); McGlone v. Contract Callers, Inc., 867 F. Supp. 2d 438, 445 (S.D.N.Y. 2012) (tolling limitations period to date of filing certification motion, because delays caused by pending motions, where plaintiffs had been diligent in getting motion filed, could constitute “extraordinary circumstances” to warrant equitable tolling in some cases).</w:t>
      </w:r>
    </w:p>
    <w:p w14:paraId="03FF808F" w14:textId="11220F51" w:rsidR="00721CCF" w:rsidRPr="00AD2F44" w:rsidRDefault="00F42107">
      <w:pPr>
        <w:pStyle w:val="14Footnote"/>
      </w:pPr>
      <w:r w:rsidRPr="00AD2F44">
        <w:rPr>
          <w:i/>
          <w:iCs/>
        </w:rPr>
        <w:t>Third Circuit</w:t>
      </w:r>
      <w:r w:rsidRPr="00AD2F44">
        <w:t xml:space="preserve">: </w:t>
      </w:r>
      <w:r w:rsidRPr="004E3BDD">
        <w:t>Hart v. Gov’t Emps. Inc. Co.</w:t>
      </w:r>
      <w:r>
        <w:t xml:space="preserve">, </w:t>
      </w:r>
      <w:r w:rsidRPr="004E3BDD">
        <w:t>609 F. Supp. 3d 323 (M.D. Pa. 2022)</w:t>
      </w:r>
      <w:r>
        <w:t xml:space="preserve"> (</w:t>
      </w:r>
      <w:r w:rsidRPr="004E3BDD">
        <w:t>finding equitable tolling warranted due to judicial delay</w:t>
      </w:r>
      <w:r>
        <w:t xml:space="preserve"> where p</w:t>
      </w:r>
      <w:r w:rsidRPr="004E3BDD">
        <w:t>laintiffs</w:t>
      </w:r>
      <w:r>
        <w:t>’</w:t>
      </w:r>
      <w:r w:rsidRPr="004E3BDD">
        <w:t xml:space="preserve"> diligence in bringing </w:t>
      </w:r>
      <w:r>
        <w:t>the</w:t>
      </w:r>
      <w:r w:rsidRPr="004E3BDD">
        <w:t xml:space="preserve"> action and filing for conditional certification supported tolling for opt-in plaintiffs</w:t>
      </w:r>
      <w:r>
        <w:t xml:space="preserve">); </w:t>
      </w:r>
      <w:r w:rsidRPr="00AD2F44">
        <w:t>Charles v. Progressions Behavioral Health Servs., Ins., 2018 WL 4924169 (E.D. Pa. Oct. 9, 2018) (finding that equitable tolling was justified when the court delayed in ruling on plaintiff’s motion for conditional certification and when defendant misled putative class members by compensating them for unpaid overtime in an effort to dissuade them from participating in the lawsuit).</w:t>
      </w:r>
    </w:p>
    <w:p w14:paraId="7BF3A9D0" w14:textId="77777777" w:rsidR="00721CCF" w:rsidRPr="00AD2F44" w:rsidRDefault="00F42107">
      <w:pPr>
        <w:pStyle w:val="14Footnote"/>
      </w:pPr>
      <w:r w:rsidRPr="00AD2F44">
        <w:rPr>
          <w:i/>
          <w:iCs/>
        </w:rPr>
        <w:t>Fourth Circuit:</w:t>
      </w:r>
      <w:r w:rsidRPr="00AD2F44">
        <w:t xml:space="preserve"> McCoy v. Transdev Srvs., Inc., 2020 WL 2319117, at *5 (D. Md. May 11, 2020) (granting unopposed request for equitable tolling during pendency of conditional certification motion, recognizing court delay during pandemic); </w:t>
      </w:r>
      <w:r w:rsidRPr="00AD2F44">
        <w:rPr>
          <w:iCs/>
        </w:rPr>
        <w:t>Privette v. Waste Pro of N. Carolina, Inc.,</w:t>
      </w:r>
      <w:r w:rsidRPr="00AD2F44">
        <w:t xml:space="preserve"> 2020 WL 1892167, at *8–10 (D.S.C. Apr. 16, 2020) (granting equitable tolling where delay of 19 months, caused by a “tortuous procedural history,” delayed court ruling on conditional certification and constituted “extraordinary circumstances”); Owens v. Bethlehem Mines Corp., 630 F. Supp. 309, 312–13 (S.D.W. Va. 1986) (granting equitable tolling where court did not rule on motion for collective action certification for over a year).</w:t>
      </w:r>
    </w:p>
    <w:p w14:paraId="4DC695C9" w14:textId="77777777" w:rsidR="00721CCF" w:rsidRPr="00AD2F44" w:rsidRDefault="00F42107">
      <w:pPr>
        <w:pStyle w:val="14Footnote"/>
      </w:pPr>
      <w:r w:rsidRPr="00AD2F44">
        <w:rPr>
          <w:i/>
          <w:iCs/>
        </w:rPr>
        <w:t>Fifth Circuit:</w:t>
      </w:r>
      <w:r w:rsidRPr="00AD2F44">
        <w:t xml:space="preserve"> Halle v. Galliano Marine Serv., LLC, 2018 WL 1757343, at *5 (E.D. La. Apr. 12, 2018) (granting motion for equitable tolling during pendency of appeal of summary judgment decision).</w:t>
      </w:r>
    </w:p>
    <w:p w14:paraId="566D185C" w14:textId="77777777" w:rsidR="00721CCF" w:rsidRPr="00AD2F44" w:rsidRDefault="00F42107">
      <w:pPr>
        <w:pStyle w:val="14Footnote"/>
      </w:pPr>
      <w:r w:rsidRPr="00AD2F44">
        <w:t xml:space="preserve"> </w:t>
      </w:r>
      <w:r w:rsidRPr="00AD2F44">
        <w:rPr>
          <w:i/>
          <w:iCs/>
        </w:rPr>
        <w:t>Sixth Circuit</w:t>
      </w:r>
      <w:r w:rsidRPr="00AD2F44">
        <w:t>: Osman v. Grube, Inc., 2017 WL 2908864, at *9 (N.D. Ohio, July 7, 2017) (denying motion for equitable tolling for one-year period while court deliberated certification motions where plaintiffs’ counsel published website and mounted social media campaign to inform putative class members of action); Betts v. Central Ohio Gaming Ventures, LLC, 351 F. Supp. 3d 1072 (S.D. Ohio 2018) (applying equitable tolling for part of the period (12 out of 18 months) it took for the court to rule on the motion for conditional certification, finding that the court’s delay was unreasonable).</w:t>
      </w:r>
    </w:p>
    <w:p w14:paraId="324C612E" w14:textId="77777777" w:rsidR="00721CCF" w:rsidRPr="00AD2F44" w:rsidRDefault="00F42107">
      <w:pPr>
        <w:pStyle w:val="14Footnote"/>
      </w:pPr>
      <w:r w:rsidRPr="00AD2F44">
        <w:rPr>
          <w:i/>
          <w:iCs/>
        </w:rPr>
        <w:t xml:space="preserve">Seventh Circuit: </w:t>
      </w:r>
      <w:r w:rsidRPr="00AD2F44">
        <w:t xml:space="preserve">Hudgins v. Total Quality Logistics Corp., 2018 WL 1706368, at *3 (N.D. Ill. Apr. 9, 2018) (tolling statute of limitations on opt-ins’ claims from date they opted in through date of order granting arbitration motion and dismissal); Nicks v. Koch Meat Co., 265 F. Supp. 3d 841, 858 (N.D. Ill. 2017) (noting that equitable tolling may be granted only as extraordinary remedy; holding that short delay in court’s determination of certification motion was not extraordinary circumstance); Bitner v. Wyndham Vacation Resorts, Inc., 301 F.R.D. 354 (W.D. Wis. July 25, 2014) (equitable tolling inappropriate after seven-month delay in ruling on certification motion); Curless v. Great Am. Real Food Fast, Inc., 280 F.R.D. 429, 435 (S.D. Ill. 2012) (tolling limitations period to account for time spent on motions to resolve discovery dispute over contact information for putative class members). </w:t>
      </w:r>
    </w:p>
    <w:p w14:paraId="373900CC" w14:textId="77777777" w:rsidR="00721CCF" w:rsidRPr="00AD2F44" w:rsidRDefault="00F42107">
      <w:pPr>
        <w:pStyle w:val="14Footnote"/>
      </w:pPr>
      <w:r w:rsidRPr="00AD2F44">
        <w:rPr>
          <w:i/>
          <w:iCs/>
        </w:rPr>
        <w:t>Eighth Circuit</w:t>
      </w:r>
      <w:r w:rsidRPr="00AD2F44">
        <w:t>: McChesney v. Holtger Bros., Inc., 2019 WL 118408, at *6 (E.D. Ark. Jan. 7, 2019) (finding equitable tolling appropriate based on extraordinary circumstances leading to delay caused by the court “due to other pressing matters on the court’s docket”); Trogdon v. Kleenco Maint. &amp; Constr., Inc., 2015 WL 2345590 (W.D. Ark. May 15, 2015) (equitable tolling granted from date that certification motion was filed due to delay from court’s heavy docket); Harris v. Chipotle Mexican Grill, Inc., 49 F. Supp. 3d 564 (D. Minn. 2014) (equitable tolling appropriate for five months between magistrate’s opinion and court’s decision); Holliday v. J S Express Inc., 2013 WL 2395333, at *8 (E.D. Mo. May 30, 2013) (tolling statute of limitations period from date of filing conditional certification motion to conclusion of opt-in period but denying tolling for time defendant failed to provide requested contact information); Putnam v. Galaxy 1 Mktg., Inc., 276 F.R.D. 264, 276 (S.D. Iowa 2011) (tolling limitations period from date of filing of conditional certification motion to date notice period would begin to run to account for time necessary to decide motion).</w:t>
      </w:r>
    </w:p>
    <w:p w14:paraId="20E058D8" w14:textId="77777777" w:rsidR="00721CCF" w:rsidRPr="00AD2F44" w:rsidRDefault="00F42107">
      <w:pPr>
        <w:pStyle w:val="14Footnote"/>
      </w:pPr>
      <w:r w:rsidRPr="00AD2F44">
        <w:rPr>
          <w:i/>
          <w:iCs/>
        </w:rPr>
        <w:t>Ninth Circuit:</w:t>
      </w:r>
      <w:r w:rsidRPr="00AD2F44">
        <w:t xml:space="preserve"> Baker v. Sunburst Consulting, Inc., 2017 WL 3271727, at *5 (D. Mont. July 6, 2017) (tolling statute of limitations from date of filing of certification motion through date plaintiff received putative collective members’ contact information to avoid prejudicing collective members due to procedural delay that was no fault of plaintiff, and also additional procedural delay due to magistrate’s findings and recommendations process); Casarotto v. Exploration Drilling, Inc., 2015 WL 8780050, at *6 (D. Mont. Dec. 15, 2015) (granting equitable tolling due to delay in sending notice because of “procedural delay,” even though delay was not significant, but noting additional delay caused by process of referral to magistrate for findings and recommendations on conditional certification); Small v. University Med. Ctr. of S. Nevada, 2013 WL 3043454 (D. Nev. June 14, 2013) (finding opt-in plaintiffs could be unfairly prejudiced by the court’s delay in ruling on the motion, but that hospital was not prejudiced because its potential liability had been known since the case was filed, and tolling statute of limitations beginning 30 days after the motion for conditional certification became ripe for decision until the hospital provided the contact information for the potential opt-in plaintiffs); Stickle v. SCI W. Mkt. Support Ctr., 2008 WL 4446539, at *21–23 (D. Ariz. Sept. 30, 2008) (tolling plaintiffs’ claims due to pendency of employer’s motion to dismiss).</w:t>
      </w:r>
    </w:p>
    <w:p w14:paraId="59BD1BED" w14:textId="77777777" w:rsidR="00721CCF" w:rsidRPr="00AD2F44" w:rsidRDefault="00F42107">
      <w:pPr>
        <w:pStyle w:val="14Footnote"/>
      </w:pPr>
      <w:r w:rsidRPr="00AD2F44">
        <w:rPr>
          <w:i/>
          <w:iCs/>
        </w:rPr>
        <w:t>Tenth Circuit:</w:t>
      </w:r>
      <w:r w:rsidRPr="00AD2F44">
        <w:t xml:space="preserve"> Tommey v. Computer Scis. Corp., 2014 WL 61844 (D. Kan. Jan. 8, 2014) (declining to toll based on the six months the motion was pending).</w:t>
      </w:r>
    </w:p>
    <w:p w14:paraId="46E53B8C" w14:textId="3BD95B19" w:rsidR="00721CCF" w:rsidRPr="00AD2F44" w:rsidRDefault="00F42107">
      <w:pPr>
        <w:pStyle w:val="14Footnote"/>
      </w:pPr>
      <w:r w:rsidRPr="00AD2F44">
        <w:rPr>
          <w:i/>
          <w:iCs/>
        </w:rPr>
        <w:t>Eleventh Circuit:</w:t>
      </w:r>
      <w:r w:rsidRPr="00AD2F44">
        <w:t xml:space="preserve"> Lytle v. Lowe’s Home Ctrs., Inc., 2014 WL 103463 (M.D. Fla. Jan. 10, 2014) (declining to toll based on the 18 months the motion was pending).</w:t>
      </w:r>
    </w:p>
  </w:footnote>
  <w:footnote w:id="406">
    <w:p w14:paraId="632A4BA4" w14:textId="77777777" w:rsidR="00721CCF" w:rsidRPr="00AD2F44" w:rsidRDefault="00F42107">
      <w:pPr>
        <w:pStyle w:val="14Footnote"/>
      </w:pPr>
      <w:r w:rsidRPr="00AD2F44">
        <w:rPr>
          <w:vertAlign w:val="superscript"/>
        </w:rPr>
        <w:footnoteRef/>
      </w:r>
      <w:r w:rsidRPr="00AD2F44">
        <w:rPr>
          <w:i/>
        </w:rPr>
        <w:t xml:space="preserve">See, e.g., </w:t>
      </w:r>
    </w:p>
    <w:p w14:paraId="68A4ADFD" w14:textId="77777777" w:rsidR="00721CCF" w:rsidRPr="00AD2F44" w:rsidRDefault="00F42107">
      <w:pPr>
        <w:pStyle w:val="14Footnote"/>
      </w:pPr>
      <w:r w:rsidRPr="00AD2F44">
        <w:rPr>
          <w:i/>
          <w:iCs/>
        </w:rPr>
        <w:t>Second Circuit:</w:t>
      </w:r>
      <w:r w:rsidRPr="00AD2F44">
        <w:t xml:space="preserve"> Reich v. Southern New Eng. </w:t>
      </w:r>
      <w:r w:rsidRPr="00AD2F44">
        <w:t>Telecomms. Corp., 892 F. Supp. 389, 404 (D. Conn. 1995) (tolling from date that defendant’s response to plaintiff’s discovery request for data about class members was due).</w:t>
      </w:r>
    </w:p>
    <w:p w14:paraId="10B3B3D5" w14:textId="77777777" w:rsidR="00721CCF" w:rsidRPr="00AD2F44" w:rsidRDefault="00F42107">
      <w:pPr>
        <w:pStyle w:val="14Footnote"/>
      </w:pPr>
      <w:r w:rsidRPr="00AD2F44">
        <w:rPr>
          <w:i/>
          <w:iCs/>
        </w:rPr>
        <w:t xml:space="preserve">Fourth Circuit: </w:t>
      </w:r>
      <w:r w:rsidRPr="00AD2F44">
        <w:t>Lorenzo v. Prime Commc’ns, LP, 2014 WL 3366073 (E.D.N.C. July 9, 2014) (defendant’s refusal to provide contact information and other procedural maneuvers warranted equitable tolling).</w:t>
      </w:r>
    </w:p>
    <w:p w14:paraId="59069B97" w14:textId="77777777" w:rsidR="00721CCF" w:rsidRPr="00AD2F44" w:rsidRDefault="00F42107">
      <w:pPr>
        <w:pStyle w:val="14Footnote"/>
        <w:rPr>
          <w:i/>
          <w:iCs/>
        </w:rPr>
      </w:pPr>
      <w:r w:rsidRPr="00AD2F44">
        <w:rPr>
          <w:i/>
          <w:iCs/>
        </w:rPr>
        <w:t>Sixth Circuit:</w:t>
      </w:r>
      <w:r w:rsidRPr="00AD2F44">
        <w:t xml:space="preserve"> Myers v. Copper Cellar Corp., 1996 WL 766505, at *2–3 (E.D. Tenn. Sept. 27, 1996) (given defendant’s difficulties in timely providing names and addresses of class members, statute of limitations was tolled from the date of filing of the original complaint and motion for notice).</w:t>
      </w:r>
      <w:r w:rsidRPr="00AD2F44">
        <w:rPr>
          <w:i/>
          <w:iCs/>
        </w:rPr>
        <w:t xml:space="preserve"> </w:t>
      </w:r>
    </w:p>
    <w:p w14:paraId="6D8BC5F2" w14:textId="77777777" w:rsidR="00721CCF" w:rsidRPr="00AD2F44" w:rsidRDefault="00F42107">
      <w:pPr>
        <w:pStyle w:val="14Footnote"/>
      </w:pPr>
      <w:r w:rsidRPr="00AD2F44">
        <w:rPr>
          <w:i/>
          <w:iCs/>
        </w:rPr>
        <w:t xml:space="preserve">Seventh Circuit: </w:t>
      </w:r>
      <w:r w:rsidRPr="00AD2F44">
        <w:t>Curless v. Great Am. Real Food Fast, Inc., 280 F.R.D. 429, 435 (S.D. Ill. 2012) (tolling limitations period to account for time spent on motions to resolve discovery dispute over contact information for putative class members); Hudgins v. Total Quality Logistics Corp., 2018 WL 1706368, at *3 (N.D. Ill. Apr. 9, 2018) (tolling statute of limitations on opt-ins’ claims from date they opted in through date of order granting arbitration motion and dismissal).</w:t>
      </w:r>
    </w:p>
    <w:p w14:paraId="2635C9CE" w14:textId="77777777" w:rsidR="00721CCF" w:rsidRPr="00AD2F44" w:rsidRDefault="00F42107">
      <w:pPr>
        <w:pStyle w:val="14Footnote"/>
      </w:pPr>
      <w:r w:rsidRPr="00AD2F44">
        <w:rPr>
          <w:i/>
          <w:iCs/>
        </w:rPr>
        <w:t>Ninth Circuit:</w:t>
      </w:r>
      <w:r w:rsidRPr="00AD2F44">
        <w:t xml:space="preserve"> Chastain v. Cam, 2014 WL 3734368, at *11–12 (D. Or. July 28, 2014) (granting equitable tolling where employer refused to produce putative class list pre-motion for conditional certification until compelled following discovery motion); Mowdy v. Beneto Bulk Transp., 2008 U.S. Dist. LEXIS 26233, at *36–39 (N.D. Cal. Mar. 31, 2008) (applying equitable tolling when defendants failed to provide full and accurate contact information regarding putative class as instructed by court); Adams v. Inter-Con Sec. Sys., 242 F.R.D. 530, 543 (N.D. Cal. 2007).</w:t>
      </w:r>
    </w:p>
    <w:p w14:paraId="788BA518" w14:textId="77777777" w:rsidR="00721CCF" w:rsidRPr="00AD2F44" w:rsidRDefault="00F42107">
      <w:pPr>
        <w:pStyle w:val="14Footnote"/>
      </w:pPr>
      <w:r w:rsidRPr="00AD2F44">
        <w:rPr>
          <w:i/>
          <w:iCs/>
        </w:rPr>
        <w:t>Tenth Circuit:</w:t>
      </w:r>
      <w:r w:rsidRPr="00AD2F44">
        <w:t xml:space="preserve"> Stransky v. Healthone of Denver, Inc., 868 F. Supp. 2d 1178, 1181–82 (D. Colo. 2012) (tolling limitations period from date of motion for notice and request for class contact information, but not to date of filing complaint, because plaintiffs would be prejudiced and circumstances were outside of plaintiffs’ control where defendant was solely in control of names and addresses of potential opt-in plaintiffs); Baldozier v. American Family Mut. Ins. Co., 375 F. Supp. 2d 1089, 1093 (D. Colo. 2005).</w:t>
      </w:r>
    </w:p>
    <w:p w14:paraId="204991F1" w14:textId="58229740" w:rsidR="00721CCF" w:rsidRPr="00AD2F44" w:rsidRDefault="00F42107">
      <w:pPr>
        <w:pStyle w:val="14Footnote"/>
      </w:pPr>
      <w:r w:rsidRPr="00AD2F44">
        <w:rPr>
          <w:i/>
          <w:iCs/>
        </w:rPr>
        <w:t>But see</w:t>
      </w:r>
      <w:r w:rsidRPr="00AD2F44">
        <w:t xml:space="preserve"> Shaia v. Harvest Mgmt. Sub LLC, 2015 WL 1744341 (N.D. Cal. Apr. 15, 2015) (denying equitable tolling where plaintiffs failed to show that they were prevented from asserting a claim by defendant’s wrongful conduct or that extraordinary circumstances beyond plaintiffs’ control made it impossible to file a claim on time); Prentice v. Fund for Pub. Interest Rsch., Inc., 2007 WL 2729187, at *3–4 (N.D. Cal. Sept. 18, 2007) (denying equitable tolling, explaining that “[t]he FLSA … does not require production of contact information for potential plaintiffs until after the court certifies the collective action”); Gerlach v. Wells Fargo &amp; Co., 2006 WL 824652 (N.D. Cal. Mar. 28, 2006) (denying equitable tolling despite defendant’s refusal to disclose contact information for putative opt-in plaintiffs).</w:t>
      </w:r>
    </w:p>
  </w:footnote>
  <w:footnote w:id="407">
    <w:p w14:paraId="417086B8" w14:textId="77777777" w:rsidR="00721CCF" w:rsidRPr="00AD2F44" w:rsidRDefault="00F42107">
      <w:pPr>
        <w:pStyle w:val="14Footnote"/>
      </w:pPr>
      <w:r w:rsidRPr="00AD2F44">
        <w:rPr>
          <w:vertAlign w:val="superscript"/>
        </w:rPr>
        <w:footnoteRef/>
      </w:r>
      <w:r w:rsidRPr="00AD2F44">
        <w:t xml:space="preserve">242 F.R.D. 530 (N.D. Cal. 2007). </w:t>
      </w:r>
    </w:p>
  </w:footnote>
  <w:footnote w:id="408">
    <w:p w14:paraId="14ED1537" w14:textId="77777777" w:rsidR="00721CCF" w:rsidRPr="00AD2F44" w:rsidRDefault="00F42107">
      <w:pPr>
        <w:pStyle w:val="14Footnote"/>
      </w:pPr>
      <w:r w:rsidRPr="00AD2F44">
        <w:rPr>
          <w:vertAlign w:val="superscript"/>
        </w:rPr>
        <w:footnoteRef/>
      </w:r>
      <w:r w:rsidRPr="00AD2F44">
        <w:rPr>
          <w:i/>
          <w:iCs/>
        </w:rPr>
        <w:t>Id.</w:t>
      </w:r>
      <w:r w:rsidRPr="00AD2F44">
        <w:t xml:space="preserve"> at 543.</w:t>
      </w:r>
    </w:p>
  </w:footnote>
  <w:footnote w:id="409">
    <w:p w14:paraId="6653A6AF" w14:textId="77777777" w:rsidR="00721CCF" w:rsidRPr="00AD2F44" w:rsidRDefault="00F42107">
      <w:pPr>
        <w:pStyle w:val="14Footnote"/>
      </w:pPr>
      <w:r w:rsidRPr="00AD2F44">
        <w:rPr>
          <w:vertAlign w:val="superscript"/>
        </w:rPr>
        <w:footnoteRef/>
      </w:r>
      <w:r w:rsidRPr="00AD2F44">
        <w:rPr>
          <w:i/>
          <w:iCs/>
        </w:rPr>
        <w:t>Id</w:t>
      </w:r>
      <w:r w:rsidRPr="00AD2F44">
        <w:t xml:space="preserve">. </w:t>
      </w:r>
      <w:r w:rsidRPr="00AD2F44">
        <w:rPr>
          <w:i/>
          <w:iCs/>
        </w:rPr>
        <w:t>Cf</w:t>
      </w:r>
      <w:r w:rsidRPr="00AD2F44">
        <w:t>. Manning v. Gold Belt Falcon, LLC, 2011 WL 5828497, at *2 (D.N.J. Nov. 17, 2011) (denying equitable tolling where plaintiffs delayed 19 months in moving for certification because they took “wait and see” approach regarding companion case, reasoning that it would not use equitable principle to excuse plaintiffs from impact of a tactical choice).</w:t>
      </w:r>
    </w:p>
  </w:footnote>
  <w:footnote w:id="410">
    <w:p w14:paraId="322E8142" w14:textId="77777777" w:rsidR="00721CCF" w:rsidRPr="00AD2F44" w:rsidRDefault="00F42107">
      <w:pPr>
        <w:pStyle w:val="14Footnote"/>
      </w:pPr>
      <w:r w:rsidRPr="00AD2F44">
        <w:rPr>
          <w:vertAlign w:val="superscript"/>
        </w:rPr>
        <w:footnoteRef/>
      </w:r>
      <w:r w:rsidRPr="00AD2F44">
        <w:rPr>
          <w:i/>
          <w:iCs/>
        </w:rPr>
        <w:t>Third Circuit:</w:t>
      </w:r>
      <w:r w:rsidRPr="00AD2F44">
        <w:t xml:space="preserve"> Vargas v. General Nutrition Ctrs., Inc., 2012 WL 5336166, at *7–8 (W.D. Pa. Oct. 26, 2012) (denying plaintiffs’ motion for equitable tolling, ruling that extenuating circumstances were not present because delay resulted from proceedings necessary to obtain conditional certification); Titchenell v. Apria Healthcare Inc., 2012 WL 3731341, at *7 (E.D. Pa. Aug. 29, 2012) (denying request for equitable tolling because defendant had not “actively misled” plaintiff and other potential plaintiffs were not prevented from asserting their rights because any delay in their knowledge of the action was caused only by the normal litigation process).</w:t>
      </w:r>
    </w:p>
    <w:p w14:paraId="3D219A37" w14:textId="77777777" w:rsidR="00721CCF" w:rsidRPr="00AD2F44" w:rsidRDefault="00F42107">
      <w:pPr>
        <w:pStyle w:val="14Footnote"/>
      </w:pPr>
      <w:r w:rsidRPr="00AD2F44">
        <w:rPr>
          <w:i/>
          <w:iCs/>
        </w:rPr>
        <w:t>Fourth Circuit</w:t>
      </w:r>
      <w:r w:rsidRPr="00AD2F44">
        <w:t xml:space="preserve">: Yerby v. City of Richmond, 2020 WL 602268, at *7 (E.D. Va. Feb. 7, 2020) (denying equitable tolling, less-than three-month delay due to some “complex motions” did not constitute “extraordinary circumstances”). </w:t>
      </w:r>
    </w:p>
    <w:p w14:paraId="4D2616A2" w14:textId="77777777" w:rsidR="00721CCF" w:rsidRPr="00AD2F44" w:rsidRDefault="00F42107">
      <w:pPr>
        <w:pStyle w:val="14Footnote"/>
      </w:pPr>
      <w:r w:rsidRPr="00AD2F44">
        <w:rPr>
          <w:i/>
          <w:iCs/>
        </w:rPr>
        <w:t>Fifth Circuit</w:t>
      </w:r>
      <w:r w:rsidRPr="00AD2F44">
        <w:t xml:space="preserve">: Cervantez v. TDT Consulting, LLC, 2019 WL 3948355, at *12 (N.D. Tex. July 22, 2019) (denying equitable tolling for time court spent deciding conditional certification motion). </w:t>
      </w:r>
    </w:p>
    <w:p w14:paraId="493F18D9" w14:textId="77777777" w:rsidR="00721CCF" w:rsidRPr="00AD2F44" w:rsidRDefault="00F42107">
      <w:pPr>
        <w:pStyle w:val="14Footnote"/>
      </w:pPr>
      <w:r w:rsidRPr="00AD2F44">
        <w:rPr>
          <w:i/>
          <w:iCs/>
        </w:rPr>
        <w:t>Eighth Circuit:</w:t>
      </w:r>
      <w:r w:rsidRPr="00AD2F44">
        <w:t xml:space="preserve"> Holliday v. J S Express Inc., 2013 WL 2395333, at *8 (E.D. Mo. May 30, 2013) (denying tolling back to date of filing complaint for time defendant failed to provide requested contact information, because plaintiffs did not show “extraordinary circumstances” required, but allowing it for time needed to consider motion for notice); Putnam v. Galaxy 1 Mktg., Inc., 276 F.R.D. 264, 276 (S.D. Iowa 2011) (finding that defendant’s failure to provide putative class contact information did not warrant equitable tolling, but recognizing that it was “an open question” among courts, and ultimately granting tolling back to date that conditional certification motion was filed).</w:t>
      </w:r>
    </w:p>
    <w:p w14:paraId="14A90810" w14:textId="5581139C" w:rsidR="00721CCF" w:rsidRPr="00AD2F44" w:rsidRDefault="00F42107">
      <w:pPr>
        <w:pStyle w:val="14Footnote"/>
      </w:pPr>
      <w:r w:rsidRPr="00AD2F44">
        <w:rPr>
          <w:i/>
          <w:iCs/>
        </w:rPr>
        <w:t>Ninth Circuit:</w:t>
      </w:r>
      <w:r w:rsidRPr="00AD2F44">
        <w:t xml:space="preserve"> </w:t>
      </w:r>
      <w:r w:rsidRPr="00FB6414">
        <w:t>Roberts v. Sidwell Air Freight, Inc.</w:t>
      </w:r>
      <w:r>
        <w:t xml:space="preserve">, </w:t>
      </w:r>
      <w:r w:rsidR="00B726E3" w:rsidRPr="00B726E3">
        <w:t>2022 BL 408078</w:t>
      </w:r>
      <w:r w:rsidR="00B726E3">
        <w:t xml:space="preserve">, </w:t>
      </w:r>
      <w:r w:rsidRPr="00FB6414">
        <w:t>2022 WL 16949565 (W.D. Wash. Nov. 15, 2022)</w:t>
      </w:r>
      <w:r>
        <w:t xml:space="preserve"> (</w:t>
      </w:r>
      <w:r w:rsidRPr="00FB6414">
        <w:t xml:space="preserve">holding equitable tolling inappropriate </w:t>
      </w:r>
      <w:r>
        <w:t>because</w:t>
      </w:r>
      <w:r w:rsidRPr="00FB6414">
        <w:t xml:space="preserve"> no potential plaintiff </w:t>
      </w:r>
      <w:r>
        <w:t>was</w:t>
      </w:r>
      <w:r w:rsidRPr="00FB6414">
        <w:t xml:space="preserve"> prevented from filing their own suit on time </w:t>
      </w:r>
      <w:r>
        <w:t xml:space="preserve">and therefore no </w:t>
      </w:r>
      <w:r w:rsidRPr="00FB6414">
        <w:t>extraordinary circumstance warrant</w:t>
      </w:r>
      <w:r>
        <w:t>ed</w:t>
      </w:r>
      <w:r w:rsidRPr="00FB6414">
        <w:t xml:space="preserve"> tolling</w:t>
      </w:r>
      <w:r>
        <w:t xml:space="preserve">); </w:t>
      </w:r>
      <w:r w:rsidRPr="00AD2F44">
        <w:t xml:space="preserve">Gerlach v. Wells Fargo &amp; Co., 2006 WL 824652, at *5 (N.D. Cal. Mar. 28, 2006) (relying on </w:t>
      </w:r>
      <w:r w:rsidRPr="00AD2F44">
        <w:rPr>
          <w:i/>
          <w:iCs/>
        </w:rPr>
        <w:t>Partlow v. Jewish Orphans’ Home of S. Cal., Inc</w:t>
      </w:r>
      <w:r w:rsidRPr="00AD2F44">
        <w:t>., 645 F.2d 757 (9th Cir. 1981), to reject plaintiffs’ request for equitable tolling where defendants refused to produce contact information for potential collective action members).</w:t>
      </w:r>
    </w:p>
  </w:footnote>
  <w:footnote w:id="411">
    <w:p w14:paraId="33A70F60" w14:textId="7E509421" w:rsidR="00721CCF" w:rsidRPr="00AD2F44" w:rsidRDefault="00F42107" w:rsidP="000B6C5F">
      <w:pPr>
        <w:pStyle w:val="FootnoteText"/>
      </w:pPr>
      <w:r w:rsidRPr="00AD2F44">
        <w:rPr>
          <w:rStyle w:val="FootnoteReference"/>
        </w:rPr>
        <w:footnoteRef/>
      </w:r>
      <w:r w:rsidRPr="00AD2F44">
        <w:rPr>
          <w:i/>
          <w:iCs/>
        </w:rPr>
        <w:t xml:space="preserve">See </w:t>
      </w:r>
      <w:r w:rsidRPr="00AD2F44">
        <w:t xml:space="preserve">Lee v. Solar Energy World, LLC, 2021 BL 85885, </w:t>
      </w:r>
      <w:r w:rsidRPr="009B2156">
        <w:rPr>
          <w:lang w:val="es-ES"/>
        </w:rPr>
        <w:t xml:space="preserve">2021 WL 915287 (D. Md. Mar. 10, 2021) </w:t>
      </w:r>
      <w:r w:rsidRPr="009B2156">
        <w:rPr>
          <w:lang w:val="es-ES"/>
        </w:rPr>
        <w:t xml:space="preserve">(tolling limitations period for 81 days after finding that COVID-19 pandemic was extraordinary circumstance beyond plaintiffs’ control that had delayed notice process); </w:t>
      </w:r>
      <w:r w:rsidRPr="00AD2F44">
        <w:t xml:space="preserve">Klick v. Cenikor Found., 509 F. Supp. 3d 951 (S.D. Tex. 2020) (granting equitable tolling for individuals to opt in, recognizing extraordinary circumstances of COVID-19 pandemic was another factor contributing to delay). </w:t>
      </w:r>
    </w:p>
    <w:p w14:paraId="04D88B87" w14:textId="77777777" w:rsidR="00721CCF" w:rsidRPr="00AD2F44" w:rsidRDefault="00721CCF" w:rsidP="000B6C5F">
      <w:pPr>
        <w:pStyle w:val="FootnoteText"/>
      </w:pPr>
    </w:p>
  </w:footnote>
  <w:footnote w:id="412">
    <w:p w14:paraId="2B05AD3E" w14:textId="77777777" w:rsidR="00721CCF" w:rsidRPr="00AD2F44" w:rsidRDefault="00F42107">
      <w:pPr>
        <w:pStyle w:val="14Footnote"/>
      </w:pPr>
      <w:r w:rsidRPr="00AD2F44">
        <w:rPr>
          <w:vertAlign w:val="superscript"/>
        </w:rPr>
        <w:footnoteRef/>
      </w:r>
      <w:r w:rsidRPr="00AD2F44">
        <w:rPr>
          <w:i/>
          <w:iCs/>
        </w:rPr>
        <w:t>See, e.g.,</w:t>
      </w:r>
    </w:p>
    <w:p w14:paraId="13D3F56C" w14:textId="77777777" w:rsidR="00721CCF" w:rsidRPr="00AD2F44" w:rsidRDefault="00F42107">
      <w:pPr>
        <w:pStyle w:val="14Footnote"/>
      </w:pPr>
      <w:r w:rsidRPr="00AD2F44">
        <w:rPr>
          <w:i/>
          <w:iCs/>
        </w:rPr>
        <w:t>Third Circuit:</w:t>
      </w:r>
      <w:r w:rsidRPr="00AD2F44">
        <w:t xml:space="preserve"> Charles v. Progressions Behavioral Health Servs., Ins., 2018 WL 4924169 (E.D. Pa. Oct. 9, 2018) (finding</w:t>
      </w:r>
      <w:r w:rsidRPr="00AD2F44">
        <w:t xml:space="preserve"> that equitable tolling was justified when the court delayed in ruling on plaintiff’s motion for conditional certification and when defendant misled putative class members by compensating them for unpaid overtime in an effort to dissuade them from participating in the lawsuit); Hunt v. McKesson Corp., 2018 WL 4092065 (W.D. Pa. Aug. 28, 2018) (refusing to grant equitable tolling on account of defendant’s successful motion to dismiss or the discovery dispute between the parties; however, the court did grant equitable tolling for the time when defendant refused to produce documents that had been ordered to be produced).</w:t>
      </w:r>
    </w:p>
    <w:p w14:paraId="457AF82A" w14:textId="77777777" w:rsidR="00721CCF" w:rsidRPr="00AD2F44" w:rsidRDefault="00F42107">
      <w:pPr>
        <w:pStyle w:val="14Footnote"/>
      </w:pPr>
      <w:r w:rsidRPr="00AD2F44">
        <w:rPr>
          <w:i/>
          <w:iCs/>
        </w:rPr>
        <w:t>Fourth Circuit:</w:t>
      </w:r>
      <w:r w:rsidRPr="00AD2F44">
        <w:t xml:space="preserve"> Steinberg v. TQ Logistics, Inc., 2011 WL 1335191, at *3 (D.S.C. Apr. 7, 2011) (allowing equitable tolling for notice purposes based on allegations that defendant misrepresented facts about employees at another facility in earlier, similar suit, reasoning that dispute over veracity of allegation could be addressed at decertification stage).</w:t>
      </w:r>
    </w:p>
    <w:p w14:paraId="198F4B7C" w14:textId="77777777" w:rsidR="00721CCF" w:rsidRPr="00AD2F44" w:rsidRDefault="00F42107">
      <w:pPr>
        <w:pStyle w:val="14Footnote"/>
      </w:pPr>
      <w:r w:rsidRPr="00AD2F44">
        <w:rPr>
          <w:i/>
          <w:iCs/>
        </w:rPr>
        <w:t>Seventh Circuit:</w:t>
      </w:r>
      <w:r w:rsidRPr="00AD2F44">
        <w:t xml:space="preserve"> Tate v. Showboat Marina Casino, 2002 WL 31443124, at *8 (N.D. Ill. Oct. 31, 2002) (denying motion to dismiss on statute of limitations given plaintiffs’ allegation that defendants concealed information about a DOL audit from employees).</w:t>
      </w:r>
    </w:p>
    <w:p w14:paraId="294FA0ED" w14:textId="77777777" w:rsidR="00721CCF" w:rsidRPr="00AD2F44" w:rsidRDefault="00F42107">
      <w:pPr>
        <w:pStyle w:val="14Footnote"/>
      </w:pPr>
      <w:r w:rsidRPr="00AD2F44">
        <w:rPr>
          <w:i/>
          <w:iCs/>
        </w:rPr>
        <w:t>Ninth Circuit:</w:t>
      </w:r>
      <w:r w:rsidRPr="00AD2F44">
        <w:t xml:space="preserve"> Adedapoidle-Tyehimba v. Crunch, LLC, 2013 WL 5594713 (N.D. Cal. Oct. 10, 2013) (finding that the plaintiff had been hindered in his ability to move for conditional certification and tolling the statute of limitations for putative collective action members); Li v. A Perfect Franchise, Inc., 2011 WL 4635198, at *16 (N.D. Cal. Oct. 5, 2011) (permitting equitable tolling and issuance of corrective notice based on previous finding that employer attempted to interfere with employees’ FLSA rights by “coercing them to sign affidavits at individual meetings”).</w:t>
      </w:r>
    </w:p>
    <w:p w14:paraId="6EDD6582" w14:textId="77777777" w:rsidR="00721CCF" w:rsidRPr="00AD2F44" w:rsidRDefault="00F42107">
      <w:pPr>
        <w:pStyle w:val="14Footnote"/>
      </w:pPr>
      <w:r w:rsidRPr="00AD2F44">
        <w:rPr>
          <w:i/>
          <w:iCs/>
        </w:rPr>
        <w:t>See also</w:t>
      </w:r>
      <w:r w:rsidRPr="00AD2F44">
        <w:t xml:space="preserve"> Allison v. Frito-Lay, Inc., 1992 WL 123799, at *4 (D. Kan. Mar. 27, 1992) (“Where the defendant’s actions are the alleged basis for equitable tolling … the plaintiff must prove affirmative misconduct by the defendant.”). </w:t>
      </w:r>
    </w:p>
    <w:p w14:paraId="3E8C1C05" w14:textId="77777777" w:rsidR="00721CCF" w:rsidRPr="00AD2F44" w:rsidRDefault="00F42107">
      <w:pPr>
        <w:pStyle w:val="14Footnote"/>
      </w:pPr>
      <w:r w:rsidRPr="00AD2F44">
        <w:rPr>
          <w:i/>
        </w:rPr>
        <w:t>But see</w:t>
      </w:r>
    </w:p>
    <w:p w14:paraId="201BC5F5" w14:textId="77777777" w:rsidR="00721CCF" w:rsidRPr="00AD2F44" w:rsidRDefault="00F42107">
      <w:pPr>
        <w:pStyle w:val="14Footnote"/>
      </w:pPr>
      <w:r w:rsidRPr="00AD2F44">
        <w:rPr>
          <w:i/>
          <w:iCs/>
        </w:rPr>
        <w:t xml:space="preserve">Third Circuit: </w:t>
      </w:r>
      <w:r w:rsidRPr="00AD2F44">
        <w:t>Adami v. Cardo Windows, Inc., 2014 WL 320048 (D.N.J. Jan. 29, 2014) (declining to toll plaintiffs’ claims who had, through no fault of their own, been unable to join lawsuit and noting that equitable tolling is appropriate if defendant has actively misled plaintiff, the plaintiff has in some extraordinary way been prevented form asserting his or her rights, or plaintiff has timely asserted his or her rights mistakenly in the wrong forum).</w:t>
      </w:r>
    </w:p>
    <w:p w14:paraId="64860F2F" w14:textId="3FEAB5FD" w:rsidR="00721CCF" w:rsidRPr="00AD2F44" w:rsidRDefault="00F42107">
      <w:pPr>
        <w:pStyle w:val="14Footnote"/>
      </w:pPr>
      <w:r w:rsidRPr="00AD2F44">
        <w:rPr>
          <w:i/>
          <w:iCs/>
        </w:rPr>
        <w:t>Ninth Circuit:</w:t>
      </w:r>
      <w:r w:rsidRPr="00AD2F44">
        <w:t xml:space="preserve"> Margulies v. Tri-County Metro. Transp. Dist. of Or., 2013 WL 5596040 (D. Or. Oct. 10, 2013) (declining to apply equitable tolling, finding the mere refusal to provide information in the absence of an obligation to do so was not conduct preventing individuals from asserting claims as is required for application of equitable tolling; because of the delay in deciding the motion, the court did, however, equitably toll the statute of limitations from the date the motion for certification of the collective action was ripe for decision until issuance of the order).</w:t>
      </w:r>
    </w:p>
  </w:footnote>
  <w:footnote w:id="413">
    <w:p w14:paraId="06016D59" w14:textId="77777777" w:rsidR="00721CCF" w:rsidRPr="00AD2F44" w:rsidRDefault="00F42107">
      <w:pPr>
        <w:pStyle w:val="14Footnote"/>
      </w:pPr>
      <w:r w:rsidRPr="00AD2F44">
        <w:rPr>
          <w:vertAlign w:val="superscript"/>
        </w:rPr>
        <w:footnoteRef/>
      </w:r>
      <w:r w:rsidRPr="00AD2F44">
        <w:t>Jacobsen v. The Stop &amp; Shop Supermarket Co., 2004 WL 1918795, at *3–4 (S.D.N.Y. Aug. 27, 2004) (“Classifying a job as exempt from the FLSA’s overtime pay requirements is not ‘extraordinary’ conduct such that the doctrine of equitable tolling should apply.”).</w:t>
      </w:r>
    </w:p>
  </w:footnote>
  <w:footnote w:id="414">
    <w:p w14:paraId="7FCC98B0" w14:textId="77777777" w:rsidR="00721CCF" w:rsidRPr="00AD2F44" w:rsidRDefault="00F42107">
      <w:pPr>
        <w:pStyle w:val="14Footnote"/>
      </w:pPr>
      <w:r w:rsidRPr="00AD2F44">
        <w:rPr>
          <w:vertAlign w:val="superscript"/>
        </w:rPr>
        <w:footnoteRef/>
      </w:r>
      <w:r w:rsidRPr="00AD2F44">
        <w:rPr>
          <w:i/>
          <w:iCs/>
        </w:rPr>
        <w:t>Sixth Circuit:</w:t>
      </w:r>
      <w:r w:rsidRPr="00AD2F44">
        <w:t xml:space="preserve"> Viciedo v. New Horizons </w:t>
      </w:r>
      <w:r w:rsidRPr="00AD2F44">
        <w:t>Comput. Learning Ctr. of Columbus, Ltd., 246 F. Supp. 2d 886, 904 (S.D. Ohio 2003) (statements that employees would not be paid for overtime “do not constitute misrepresentations that would prevent the Plaintiffs from discovering the existence of their claim under federal law. To the contrary, such statements simply inform the Plaintiffs of facts that might give rise to their claims.”).</w:t>
      </w:r>
    </w:p>
    <w:p w14:paraId="670AA254" w14:textId="77777777" w:rsidR="00721CCF" w:rsidRPr="00AD2F44" w:rsidRDefault="00F42107">
      <w:pPr>
        <w:pStyle w:val="14Footnote"/>
      </w:pPr>
      <w:r w:rsidRPr="00AD2F44">
        <w:rPr>
          <w:i/>
          <w:iCs/>
        </w:rPr>
        <w:t>Ninth Circuit:</w:t>
      </w:r>
      <w:r w:rsidRPr="00AD2F44">
        <w:t xml:space="preserve"> Campanelli v. Hershey Co., 2010 WL 3219501, at *6 (N.D. Cal. Aug. 13, 2010) (defendants’ failing to post notices did not justify tolling in exemption case because to “disclose that an employee is entitled to overtime pay … would be tantamount to holding that the statute is tolled in all or substantially all cases seeking unpaid overtime”).</w:t>
      </w:r>
    </w:p>
    <w:p w14:paraId="1E025D3D" w14:textId="396FD222" w:rsidR="00721CCF" w:rsidRPr="00AD2F44" w:rsidRDefault="00F42107">
      <w:pPr>
        <w:pStyle w:val="14Footnote"/>
      </w:pPr>
      <w:r w:rsidRPr="00AD2F44">
        <w:rPr>
          <w:i/>
          <w:iCs/>
        </w:rPr>
        <w:t>Eleventh Circuit:</w:t>
      </w:r>
      <w:r w:rsidRPr="00AD2F44">
        <w:t xml:space="preserve"> Bennett v. Advanced Cable Contractors, Inc., 2012 WL 1600443, at *7 (N.D. Ga. May 7, 2012) (rejecting claim for equitable tolling even where defendant ignored plaintiffs’ complaints about not being paid overtime and directed them to adjust their timesheets downward, because plaintiffs’ complaints showed they were aware of their rights and nothing in defendant’s conduct indicated plaintiffs were misled in to believing they were being paid properly such that it would have prevented them from opting in to suit earlier).</w:t>
      </w:r>
    </w:p>
  </w:footnote>
  <w:footnote w:id="415">
    <w:p w14:paraId="5BBFB624" w14:textId="77777777" w:rsidR="00721CCF" w:rsidRPr="00AD2F44" w:rsidRDefault="00F42107">
      <w:pPr>
        <w:pStyle w:val="14Footnote"/>
      </w:pPr>
      <w:r w:rsidRPr="00AD2F44">
        <w:rPr>
          <w:vertAlign w:val="superscript"/>
        </w:rPr>
        <w:footnoteRef/>
      </w:r>
      <w:r w:rsidRPr="00AD2F44">
        <w:t>Engel v. Burlington Coat Factory Direct Corp., 2013 WL 5177184 (S.D. Ohio Sept. 12, 2013) (tolling permitted by agreement where parties sought to engage in settlement discussions).</w:t>
      </w:r>
    </w:p>
  </w:footnote>
  <w:footnote w:id="416">
    <w:p w14:paraId="64BB59C5" w14:textId="77777777" w:rsidR="00721CCF" w:rsidRPr="00AD2F44" w:rsidRDefault="00F42107">
      <w:pPr>
        <w:pStyle w:val="14Footnote"/>
      </w:pPr>
      <w:r w:rsidRPr="00AD2F44">
        <w:rPr>
          <w:vertAlign w:val="superscript"/>
        </w:rPr>
        <w:footnoteRef/>
      </w:r>
      <w:r w:rsidRPr="00AD2F44">
        <w:t xml:space="preserve">Evancho v. Sanofi-Aventis U.S. Inc., 2007 WL 1302985, at *5 (N.D. Cal. May 3, 2007) (ordering FLSA collective action transferred to district where defendant had its headquarters and granting equitable tolling to prevent harm to absent class members by any delay caused by the transfer). </w:t>
      </w:r>
      <w:r w:rsidRPr="00AD2F44">
        <w:rPr>
          <w:i/>
          <w:iCs/>
        </w:rPr>
        <w:t>See also</w:t>
      </w:r>
      <w:r w:rsidRPr="00AD2F44">
        <w:t xml:space="preserve"> Sullivan-Blake v. FedEx Ground Package Sys., Inc., 2019 WL 4750141, at *6 (W.D. Pa. Sept. 30, 2019) (granting equitable tolling based on “unique procedural history” of case and tying it to date a prior court determined that it lacked supplemental jurisdiction over non-state opt-ins). </w:t>
      </w:r>
      <w:r w:rsidRPr="00AD2F44">
        <w:rPr>
          <w:i/>
          <w:iCs/>
        </w:rPr>
        <w:t>But see</w:t>
      </w:r>
      <w:r w:rsidRPr="00AD2F44">
        <w:t xml:space="preserve"> Calloway v. AT&amp;T Corp., 419 F. Supp. 3d 1031, 1037 (N.D. Ill. 2019) (denying equitable tolling for time taken by court to decide personal jurisdiction question where plaintiffs chose to file in district other than employer’s home district). </w:t>
      </w:r>
    </w:p>
  </w:footnote>
  <w:footnote w:id="417">
    <w:p w14:paraId="026FBA7B" w14:textId="77777777" w:rsidR="00721CCF" w:rsidRPr="00AD2F44" w:rsidRDefault="00F42107">
      <w:pPr>
        <w:pStyle w:val="14Footnote"/>
      </w:pPr>
      <w:r w:rsidRPr="00AD2F44">
        <w:rPr>
          <w:vertAlign w:val="superscript"/>
        </w:rPr>
        <w:footnoteRef/>
      </w:r>
      <w:r w:rsidRPr="00AD2F44">
        <w:t>Beauperthuy v. 24 Hour Fitness USA, Inc., 2007 WL 707475, at *8 (N.D. Cal. Mar. 6, 2007) (granting equitable tolling because of “vagaries of the process by which the … action was settled, the competition which occurred between [attorneys] during settlement mediation, and other factors outside of [certain plaintiffs’] control”).</w:t>
      </w:r>
    </w:p>
  </w:footnote>
  <w:footnote w:id="418">
    <w:p w14:paraId="1351A0FB" w14:textId="77777777" w:rsidR="00721CCF" w:rsidRPr="00AD2F44" w:rsidRDefault="00F42107">
      <w:pPr>
        <w:pStyle w:val="14Footnote"/>
      </w:pPr>
      <w:r w:rsidRPr="00AD2F44">
        <w:rPr>
          <w:vertAlign w:val="superscript"/>
        </w:rPr>
        <w:footnoteRef/>
      </w:r>
      <w:r w:rsidRPr="00AD2F44">
        <w:t xml:space="preserve">Quintanilla v. A &amp; R Demolition, Inc., 2006 U.S. Dist. LEXIS 39198 (S.D. Tex. June 13, 2006) (denying equitable tolling for period notice motion was being considered because opt-in plaintiffs were not prohibited from filing consents during this period). </w:t>
      </w:r>
      <w:r w:rsidRPr="00AD2F44">
        <w:rPr>
          <w:i/>
          <w:iCs/>
        </w:rPr>
        <w:t>Cf</w:t>
      </w:r>
      <w:r w:rsidRPr="00AD2F44">
        <w:t>.</w:t>
      </w:r>
      <w:r w:rsidRPr="00AD2F44">
        <w:rPr>
          <w:i/>
          <w:iCs/>
        </w:rPr>
        <w:t xml:space="preserve"> </w:t>
      </w:r>
      <w:r w:rsidRPr="00AD2F44">
        <w:t xml:space="preserve">Powers v. Centennial Commc’ns Corp., 2010 WL 746776, at *3 (N.D. Ind. Feb. 26, 2010) (refusing to allow equitable tolling for period certification decision was pending, because opt-ins could have filed consents during that time, plaintiff could have spoken with them and obtained signed consents, and part of delay was attributable to plaintiff’s motion practice in case). </w:t>
      </w:r>
    </w:p>
  </w:footnote>
  <w:footnote w:id="419">
    <w:p w14:paraId="3D997BAD" w14:textId="77777777" w:rsidR="00721CCF" w:rsidRPr="00AD2F44" w:rsidRDefault="00F42107">
      <w:pPr>
        <w:pStyle w:val="14Footnote"/>
      </w:pPr>
      <w:r w:rsidRPr="00AD2F44">
        <w:rPr>
          <w:vertAlign w:val="superscript"/>
        </w:rPr>
        <w:footnoteRef/>
      </w:r>
      <w:r w:rsidRPr="00AD2F44">
        <w:rPr>
          <w:i/>
        </w:rPr>
        <w:t xml:space="preserve">See, e.g., </w:t>
      </w:r>
    </w:p>
    <w:p w14:paraId="442A790F" w14:textId="77777777" w:rsidR="00721CCF" w:rsidRPr="00AD2F44" w:rsidRDefault="00F42107">
      <w:pPr>
        <w:pStyle w:val="14Footnote"/>
      </w:pPr>
      <w:r w:rsidRPr="00AD2F44">
        <w:rPr>
          <w:i/>
          <w:iCs/>
        </w:rPr>
        <w:t>Seventh Circuit:</w:t>
      </w:r>
      <w:r w:rsidRPr="00AD2F44">
        <w:t xml:space="preserve"> </w:t>
      </w:r>
      <w:r w:rsidRPr="00AD2F44">
        <w:rPr>
          <w:i/>
          <w:iCs/>
        </w:rPr>
        <w:t>Powers</w:t>
      </w:r>
      <w:r w:rsidRPr="00AD2F44">
        <w:t>, 2010 WL 746776, at *4 (refusing to equitably toll limitations period based on delay in providing discovery).</w:t>
      </w:r>
      <w:r w:rsidRPr="00AD2F44">
        <w:rPr>
          <w:i/>
          <w:iCs/>
        </w:rPr>
        <w:t xml:space="preserve"> But cf</w:t>
      </w:r>
      <w:r w:rsidRPr="00AD2F44">
        <w:t>. Curless v. Great Am. Real Food Fast, Inc., 280 F.R.D. 429, 435 (S.D. Ill. 2012) (tolling limitations period because of delay in providing contact information, even though court rejected argument that mere delay constituted exceptional circumstance, but reasoning that confusion among courts in this area warranted tolling in this case).</w:t>
      </w:r>
    </w:p>
    <w:p w14:paraId="2C730CCB" w14:textId="77777777" w:rsidR="00721CCF" w:rsidRPr="00AD2F44" w:rsidRDefault="00F42107">
      <w:pPr>
        <w:pStyle w:val="14Footnote"/>
      </w:pPr>
      <w:r w:rsidRPr="00AD2F44">
        <w:rPr>
          <w:i/>
          <w:iCs/>
        </w:rPr>
        <w:t>Eighth Circuit:</w:t>
      </w:r>
      <w:r w:rsidRPr="00AD2F44">
        <w:t xml:space="preserve"> Putnam v. Galaxy 1 Mktg., Inc., 276 F.R.D. 264, 276 (S.D. Iowa 2011) (finding that defendant’s failure to provide putative class contact information did not warrant equitable tolling, but recognizing that it was “an open question” among courts, and ultimately granting tolling back to date conditional certification motion was filed).</w:t>
      </w:r>
    </w:p>
    <w:p w14:paraId="54BE8124" w14:textId="0EF622EF" w:rsidR="00721CCF" w:rsidRPr="00AD2F44" w:rsidRDefault="00F42107">
      <w:pPr>
        <w:pStyle w:val="14Footnote"/>
      </w:pPr>
      <w:r w:rsidRPr="00AD2F44">
        <w:rPr>
          <w:i/>
          <w:iCs/>
        </w:rPr>
        <w:t>Ninth Circuit:</w:t>
      </w:r>
      <w:r w:rsidRPr="00AD2F44">
        <w:t xml:space="preserve"> Fichtner v. American Family Mut. Ins. Co., 2004 WL 3106753 (D. Or. Mar. 1, 2004) (holding that defendant’s refusal to provide contact information was not wrongful behavior justifying equitable tolling).</w:t>
      </w:r>
    </w:p>
  </w:footnote>
  <w:footnote w:id="420">
    <w:p w14:paraId="2B6D212A" w14:textId="77777777" w:rsidR="00721CCF" w:rsidRPr="00AD2F44" w:rsidRDefault="00F42107">
      <w:pPr>
        <w:pStyle w:val="14Footnote"/>
      </w:pPr>
      <w:r w:rsidRPr="00AD2F44">
        <w:rPr>
          <w:vertAlign w:val="superscript"/>
        </w:rPr>
        <w:footnoteRef/>
      </w:r>
      <w:r w:rsidRPr="00AD2F44">
        <w:rPr>
          <w:i/>
          <w:iCs/>
        </w:rPr>
        <w:t>See, e.g.,</w:t>
      </w:r>
    </w:p>
    <w:p w14:paraId="4D3FB401" w14:textId="5536757A" w:rsidR="00721CCF" w:rsidRDefault="00F42107">
      <w:pPr>
        <w:pStyle w:val="14Footnote"/>
      </w:pPr>
      <w:r>
        <w:rPr>
          <w:i/>
          <w:iCs/>
        </w:rPr>
        <w:t xml:space="preserve">Second Circuit: </w:t>
      </w:r>
      <w:r>
        <w:t xml:space="preserve">Watterson v. RUI Mgmt. Servs., </w:t>
      </w:r>
      <w:r w:rsidR="00585F91" w:rsidRPr="00585F91">
        <w:t>2022 BL 305442</w:t>
      </w:r>
      <w:r w:rsidR="00585F91">
        <w:t xml:space="preserve">, </w:t>
      </w:r>
      <w:r w:rsidR="009B2156" w:rsidRPr="009B2156">
        <w:t xml:space="preserve">2022 WL 3867755 </w:t>
      </w:r>
      <w:r>
        <w:t>(E.D.N.Y.</w:t>
      </w:r>
      <w:r>
        <w:t xml:space="preserve"> Aug 30, 2022) (denying request for equitable tolling, reasoning there needed to be a showing of exceptional circumstances as to potential opt-in plaintiffs, and it was premature to evaluate the facts about them).</w:t>
      </w:r>
    </w:p>
    <w:p w14:paraId="149E0EFE" w14:textId="577F6482" w:rsidR="00721CCF" w:rsidRPr="00AD2F44" w:rsidRDefault="00F42107">
      <w:pPr>
        <w:pStyle w:val="14Footnote"/>
      </w:pPr>
      <w:r w:rsidRPr="00AD2F44">
        <w:rPr>
          <w:i/>
          <w:iCs/>
        </w:rPr>
        <w:t xml:space="preserve">Third Circuit: </w:t>
      </w:r>
      <w:r w:rsidRPr="00AD2F44">
        <w:t>Smith v. Merck &amp; Co., Inc., 2016 WL 1690087, at *8–9 (D.N.J. Apr. 27, 2016) (denying motion for equitable tolling based on denial of discovery and time taken in litigating certification motion, because plaintiffs did not show extraordinary circumstances; discovery may not have been needed for motion, and litigation timeframe was not clearly exceptional, but denying without prejudice).</w:t>
      </w:r>
    </w:p>
    <w:p w14:paraId="0EB1EBBC" w14:textId="77777777" w:rsidR="00721CCF" w:rsidRPr="00AD2F44" w:rsidRDefault="00F42107">
      <w:pPr>
        <w:pStyle w:val="14Footnote"/>
      </w:pPr>
      <w:r w:rsidRPr="00AD2F44">
        <w:rPr>
          <w:i/>
          <w:iCs/>
        </w:rPr>
        <w:t xml:space="preserve">Fifth Circuit: </w:t>
      </w:r>
      <w:r w:rsidRPr="00AD2F44">
        <w:t>Perez v. City of New Orleans, 2015 WL 4547505, at *3 (E.D. La. July 28, 2015) (denying request for equitable tolling of claims period back to 2009, given that plaintiffs were not “actively misled” or prevented from pursuing claims earlier, and refusing to conclude that defendants consented to equitable tolling); Sandoz v. Cingular Wireless LLC, 2014 WL 3045532 (W.D. La. July 3, 2014) (denying equitable tolling where plaintiffs were able to discover information bearing on existence of claim because they shared same workplace and had access to same information as lead plaintiff).</w:t>
      </w:r>
    </w:p>
    <w:p w14:paraId="5AAD4D62" w14:textId="77777777" w:rsidR="00721CCF" w:rsidRPr="00AD2F44" w:rsidRDefault="00F42107">
      <w:pPr>
        <w:pStyle w:val="14Footnote"/>
      </w:pPr>
      <w:r w:rsidRPr="00AD2F44">
        <w:rPr>
          <w:i/>
          <w:iCs/>
        </w:rPr>
        <w:t xml:space="preserve">Eighth Circuit: </w:t>
      </w:r>
      <w:r w:rsidRPr="00AD2F44">
        <w:t>Trogdon v. Kleenco Maint. &amp; Constr., Inc., 2015 WL 2345590 (W.D. Ark. May 15, 2015) (obtaining broad releases and settlement agreements does not warrant equitable tolling).</w:t>
      </w:r>
    </w:p>
    <w:p w14:paraId="457E8A62" w14:textId="77777777" w:rsidR="00721CCF" w:rsidRPr="00AD2F44" w:rsidRDefault="00F42107">
      <w:pPr>
        <w:pStyle w:val="14Footnote"/>
      </w:pPr>
      <w:r w:rsidRPr="00AD2F44">
        <w:rPr>
          <w:i/>
          <w:iCs/>
        </w:rPr>
        <w:t xml:space="preserve">Ninth Circuit: </w:t>
      </w:r>
      <w:r w:rsidRPr="00AD2F44">
        <w:t>Shaia v. Harvest Mgmt. Sub LLC, 2015 WL 1744341 (N.D. Cal. Apr. 15, 2015) (equitable tolling denied where plaintiffs identified no wrongful conduct that prevented them from joining case).</w:t>
      </w:r>
    </w:p>
    <w:p w14:paraId="228FAD04" w14:textId="6024C8D4" w:rsidR="00721CCF" w:rsidRPr="00AD2F44" w:rsidRDefault="00F42107">
      <w:pPr>
        <w:pStyle w:val="14Footnote"/>
      </w:pPr>
      <w:r w:rsidRPr="00AD2F44">
        <w:rPr>
          <w:i/>
          <w:iCs/>
        </w:rPr>
        <w:t xml:space="preserve">Eleventh Circuit: </w:t>
      </w:r>
      <w:r w:rsidRPr="00AD2F44">
        <w:t xml:space="preserve">Love v. Phillips Oil, Inc., 2008 U.S. Dist. LEXIS 102366, at *7 n.2 (N.D. Fla. Dec. 9, 2008) (denying equitable tolling where there was no showing of “inordinate delay”); </w:t>
      </w:r>
      <w:r w:rsidRPr="00AD2F44">
        <w:rPr>
          <w:i/>
          <w:iCs/>
        </w:rPr>
        <w:t>In re</w:t>
      </w:r>
      <w:r w:rsidRPr="00AD2F44">
        <w:t xml:space="preserve"> Tyson Foods, Inc., 2008 U.S. Dist. LEXIS 81626, at *20 (M.D. Ga. Oct. 15, 2008) (denying equitable tolling because opt-in plaintiffs were not “induced” to refrain from filing and could have joined case while notice motion was pending); Longcrier v. HL-A Co., Inc., 595 F. Supp. 2d 1218, 1243 (S.D. Ala. 2008) (denying equitable tolling where plaintiffs’ “barebones” motion provided no legal authority for tolling while notice motion was pending).</w:t>
      </w:r>
    </w:p>
  </w:footnote>
  <w:footnote w:id="421">
    <w:p w14:paraId="7CED3D01" w14:textId="77777777" w:rsidR="00721CCF" w:rsidRPr="00AD2F44" w:rsidRDefault="00F42107">
      <w:pPr>
        <w:pStyle w:val="14Footnote"/>
      </w:pPr>
      <w:r w:rsidRPr="00AD2F44">
        <w:rPr>
          <w:vertAlign w:val="superscript"/>
        </w:rPr>
        <w:footnoteRef/>
      </w:r>
      <w:r w:rsidRPr="00AD2F44">
        <w:t xml:space="preserve">United States v. Cook, 795 F.2d 987, 994 (Fed. Cir. 1986) (reasoning that district court could not decide whether to toll statute of limitations for individuals who had not yet joined case, because it would be advisory opinion); Miller-Basinger v. Magnolia Health Sys., Inc., 2016 WL 773191, at *2 (S.D. Ind. Feb. 22, 2016) (relying on </w:t>
      </w:r>
      <w:r w:rsidRPr="00AD2F44">
        <w:rPr>
          <w:i/>
          <w:iCs/>
        </w:rPr>
        <w:t>Cook</w:t>
      </w:r>
      <w:r w:rsidRPr="00AD2F44">
        <w:t xml:space="preserve"> and refusing to grant equitable tolling to potential opt-in plaintiffs, because it would be advisory opinion); Atkinson v. TeleTech Holdings, Inc., 2015 WL 853234 (S.D. Ohio Feb. 26, 2015). </w:t>
      </w:r>
    </w:p>
  </w:footnote>
  <w:footnote w:id="422">
    <w:p w14:paraId="344A454D" w14:textId="77777777" w:rsidR="00721CCF" w:rsidRPr="00AD2F44" w:rsidRDefault="00F42107">
      <w:pPr>
        <w:pStyle w:val="14Footnote"/>
      </w:pPr>
      <w:r w:rsidRPr="00AD2F44">
        <w:rPr>
          <w:vertAlign w:val="superscript"/>
        </w:rPr>
        <w:footnoteRef/>
      </w:r>
      <w:r w:rsidRPr="00AD2F44">
        <w:t xml:space="preserve">493 U.S. 165 (1989). </w:t>
      </w:r>
    </w:p>
  </w:footnote>
  <w:footnote w:id="423">
    <w:p w14:paraId="20517138" w14:textId="77777777" w:rsidR="00721CCF" w:rsidRPr="00AD2F44" w:rsidRDefault="00F42107">
      <w:pPr>
        <w:pStyle w:val="14Footnote"/>
      </w:pPr>
      <w:r w:rsidRPr="00AD2F44">
        <w:rPr>
          <w:vertAlign w:val="superscript"/>
        </w:rPr>
        <w:footnoteRef/>
      </w:r>
      <w:r w:rsidRPr="00AD2F44">
        <w:rPr>
          <w:i/>
          <w:iCs/>
        </w:rPr>
        <w:t xml:space="preserve">Id. </w:t>
      </w:r>
      <w:r w:rsidRPr="00AD2F44">
        <w:t>at 172.</w:t>
      </w:r>
    </w:p>
  </w:footnote>
  <w:footnote w:id="424">
    <w:p w14:paraId="6F712770" w14:textId="77777777" w:rsidR="00721CCF" w:rsidRPr="00AD2F44" w:rsidRDefault="00F42107">
      <w:pPr>
        <w:pStyle w:val="14Footnote"/>
      </w:pPr>
      <w:r w:rsidRPr="00AD2F44">
        <w:rPr>
          <w:vertAlign w:val="superscript"/>
        </w:rPr>
        <w:footnoteRef/>
      </w:r>
      <w:r w:rsidRPr="00AD2F44">
        <w:rPr>
          <w:i/>
          <w:iCs/>
        </w:rPr>
        <w:t>See, e.g.,</w:t>
      </w:r>
    </w:p>
    <w:p w14:paraId="6302F96F" w14:textId="77777777" w:rsidR="00721CCF" w:rsidRPr="00AD2F44" w:rsidRDefault="00F42107">
      <w:pPr>
        <w:pStyle w:val="14Footnote"/>
      </w:pPr>
      <w:r w:rsidRPr="00AD2F44">
        <w:rPr>
          <w:i/>
          <w:iCs/>
        </w:rPr>
        <w:t>Second Circuit:</w:t>
      </w:r>
      <w:r w:rsidRPr="00AD2F44">
        <w:t xml:space="preserve"> </w:t>
      </w:r>
      <w:r w:rsidRPr="00AD2F44">
        <w:t>Dilonez v. Fox Linen Serv., Inc., 35 F. Supp. 3d 247 (E.D.N.Y. 2014) (60-day period assigned where neither side requested cut-off deadline); Chhab v. Darden Rests., Inc., 2013 WL 5308004 (S.D.N.Y. Sept. 20, 2013) (approving 60-day period, rather than 90 days, based on the district’s precedent); Diaz v. S &amp; H Bondi’s Dep’t Store, 2012 WL 137460, at *8 (S.D.N.Y. Jan. 18, 2012) (60 days); Hallissey v. America Online, Inc., 2008 WL 465112 (S.D.N.Y. Feb. 19, 2008) (60 days); Fasanelli v. Heartland Brewery, Inc., 516 F. Supp. 2d 317, 324 (S.D.N.Y. 2007) (90 days).</w:t>
      </w:r>
    </w:p>
    <w:p w14:paraId="0427FA02" w14:textId="77777777" w:rsidR="00721CCF" w:rsidRPr="00AD2F44" w:rsidRDefault="00F42107">
      <w:pPr>
        <w:pStyle w:val="14Footnote"/>
      </w:pPr>
      <w:r w:rsidRPr="00AD2F44">
        <w:rPr>
          <w:i/>
          <w:iCs/>
        </w:rPr>
        <w:t xml:space="preserve">Third Circuit: </w:t>
      </w:r>
      <w:r w:rsidRPr="00AD2F44">
        <w:t>Steinberg v. TD Bank, N.A., 2012 WL 2500331, at *10 (D.N.J. June 27, 2012) (determining that a 45-day notice period was sufficient, observing that although plaintiffs requested 75-day period as a compromise from their initial 120-day request, they offered no reason as to why a 45-day notice period would be insufficient).</w:t>
      </w:r>
    </w:p>
    <w:p w14:paraId="0CAEDAAC" w14:textId="77777777" w:rsidR="00721CCF" w:rsidRPr="00AD2F44" w:rsidRDefault="00F42107">
      <w:pPr>
        <w:pStyle w:val="14Footnote"/>
      </w:pPr>
      <w:r w:rsidRPr="00AD2F44">
        <w:rPr>
          <w:i/>
          <w:iCs/>
        </w:rPr>
        <w:t>Fourth Circuit:</w:t>
      </w:r>
      <w:r w:rsidRPr="00AD2F44">
        <w:t xml:space="preserve"> Byard v. Verizon W. Va., Inc., 287 F.R.D. 365, 373 (N.D. W. Va. 2012) (60 days); Lafleur v. Dollar Tree Stores, Inc., 2012 WL 4739534, at *13 (E.D. Va. Oct. 2, 2012) (60 days); Steinberg v. TQ Logistics, Inc., 2011 WL 1335191, at *6 (D.S.C. Apr. 7, 2011) (providing 60-day, not 120-day, opt-in period, despite plaintiff’s counsel’s concern over time needed to handle undeliverable mail).</w:t>
      </w:r>
    </w:p>
    <w:p w14:paraId="2B07B7F3" w14:textId="77777777" w:rsidR="00721CCF" w:rsidRPr="00AD2F44" w:rsidRDefault="00F42107">
      <w:pPr>
        <w:pStyle w:val="14Footnote"/>
      </w:pPr>
      <w:r w:rsidRPr="00AD2F44">
        <w:rPr>
          <w:i/>
          <w:iCs/>
        </w:rPr>
        <w:t>Fifth Circuit:</w:t>
      </w:r>
      <w:r w:rsidRPr="00AD2F44">
        <w:t xml:space="preserve"> Page v. Nova Healthcare Mgmt., L.L.P., 2013 WL 4782749 (S.D. Tex. Sept. 6, 2013) (90 days); Pedigo v. 3003 S. Lamar, LLP, 666 F. Supp. 2d 693, 700–01 (W.D. Tex. 2009) (60 days); Lima v. Int’l Catastrophe Sols., Inc., 493 F. Supp. 2d 793, 804 (E.D. La. 2007) (90 days).</w:t>
      </w:r>
    </w:p>
    <w:p w14:paraId="6228B958" w14:textId="77777777" w:rsidR="00721CCF" w:rsidRPr="00AD2F44" w:rsidRDefault="00F42107">
      <w:pPr>
        <w:pStyle w:val="14Footnote"/>
      </w:pPr>
      <w:r w:rsidRPr="00AD2F44">
        <w:rPr>
          <w:i/>
          <w:iCs/>
        </w:rPr>
        <w:t>Sixth Circuit:</w:t>
      </w:r>
      <w:r w:rsidRPr="00AD2F44">
        <w:t xml:space="preserve"> Baden-Winterwood v. Life Time Fitness, 2006 WL 2225825 (S.D. Ohio Aug. 2, 2006) (setting 45-day deadline and rejecting plaintiffs’ 60-day deadline as too long and defendant’s 30-day deadline as too short).</w:t>
      </w:r>
    </w:p>
    <w:p w14:paraId="4F5B5D87" w14:textId="77777777" w:rsidR="00721CCF" w:rsidRPr="00AD2F44" w:rsidRDefault="00F42107">
      <w:pPr>
        <w:pStyle w:val="14Footnote"/>
      </w:pPr>
      <w:r w:rsidRPr="00AD2F44">
        <w:rPr>
          <w:i/>
          <w:iCs/>
        </w:rPr>
        <w:t>Seventh Circuit:</w:t>
      </w:r>
      <w:r w:rsidRPr="00AD2F44">
        <w:t xml:space="preserve"> Frebes v. Mask Rests., LLC, 2014 WL 1848461 (N.D. Ill. May 8, 2014) (approving 60-day period, rather than 45 days, based on the district’s precedent); Espenscheid v. Direct</w:t>
      </w:r>
      <w:r w:rsidRPr="00AD2F44">
        <w:rPr>
          <w:caps/>
        </w:rPr>
        <w:t>sat</w:t>
      </w:r>
      <w:r w:rsidRPr="00AD2F44">
        <w:t xml:space="preserve"> USA, LLC, 2010 WL 2330309, at *13 (W.D. Wis. June 7, 2010) (approving 60-day rather than 45-day opt-in period based on size of class and its national geographic scope); Garcia v. Salamanca Grp., Ltd., 2008 WL 818532, at *5 (N.D. Ill. Mar. 24, 2008) (deeming 45-day opt-in period “reasonable and appropriate”); Mares v. Caesars Entm’t, Inc., 2007 WL 118877 (S.D. Ind. Jan. 10, 2007) (60 days); Champenys v. Ferguson Enter., Inc., 2003 WL 1562219 (S.D. Ind. Mar. 11, 2003) (45-day deadline).</w:t>
      </w:r>
    </w:p>
    <w:p w14:paraId="7F1FE7D8" w14:textId="77777777" w:rsidR="00721CCF" w:rsidRPr="00AD2F44" w:rsidRDefault="00F42107">
      <w:pPr>
        <w:pStyle w:val="14Footnote"/>
      </w:pPr>
      <w:r w:rsidRPr="00AD2F44">
        <w:rPr>
          <w:i/>
          <w:iCs/>
        </w:rPr>
        <w:t xml:space="preserve">Eighth Circuit: </w:t>
      </w:r>
      <w:r w:rsidRPr="00AD2F44">
        <w:t>Le v. Regency Corp., 957 F. Supp. 2d 1079, 1093 (D. Minn. 2013) (granting a 90-day, not 180-day, notice period); Martinez v. Cargill Meat Sols., 265 F.R.D. 490, 501 (D. Neb. 2009) (rejecting proposed 120-day notice period in favor of 45-day period where there was no evidence that potential opt-ins would have trouble receiving notice timely because of transience or bad addresses, and 120-day period would unduly delay proceedings).</w:t>
      </w:r>
    </w:p>
    <w:p w14:paraId="060E4794" w14:textId="7B604FC3" w:rsidR="00721CCF" w:rsidRPr="00AD2F44" w:rsidRDefault="00F42107">
      <w:pPr>
        <w:pStyle w:val="14Footnote"/>
      </w:pPr>
      <w:r w:rsidRPr="00AD2F44">
        <w:rPr>
          <w:i/>
          <w:iCs/>
        </w:rPr>
        <w:t>Ninth Circuit:</w:t>
      </w:r>
      <w:r w:rsidRPr="00AD2F44">
        <w:t xml:space="preserve"> </w:t>
      </w:r>
      <w:r>
        <w:t>Stanfield v. Lasalle Corr</w:t>
      </w:r>
      <w:r w:rsidR="009B2156">
        <w:t>s</w:t>
      </w:r>
      <w:r>
        <w:t>. W. LLC,</w:t>
      </w:r>
      <w:r w:rsidR="00340506" w:rsidRPr="00340506">
        <w:t xml:space="preserve"> </w:t>
      </w:r>
      <w:r w:rsidR="00340506" w:rsidRPr="004A078D">
        <w:t>2022 BL 259650</w:t>
      </w:r>
      <w:r w:rsidR="00340506">
        <w:t>,</w:t>
      </w:r>
      <w:r>
        <w:t xml:space="preserve"> </w:t>
      </w:r>
      <w:r w:rsidR="009B2156" w:rsidRPr="009B2156">
        <w:t xml:space="preserve">2022 WL 2967711 </w:t>
      </w:r>
      <w:r>
        <w:t xml:space="preserve">(D. Ariz. July 26, 2022) (limiting notice period to 60 days instead of proposed 90 days); </w:t>
      </w:r>
      <w:r w:rsidRPr="00AD2F44">
        <w:t>Benedict v. Hewlett-Packard Co., 2014 WL 587135 (N.D. Cal. Feb. 13, 2014) (denying defendant’s attempts to shorten notice period from 90 to 60 days); Barrera v. US Airways Grp., Inc., 2013 WL 4654567, at *9 (D. Ariz. Aug. 30, 2013) (approving defendant’s request for 60 days, over plaintiff’s 90 days); Ramirez v. Ghilotti Bros., 941 F. Supp. 2d 1197, 1207 (N.D. Cal. 2013) (denying defendant’s motion to shorten notice period from 90 to 60 days in case involving non-native English speakers, where defendant failed to explain how 30-day difference would impact efficiency and cost of litigation, noting that one case in Northern District of California had described 60- to 90-day notice period as “presumptive” in that district); Phelps v. MC Commc’ns, Inc., 2011 WL 3298414, at *6 (D. Nev. Aug. 1, 2011) (granting 90-day notice period, and rejecting competing proposals for 45 and 120 days); Carter v. Anderson Merch., LP, 2008 WL 2783193, at *6 (C.D. Cal. July 10, 2008) (permitting 90-day notice period because court still had to decide Rule 23 certification issue for state law claims, and so 90 days would not delay litigation); Williams v. Trendwest Resorts, Inc., 2006 WL 3690686 (D. Nev. Dec. 7, 2006) (rejecting defendant’s proposed 45-day opt-in period in favor of 60-day period); Stanfield v. First NLC Fin. Servs., LLC, 2006 WL 3190527 (N.D. Cal. Nov. 1, 2006) (60 days).</w:t>
      </w:r>
    </w:p>
    <w:p w14:paraId="6CDCA0DA" w14:textId="77777777" w:rsidR="00721CCF" w:rsidRPr="00AD2F44" w:rsidRDefault="00F42107">
      <w:pPr>
        <w:pStyle w:val="14Footnote"/>
      </w:pPr>
      <w:r w:rsidRPr="00AD2F44">
        <w:rPr>
          <w:i/>
          <w:iCs/>
        </w:rPr>
        <w:t>Tenth Circuit:</w:t>
      </w:r>
      <w:r w:rsidRPr="00AD2F44">
        <w:t xml:space="preserve"> Wass v. NPC Int’l, Inc., 2011 WL 1118774, at *11 (D. Kan. Mar. 28, 2011) (providing for 90- rather than 60-day opt-in period, and rejecting as irrelevant fact that plaintiffs’ counsel may have engaged in “substantial solicitation” and marketing of case for period of one to one and one-half years prior to certification); Reab v. Electronic Arts, Inc., 214 F.R.D. 623 (D. Colo. 2002) (60 days).</w:t>
      </w:r>
    </w:p>
    <w:p w14:paraId="6713ABDA" w14:textId="77777777" w:rsidR="00721CCF" w:rsidRPr="00AD2F44" w:rsidRDefault="00F42107">
      <w:pPr>
        <w:pStyle w:val="14Footnote"/>
      </w:pPr>
      <w:r w:rsidRPr="00AD2F44">
        <w:rPr>
          <w:i/>
          <w:iCs/>
        </w:rPr>
        <w:t>Eleventh Circuit:</w:t>
      </w:r>
      <w:r w:rsidRPr="00AD2F44">
        <w:t xml:space="preserve"> Holmes v. Swissport Fueling, Inc., 2017 WL 8794900 (M.D. Fla. Sept. 1, 2017) (60 days); Vondriska v. Premier Mortg. Funding, Inc., 564 F. Supp. 2d 1330 (M.D. Fla. 2007) (60 days); Bell v. Mynt Entm’t, LLC, 223 F.R.D. 680 (S.D. Fla. 2004) (ordering that notice be sent by July 30, 2004, and that response deadline be August 21, 2004).</w:t>
      </w:r>
    </w:p>
    <w:p w14:paraId="78B4B052" w14:textId="160D4276" w:rsidR="00721CCF" w:rsidRPr="00AD2F44" w:rsidRDefault="00F42107">
      <w:pPr>
        <w:pStyle w:val="14Footnote"/>
      </w:pPr>
      <w:r w:rsidRPr="00AD2F44">
        <w:rPr>
          <w:i/>
          <w:iCs/>
        </w:rPr>
        <w:t>D.C. Circuit:</w:t>
      </w:r>
      <w:r w:rsidRPr="00AD2F44">
        <w:t xml:space="preserve"> Ayala v. Tito Contractors, 2014 WL 464786 (D.D.C. Feb. 6, 2014) (60 days).</w:t>
      </w:r>
    </w:p>
  </w:footnote>
  <w:footnote w:id="425">
    <w:p w14:paraId="46DD29BB" w14:textId="77777777" w:rsidR="00721CCF" w:rsidRPr="00AD2F44" w:rsidRDefault="00F42107">
      <w:pPr>
        <w:pStyle w:val="14Footnote"/>
      </w:pPr>
      <w:r w:rsidRPr="00AD2F44">
        <w:rPr>
          <w:vertAlign w:val="superscript"/>
        </w:rPr>
        <w:footnoteRef/>
      </w:r>
      <w:r w:rsidRPr="00AD2F44">
        <w:rPr>
          <w:i/>
          <w:iCs/>
        </w:rPr>
        <w:t>See, e.g.,</w:t>
      </w:r>
    </w:p>
    <w:p w14:paraId="2D96D329" w14:textId="77777777" w:rsidR="00721CCF" w:rsidRPr="00AD2F44" w:rsidRDefault="00F42107">
      <w:pPr>
        <w:pStyle w:val="14Footnote"/>
      </w:pPr>
      <w:r w:rsidRPr="00AD2F44">
        <w:rPr>
          <w:i/>
          <w:iCs/>
        </w:rPr>
        <w:t>Second Circuit:</w:t>
      </w:r>
      <w:r w:rsidRPr="00AD2F44">
        <w:t xml:space="preserve"> Cuzco v. Orion Builders, Inc., 477 F. Supp. 2d 628, 635 (S.D.N.Y. 2007) (nine months); Roebuck v. Hudson Valley Farms, Inc., 239 F. Supp. 2d 234, 241 (N.D.N.Y. 2002) (nine months).</w:t>
      </w:r>
    </w:p>
    <w:p w14:paraId="0E2F98C6" w14:textId="7EE3934B" w:rsidR="00721CCF" w:rsidRPr="00AD2F44" w:rsidRDefault="00F42107">
      <w:pPr>
        <w:pStyle w:val="14Footnote"/>
      </w:pPr>
      <w:r w:rsidRPr="00AD2F44">
        <w:rPr>
          <w:i/>
          <w:iCs/>
        </w:rPr>
        <w:t>Fifth Circuit:</w:t>
      </w:r>
      <w:r w:rsidRPr="00AD2F44">
        <w:t xml:space="preserve"> Wagner v. </w:t>
      </w:r>
      <w:r w:rsidRPr="00AD2F44">
        <w:t>Plexos Grp. LLC, 2020 WL 5700952 (M.D. La. Sept. 24, 2020) (allowing 60-day opt-in period because class members may be located outside United States and recognizing barriers to communication caused by COVID-19 pandemic); Salinas-Rodriguez v. Alpha Servs., LLC, 2005 WL 3557178, at *4 (S.D. Miss. Dec. 27, 2005) (180 days).</w:t>
      </w:r>
    </w:p>
    <w:p w14:paraId="5304A557" w14:textId="77777777" w:rsidR="00721CCF" w:rsidRPr="00AD2F44" w:rsidRDefault="00F42107">
      <w:pPr>
        <w:pStyle w:val="14Footnote"/>
      </w:pPr>
      <w:r w:rsidRPr="00AD2F44">
        <w:rPr>
          <w:i/>
          <w:iCs/>
        </w:rPr>
        <w:t>Seventh Circuit:</w:t>
      </w:r>
      <w:r w:rsidRPr="00AD2F44">
        <w:t xml:space="preserve"> Coan v. Nightingale Home Healthcare, Inc., 2005 WL 1799454, at *3 (S.D. Ind. June 29, 2005) (63 days).</w:t>
      </w:r>
    </w:p>
    <w:p w14:paraId="7447EA65" w14:textId="77777777" w:rsidR="00721CCF" w:rsidRPr="00AD2F44" w:rsidRDefault="00F42107">
      <w:pPr>
        <w:pStyle w:val="14Footnote"/>
      </w:pPr>
      <w:r w:rsidRPr="00AD2F44">
        <w:rPr>
          <w:i/>
          <w:iCs/>
        </w:rPr>
        <w:t>Ninth Circuit:</w:t>
      </w:r>
      <w:r w:rsidRPr="00AD2F44">
        <w:t xml:space="preserve"> Carillo v. Schneider Logistics, Inc., 2012 WL 556309, at *15, 18 WH Cases2d 1263 (C.D. Cal. Jan. 31, 2012) (allowing 180-day opt-in period in case involving low-wage immigrant workers who may be difficult to locate), </w:t>
      </w:r>
      <w:r w:rsidRPr="00AD2F44">
        <w:rPr>
          <w:i/>
          <w:iCs/>
        </w:rPr>
        <w:t>aff’d</w:t>
      </w:r>
      <w:r w:rsidRPr="00AD2F44">
        <w:t>, 501 F. App’x 713 (9th Cir. 2012); Adams v. Inter-Con Sec. Sys., Inc., 242 F.R.D. 530, 540 (N.D. Cal. 2007) (rejecting proposed 30-day and 120-day limits as unreasonable and setting 90-day notice period); Gerlach v. Wells Fargo &amp; Co., 2006 WL 824652, at *4 (N.D. Cal. Mar. 28, 2006) (75 days).</w:t>
      </w:r>
    </w:p>
    <w:p w14:paraId="05F82533" w14:textId="77777777" w:rsidR="00721CCF" w:rsidRPr="00AD2F44" w:rsidRDefault="00F42107">
      <w:pPr>
        <w:pStyle w:val="14Footnote"/>
      </w:pPr>
      <w:r w:rsidRPr="00AD2F44">
        <w:rPr>
          <w:i/>
          <w:iCs/>
        </w:rPr>
        <w:t>Tenth Circuit:</w:t>
      </w:r>
      <w:r w:rsidRPr="00AD2F44">
        <w:t xml:space="preserve"> Darrow v. WKRP Mgmt., LLC, 2012 WL 638119, at *7, 18 WH Cases2d 1565 (D. Colo. Feb. 28, 2012) (permitting 90-day notice period rather than 60-day period, because delivery drivers were scattered across several states and many were former employees, making them harder to contact).</w:t>
      </w:r>
    </w:p>
  </w:footnote>
  <w:footnote w:id="426">
    <w:p w14:paraId="1BB7B66C" w14:textId="77777777" w:rsidR="00721CCF" w:rsidRPr="00AD2F44" w:rsidRDefault="00F42107">
      <w:pPr>
        <w:pStyle w:val="14Footnote"/>
      </w:pPr>
      <w:r w:rsidRPr="00AD2F44">
        <w:rPr>
          <w:vertAlign w:val="superscript"/>
        </w:rPr>
        <w:footnoteRef/>
      </w:r>
      <w:r w:rsidRPr="00AD2F44">
        <w:rPr>
          <w:i/>
        </w:rPr>
        <w:t>Compare</w:t>
      </w:r>
    </w:p>
    <w:p w14:paraId="71DE1D1B" w14:textId="77777777" w:rsidR="00721CCF" w:rsidRPr="00AD2F44" w:rsidRDefault="00F42107">
      <w:pPr>
        <w:pStyle w:val="14Footnote"/>
      </w:pPr>
      <w:r w:rsidRPr="00AD2F44">
        <w:rPr>
          <w:i/>
          <w:iCs/>
        </w:rPr>
        <w:t>Fourth Circuit:</w:t>
      </w:r>
      <w:r w:rsidRPr="00AD2F44">
        <w:t xml:space="preserve"> Browder v. Peninsula Grill Assocs. LLC, 2015 WL 4389502, at *3–5 (D.S.C. July 15, 2015) (denying motion to strike late opt-in form, reasoning that plaintiff met five-factor test for inclusion, including good cause based on not receiving notice and fear of retaliation for joining; lack of prejudice to defendant where consent was just 10 days late; and that judicial economy and remedial nature of FLSA favored allowing late opt-in);</w:t>
      </w:r>
    </w:p>
    <w:p w14:paraId="710F86C6" w14:textId="77777777" w:rsidR="00721CCF" w:rsidRPr="00AD2F44" w:rsidRDefault="00F42107">
      <w:pPr>
        <w:pStyle w:val="14Footnote"/>
      </w:pPr>
      <w:r w:rsidRPr="00AD2F44">
        <w:rPr>
          <w:i/>
          <w:iCs/>
        </w:rPr>
        <w:t>Sixth Circuit:</w:t>
      </w:r>
      <w:r w:rsidRPr="00AD2F44">
        <w:t xml:space="preserve"> Adams v. Nature’s Expressions Landscaping, Inc., 2017 WL 4844560 (E.D. Ky. Oct. 25, 2017) (allowing late consents where good cause shown for late filing, there was little prejudice to defendant, two weeks was within time range other courts allow late filings, allowing late filings served judicial economy, and permitting opt-ins served FLSA’s remedial purposes); Kimbrel v. DEA Corp., 2015 WL 1396898, at *4 (E.D. Tenn. Mar. 26, 2015) (late consents permitted as plaintiffs met five-factor test, including showing good cause; any other opt-ins must show “exceptional good cause”); Lee v. GAB Telecom, Inc., 2013 WL 4041875 (E.D. Mich. Aug. 8, 2013) (extending the deadline to submit consent forms through the end of discovery based on the defendant’s direct and improper contact with putative class members);</w:t>
      </w:r>
    </w:p>
    <w:p w14:paraId="7BB23E68" w14:textId="77777777" w:rsidR="00721CCF" w:rsidRPr="00AD2F44" w:rsidRDefault="00F42107">
      <w:pPr>
        <w:pStyle w:val="14Footnote"/>
      </w:pPr>
      <w:r w:rsidRPr="00AD2F44">
        <w:rPr>
          <w:i/>
          <w:iCs/>
        </w:rPr>
        <w:t>Seventh Circuit:</w:t>
      </w:r>
      <w:r w:rsidRPr="00AD2F44">
        <w:t xml:space="preserve"> Schaefer-Larose v. Eli Lilly &amp; Co., 2008 U.S. Dist. LEXIS 102627, at *12–13 (S.D. Ind. Dec. 17, 2008) (allowing late filing where one plaintiff was in grief counseling due to loss of his sister to cancer and beginning a new job, another was out of the country and on his return started a large, new project at work, and a third was married and did not return from his European honeymoon until after deadline had passed);</w:t>
      </w:r>
    </w:p>
    <w:p w14:paraId="00110BF4" w14:textId="77777777" w:rsidR="00721CCF" w:rsidRPr="00AD2F44" w:rsidRDefault="00F42107">
      <w:pPr>
        <w:pStyle w:val="14Footnote"/>
      </w:pPr>
      <w:r w:rsidRPr="00AD2F44">
        <w:rPr>
          <w:i/>
          <w:iCs/>
        </w:rPr>
        <w:t>Eighth Circuit:</w:t>
      </w:r>
      <w:r w:rsidRPr="00AD2F44">
        <w:t xml:space="preserve"> Cortez v. Nebraska Beef, Inc., 2009 WL 1954670, at *1–2 (D. Neb. July 2, 2009) (granting extension for putative class members to file opt-in notices, despite fact that radio and posted notices were also employed, where 14% of notice packets were returned as undeliverable); Raper v. Iowa, 165 F.R.D. 89, 92 (S.D. Iowa 1996) (allowing seven late opt-ins after summary judgment ruling but before ruling on damages because there was no prejudice to defendant, class was small, and judicial economy, convenience to parties, and interest in reducing litigation expense would all be served);</w:t>
      </w:r>
    </w:p>
    <w:p w14:paraId="29043FF9" w14:textId="77777777" w:rsidR="00721CCF" w:rsidRPr="00AD2F44" w:rsidRDefault="00F42107">
      <w:pPr>
        <w:pStyle w:val="14Footnote"/>
      </w:pPr>
      <w:r w:rsidRPr="00AD2F44">
        <w:rPr>
          <w:i/>
          <w:iCs/>
        </w:rPr>
        <w:t>Ninth Circuit:</w:t>
      </w:r>
      <w:r w:rsidRPr="00AD2F44">
        <w:t xml:space="preserve"> Santiago v. Amdocs, Inc., 2012 WL 2343626 (N.D. Cal. June 20, 2012) (granting extension of opt-in period based on defendant’s presentation of release-of-claim forms to putative class members both prior to and during the pending action); </w:t>
      </w:r>
      <w:r w:rsidRPr="00AD2F44">
        <w:rPr>
          <w:i/>
          <w:iCs/>
        </w:rPr>
        <w:t>In re</w:t>
      </w:r>
      <w:r w:rsidRPr="00AD2F44">
        <w:t xml:space="preserve"> Wells Fargo Home Mortg. Overtime Pay Litig., 2008 U.S. Dist. LEXIS 88851 (N.D. Cal. Oct. 22, 2008) (holding judicial economy would be served by allowing tardy-filing class members to file opt-in claims with court); </w:t>
      </w:r>
      <w:r w:rsidRPr="00AD2F44">
        <w:rPr>
          <w:i/>
          <w:iCs/>
        </w:rPr>
        <w:t>and</w:t>
      </w:r>
    </w:p>
    <w:p w14:paraId="2316ED01" w14:textId="77777777" w:rsidR="00721CCF" w:rsidRPr="00AD2F44" w:rsidRDefault="00F42107">
      <w:pPr>
        <w:pStyle w:val="14Footnote"/>
      </w:pPr>
      <w:r w:rsidRPr="00AD2F44">
        <w:rPr>
          <w:i/>
          <w:iCs/>
        </w:rPr>
        <w:t>D.C. Circuit:</w:t>
      </w:r>
      <w:r w:rsidRPr="00AD2F44">
        <w:t xml:space="preserve"> Robinson-Smith v. Government Emps. Ins. Co., 424 F. Supp. 2d 117, 119 (D.D.C. 2006) (permitting, where plaintiffs’ counsels’ clerical error resulted in failure to timely file consents, claimants to file consents after court-authorized filing period, but not permitting limitations period to be equitably tolled);</w:t>
      </w:r>
    </w:p>
    <w:p w14:paraId="418F13A8" w14:textId="408DDA57" w:rsidR="00721CCF" w:rsidRPr="00AD2F44" w:rsidRDefault="00F42107">
      <w:pPr>
        <w:pStyle w:val="14Footnote"/>
      </w:pPr>
      <w:r w:rsidRPr="00AD2F44">
        <w:rPr>
          <w:i/>
          <w:iCs/>
        </w:rPr>
        <w:t>with</w:t>
      </w:r>
      <w:r w:rsidRPr="00AD2F44">
        <w:t xml:space="preserve"> Green v. Platinum Rests. Mid-Am., LLC, 2020 WL 1452724, at *3 (W.D. Ky. Mar. 25, 2020) (refusing to extend consent deadline for “named plaintiffs” who failed to file written consent to join forms despite participating in settlement conferences and responding to interrogatories, because participation in settlement conference did not constitute consent, and even if interrogatory response did, plaintiffs’ consents would have been untimely based on court’s opt-in deadline); Nerland v. Caribou Coffee Co., 564 F. Supp. 2d 1010, 1014 (D. Minn. 2007) (adopting magistrate judge’s recommendation to deny plaintiffs’ motion to reopen opt-in period to allow additional plaintiffs to file consent forms).</w:t>
      </w:r>
    </w:p>
  </w:footnote>
  <w:footnote w:id="427">
    <w:p w14:paraId="28F1FB22" w14:textId="77777777" w:rsidR="00721CCF" w:rsidRPr="00AD2F44" w:rsidRDefault="00F42107">
      <w:pPr>
        <w:pStyle w:val="14Footnote"/>
      </w:pPr>
      <w:r w:rsidRPr="00AD2F44">
        <w:rPr>
          <w:vertAlign w:val="superscript"/>
        </w:rPr>
        <w:footnoteRef/>
      </w:r>
      <w:r w:rsidRPr="00AD2F44">
        <w:rPr>
          <w:i/>
          <w:iCs/>
        </w:rPr>
        <w:t>See</w:t>
      </w:r>
      <w:r w:rsidRPr="00AD2F44">
        <w:t xml:space="preserve"> </w:t>
      </w:r>
      <w:r w:rsidRPr="00AD2F44">
        <w:rPr>
          <w:i/>
          <w:iCs/>
        </w:rPr>
        <w:t>Hoffmann-La Roche</w:t>
      </w:r>
      <w:r w:rsidRPr="00AD2F44">
        <w:t>, 493 U.S. at 171;</w:t>
      </w:r>
      <w:r w:rsidRPr="00AD2F44">
        <w:t xml:space="preserve"> </w:t>
      </w:r>
      <w:r w:rsidRPr="00AD2F44">
        <w:rPr>
          <w:i/>
          <w:iCs/>
        </w:rPr>
        <w:t>In re</w:t>
      </w:r>
      <w:r w:rsidRPr="00AD2F44">
        <w:t xml:space="preserve"> Food Lion, 151 F.3d 1029 (table),</w:t>
      </w:r>
      <w:r w:rsidRPr="00AD2F44">
        <w:rPr>
          <w:b/>
          <w:bCs/>
        </w:rPr>
        <w:t xml:space="preserve"> </w:t>
      </w:r>
      <w:r w:rsidRPr="00AD2F44">
        <w:t xml:space="preserve">1998 WL 322682, at *10 (4th Cir. 1998); </w:t>
      </w:r>
      <w:r w:rsidRPr="00AD2F44">
        <w:rPr>
          <w:i/>
          <w:iCs/>
        </w:rPr>
        <w:t>see also</w:t>
      </w:r>
      <w:r w:rsidRPr="00AD2F44">
        <w:t xml:space="preserve"> Ferguson v. Texas Farm Bureau, 2019 WL 6609696, at *2–3 (W.D. Tex. Dec. 5, 2019) (refusing to extend consent deadline for 13-month delay in filing, reasoning that plaintiff’s personal mistake (which was of questionable credibility) and “unsupported fear of retaliation” did not constitute good cause); Gordon v. TBC Retail Grp., Inc., 2016 WL 4247738, at *4 (D.S.C. Aug. 11, 2016) (noting that, when exercising this discretion, courts have used five factors to determine whether late opt-in can join collective action: “(1) whether ‘good cause’ exists for the late submissions; (2) prejudice to the defendant; (3) how long after the deadline passed the consent forms were filed; (4) judicial economy; and (5) the remedial purpose of the FLSA”); </w:t>
      </w:r>
      <w:r w:rsidRPr="00AD2F44">
        <w:rPr>
          <w:i/>
          <w:iCs/>
        </w:rPr>
        <w:t>accord</w:t>
      </w:r>
      <w:r w:rsidRPr="00AD2F44">
        <w:t xml:space="preserve"> English v. Texas Farm Bureau Bus. Corp., 462 F. Supp. 3d 662, 664 (W.D. Tex. 2020) (citing same five factors). </w:t>
      </w:r>
    </w:p>
  </w:footnote>
  <w:footnote w:id="428">
    <w:p w14:paraId="663C1ECA" w14:textId="77777777" w:rsidR="00721CCF" w:rsidRPr="00AD2F44" w:rsidRDefault="00F42107">
      <w:pPr>
        <w:pStyle w:val="14Footnote"/>
      </w:pPr>
      <w:r w:rsidRPr="00AD2F44">
        <w:rPr>
          <w:vertAlign w:val="superscript"/>
        </w:rPr>
        <w:footnoteRef/>
      </w:r>
      <w:r w:rsidRPr="00AD2F44">
        <w:t>151 F.3d 1029 (table),</w:t>
      </w:r>
      <w:r w:rsidRPr="00AD2F44">
        <w:rPr>
          <w:b/>
          <w:bCs/>
        </w:rPr>
        <w:t xml:space="preserve"> </w:t>
      </w:r>
      <w:r w:rsidRPr="00AD2F44">
        <w:t>1998 WL 322682, at *10 (4th Cir. 1998).</w:t>
      </w:r>
    </w:p>
  </w:footnote>
  <w:footnote w:id="429">
    <w:p w14:paraId="2B762A9D" w14:textId="77777777" w:rsidR="00721CCF" w:rsidRPr="00AD2F44" w:rsidRDefault="00F42107">
      <w:pPr>
        <w:pStyle w:val="14Footnote"/>
      </w:pPr>
      <w:r w:rsidRPr="00AD2F44">
        <w:rPr>
          <w:vertAlign w:val="superscript"/>
        </w:rPr>
        <w:footnoteRef/>
      </w:r>
      <w:r w:rsidRPr="00AD2F44">
        <w:t xml:space="preserve"> Yates v. Wal-Mart Stores, Inc., 58 F. Supp. 2d 1217, 1218 (D. Colo. 1999) (finding FLSA does not preclude second collective action by those who receive notice of a collective action but do not opt in).</w:t>
      </w:r>
    </w:p>
  </w:footnote>
  <w:footnote w:id="430">
    <w:p w14:paraId="6F4D8CD8" w14:textId="77777777" w:rsidR="00721CCF" w:rsidRPr="00AD2F44" w:rsidRDefault="00F42107">
      <w:pPr>
        <w:pStyle w:val="14Footnote"/>
      </w:pPr>
      <w:r w:rsidRPr="00AD2F44">
        <w:rPr>
          <w:vertAlign w:val="superscript"/>
        </w:rPr>
        <w:footnoteRef/>
      </w:r>
      <w:r w:rsidRPr="00AD2F44">
        <w:rPr>
          <w:i/>
          <w:iCs/>
        </w:rPr>
        <w:t>See, e.g.,</w:t>
      </w:r>
    </w:p>
    <w:p w14:paraId="0D212312" w14:textId="77777777" w:rsidR="00721CCF" w:rsidRPr="00AD2F44" w:rsidRDefault="00F42107">
      <w:pPr>
        <w:pStyle w:val="14Footnote"/>
      </w:pPr>
      <w:r w:rsidRPr="00AD2F44">
        <w:rPr>
          <w:i/>
          <w:iCs/>
        </w:rPr>
        <w:t>Second Circuit:</w:t>
      </w:r>
      <w:r w:rsidRPr="00AD2F44">
        <w:t xml:space="preserve"> Hamelin v. </w:t>
      </w:r>
      <w:r w:rsidRPr="00AD2F44">
        <w:t>Faxton-St. Luke’s Healthcare, 2009 WL 211512 (N.D.N.Y. Jan. 26, 2009); Rubery v. Buth-Na-Bodhaige, Inc., 569 F. Supp. 2d 334 (W.D.N.Y. 2008).</w:t>
      </w:r>
    </w:p>
    <w:p w14:paraId="4B4B32E5" w14:textId="77777777" w:rsidR="00721CCF" w:rsidRPr="00AD2F44" w:rsidRDefault="00F42107">
      <w:pPr>
        <w:pStyle w:val="14Footnote"/>
      </w:pPr>
      <w:r w:rsidRPr="00AD2F44">
        <w:rPr>
          <w:i/>
          <w:iCs/>
        </w:rPr>
        <w:t>Third Circuit:</w:t>
      </w:r>
      <w:r w:rsidRPr="00AD2F44">
        <w:t xml:space="preserve"> Goldman v. Radioshack Corp., 2003 WL 21250571 (E.D. Pa. Apr. 16, 2003).</w:t>
      </w:r>
    </w:p>
    <w:p w14:paraId="1EEC4E5D" w14:textId="77777777" w:rsidR="00721CCF" w:rsidRPr="00AD2F44" w:rsidRDefault="00F42107">
      <w:pPr>
        <w:pStyle w:val="14Footnote"/>
      </w:pPr>
      <w:r w:rsidRPr="00AD2F44">
        <w:rPr>
          <w:i/>
          <w:iCs/>
        </w:rPr>
        <w:t>Fourth Circuit:</w:t>
      </w:r>
      <w:r w:rsidRPr="00AD2F44">
        <w:t xml:space="preserve"> Sharer v. Tandberg, Inc., 2006 WL 2988104 (E.D. Va. Oct. 17, 2006).</w:t>
      </w:r>
    </w:p>
    <w:p w14:paraId="6A871116" w14:textId="77777777" w:rsidR="00721CCF" w:rsidRPr="00AD2F44" w:rsidRDefault="00F42107">
      <w:pPr>
        <w:pStyle w:val="14Footnote"/>
      </w:pPr>
      <w:r w:rsidRPr="00AD2F44">
        <w:rPr>
          <w:i/>
          <w:iCs/>
        </w:rPr>
        <w:t>Fifth Circuit:</w:t>
      </w:r>
      <w:r w:rsidRPr="00AD2F44">
        <w:t xml:space="preserve"> Vogt v. Texas Instruments, Inc., 2006 WL 4660134 (N.D. Tex. Sept. 19, 2006); Alba v. Loncar, 2004 WL 1144052 (N.D. Tex. May 20, 2004); De La Rosa Ortiz v. Rain King, Inc., 2003 23741409 (S.D. Tex. Mar. 10, 2003).</w:t>
      </w:r>
    </w:p>
    <w:p w14:paraId="5AA767E2" w14:textId="77777777" w:rsidR="00721CCF" w:rsidRPr="00AD2F44" w:rsidRDefault="00F42107">
      <w:pPr>
        <w:pStyle w:val="14Footnote"/>
      </w:pPr>
      <w:r w:rsidRPr="00AD2F44">
        <w:rPr>
          <w:i/>
          <w:iCs/>
        </w:rPr>
        <w:t>Sixth Circuit:</w:t>
      </w:r>
      <w:r w:rsidRPr="00AD2F44">
        <w:t xml:space="preserve"> Landsberg v. Acton Enter., Inc., 2008 WL 2468868 (S.D. Ohio June 16, 2008).</w:t>
      </w:r>
    </w:p>
    <w:p w14:paraId="634942B5" w14:textId="77777777" w:rsidR="00721CCF" w:rsidRPr="00AD2F44" w:rsidRDefault="00F42107">
      <w:pPr>
        <w:pStyle w:val="14Footnote"/>
      </w:pPr>
      <w:r w:rsidRPr="00AD2F44">
        <w:rPr>
          <w:i/>
          <w:iCs/>
        </w:rPr>
        <w:t>Seventh Circuit:</w:t>
      </w:r>
      <w:r w:rsidRPr="00AD2F44">
        <w:t xml:space="preserve"> Kelly v. Bluegreen Corp., 2009 WL 425809 (W.D. Wis. Feb. 20, 2009); Coan v. Nightingale Home Healthcare, Inc., 2005 WL 1799454 (S.D. Ind. June 29, 2005); Mielke v. Laidlaw Transit, Inc., 2003 WL 134996 (N.D. Ill. Jan. 17, 2003).</w:t>
      </w:r>
    </w:p>
    <w:p w14:paraId="0C911264" w14:textId="77777777" w:rsidR="00721CCF" w:rsidRPr="00AD2F44" w:rsidRDefault="00F42107">
      <w:pPr>
        <w:pStyle w:val="14Footnote"/>
      </w:pPr>
      <w:r w:rsidRPr="00AD2F44">
        <w:rPr>
          <w:i/>
          <w:iCs/>
        </w:rPr>
        <w:t>Eighth Circuit:</w:t>
      </w:r>
      <w:r w:rsidRPr="00AD2F44">
        <w:t xml:space="preserve"> Perez-Benites v. Candy Brand, LLC, 2008 WL 4809105 (W.D. Ark. Oct. 31, 2008); Kalish v. High Tech Inst., Inc., F. Supp. 2d 2005 WL 1073645 (D. Minn. Apr. 22, 2005).</w:t>
      </w:r>
    </w:p>
    <w:p w14:paraId="347B4ABD" w14:textId="77777777" w:rsidR="00721CCF" w:rsidRPr="00AD2F44" w:rsidRDefault="00F42107">
      <w:pPr>
        <w:pStyle w:val="14Footnote"/>
      </w:pPr>
      <w:r w:rsidRPr="00AD2F44">
        <w:rPr>
          <w:i/>
          <w:iCs/>
        </w:rPr>
        <w:t>Ninth Circuit:</w:t>
      </w:r>
      <w:r w:rsidRPr="00AD2F44">
        <w:t xml:space="preserve"> Ramirez v. Ghilotti Bros., 941 F. Supp. 2d 1197, 1206–07 (N.D. Cal. 2013) (rejecting defendant’s request to allow notice to be disseminated by third-party administrator to keep contact information of putative class members from plaintiffs’ counsel because defendant presented no reason to suggest plaintiffs’ counsel would violate their professional responsibilities toward potential class members); Escobar v. Whiteside Constr. Corp., 2008 U.S. Dist. LEXIS 68439 at *15 (N.D. Cal. Aug. 21, 2008); Carter v. Anderson Merch., LP, 2008 WL 2783193, at *7 (C.D. Cal. July 10, 2008) (authorizing plaintiffs’ counsel to send notice and rejecting request for third-party administrator because costs associated with it would increase plaintiffs’ burden); Campbell v. Pricewaterhouse Coopers, LLP, 2008 WL 2345035 (E.D. Cal. June 5, 2008); Morton v. Valley Farm Transp., Inc., 2007 WL 1113999 (N.D. Cal. Apr. 13, 2007); </w:t>
      </w:r>
      <w:r w:rsidRPr="00AD2F44">
        <w:rPr>
          <w:i/>
          <w:iCs/>
        </w:rPr>
        <w:t>In re</w:t>
      </w:r>
      <w:r w:rsidRPr="00AD2F44">
        <w:t xml:space="preserve"> Farmers Ins. Exch. Claims Reps. Overtime Pay Litig., 2003 WL 23669376 (D. Or. May 19, 2003).</w:t>
      </w:r>
    </w:p>
    <w:p w14:paraId="78EF0847" w14:textId="77439C2D" w:rsidR="00721CCF" w:rsidRPr="00AD2F44" w:rsidRDefault="00F42107">
      <w:pPr>
        <w:pStyle w:val="14Footnote"/>
      </w:pPr>
      <w:r w:rsidRPr="00AD2F44">
        <w:rPr>
          <w:i/>
          <w:iCs/>
        </w:rPr>
        <w:t>Eleventh Circuit:</w:t>
      </w:r>
      <w:r w:rsidRPr="00AD2F44">
        <w:t xml:space="preserve"> Rojas v. Garda CL Se., Inc., 297 F.R.D. 669, 682 (S.D. Fla. 2013); Howard v. Orange Lake Country Club, Inc., 2008 WL 5263744 (M.D. Fla. Dec. 17, 2008); Vondriska v. Premier Mortg. Funding, Inc., 564 F. Supp. 2d 1330 (M.D. Fla. 2007); Butler v. Oak St. Mortg., LLC, 2006 WL 5519070 (S.D. Fla. Dec. 22, 2006); Barrett v. Capital Acquisitions &amp; Mgmt. Co., 2004 WL 5309097 (S.D. Fla. Mar. 15, 2004).</w:t>
      </w:r>
    </w:p>
  </w:footnote>
  <w:footnote w:id="431">
    <w:p w14:paraId="051D80E9" w14:textId="77777777" w:rsidR="00721CCF" w:rsidRPr="00AD2F44" w:rsidRDefault="00F42107">
      <w:pPr>
        <w:pStyle w:val="14Footnote"/>
      </w:pPr>
      <w:r w:rsidRPr="00AD2F44">
        <w:rPr>
          <w:vertAlign w:val="superscript"/>
        </w:rPr>
        <w:footnoteRef/>
      </w:r>
      <w:r w:rsidRPr="00AD2F44">
        <w:rPr>
          <w:i/>
        </w:rPr>
        <w:t xml:space="preserve">See, e.g., </w:t>
      </w:r>
    </w:p>
    <w:p w14:paraId="57E71A86" w14:textId="77777777" w:rsidR="00721CCF" w:rsidRPr="00AD2F44" w:rsidRDefault="00F42107">
      <w:pPr>
        <w:pStyle w:val="14Footnote"/>
      </w:pPr>
      <w:r w:rsidRPr="00AD2F44">
        <w:rPr>
          <w:i/>
          <w:iCs/>
        </w:rPr>
        <w:t xml:space="preserve">Ninth Circuit: </w:t>
      </w:r>
      <w:r w:rsidRPr="00AD2F44">
        <w:t>Russell v. Wells Fargo &amp; Co., 2008 U.S. Dist. LEXIS 78771, at *14–15 (N.D. Cal. Sept. 3, 2008) (using third-party administrator to facilitate revised notice distributions where there were concerns about integrity of first notice distribution).</w:t>
      </w:r>
    </w:p>
    <w:p w14:paraId="57F16324" w14:textId="77777777" w:rsidR="00721CCF" w:rsidRPr="00AD2F44" w:rsidRDefault="00F42107">
      <w:pPr>
        <w:pStyle w:val="14Footnote"/>
      </w:pPr>
      <w:r w:rsidRPr="00AD2F44">
        <w:rPr>
          <w:i/>
          <w:iCs/>
        </w:rPr>
        <w:t>Tenth Circuit:</w:t>
      </w:r>
      <w:r w:rsidRPr="00AD2F44">
        <w:t xml:space="preserve"> Barnwell v. Corrections Corp. of Am., 2008 U.S. Dist. LEXIS 104230 (D. Kan. Dec. 9, 2008).</w:t>
      </w:r>
    </w:p>
    <w:p w14:paraId="62753B76" w14:textId="77777777" w:rsidR="00721CCF" w:rsidRPr="00AD2F44" w:rsidRDefault="00F42107">
      <w:pPr>
        <w:pStyle w:val="14Footnote"/>
      </w:pPr>
      <w:r w:rsidRPr="00AD2F44">
        <w:rPr>
          <w:i/>
        </w:rPr>
        <w:t>But see</w:t>
      </w:r>
    </w:p>
    <w:p w14:paraId="46770079" w14:textId="397736B2" w:rsidR="00721CCF" w:rsidRPr="00AD2F44" w:rsidRDefault="00F42107">
      <w:pPr>
        <w:pStyle w:val="14Footnote"/>
      </w:pPr>
      <w:r w:rsidRPr="00AD2F44">
        <w:rPr>
          <w:i/>
          <w:iCs/>
        </w:rPr>
        <w:t xml:space="preserve">Second Circuit: </w:t>
      </w:r>
      <w:r w:rsidRPr="00AD2F44">
        <w:t>Hart v. Crab Addison, Inc., 2015 WL 365785 (W.D.N.Y. Jan. 27, 2015) (rejecting use of third-party administrator).</w:t>
      </w:r>
    </w:p>
  </w:footnote>
  <w:footnote w:id="432">
    <w:p w14:paraId="5E59FD4B" w14:textId="77777777" w:rsidR="00721CCF" w:rsidRPr="00AD2F44" w:rsidRDefault="00F42107">
      <w:pPr>
        <w:pStyle w:val="14Footnote"/>
      </w:pPr>
      <w:r w:rsidRPr="00AD2F44">
        <w:rPr>
          <w:vertAlign w:val="superscript"/>
        </w:rPr>
        <w:footnoteRef/>
      </w:r>
      <w:r w:rsidRPr="00AD2F44">
        <w:rPr>
          <w:i/>
          <w:iCs/>
        </w:rPr>
        <w:t>See, e.g</w:t>
      </w:r>
      <w:r w:rsidRPr="00AD2F44">
        <w:t>., Torres v. CSK Auto Inc., 2003 U.S. Dist. LEXIS 25092 (W.D. Tex. Dec. 17, 2003) (ordering defendant to disseminate notice).</w:t>
      </w:r>
    </w:p>
  </w:footnote>
  <w:footnote w:id="433">
    <w:p w14:paraId="3D571032" w14:textId="77777777" w:rsidR="00721CCF" w:rsidRPr="00AD2F44" w:rsidRDefault="00F42107">
      <w:pPr>
        <w:pStyle w:val="14Footnote"/>
      </w:pPr>
      <w:r w:rsidRPr="00AD2F44">
        <w:rPr>
          <w:vertAlign w:val="superscript"/>
        </w:rPr>
        <w:footnoteRef/>
      </w:r>
      <w:r w:rsidRPr="00AD2F44">
        <w:rPr>
          <w:i/>
          <w:iCs/>
        </w:rPr>
        <w:t>See, e.g.,</w:t>
      </w:r>
    </w:p>
    <w:p w14:paraId="501521DC" w14:textId="77777777" w:rsidR="00721CCF" w:rsidRPr="00AD2F44" w:rsidRDefault="00F42107">
      <w:pPr>
        <w:pStyle w:val="14Footnote"/>
      </w:pPr>
      <w:r w:rsidRPr="00AD2F44">
        <w:rPr>
          <w:i/>
          <w:iCs/>
        </w:rPr>
        <w:t>Second Circuit:</w:t>
      </w:r>
      <w:r w:rsidRPr="00AD2F44">
        <w:t xml:space="preserve"> Hallissey v. America Online, Inc., 2008 WL 465112 (S.D.N.Y. Feb. 19, 2008).</w:t>
      </w:r>
    </w:p>
    <w:p w14:paraId="55C0CAA4" w14:textId="77777777" w:rsidR="00721CCF" w:rsidRPr="00AD2F44" w:rsidRDefault="00F42107">
      <w:pPr>
        <w:pStyle w:val="14Footnote"/>
      </w:pPr>
      <w:r w:rsidRPr="00AD2F44">
        <w:rPr>
          <w:i/>
          <w:iCs/>
        </w:rPr>
        <w:t>Fifth Circuit:</w:t>
      </w:r>
      <w:r w:rsidRPr="00AD2F44">
        <w:t xml:space="preserve"> De La Rosa Ortiz v. Rain King, Inc., 2003 WL 23741409 (S.D. Tex. Mar. 10, 2003).</w:t>
      </w:r>
    </w:p>
    <w:p w14:paraId="602AC79F" w14:textId="77777777" w:rsidR="00721CCF" w:rsidRPr="00AD2F44" w:rsidRDefault="00F42107">
      <w:pPr>
        <w:pStyle w:val="14Footnote"/>
      </w:pPr>
      <w:r w:rsidRPr="00AD2F44">
        <w:rPr>
          <w:i/>
          <w:iCs/>
        </w:rPr>
        <w:t>Eighth Circuit:</w:t>
      </w:r>
      <w:r w:rsidRPr="00AD2F44">
        <w:t xml:space="preserve"> Perez-Benites v. Candy Brand LLC, 2008 U.S. Dist. LEXIS 91402 (W.D. Ark. Oct. 31, 2008).</w:t>
      </w:r>
    </w:p>
    <w:p w14:paraId="64391AFE" w14:textId="77777777" w:rsidR="00721CCF" w:rsidRPr="00AD2F44" w:rsidRDefault="00F42107">
      <w:pPr>
        <w:pStyle w:val="14Footnote"/>
      </w:pPr>
      <w:r w:rsidRPr="00AD2F44">
        <w:rPr>
          <w:i/>
          <w:iCs/>
        </w:rPr>
        <w:t>Eleventh Circuit:</w:t>
      </w:r>
      <w:r w:rsidRPr="00AD2F44">
        <w:t xml:space="preserve"> Howard v. Orange Lake Country Club, Inc., 2008 WL 5263744 (M.D. Fla. Dec. 17, 2008); Vaccaro v. Candidates on Demand Grp., Inc., 2008 U.S. Dist. LEXIS 29344 (S.D. Fla. Apr. 10, 2008); Butler v. Oak St. Mortg., LLC, 2006 WL 5519070 (S.D. Fla. Dec. 22, 2006); Barrett v. Capital Acquisitions &amp; Mgmt. Co., 2004 WL 5309097 (S.D. Fla. Mar. 15, 2004) (plaintiffs bear cost of mailing).</w:t>
      </w:r>
    </w:p>
    <w:p w14:paraId="7DCD6241" w14:textId="303A2020" w:rsidR="00721CCF" w:rsidRPr="00AD2F44" w:rsidRDefault="00F42107">
      <w:pPr>
        <w:pStyle w:val="14Footnote"/>
      </w:pPr>
      <w:r w:rsidRPr="00AD2F44">
        <w:rPr>
          <w:i/>
          <w:iCs/>
        </w:rPr>
        <w:t>But see</w:t>
      </w:r>
      <w:r w:rsidRPr="00AD2F44">
        <w:t xml:space="preserve"> Mevorah v. Wells Fargo Home Mortg., Inc., 2005 WL 4813532, at *6 (N.D. Cal. Nov. 17, 2005) (ordering defendant to bear cost of distributing notice where it had engaged in improper and misleading precertification communications with putative collective).</w:t>
      </w:r>
    </w:p>
  </w:footnote>
  <w:footnote w:id="434">
    <w:p w14:paraId="4B3F4B9A" w14:textId="77777777" w:rsidR="00721CCF" w:rsidRPr="00AD2F44" w:rsidRDefault="00F42107">
      <w:pPr>
        <w:pStyle w:val="14Footnote"/>
      </w:pPr>
      <w:r w:rsidRPr="00AD2F44">
        <w:rPr>
          <w:vertAlign w:val="superscript"/>
        </w:rPr>
        <w:footnoteRef/>
      </w:r>
      <w:r w:rsidRPr="00AD2F44">
        <w:rPr>
          <w:i/>
          <w:iCs/>
        </w:rPr>
        <w:t>See, e.g.,</w:t>
      </w:r>
    </w:p>
    <w:p w14:paraId="564433AD" w14:textId="77777777" w:rsidR="00721CCF" w:rsidRPr="00AD2F44" w:rsidRDefault="00F42107">
      <w:pPr>
        <w:pStyle w:val="14Footnote"/>
      </w:pPr>
      <w:r w:rsidRPr="00AD2F44">
        <w:rPr>
          <w:i/>
          <w:iCs/>
        </w:rPr>
        <w:t>Second Circuit:</w:t>
      </w:r>
      <w:r w:rsidRPr="00AD2F44">
        <w:t xml:space="preserve"> Colozzi v. St. Joseph’s Hosp. Health Ctr., 2009 WL 211401 (N.D.N.Y. Jan. 26, 2009); Hamelin v. </w:t>
      </w:r>
      <w:r w:rsidRPr="00AD2F44">
        <w:t>Faxton-St. Luke’s Healthcare, 2009 WL 211512 (N.D.N.Y. Jan. 26, 2009); Rubery v. Buth-Na-Bodhaige, Inc., 569 F. Supp. 2d 334 (W.D.N.Y. 2008); Gilliam v. Addicts Rehab. Ctr. Fund, 2008 WL 782596 (S.D.N.Y. Mar. 24, 2008); Hallissey v. America Online, Inc., 2008 WL 465112 (S.D.N.Y. Feb. 19, 2008); Levy v. Verizon Info. Servs. Inc., 2007 WL 1747104 (E.D.N.Y. June 11, 2007).</w:t>
      </w:r>
    </w:p>
    <w:p w14:paraId="117F60CC" w14:textId="77777777" w:rsidR="00721CCF" w:rsidRPr="00AD2F44" w:rsidRDefault="00F42107">
      <w:pPr>
        <w:pStyle w:val="14Footnote"/>
      </w:pPr>
      <w:r w:rsidRPr="00AD2F44">
        <w:rPr>
          <w:i/>
          <w:iCs/>
        </w:rPr>
        <w:t>Third Circuit:</w:t>
      </w:r>
      <w:r w:rsidRPr="00AD2F44">
        <w:t xml:space="preserve"> Ritzer v. UBS Fin. Servs., Inc., 2008 WL 4372784, at *11–12 (D.N.J. Sept. 22, 2008) (“Generally, first class mail is sufficient to place putative class members on notice of a collective action.”); Chabrier v. Wilmington Fin., Inc., 2006 WL 3742774 (E.D. Pa. Dec. 13, 2006); Goldman v. Radioshack Corp., 2003 WL 2125057 (E.D. Pa. Apr. 16, 2003).</w:t>
      </w:r>
    </w:p>
    <w:p w14:paraId="5EB129A1" w14:textId="77777777" w:rsidR="00721CCF" w:rsidRPr="00AD2F44" w:rsidRDefault="00F42107">
      <w:pPr>
        <w:pStyle w:val="14Footnote"/>
      </w:pPr>
      <w:r w:rsidRPr="00AD2F44">
        <w:rPr>
          <w:i/>
          <w:iCs/>
        </w:rPr>
        <w:t>Fourth Circuit:</w:t>
      </w:r>
      <w:r w:rsidRPr="00AD2F44">
        <w:t xml:space="preserve"> Williams v. Long, 585 F. Supp. 2d 679 (D. Md. 2008); Sharer v. Tandberg, Inc., 2006 WL 2988104 (E.D. Va. Oct. 17, 2006).</w:t>
      </w:r>
    </w:p>
    <w:p w14:paraId="4D96F62E" w14:textId="77777777" w:rsidR="00721CCF" w:rsidRPr="006F46AE" w:rsidRDefault="00F42107">
      <w:pPr>
        <w:pStyle w:val="14Footnote"/>
      </w:pPr>
      <w:r w:rsidRPr="00AD2F44">
        <w:rPr>
          <w:i/>
          <w:iCs/>
        </w:rPr>
        <w:t>Fifth Circuit:</w:t>
      </w:r>
      <w:r w:rsidRPr="00AD2F44">
        <w:t xml:space="preserve"> Lima v. International Catastrophe Sols., Inc., 493 F. Supp. 2d 793 (E.D. La. 2007); Quintanilla v. A &amp; R Demolition Inc., 2007 WL 5166849 (S.D. Tex. May 7, 2007); </w:t>
      </w:r>
      <w:r w:rsidRPr="00AD2F44">
        <w:rPr>
          <w:i/>
          <w:iCs/>
        </w:rPr>
        <w:t>Vogt</w:t>
      </w:r>
      <w:r w:rsidRPr="00AD2F44">
        <w:t xml:space="preserve">, 2006 WL 4660134; Alba v. Loncar, 2004 WL 1144052 (N.D. Tex. </w:t>
      </w:r>
      <w:r w:rsidRPr="006F46AE">
        <w:t>May 20, 2004); De La Rosa Ortiz v. Rain King, Inc., 2003 23741409 (S.D. Tex. Mar. 10, 2003).</w:t>
      </w:r>
    </w:p>
    <w:p w14:paraId="336F23BF" w14:textId="77777777" w:rsidR="00721CCF" w:rsidRPr="00AD2F44" w:rsidRDefault="00F42107">
      <w:pPr>
        <w:pStyle w:val="14Footnote"/>
      </w:pPr>
      <w:r w:rsidRPr="00AD2F44">
        <w:rPr>
          <w:i/>
          <w:iCs/>
        </w:rPr>
        <w:t>Sixth Circuit:</w:t>
      </w:r>
      <w:r w:rsidRPr="00AD2F44">
        <w:t xml:space="preserve"> Larson v. Rush Fitness Corp., 2012 U.S. Dist. LEXIS 189211 (E.D. Tenn. Oct. 17, 2012), </w:t>
      </w:r>
      <w:r w:rsidRPr="00AD2F44">
        <w:rPr>
          <w:i/>
          <w:iCs/>
        </w:rPr>
        <w:t>adopted by</w:t>
      </w:r>
      <w:r w:rsidRPr="00AD2F44">
        <w:t xml:space="preserve"> 2013 U.S. Dist. LEXIS 163541 (E.D. Tenn. Sept. 23, 2013); Landsberg v. Acton Enter., Inc., 2008 WL 2468868 (S.D. Ohio June 16, 2008).</w:t>
      </w:r>
    </w:p>
    <w:p w14:paraId="49BB127B" w14:textId="77777777" w:rsidR="00721CCF" w:rsidRPr="00AD2F44" w:rsidRDefault="00F42107">
      <w:pPr>
        <w:pStyle w:val="14Footnote"/>
      </w:pPr>
      <w:r w:rsidRPr="00AD2F44">
        <w:rPr>
          <w:i/>
          <w:iCs/>
        </w:rPr>
        <w:t>Seventh Circuit:</w:t>
      </w:r>
      <w:r w:rsidRPr="00AD2F44">
        <w:t xml:space="preserve"> Kelly v. Bluegreen Corp., 2009 WL 425809 (W.D. Wis. Feb. 20, 2009); Dekeyser v. Thyssenkrupp Waupaca, Inc., 2008 WL 5263750 (E.D. Wis. Dec. 18, 2008); Garcia v. Salamanca Grp., Ltd., 2008 U.S. Dist. LEXIS 22852 (N.D. Ill. Mar. 24, 2008); Sjoblom v. Charter Commc’ns, LLC, 2008 U.S. Dist. LEXIS 18369 (W.D. Wis. Mar. 4, 2008); Coan v. Nightingale Home Healthcare, Inc., 2005 WL 1799454 (S.D. Ind. June 29, 2005); Krieg v. Pell’s, Inc., 2001 WL 548394 (S.D. Ind. Mar. 29, 2001).</w:t>
      </w:r>
    </w:p>
    <w:p w14:paraId="28C0C616" w14:textId="77777777" w:rsidR="00721CCF" w:rsidRPr="00AD2F44" w:rsidRDefault="00F42107">
      <w:pPr>
        <w:pStyle w:val="14Footnote"/>
      </w:pPr>
      <w:r w:rsidRPr="00AD2F44">
        <w:rPr>
          <w:i/>
          <w:iCs/>
        </w:rPr>
        <w:t>Eighth Circuit:</w:t>
      </w:r>
      <w:r w:rsidRPr="00AD2F44">
        <w:t xml:space="preserve"> Martinez v. Cargill Meat Sols., Inc., 265 F.R.D. 490, 500–01 (D. Neb. 2009) (rejecting plaintiff’s request to disseminate notice by workplace posting and radio and newspaper announcements, and limiting notice to first class mail, where all class members worked at one location, and no evidence existed that mail would be ineffective); Perez-Benites v. Candy Brand, LLC, 2008 WL 4809105 (W.D. Ark. Oct. 31, 2008).</w:t>
      </w:r>
    </w:p>
    <w:p w14:paraId="067C05D3" w14:textId="77777777" w:rsidR="00721CCF" w:rsidRPr="00AD2F44" w:rsidRDefault="00F42107">
      <w:pPr>
        <w:pStyle w:val="14Footnote"/>
      </w:pPr>
      <w:r w:rsidRPr="00AD2F44">
        <w:rPr>
          <w:i/>
          <w:iCs/>
        </w:rPr>
        <w:t>Ninth Circuit:</w:t>
      </w:r>
      <w:r w:rsidRPr="00AD2F44">
        <w:t xml:space="preserve"> Mowdy v. Beneto Bulk Transp., 2008 WL 901546 (N.D. Cal. 2008); Russell v. Wells Fargo &amp; Co., 2008 WL 4104212 (N.D. Cal. Sept. 3, 2008); Campbell v. Pricewaterhouse Coopers, LLP, 2008 WL 2345035 (E.D. Cal. June 5, 2008); Adams v. Inter-Con Sec. Sys., Inc., 242 F.R.D. 530, 541 (N.D. Cal. 2007) (“First class mail is ordinarily sufficient to notify class members who have been identified.”); Delgado v. Ortho-McNeil, Inc., 2007 WL 2847238 (C.D. Cal. Aug. 7, 2007); Romero v. Producers Dairy Foods, Inc., 235 F.R.D. 474 (E.D. Cal. 2006); Morales v. Five J’s Trucking, Inc., 2006 WL 1409733 (E.D. Cal. May 23, 2006); </w:t>
      </w:r>
      <w:r w:rsidRPr="00AD2F44">
        <w:rPr>
          <w:i/>
          <w:iCs/>
        </w:rPr>
        <w:t>In re</w:t>
      </w:r>
      <w:r w:rsidRPr="00AD2F44">
        <w:t xml:space="preserve"> Farmers Inc. Exch. Claims Reps. Overtime Pay Litig., 2003 WL 23669376 (D. Or. May 19, 2003).</w:t>
      </w:r>
    </w:p>
    <w:p w14:paraId="5EF81C3C" w14:textId="7F1B442E" w:rsidR="00721CCF" w:rsidRPr="00AD2F44" w:rsidRDefault="00F42107">
      <w:pPr>
        <w:pStyle w:val="14Footnote"/>
      </w:pPr>
      <w:r w:rsidRPr="00AD2F44">
        <w:rPr>
          <w:i/>
          <w:iCs/>
        </w:rPr>
        <w:t>Tenth Circuit:</w:t>
      </w:r>
      <w:r w:rsidRPr="00AD2F44">
        <w:t xml:space="preserve"> Reab v. Electronic Arts, Inc., 214 F.R.D. 623, 629 (D. Colo. 2002) (“Notification by first class mail is the preferred method … . First class mail ensures, at the outset, that the appropriately targeted audience receives the intended notification and maximizes the integrity of the notice process.”).</w:t>
      </w:r>
    </w:p>
    <w:p w14:paraId="6F60068E" w14:textId="77777777" w:rsidR="00721CCF" w:rsidRPr="00AD2F44" w:rsidRDefault="00F42107">
      <w:pPr>
        <w:pStyle w:val="14Footnote"/>
      </w:pPr>
      <w:r w:rsidRPr="00AD2F44">
        <w:rPr>
          <w:i/>
          <w:iCs/>
        </w:rPr>
        <w:t>Eleventh Circuit:</w:t>
      </w:r>
      <w:r w:rsidRPr="00AD2F44">
        <w:t xml:space="preserve"> Howard v. Orange Lake Country Club, Inc., 2008 WL 5263744 (M.D. Fla. Dec. 17, 2008); Vaccaro v. Candidates on Demand Grp., Inc., 2008 U.S. Dist. LEXIS 29344 (S.D. Fla. Apr. 10, 2008); Vondriska v. Premier Mortg. Funding, Inc., 564 F. Supp. 2d 1330 (M.D. Fla. 2007); Butler v. Oak St. Mortg., LLC, 2006 WL 5519070 (S.D. Fla. Dec. 22, 2006). </w:t>
      </w:r>
    </w:p>
  </w:footnote>
  <w:footnote w:id="435">
    <w:p w14:paraId="51E870D8" w14:textId="77777777" w:rsidR="00721CCF" w:rsidRPr="00AD2F44" w:rsidRDefault="00F42107">
      <w:pPr>
        <w:pStyle w:val="14Footnote"/>
      </w:pPr>
      <w:r w:rsidRPr="00AD2F44">
        <w:rPr>
          <w:vertAlign w:val="superscript"/>
        </w:rPr>
        <w:footnoteRef/>
      </w:r>
      <w:r w:rsidRPr="00AD2F44">
        <w:rPr>
          <w:i/>
        </w:rPr>
        <w:t xml:space="preserve">See, e.g., </w:t>
      </w:r>
    </w:p>
    <w:p w14:paraId="5D3DE0AA" w14:textId="38E0E4ED" w:rsidR="00721CCF" w:rsidRPr="00AD2F44" w:rsidRDefault="00F42107">
      <w:pPr>
        <w:pStyle w:val="14Footnote"/>
      </w:pPr>
      <w:r w:rsidRPr="00AD2F44">
        <w:rPr>
          <w:i/>
          <w:iCs/>
        </w:rPr>
        <w:t>Second Circuit</w:t>
      </w:r>
      <w:r w:rsidRPr="00AD2F44">
        <w:t xml:space="preserve">: </w:t>
      </w:r>
      <w:r>
        <w:t xml:space="preserve">Zimnicki v. Krysiak Constr. Corp., </w:t>
      </w:r>
      <w:r w:rsidR="008B3858" w:rsidRPr="00846456">
        <w:t>2022 BL 459417</w:t>
      </w:r>
      <w:r w:rsidR="008B3858">
        <w:t xml:space="preserve">, </w:t>
      </w:r>
      <w:r w:rsidR="006F46AE" w:rsidRPr="006F46AE">
        <w:t xml:space="preserve">2022 WL 17820139 </w:t>
      </w:r>
      <w:r>
        <w:t>(E.D.N.Y.</w:t>
      </w:r>
      <w:r>
        <w:t xml:space="preserve"> Sept. 27, 2022) (authorizing notice by first class mail and email); </w:t>
      </w:r>
      <w:r w:rsidRPr="00AD2F44">
        <w:t>Curry v. P&amp;G Auditors &amp; Consultants, LLC, 2021 BL 220783, 2021 WL 2414968 (S.D.N.Y. June 14, 2021) (authorizing notice by email and text); Pettenato v. Beacon Health Options, Inc</w:t>
      </w:r>
      <w:r w:rsidRPr="00AD2F44">
        <w:rPr>
          <w:i/>
          <w:iCs/>
        </w:rPr>
        <w:t>.,</w:t>
      </w:r>
      <w:r w:rsidRPr="00AD2F44">
        <w:t xml:space="preserve"> 425 F. Supp. 3d 264, 285 (S.D.N.Y. 2019) (authorizing notice by email, but not text); Shiqiang Gao v. A Canaan Sushi Inc., 2019 WL 6724359, at *4 (S.D.N.Y. Dec. 10, 2019) (permitting notice to be distributed via email, text messaging, and social media).</w:t>
      </w:r>
    </w:p>
    <w:p w14:paraId="29E0BD90" w14:textId="77777777" w:rsidR="00721CCF" w:rsidRPr="00AD2F44" w:rsidRDefault="00F42107">
      <w:pPr>
        <w:pStyle w:val="14Footnote"/>
      </w:pPr>
      <w:r w:rsidRPr="00AD2F44">
        <w:rPr>
          <w:i/>
          <w:iCs/>
        </w:rPr>
        <w:t xml:space="preserve">Third Circuit: </w:t>
      </w:r>
      <w:r w:rsidRPr="00AD2F44">
        <w:t>Garcia v. Vertical Screen, Inc., 387 F. Supp. 3d 598, 611 (E.D. Pa. 2019) (approving of email notice).</w:t>
      </w:r>
    </w:p>
    <w:p w14:paraId="2DD5150E" w14:textId="77777777" w:rsidR="00721CCF" w:rsidRPr="00AD2F44" w:rsidRDefault="00F42107">
      <w:pPr>
        <w:pStyle w:val="14Footnote"/>
      </w:pPr>
      <w:r w:rsidRPr="00AD2F44">
        <w:rPr>
          <w:i/>
          <w:iCs/>
        </w:rPr>
        <w:t>Fourth Circuit</w:t>
      </w:r>
      <w:r w:rsidRPr="00AD2F44">
        <w:t xml:space="preserve">: Irvine v. Destination Wild Dunes Mgmt., Inc., 132 F. Supp. 3d 707, 711 (D.S.C. 2015) (“The request that notice be distributed via direct mail, email and text messaging appears eminently reasonable to the Court. This has become a much more mobile society with one’s email address and cell phone number serving as the most consistent and reliable method of communication.”). </w:t>
      </w:r>
    </w:p>
    <w:p w14:paraId="62958876" w14:textId="19CC092E" w:rsidR="00721CCF" w:rsidRPr="00AD2F44" w:rsidRDefault="00F42107">
      <w:pPr>
        <w:pStyle w:val="14Footnote"/>
      </w:pPr>
      <w:r w:rsidRPr="00AD2F44">
        <w:rPr>
          <w:i/>
          <w:iCs/>
        </w:rPr>
        <w:t>Fifth Circuit</w:t>
      </w:r>
      <w:r w:rsidRPr="00AD2F44">
        <w:t>: Norman v. Neighborhood Healthcare Providers, PLLC, 2020 BL 314923, 2020 WL 4873848 (S.D. Miss. Aug. 19, 2020) (rejecting defendant’s argument for one-time first-class mailing of notice, noting that much business previously conducted by first-class mail has transitioned to paperless format); Murillo v. Berry Bros. Gen. Contractors Inc., 2019 WL 4640010, at *6 (W.D. La. Sept. 23, 2019) (“The Court will allow Plaintiff to provide notice by all requested methods, U.S. Mail, email and text message.”).</w:t>
      </w:r>
    </w:p>
    <w:p w14:paraId="1DA0F08F" w14:textId="77777777" w:rsidR="00721CCF" w:rsidRPr="00AD2F44" w:rsidRDefault="00F42107">
      <w:pPr>
        <w:pStyle w:val="14Footnote"/>
      </w:pPr>
      <w:r w:rsidRPr="00AD2F44">
        <w:rPr>
          <w:i/>
          <w:iCs/>
        </w:rPr>
        <w:t>Sixth Circuit</w:t>
      </w:r>
      <w:r w:rsidRPr="00AD2F44">
        <w:t>: Bernardez v. Firstsource Sols. USA, LLC, No. 17-613, 2019 WL 4345986, at *9 (W.D. Ky. Sept. 12, 2019) (allowing plaintiffs to send notice via U.S. Mail, email, and text message).</w:t>
      </w:r>
    </w:p>
    <w:p w14:paraId="423961AF" w14:textId="26BB1FF5" w:rsidR="00721CCF" w:rsidRPr="00AD2F44" w:rsidRDefault="00F42107">
      <w:pPr>
        <w:pStyle w:val="14Footnote"/>
      </w:pPr>
      <w:r w:rsidRPr="00AD2F44">
        <w:rPr>
          <w:i/>
          <w:iCs/>
        </w:rPr>
        <w:t>Seventh Circuit</w:t>
      </w:r>
      <w:r w:rsidRPr="00AD2F44">
        <w:t>: Alvarado v. International Laser Prod., Inc</w:t>
      </w:r>
      <w:r w:rsidRPr="00AD2F44">
        <w:rPr>
          <w:i/>
          <w:iCs/>
        </w:rPr>
        <w:t>.</w:t>
      </w:r>
      <w:r w:rsidRPr="00AD2F44">
        <w:t xml:space="preserve">, 2019 WL 3337995, at *3 (N.D. Ill. June 19, 2019) (“The court agrees with Plaintiffs that e-mail and text communication is the most straightforward and effective method of communicating with the potential class members.”); </w:t>
      </w:r>
      <w:r>
        <w:rPr>
          <w:i/>
          <w:iCs/>
        </w:rPr>
        <w:t xml:space="preserve">see also </w:t>
      </w:r>
      <w:r>
        <w:t xml:space="preserve">Wilmoth v. Steak N Shake, </w:t>
      </w:r>
      <w:r w:rsidR="00EE5233" w:rsidRPr="00EE5233">
        <w:t>2022 BL 192705</w:t>
      </w:r>
      <w:r w:rsidR="00EE5233">
        <w:t xml:space="preserve">, </w:t>
      </w:r>
      <w:r w:rsidR="006F46AE" w:rsidRPr="006F46AE">
        <w:t>2022 WL 1913026</w:t>
      </w:r>
      <w:r>
        <w:t xml:space="preserve"> (S.D. Ind. June 3, 2022) (approving notice by mail, email, and website); </w:t>
      </w:r>
      <w:r w:rsidRPr="00AD2F44">
        <w:t>Lucas v. JJ’s of Macomb, Inc</w:t>
      </w:r>
      <w:r w:rsidRPr="00AD2F44">
        <w:rPr>
          <w:i/>
          <w:iCs/>
        </w:rPr>
        <w:t xml:space="preserve">., </w:t>
      </w:r>
      <w:r w:rsidRPr="00AD2F44">
        <w:t>2019 WL 993657, at *6 (C.D. Ill. Feb. 8, 2019) (approving sending of the notice and consent forms via regular U.S. mail, email, and text message).</w:t>
      </w:r>
    </w:p>
    <w:p w14:paraId="2E655835" w14:textId="6879A1F2" w:rsidR="00721CCF" w:rsidRPr="00AD2F44" w:rsidRDefault="00F42107">
      <w:pPr>
        <w:pStyle w:val="14Footnote"/>
      </w:pPr>
      <w:r w:rsidRPr="00AD2F44">
        <w:rPr>
          <w:i/>
          <w:iCs/>
        </w:rPr>
        <w:t>Eighth Circuit</w:t>
      </w:r>
      <w:r w:rsidRPr="00AD2F44">
        <w:t xml:space="preserve">: Smart v. City of Hughes, 2021 BL 46770, 2021 WL 500713 (E.D. Ark. Feb. 10, 2021) (denying defendant’s request to only send notice by first-class mail or email but not both, holding sending by both methods better serves remedial purposes of FLSA). </w:t>
      </w:r>
    </w:p>
    <w:p w14:paraId="00F5B6BC" w14:textId="77777777" w:rsidR="00721CCF" w:rsidRPr="00AD2F44" w:rsidRDefault="00F42107">
      <w:pPr>
        <w:pStyle w:val="14Footnote"/>
      </w:pPr>
      <w:r w:rsidRPr="00AD2F44">
        <w:rPr>
          <w:i/>
          <w:iCs/>
        </w:rPr>
        <w:t>Ninth Circuit</w:t>
      </w:r>
      <w:r w:rsidRPr="00AD2F44">
        <w:t xml:space="preserve">: Delara v. Diamond Resorts Int’l Mktg., Inc., 2020 WL 2085957, at *6 (D. Nev. Apr. 30, 2020) (holding email notice was appropriate in addition to postal mail because it is efficient and low-cost and is particularly appropriate where employer may lack physical mailing addresses for former employees). </w:t>
      </w:r>
    </w:p>
    <w:p w14:paraId="6D6FF6BA" w14:textId="5CF49A29" w:rsidR="00721CCF" w:rsidRPr="00AD2F44" w:rsidRDefault="00F42107">
      <w:pPr>
        <w:pStyle w:val="14Footnote"/>
      </w:pPr>
      <w:r w:rsidRPr="00AD2F44">
        <w:rPr>
          <w:i/>
          <w:iCs/>
        </w:rPr>
        <w:t>Tenth Circuit</w:t>
      </w:r>
      <w:r w:rsidRPr="00AD2F44">
        <w:t>: Calvillo v. Bull Rogers, Inc</w:t>
      </w:r>
      <w:r w:rsidRPr="00AD2F44">
        <w:rPr>
          <w:i/>
          <w:iCs/>
        </w:rPr>
        <w:t>.</w:t>
      </w:r>
      <w:r w:rsidRPr="00AD2F44">
        <w:t>, 267 F. Supp. 3d 1307, 1315 (D.N.M. 2017) (“Courts have recognized that notice by email and text is reasonable in today’s mobile society and that these methods of communication may offer a more reliable means of reaching an individual even if that individual is away from home or has moved.”).</w:t>
      </w:r>
    </w:p>
  </w:footnote>
  <w:footnote w:id="436">
    <w:p w14:paraId="7B5932C2" w14:textId="77777777" w:rsidR="00721CCF" w:rsidRPr="00AD2F44" w:rsidRDefault="00F42107">
      <w:pPr>
        <w:pStyle w:val="14Footnote"/>
      </w:pPr>
      <w:r w:rsidRPr="00AD2F44">
        <w:rPr>
          <w:vertAlign w:val="superscript"/>
        </w:rPr>
        <w:footnoteRef/>
      </w:r>
      <w:r w:rsidRPr="00AD2F44">
        <w:rPr>
          <w:i/>
          <w:iCs/>
        </w:rPr>
        <w:t>See, e.g.,</w:t>
      </w:r>
    </w:p>
    <w:p w14:paraId="27FD2527" w14:textId="0F789AF4" w:rsidR="00721CCF" w:rsidRDefault="00F42107">
      <w:pPr>
        <w:pStyle w:val="14Footnote"/>
      </w:pPr>
      <w:r w:rsidRPr="00AD2F44">
        <w:rPr>
          <w:i/>
          <w:iCs/>
        </w:rPr>
        <w:t>Second Circuit:</w:t>
      </w:r>
      <w:r w:rsidRPr="00AD2F44">
        <w:t xml:space="preserve"> </w:t>
      </w:r>
      <w:r>
        <w:t>Rieske v. Gov’t Emps</w:t>
      </w:r>
      <w:r w:rsidR="003E32B5">
        <w:t>.</w:t>
      </w:r>
      <w:r>
        <w:t xml:space="preserve"> Ins. Co., </w:t>
      </w:r>
      <w:r w:rsidR="00472B59" w:rsidRPr="00472B59">
        <w:t>2022 BL 418813</w:t>
      </w:r>
      <w:r w:rsidR="00472B59">
        <w:t xml:space="preserve">, </w:t>
      </w:r>
      <w:r w:rsidR="006F46AE" w:rsidRPr="006F46AE">
        <w:t xml:space="preserve">2022 WL 17127745 </w:t>
      </w:r>
      <w:r>
        <w:t>(E.D.N.Y. Nov. 22, 2022) (permitting notice via mail, email, and text messaging); Richards v. Empire Scaffolding Sys.,</w:t>
      </w:r>
      <w:r w:rsidR="009C128E">
        <w:t xml:space="preserve"> </w:t>
      </w:r>
      <w:r w:rsidR="009C128E" w:rsidRPr="001A0800">
        <w:t>2022 BL 229929</w:t>
      </w:r>
      <w:r w:rsidR="009C128E">
        <w:t>,</w:t>
      </w:r>
      <w:r>
        <w:t xml:space="preserve"> </w:t>
      </w:r>
      <w:r w:rsidR="006F46AE" w:rsidRPr="006F46AE">
        <w:t>2022 WL 2384154</w:t>
      </w:r>
      <w:r>
        <w:t xml:space="preserve"> (S.D.N.Y. July 1, 2022) (allowing text message notice, in addition to mail and email, because of high turnover and regular use of text messaging for ordinary work communication); </w:t>
      </w:r>
      <w:r w:rsidRPr="008A1363">
        <w:t xml:space="preserve">Rodney v. Casella Waste Sys., Inc., </w:t>
      </w:r>
      <w:r w:rsidR="006641C6" w:rsidRPr="00A477A8">
        <w:rPr>
          <w:color w:val="3D3D3D"/>
          <w:shd w:val="clear" w:color="auto" w:fill="FFFFFF"/>
        </w:rPr>
        <w:t>2023 BL 17561</w:t>
      </w:r>
      <w:r w:rsidR="006641C6">
        <w:rPr>
          <w:color w:val="3D3D3D"/>
          <w:shd w:val="clear" w:color="auto" w:fill="FFFFFF"/>
        </w:rPr>
        <w:t xml:space="preserve">, </w:t>
      </w:r>
      <w:r w:rsidRPr="008A1363">
        <w:t>2023 WL 313929 (D. Vt. Jan. 19, 2023) (</w:t>
      </w:r>
      <w:r>
        <w:t xml:space="preserve">permitting notice by </w:t>
      </w:r>
      <w:r w:rsidRPr="008A1363">
        <w:t>U.S. mail, email, text</w:t>
      </w:r>
      <w:r>
        <w:t xml:space="preserve"> </w:t>
      </w:r>
      <w:r w:rsidRPr="008A1363">
        <w:t>messag</w:t>
      </w:r>
      <w:r>
        <w:t>ing</w:t>
      </w:r>
      <w:r w:rsidRPr="008A1363">
        <w:t xml:space="preserve">, and posting notice </w:t>
      </w:r>
      <w:r>
        <w:t>at</w:t>
      </w:r>
      <w:r w:rsidRPr="008A1363">
        <w:t xml:space="preserve"> defendant’s worksites near time clocks); </w:t>
      </w:r>
      <w:r w:rsidRPr="00AD2F44">
        <w:rPr>
          <w:i/>
          <w:iCs/>
        </w:rPr>
        <w:t>Shiqiang Gao</w:t>
      </w:r>
      <w:r w:rsidRPr="00AD2F44">
        <w:t>, 2019 WL 6724359, at *4 (permitting notice to be distributed via email, text messaging, and social media); Bhumithanarn v. 22 Noodle Mkt. Corp., 2015 WL 4240985, at *5 (S.D.N.Y. July 13, 2015) (“[G]iven the high turnover characteristic of the restaurant industry, the Court finds that notice via text message is likely to be a viable and efficient means of communicating with many prospective members of this collective action.”); Martin v. Sprint/United Mgmt. Co., 2016 WL 30334, at *19 (S.D.N.Y. Jan. 4, 2016) (granting text message notice due to high turnover rate among employees).</w:t>
      </w:r>
    </w:p>
    <w:p w14:paraId="24DC89D8" w14:textId="61A88C1D" w:rsidR="00721CCF" w:rsidRDefault="00F42107">
      <w:pPr>
        <w:pStyle w:val="14Footnote"/>
      </w:pPr>
      <w:r>
        <w:rPr>
          <w:i/>
          <w:iCs/>
        </w:rPr>
        <w:t>Third Circuit</w:t>
      </w:r>
      <w:r>
        <w:t>: Russo v. Gov’t Emps</w:t>
      </w:r>
      <w:r w:rsidR="00A3781A">
        <w:t>.</w:t>
      </w:r>
      <w:r>
        <w:t xml:space="preserve"> Ins. Co., </w:t>
      </w:r>
      <w:r w:rsidR="00A3781A" w:rsidRPr="00A3781A">
        <w:t>2022 BL 271482</w:t>
      </w:r>
      <w:r w:rsidR="00A3781A">
        <w:t xml:space="preserve">, </w:t>
      </w:r>
      <w:r w:rsidR="00C324DA" w:rsidRPr="00C324DA">
        <w:t xml:space="preserve">2022 WL 3098107 </w:t>
      </w:r>
      <w:r>
        <w:t>(D.N.J. Aug. 3, 2022) (limiting notice to first-class mail and e-mail, and rejecting text message notice as unnecessary).</w:t>
      </w:r>
    </w:p>
    <w:p w14:paraId="17341FE5" w14:textId="1A140C5B" w:rsidR="00721CCF" w:rsidRPr="00686DA3" w:rsidRDefault="00F42107">
      <w:pPr>
        <w:pStyle w:val="14Footnote"/>
      </w:pPr>
      <w:r>
        <w:rPr>
          <w:i/>
          <w:iCs/>
        </w:rPr>
        <w:t xml:space="preserve">Fourth Circuit: </w:t>
      </w:r>
      <w:r>
        <w:t xml:space="preserve">Njoroge v. PrimaCare Partners, LLC, </w:t>
      </w:r>
      <w:r w:rsidR="00A815AC" w:rsidRPr="00A815AC">
        <w:t>2022 BL 342131</w:t>
      </w:r>
      <w:r w:rsidR="00A815AC">
        <w:t xml:space="preserve">, </w:t>
      </w:r>
      <w:r w:rsidR="00C324DA" w:rsidRPr="00C324DA">
        <w:t xml:space="preserve">2022 WL 4465894 </w:t>
      </w:r>
      <w:r>
        <w:t>(D. Md. Sept. 26, 2022) (permitting text message notice in addition to mail and email).</w:t>
      </w:r>
    </w:p>
    <w:p w14:paraId="35871991" w14:textId="1D469D61" w:rsidR="00721CCF" w:rsidRPr="00AD2F44" w:rsidRDefault="00F42107">
      <w:pPr>
        <w:pStyle w:val="14Footnote"/>
      </w:pPr>
      <w:r w:rsidRPr="00AD2F44">
        <w:rPr>
          <w:i/>
          <w:iCs/>
        </w:rPr>
        <w:t>Fifth Circuit</w:t>
      </w:r>
      <w:r w:rsidRPr="00AD2F44">
        <w:t xml:space="preserve">: Norman v. Neighborhood Healthcare Providers, PLLC, 2020 BL 314923, 2020 WL 4873848 (S.D. Miss. Aug. 19, 2020) (refusing to authorize text messaging notice and declining request for cell phone numbers); Dickensheets v. ARC Marine, LLC, 440 F. Supp. 3d 670, 671–72 (S.D. Tex. 2020) (recognizing dispute among district courts over use of text messages, permitting text message notice and noting that text messaging has become primary method of communication); </w:t>
      </w:r>
      <w:r w:rsidRPr="00AD2F44">
        <w:rPr>
          <w:i/>
          <w:iCs/>
        </w:rPr>
        <w:t>Murillo</w:t>
      </w:r>
      <w:r w:rsidRPr="00AD2F44">
        <w:t>, 2019 WL 4640010, at *6 (“The Court will allow Plaintiff to provide notice by all requested methods, U.S. Mail, email and text message.”).</w:t>
      </w:r>
    </w:p>
    <w:p w14:paraId="1AECA5B2" w14:textId="77777777" w:rsidR="00721CCF" w:rsidRPr="00AD2F44" w:rsidRDefault="00F42107">
      <w:pPr>
        <w:pStyle w:val="14Footnote"/>
      </w:pPr>
      <w:r w:rsidRPr="00AD2F44">
        <w:rPr>
          <w:i/>
          <w:iCs/>
        </w:rPr>
        <w:t>Sixth Circuit</w:t>
      </w:r>
      <w:r w:rsidRPr="00AD2F44">
        <w:t xml:space="preserve">: </w:t>
      </w:r>
      <w:r w:rsidRPr="00AD2F44">
        <w:rPr>
          <w:i/>
          <w:iCs/>
        </w:rPr>
        <w:t>Bernardez</w:t>
      </w:r>
      <w:r w:rsidRPr="00AD2F44">
        <w:t>, 2019 WL 4345986, at *9 (allowing plaintiffs to send notice via U.S. Mail, email, and text message).</w:t>
      </w:r>
    </w:p>
    <w:p w14:paraId="039D6539" w14:textId="77777777" w:rsidR="00721CCF" w:rsidRPr="00AD2F44" w:rsidRDefault="00F42107">
      <w:pPr>
        <w:pStyle w:val="14Footnote"/>
      </w:pPr>
      <w:r w:rsidRPr="00AD2F44">
        <w:rPr>
          <w:i/>
          <w:iCs/>
        </w:rPr>
        <w:t>Seventh Circuit</w:t>
      </w:r>
      <w:r w:rsidRPr="00AD2F44">
        <w:t xml:space="preserve">: Rossman v. EN Eng’g, LLC, 2020 WL 5253861, at *6 (N.D. Ill. Sept. 3, 2020) (“Given the fact that potential class members are assigned to jobsites all over the country and oftentimes in remote locations,” authorizing “text message and job posting communications as reasonable”); </w:t>
      </w:r>
      <w:r w:rsidRPr="00AD2F44">
        <w:rPr>
          <w:i/>
          <w:iCs/>
        </w:rPr>
        <w:t>Alvarado,</w:t>
      </w:r>
      <w:r w:rsidRPr="00AD2F44">
        <w:t xml:space="preserve"> 2019 WL 3337995, at *3 (“The court agrees with Plaintiffs that e-mail and text communication is the most straightforward and effective method of communicating with the potential class members.”).</w:t>
      </w:r>
    </w:p>
    <w:p w14:paraId="48410117" w14:textId="0E2AAE0B" w:rsidR="00721CCF" w:rsidRPr="00AD2F44" w:rsidRDefault="00F42107">
      <w:pPr>
        <w:pStyle w:val="14Footnote"/>
      </w:pPr>
      <w:r w:rsidRPr="00AD2F44">
        <w:rPr>
          <w:i/>
          <w:iCs/>
        </w:rPr>
        <w:t>Eighth Circuit:</w:t>
      </w:r>
      <w:r w:rsidRPr="00AD2F44">
        <w:t xml:space="preserve"> </w:t>
      </w:r>
      <w:r>
        <w:t xml:space="preserve">Peck v. Mercy Health, </w:t>
      </w:r>
      <w:r w:rsidR="00C324DA" w:rsidRPr="00C324DA">
        <w:t>2023 WL 2301740</w:t>
      </w:r>
      <w:r w:rsidR="00C324DA">
        <w:t xml:space="preserve">, at *2 </w:t>
      </w:r>
      <w:r>
        <w:t xml:space="preserve">(E.D. Mo. Mar. 1, 2023) (declining as “excessive and unnecessary” use of text messaging for notice given mail and e-mail notice); </w:t>
      </w:r>
      <w:r w:rsidRPr="00AD2F44">
        <w:t>Middleton v. Hempstead Cnty., 2019 WL 3948106, at *4 (W.D. Ark. Aug. 21, 2019) (allowing notice by text message as well as U.S. Mail).</w:t>
      </w:r>
    </w:p>
    <w:p w14:paraId="00D3B0D7" w14:textId="41240595" w:rsidR="00721CCF" w:rsidRPr="00AD2F44" w:rsidRDefault="00F42107">
      <w:pPr>
        <w:pStyle w:val="14Footnote"/>
        <w:rPr>
          <w:b/>
          <w:bCs/>
        </w:rPr>
      </w:pPr>
      <w:r w:rsidRPr="00AD2F44">
        <w:rPr>
          <w:i/>
          <w:iCs/>
        </w:rPr>
        <w:t>Tenth Circuit</w:t>
      </w:r>
      <w:r w:rsidRPr="00AD2F44">
        <w:t>: James v. Boyd Gaming Corp., 522 F. Supp. 3d 892, 925</w:t>
      </w:r>
      <w:r w:rsidRPr="00AD2F44">
        <w:rPr>
          <w:b/>
          <w:bCs/>
        </w:rPr>
        <w:t xml:space="preserve"> </w:t>
      </w:r>
      <w:r w:rsidRPr="00AD2F44">
        <w:t xml:space="preserve">(D. Kan. 2021) (allowing dissemination of notice by text and ordering defendants to supply phone numbers, as well as physical and email addresses, but limiting frequency of texts to ensure class members were not “overwhelmed and annoyed”); </w:t>
      </w:r>
      <w:r w:rsidRPr="00AD2F44">
        <w:rPr>
          <w:i/>
          <w:iCs/>
        </w:rPr>
        <w:t>Calvillo</w:t>
      </w:r>
      <w:r w:rsidRPr="00AD2F44">
        <w:t>, 267 F. Supp. 3d at 1315 (“Courts have recognized that notice by email and text is reasonable in today’s mobile society and that these methods of communication may offer a more reliable means of reaching an individual even if that individual is away from home or has moved.”).</w:t>
      </w:r>
    </w:p>
    <w:p w14:paraId="5433E7A5" w14:textId="79626C48" w:rsidR="00721CCF" w:rsidRPr="00AD2F44" w:rsidRDefault="00F42107">
      <w:pPr>
        <w:pStyle w:val="14Footnote"/>
      </w:pPr>
      <w:r w:rsidRPr="00AD2F44">
        <w:rPr>
          <w:i/>
          <w:iCs/>
        </w:rPr>
        <w:t>D.C. Circuit</w:t>
      </w:r>
      <w:r w:rsidRPr="00AD2F44">
        <w:t>: Harris v. Medical Transp. Mgmt., Inc., 317 F. Supp. 3d 421, 426 (D.D.C. 2018) (authorizing text message notice dissemination); Eley v. Stadium Grp., LLC, 2015 WL 5611331, at *3–4 (D.D.C. Sept. 22, 2015) (granting request for text message notice to putative class, noting that the request was “in line with what has been approved in other FLSA collective actions”).</w:t>
      </w:r>
    </w:p>
  </w:footnote>
  <w:footnote w:id="437">
    <w:p w14:paraId="664A7FFA" w14:textId="77777777" w:rsidR="00721CCF" w:rsidRPr="00AD2F44" w:rsidRDefault="00F42107">
      <w:pPr>
        <w:pStyle w:val="14Footnote"/>
      </w:pPr>
      <w:r w:rsidRPr="00AD2F44">
        <w:rPr>
          <w:vertAlign w:val="superscript"/>
        </w:rPr>
        <w:footnoteRef/>
      </w:r>
      <w:r w:rsidRPr="00AD2F44">
        <w:rPr>
          <w:i/>
          <w:iCs/>
        </w:rPr>
        <w:t>See, e.g.,</w:t>
      </w:r>
    </w:p>
    <w:p w14:paraId="531C99B9" w14:textId="03E00E01" w:rsidR="00721CCF" w:rsidRPr="00AD2F44" w:rsidRDefault="00F42107">
      <w:pPr>
        <w:pStyle w:val="14Footnote"/>
      </w:pPr>
      <w:r w:rsidRPr="00AD2F44">
        <w:rPr>
          <w:i/>
          <w:iCs/>
        </w:rPr>
        <w:t>Second Circuit:</w:t>
      </w:r>
      <w:r w:rsidRPr="00AD2F44">
        <w:t xml:space="preserve"> </w:t>
      </w:r>
      <w:r>
        <w:t xml:space="preserve">Tlapanco v. City Metal Traders, Inc., </w:t>
      </w:r>
      <w:r w:rsidR="00C324DA" w:rsidRPr="00C324DA">
        <w:t xml:space="preserve">2023 WL 2240396 </w:t>
      </w:r>
      <w:r>
        <w:t>(E.D.N.Y.</w:t>
      </w:r>
      <w:r>
        <w:t xml:space="preserve"> Feb. 24, 2023) (posting at worksite); Pierre v. City of New York, </w:t>
      </w:r>
      <w:r w:rsidR="00C324DA" w:rsidRPr="00C324DA">
        <w:t>2022 WL 4482295</w:t>
      </w:r>
      <w:r w:rsidR="00C324DA">
        <w:t xml:space="preserve">, at *8 </w:t>
      </w:r>
      <w:r>
        <w:t>(S.D.N.Y. Sept. 27, 2022) (ordering posting of notice at all 77 police precincts despite mail and email notice, because courts in N</w:t>
      </w:r>
      <w:r w:rsidR="009F166D">
        <w:t xml:space="preserve">ew </w:t>
      </w:r>
      <w:r>
        <w:t>Y</w:t>
      </w:r>
      <w:r w:rsidR="009F166D">
        <w:t>ork</w:t>
      </w:r>
      <w:r>
        <w:t xml:space="preserve"> “regularly” or “routinely” do so); </w:t>
      </w:r>
      <w:r w:rsidRPr="00AD2F44">
        <w:t xml:space="preserve">Hart v. Crab Addison, Inc., 2015 WL 365785 (W.D.N.Y. Jan. 27, 2015); Fonseca v. Dircksen &amp; Talleyrand Inc., 2014 WL 1487279 (S.D.N.Y. Apr. 11, 2014); Kim Man Fan v. Ping’s On Mott, Inc., 2014 WL 1512034 (S.D.N.Y. Apr. 14, 2014); Mata-Primitivo v. May Tong Trading Inc., 2014 WL 2002884 (E.D.N.Y. May 15, 2014); D’Antuono v. C &amp; G of Groton, Inc., 2011 WL 5878045, at *6 (D. Conn. Nov. 23, 2011) (ordering notice posted in “a prominent location” at night club where putative class members worked as exotic dancers, given “haphazard” recordkeeping at club, and requiring photograph as proof of posting); Whitehorn v. Wolfgang’s Steakhouse, Inc., 767 F. Supp. 2d 445 (S.D.N.Y. 2011) (permitting notices to be posted in defendant’s restaurants where defendants failed to explain how posting would be more burdensome than typical FLSA case); Fang v. Zhuang, 2010 WL 5261197, at *4 (E.D.N.Y. Dec. 1, 2010) (permitting notice to be posted in Chinese and English, at employer’s worksite, given background of prospective plaintiffs); Hamelin v. Faxton-St. Luke’s Healthcare, 2009 WL 211512 (N.D.N.Y. Jan. 26, 2009); Fengler v. Crouse Health Found., Inc., 2009 WL 211535 (N.D.N.Y. Jan. 26, 2009); </w:t>
      </w:r>
      <w:r w:rsidRPr="00AD2F44">
        <w:rPr>
          <w:i/>
          <w:iCs/>
        </w:rPr>
        <w:t>Rubery</w:t>
      </w:r>
      <w:r w:rsidRPr="00AD2F44">
        <w:t xml:space="preserve">, 569 F. Supp. 2d 334. </w:t>
      </w:r>
      <w:r w:rsidRPr="00AD2F44">
        <w:rPr>
          <w:i/>
          <w:iCs/>
        </w:rPr>
        <w:t xml:space="preserve">But see </w:t>
      </w:r>
      <w:r w:rsidRPr="00AD2F44">
        <w:t>Michael v. Bloomberg LP, 2015 WL 1810157 (S.D.N.Y. Apr. 17, 2015) (rejecting posting after notice granted because no showing of how many notices would be undeliverable).</w:t>
      </w:r>
    </w:p>
    <w:p w14:paraId="0B422A5F" w14:textId="77777777" w:rsidR="00721CCF" w:rsidRPr="00AD2F44" w:rsidRDefault="00F42107">
      <w:pPr>
        <w:pStyle w:val="14Footnote"/>
      </w:pPr>
      <w:r w:rsidRPr="00AD2F44">
        <w:rPr>
          <w:i/>
          <w:iCs/>
        </w:rPr>
        <w:t>Third Circuit:</w:t>
      </w:r>
      <w:r w:rsidRPr="00AD2F44">
        <w:t xml:space="preserve"> Pereira v. Foot Locker, Inc., 261 F.R.D. 60, 68 (E.D. Pa. 2009) (permitting posting of notices in defendant’s store locations because it was “an effective and efficient way” to advise potential class members of litigation); Ritzer v. UBS Fin. Servs., Inc., 2008 WL 4372784, at *5 (D.N.J. Sept. 22, 2008) (rejecting proposal to post notice at workplace, because notice was included in paycheck).</w:t>
      </w:r>
    </w:p>
    <w:p w14:paraId="04604207" w14:textId="3EF2B568" w:rsidR="00721CCF" w:rsidRPr="00AD2F44" w:rsidRDefault="00F42107">
      <w:pPr>
        <w:pStyle w:val="14Footnote"/>
      </w:pPr>
      <w:r w:rsidRPr="00AD2F44">
        <w:rPr>
          <w:i/>
          <w:iCs/>
        </w:rPr>
        <w:t>Fourth Circuit:</w:t>
      </w:r>
      <w:r w:rsidRPr="00AD2F44">
        <w:t xml:space="preserve"> </w:t>
      </w:r>
      <w:r>
        <w:t xml:space="preserve">Njoroge v. PrimaCare Partners, LLC, </w:t>
      </w:r>
      <w:r w:rsidR="00A815AC" w:rsidRPr="00A815AC">
        <w:t>2022 BL 342131</w:t>
      </w:r>
      <w:r w:rsidR="00A815AC">
        <w:t xml:space="preserve">, </w:t>
      </w:r>
      <w:r w:rsidR="00C324DA" w:rsidRPr="00C324DA">
        <w:t xml:space="preserve">2022 WL 4465894 </w:t>
      </w:r>
      <w:r>
        <w:t>(D. Md. Sept. 26, 2022) (rejecting proposal to post notice at company office because putative plaintiffs do not work in a central location)</w:t>
      </w:r>
      <w:r w:rsidR="00CC5882">
        <w:t xml:space="preserve">; </w:t>
      </w:r>
      <w:r w:rsidRPr="00AD2F44">
        <w:t>Mendoza v. Mo’s Fisherman Exch., Inc., 2016 WL 3440007 (D. Md. June 22, 2016) (requiring defendants to post notices at their places of business); Regan v. City of Charleston, 2014 WL 3530135 (D.S.C. July 16, 2014) (rejecting notice by posting because mailing addresses were likely good and workplace tensions could increase among firefighters who lived and worked together); Calderon v. GEICO Gen. Ins. Co., 2011 WL 98197, at *8 (D. Md. Jan. 12, 2011) (rejecting proposal to post notice at regional offices because it would “serve little purpose” given that most class members worked remotely).</w:t>
      </w:r>
    </w:p>
    <w:p w14:paraId="7BD1ACE7" w14:textId="77777777" w:rsidR="00721CCF" w:rsidRPr="00AD2F44" w:rsidRDefault="00F42107">
      <w:pPr>
        <w:pStyle w:val="14Footnote"/>
      </w:pPr>
      <w:r w:rsidRPr="00AD2F44">
        <w:rPr>
          <w:i/>
          <w:iCs/>
        </w:rPr>
        <w:t>Fifth Circuit:</w:t>
      </w:r>
      <w:r w:rsidRPr="00AD2F44">
        <w:t xml:space="preserve"> Hobbs v. Cable Mktg. &amp; Installation, 290 F. Supp. 3d 589, 598 (E.D. La. 2018) (ordering posting of notice in defendants’ offices); Alford v. Freedom Oilfield Servs., LLC,</w:t>
      </w:r>
      <w:r w:rsidRPr="00AD2F44">
        <w:rPr>
          <w:i/>
          <w:iCs/>
        </w:rPr>
        <w:t xml:space="preserve"> </w:t>
      </w:r>
      <w:r w:rsidRPr="00AD2F44">
        <w:t>2016 WL 8673858 (W.D. Tex. Aug. 17, 2016) (approving posting of notices at defendant’s district offices); Garcia v. TWC Admin., LLC, 2015 WL 1737932, at *5 (W.D. Tex. Apr. 16, 2015); Pacheco v. Aldeeb, 2015 WL 1509570, at *9 (W.D. Tex. Mar. 31, 2015); Barajas v. Acosta, 2012 WL 1952261, at *4 (S.D. Tex. May 30, 2012).</w:t>
      </w:r>
    </w:p>
    <w:p w14:paraId="35E31A1F" w14:textId="4C5AA51B" w:rsidR="00721CCF" w:rsidRPr="00AD2F44" w:rsidRDefault="00F42107">
      <w:pPr>
        <w:pStyle w:val="14Footnote"/>
      </w:pPr>
      <w:r w:rsidRPr="00AD2F44">
        <w:rPr>
          <w:i/>
          <w:iCs/>
        </w:rPr>
        <w:t>Sixth Circuit:</w:t>
      </w:r>
      <w:r w:rsidRPr="00AD2F44">
        <w:t xml:space="preserve"> Brewer v. Alliance Coal, LLC, 2021 BL 317829, 2021 WL 3729297 (E.D. Ky. Aug. 23, 2021) (ordering notice posted in conspicuous place at defendant’s worksite, as well as sent via mail and email; refusing to allow reminder notice or obtaining phone numbers of putative collective members for text message notice or phone calls); Phipps v. Chariots of Hire, Inc., 2017 WL 4228028, at *5 (E.D. Tenn. Aug. 29, 2017) (rejecting notice by posting at defendant’s place of business because plaintiffs did not demonstrate that first class mail and email were insufficient); Brown v. Consolidated Rest. Operations, Inc., 2013 WL 4804780, at *7 (M.D. Tenn. Sept. 6, 2013) (holding that the plaintiff could mail notice to all nonexempt current and former hourly employees during the preceding three years, approved posting of notice prominently in defendants’ restaurants in locations where employees congregate, and approving including notice in current employees’ next regularly scheduled paychecks); Lutz v. Huntington Bancshares Inc., 2013 WL 1703361, at *7 (S.D. Ohio Apr. 19, 2013) (denying plaintiffs’ request to post notice at defendants’ worksites and publication in employee newsletters in light of narrow line between informing class members of their right to participate and affirmatively encouraging participation).</w:t>
      </w:r>
    </w:p>
    <w:p w14:paraId="646DE902" w14:textId="77777777" w:rsidR="00721CCF" w:rsidRPr="00AD2F44" w:rsidRDefault="00F42107">
      <w:pPr>
        <w:pStyle w:val="14Footnote"/>
      </w:pPr>
      <w:r w:rsidRPr="00AD2F44">
        <w:rPr>
          <w:i/>
          <w:iCs/>
        </w:rPr>
        <w:t>Seventh Circuit:</w:t>
      </w:r>
      <w:r w:rsidRPr="00AD2F44">
        <w:t xml:space="preserve"> Muir v. Guardian Heating &amp; Cooling Servs., 2017 WL 959028 (N.D. Ill. Mar. 13, 2017) (authorizing notice to be posted in employee-only area of facility where notices are typically displayed); Frebes v. Mask Rests., LLC, 2014 WL 1848461 (N.D. Ill. May 8, 2014) (allowing posting); Freeman v. Total Sec. Mgmt., 2013 WL 4049542, at *11 (W.D. Wis. Aug. 9, 2013) (finding that “requiring defendants to post notice in the workplace is neither unnecessary nor overtly intrusive.”); Lane v. Atlas Roofing Corp., 2012 WL 2862462, at *3–4 (C.D. Ill. July 11, 2012) (disagreeing with plaintiffs that posting at worksites was needed to mitigate potential chilling effect posed by retaliation threat because plaintiffs gave no specific allegations that such measures were necessary to protect against retaliation).</w:t>
      </w:r>
    </w:p>
    <w:p w14:paraId="6790D215" w14:textId="77777777" w:rsidR="00721CCF" w:rsidRPr="00AD2F44" w:rsidRDefault="00F42107">
      <w:pPr>
        <w:pStyle w:val="14Footnote"/>
      </w:pPr>
      <w:r w:rsidRPr="00AD2F44">
        <w:rPr>
          <w:i/>
          <w:iCs/>
        </w:rPr>
        <w:t>Eighth Circuit:</w:t>
      </w:r>
      <w:r w:rsidRPr="00AD2F44">
        <w:t xml:space="preserve"> Rhodes v. Truman Med. Ctr., Inc., 2014 WL 4722285 (W.D. Mo. Sept. 23, 2014) (permitting posting in lunchrooms and with job notices); Knaak v. Armour-Eckrich Meats, LLC, 991 F. Supp. 2d 1052 (D. Minn. 2014); Le v. Regency Corp., 957 F. Supp. 2d 1079, 1093 (D. Minn. 2013); Perrin v. Papa John’s Int’l, Inc., 2011 WL 4815246, at *2 (E.D. Mo. Oct. 11, 2011) (rejecting proposal for workplace posting of notice, because there was no showing that it would add to effectiveness, and because it would be redundant and could cause confusion for other workers as well as undue burden on defendant).</w:t>
      </w:r>
    </w:p>
    <w:p w14:paraId="39D86019" w14:textId="77777777" w:rsidR="00721CCF" w:rsidRPr="00AD2F44" w:rsidRDefault="00F42107">
      <w:pPr>
        <w:pStyle w:val="14Footnote"/>
      </w:pPr>
      <w:r w:rsidRPr="00AD2F44">
        <w:rPr>
          <w:i/>
          <w:iCs/>
        </w:rPr>
        <w:t>Ninth Circuit:</w:t>
      </w:r>
      <w:r w:rsidRPr="00AD2F44">
        <w:t xml:space="preserve"> Russell v. Swick Mining Servs. </w:t>
      </w:r>
      <w:r w:rsidRPr="00C324DA">
        <w:t xml:space="preserve">USA Inc., 2017 WL 1365081 (D. Ariz. </w:t>
      </w:r>
      <w:r w:rsidRPr="00AD2F44">
        <w:t>Apr. 14, 2017)</w:t>
      </w:r>
      <w:r w:rsidRPr="00AD2F44">
        <w:rPr>
          <w:i/>
          <w:iCs/>
        </w:rPr>
        <w:t xml:space="preserve"> </w:t>
      </w:r>
      <w:r w:rsidRPr="00AD2F44">
        <w:t>(finding that no notice should be physically posted at defendant’s worksites because defendant did not control its clients’ worksites and those worksites were only sporadically populated with any employees who could be potential class members); Bazzell v. Body Contour Ctrs., LLC, 2016 WL 3655274, at *9 (W.D. Wash. July 8, 2016) (denying plaintiffs’ request to post notice at defendants’ facilities, finding that “where only one employee at each site is a potential member of the collective … the potential for prejudice to [the defendant] outweighs any minimal benefit with respect to notice—particularly where the court has already approved more targeted notice through direct mailings and email”); Casarotto v. Exploration Drilling, Inc., 2015 WL 6080755, at *7 (D. Mont. Oct. 15, 2015) (rejecting request to post notices at locations where opt-in plaintiffs worked; no reason shown why mailed notice and reminder notice would not be sufficient); Phelps v. MC Commc’ns, Inc., 2011 WL 3298414, at *6 (D. Nev. Aug. 1, 2011) (refusing to require defendants to post notice at workplace, because there was nothing to suggest that mailed notice would not be adequate); Schemkes v. Presidential Limousine, Inc., 2011 WL 868182, at *4–5 (D. Nev. Mar. 10, 2011) (permitting posting at worksite); Rodriguez v. SGLC, Inc., 2009 WL 454613, at *3 (E.D. Cal. Feb. 5, 2009) (directing notice posted in English and Spanish at each housing unit).</w:t>
      </w:r>
    </w:p>
    <w:p w14:paraId="3CEB6B36" w14:textId="7EFAE378" w:rsidR="00721CCF" w:rsidRPr="00AD2F44" w:rsidRDefault="00F42107">
      <w:pPr>
        <w:pStyle w:val="14Footnote"/>
      </w:pPr>
      <w:r w:rsidRPr="00AD2F44">
        <w:rPr>
          <w:i/>
          <w:iCs/>
        </w:rPr>
        <w:t xml:space="preserve">Tenth Circuit: </w:t>
      </w:r>
      <w:r w:rsidRPr="00AD2F44">
        <w:t>Darrow v. WKRP Mgmt., LLC, 2012 WL 638119, at *7, 18 WH Cases2d 1565 (D. Colo. Feb. 28, 2012) (refusing to order notice posting in employer break rooms, because potential benefit was outweighed by burden on defendants of having to post that many notices, and notices would lack consent form); Wass v. NPC Int’l, Inc., 2011 WL 1118774, at *12 (D. Kan. Mar. 28, 2011) (rejecting proposal to post notice in stores, because notice posting would reach same group for whom defendant has current addresses (current employees), notice would be burdensome to defendant (over 1,000 stores), and posted notice does not include consent forms).</w:t>
      </w:r>
    </w:p>
  </w:footnote>
  <w:footnote w:id="438">
    <w:p w14:paraId="2E7CBF13" w14:textId="535DBE5B" w:rsidR="00721CCF" w:rsidRPr="00AD2F44" w:rsidRDefault="00F42107">
      <w:pPr>
        <w:pStyle w:val="14Footnote"/>
      </w:pPr>
      <w:r w:rsidRPr="00AD2F44">
        <w:rPr>
          <w:vertAlign w:val="superscript"/>
        </w:rPr>
        <w:footnoteRef/>
      </w:r>
      <w:r w:rsidRPr="00AD2F44">
        <w:rPr>
          <w:i/>
          <w:iCs/>
        </w:rPr>
        <w:t xml:space="preserve">Second Circuit: </w:t>
      </w:r>
      <w:r>
        <w:t>Rieske v. Gov’t Emps</w:t>
      </w:r>
      <w:r w:rsidR="003E32B5">
        <w:t>.</w:t>
      </w:r>
      <w:r>
        <w:t xml:space="preserve"> Ins. Co., </w:t>
      </w:r>
      <w:r w:rsidR="003E32B5" w:rsidRPr="003E32B5">
        <w:t>2022 BL 418813</w:t>
      </w:r>
      <w:r w:rsidR="003E32B5">
        <w:t xml:space="preserve">, </w:t>
      </w:r>
      <w:r w:rsidR="00C324DA" w:rsidRPr="00C324DA">
        <w:t xml:space="preserve">2022 WL 17127745 </w:t>
      </w:r>
      <w:r>
        <w:t xml:space="preserve">(E.D.N.Y. Nov. 22, 2022) (rejecting request to allow plaintiff’s counsel to have a website for submission of consent forms because the multiple methods of notice made it unnecessary); </w:t>
      </w:r>
      <w:r w:rsidRPr="00AD2F44">
        <w:t xml:space="preserve">Mark v. Gawker Media LLC, 2014 WL 4058417 (S.D.N.Y. Aug. 15, 2014) (notice permitted on two stand-alone websites). </w:t>
      </w:r>
      <w:r w:rsidRPr="00AD2F44">
        <w:rPr>
          <w:i/>
          <w:iCs/>
        </w:rPr>
        <w:t>But cf.</w:t>
      </w:r>
      <w:r w:rsidRPr="00AD2F44">
        <w:t xml:space="preserve"> Chang v. Jenny JN Nails, Inc., 2021 BL 501639, 2021 WL 6339641, at *4 (D. Conn. Sept. 28, 2021) (denying request to post notice on plaintiff’s counsel’s website because counsel did not affirm that it maintains “stand-alone website” for litigation).</w:t>
      </w:r>
    </w:p>
    <w:p w14:paraId="02BB082F" w14:textId="77777777" w:rsidR="00721CCF" w:rsidRPr="00AD2F44" w:rsidRDefault="00F42107">
      <w:pPr>
        <w:pStyle w:val="14Footnote"/>
      </w:pPr>
      <w:r w:rsidRPr="00AD2F44">
        <w:rPr>
          <w:i/>
          <w:iCs/>
        </w:rPr>
        <w:t>Fourth Circuit:</w:t>
      </w:r>
      <w:r w:rsidRPr="00AD2F44">
        <w:t xml:space="preserve"> </w:t>
      </w:r>
      <w:r w:rsidRPr="00AD2F44">
        <w:rPr>
          <w:i/>
          <w:iCs/>
        </w:rPr>
        <w:t>Mendoza</w:t>
      </w:r>
      <w:r w:rsidRPr="00AD2F44">
        <w:t>, 2016 WL 3440007 (ordering notice to be posted through website and court-approved Facebook notice).</w:t>
      </w:r>
    </w:p>
    <w:p w14:paraId="5C35A31A" w14:textId="77777777" w:rsidR="00721CCF" w:rsidRPr="00AD2F44" w:rsidRDefault="00F42107">
      <w:pPr>
        <w:pStyle w:val="14Footnote"/>
      </w:pPr>
      <w:r w:rsidRPr="00AD2F44">
        <w:rPr>
          <w:i/>
          <w:iCs/>
        </w:rPr>
        <w:t>Fifth Circuit:</w:t>
      </w:r>
      <w:r w:rsidRPr="00AD2F44">
        <w:t xml:space="preserve"> Nelson v. American Standard, Inc., 2008 WL 906324 (E.D. Tex. Mar. 31, 2008); </w:t>
      </w:r>
      <w:r w:rsidRPr="00AD2F44">
        <w:rPr>
          <w:i/>
          <w:iCs/>
        </w:rPr>
        <w:t>Lima</w:t>
      </w:r>
      <w:r w:rsidRPr="00AD2F44">
        <w:t>, 493 F. Supp. 2d 793.</w:t>
      </w:r>
    </w:p>
    <w:p w14:paraId="10BF06D9" w14:textId="77777777" w:rsidR="00721CCF" w:rsidRPr="00AD2F44" w:rsidRDefault="00F42107">
      <w:pPr>
        <w:pStyle w:val="14Footnote"/>
      </w:pPr>
      <w:r w:rsidRPr="00AD2F44">
        <w:rPr>
          <w:i/>
          <w:iCs/>
        </w:rPr>
        <w:t>Sixth Circuit:</w:t>
      </w:r>
      <w:r w:rsidRPr="00AD2F44">
        <w:t xml:space="preserve"> Lee v. Gab Telecom, Inc., 2013 WL 4041875 (E.D. Mich. Aug. 8, 2013).</w:t>
      </w:r>
    </w:p>
    <w:p w14:paraId="0B767A9E" w14:textId="4E5C9242" w:rsidR="00721CCF" w:rsidRPr="00AD2F44" w:rsidRDefault="00F42107">
      <w:pPr>
        <w:pStyle w:val="14Footnote"/>
      </w:pPr>
      <w:r w:rsidRPr="00AD2F44">
        <w:rPr>
          <w:i/>
          <w:iCs/>
        </w:rPr>
        <w:t>Seventh Circuit:</w:t>
      </w:r>
      <w:r w:rsidRPr="00AD2F44">
        <w:t xml:space="preserve"> </w:t>
      </w:r>
      <w:r>
        <w:t xml:space="preserve">Wilmoth v. Steak N Shake, </w:t>
      </w:r>
      <w:r w:rsidR="00EE5233" w:rsidRPr="00EE5233">
        <w:t>2022 BL 192705</w:t>
      </w:r>
      <w:r w:rsidR="00EE5233">
        <w:t xml:space="preserve">, </w:t>
      </w:r>
      <w:r w:rsidR="00C324DA" w:rsidRPr="00C324DA">
        <w:t xml:space="preserve">2022 WL 1913026 </w:t>
      </w:r>
      <w:r>
        <w:t xml:space="preserve">(S.D. Ind. June 3, 2022) (permitting notice via website); </w:t>
      </w:r>
      <w:r w:rsidRPr="00AD2F44">
        <w:t xml:space="preserve">Sjoblom v. Charter Commc’ns LLC, 2008 U.S. Dist. LEXIS 18369 (W.D. Wis. Mar. 4, 2008). </w:t>
      </w:r>
      <w:r w:rsidRPr="00AD2F44">
        <w:rPr>
          <w:i/>
          <w:iCs/>
        </w:rPr>
        <w:t>But cf</w:t>
      </w:r>
      <w:r w:rsidRPr="00AD2F44">
        <w:t>. Muir v. Guardian Heating &amp; Cooling Servs., Inc</w:t>
      </w:r>
      <w:r w:rsidRPr="00AD2F44">
        <w:rPr>
          <w:i/>
          <w:iCs/>
        </w:rPr>
        <w:t>.</w:t>
      </w:r>
      <w:r w:rsidRPr="00AD2F44">
        <w:t>, 2017 WL 959028 (N.D. Ill. Mar. 13, 2017) (rejecting notice via website and text message because plaintiffs cited no case law from circuit affirming this practice and plaintiffs provided no evidence that costs of providing notice via website and text message were justified).</w:t>
      </w:r>
    </w:p>
    <w:p w14:paraId="5B4AB353" w14:textId="77777777" w:rsidR="00721CCF" w:rsidRPr="00AD2F44" w:rsidRDefault="00F42107">
      <w:pPr>
        <w:pStyle w:val="14Footnote"/>
      </w:pPr>
      <w:r w:rsidRPr="00AD2F44">
        <w:rPr>
          <w:i/>
          <w:iCs/>
        </w:rPr>
        <w:t>Ninth Circuit:</w:t>
      </w:r>
      <w:r w:rsidRPr="00AD2F44">
        <w:t xml:space="preserve"> Wren v. RGIS Inventory Specialists, 2007 WL 4532218 (N.D. Cal. Dec. 19, 2007).</w:t>
      </w:r>
    </w:p>
    <w:p w14:paraId="5BCE4C45" w14:textId="24462D43" w:rsidR="00721CCF" w:rsidRPr="00AD2F44" w:rsidRDefault="00F42107">
      <w:pPr>
        <w:pStyle w:val="14Footnote"/>
      </w:pPr>
      <w:r w:rsidRPr="00AD2F44">
        <w:rPr>
          <w:i/>
          <w:iCs/>
        </w:rPr>
        <w:t>Tenth Circuit:</w:t>
      </w:r>
      <w:r w:rsidRPr="00AD2F44">
        <w:t xml:space="preserve"> Pinkston v. Wheatland Enters., Inc., 2013 WL 1191207, at *5 (D. Kan. Mar. 22, 2013).</w:t>
      </w:r>
      <w:r w:rsidRPr="00AD2F44">
        <w:rPr>
          <w:i/>
          <w:iCs/>
        </w:rPr>
        <w:t xml:space="preserve"> But cf</w:t>
      </w:r>
      <w:r w:rsidRPr="00AD2F44">
        <w:t>. Reab v. Electronic Arts, Inc., 214 F.R.D. 623 (D. Colo. 2002) (rejecting plaintiffs’ request to post notice on website).</w:t>
      </w:r>
    </w:p>
  </w:footnote>
  <w:footnote w:id="439">
    <w:p w14:paraId="1450DA19" w14:textId="77777777" w:rsidR="00721CCF" w:rsidRPr="00AD2F44" w:rsidRDefault="00F42107">
      <w:pPr>
        <w:pStyle w:val="14Footnote"/>
      </w:pPr>
      <w:r w:rsidRPr="00AD2F44">
        <w:rPr>
          <w:vertAlign w:val="superscript"/>
        </w:rPr>
        <w:footnoteRef/>
      </w:r>
      <w:r w:rsidRPr="00AD2F44">
        <w:rPr>
          <w:i/>
        </w:rPr>
        <w:t>Compare</w:t>
      </w:r>
    </w:p>
    <w:p w14:paraId="7CCB9B30" w14:textId="77777777" w:rsidR="00721CCF" w:rsidRPr="00AD2F44" w:rsidRDefault="00F42107">
      <w:pPr>
        <w:pStyle w:val="14Footnote"/>
      </w:pPr>
      <w:r w:rsidRPr="00AD2F44">
        <w:rPr>
          <w:i/>
          <w:iCs/>
        </w:rPr>
        <w:t>Third Circuit:</w:t>
      </w:r>
      <w:r w:rsidRPr="00AD2F44">
        <w:t xml:space="preserve"> Ritzer v. UBS Fin. Servs., Inc., 2008 WL 4372784, at *5 (D.N.J. Sept. 22, 2008) (requiring inclusion of notice with paycheck, and rejecting posting of notice on defendant’s premises);</w:t>
      </w:r>
    </w:p>
    <w:p w14:paraId="2A0D83CA" w14:textId="77777777" w:rsidR="00721CCF" w:rsidRPr="00AD2F44" w:rsidRDefault="00F42107">
      <w:pPr>
        <w:pStyle w:val="14Footnote"/>
        <w:rPr>
          <w:i/>
        </w:rPr>
      </w:pPr>
      <w:r w:rsidRPr="00AD2F44">
        <w:rPr>
          <w:i/>
          <w:iCs/>
        </w:rPr>
        <w:t>Sixth Circuit:</w:t>
      </w:r>
      <w:r w:rsidRPr="00AD2F44">
        <w:t xml:space="preserve"> Brown v. Consolidated Rest. Operations, Inc</w:t>
      </w:r>
      <w:r w:rsidRPr="00AD2F44">
        <w:rPr>
          <w:i/>
          <w:iCs/>
        </w:rPr>
        <w:t xml:space="preserve">., </w:t>
      </w:r>
      <w:r w:rsidRPr="00AD2F44">
        <w:t xml:space="preserve">2013 WL 4804780, at *7 (M.D. Tenn. Sept. 6, 2013) (same); </w:t>
      </w:r>
      <w:r w:rsidRPr="00AD2F44">
        <w:rPr>
          <w:i/>
        </w:rPr>
        <w:t>and</w:t>
      </w:r>
    </w:p>
    <w:p w14:paraId="63859FE4" w14:textId="77777777" w:rsidR="00721CCF" w:rsidRPr="00AD2F44" w:rsidRDefault="00F42107">
      <w:pPr>
        <w:pStyle w:val="14Footnote"/>
      </w:pPr>
      <w:r w:rsidRPr="00AD2F44">
        <w:rPr>
          <w:i/>
          <w:iCs/>
        </w:rPr>
        <w:t>Seventh Circuit:</w:t>
      </w:r>
      <w:r w:rsidRPr="00AD2F44">
        <w:t xml:space="preserve"> Curless v. Great Am. Real Food Fast, Inc., 280 F.R.D. 429, 437 (S.D. Ill. 2012) (ordering inclusion of notice with paycheck even though the check was not included in envelope);</w:t>
      </w:r>
    </w:p>
    <w:p w14:paraId="1853E0EC" w14:textId="77777777" w:rsidR="00721CCF" w:rsidRPr="00AD2F44" w:rsidRDefault="00F42107">
      <w:pPr>
        <w:pStyle w:val="14Footnote"/>
        <w:rPr>
          <w:i/>
          <w:iCs/>
        </w:rPr>
      </w:pPr>
      <w:r w:rsidRPr="00AD2F44">
        <w:rPr>
          <w:i/>
          <w:iCs/>
        </w:rPr>
        <w:t>with</w:t>
      </w:r>
    </w:p>
    <w:p w14:paraId="13E6EB90" w14:textId="52C4960D" w:rsidR="00721CCF" w:rsidRPr="00AD2F44" w:rsidRDefault="00F42107">
      <w:pPr>
        <w:pStyle w:val="14Footnote"/>
      </w:pPr>
      <w:r w:rsidRPr="00AD2F44">
        <w:rPr>
          <w:i/>
          <w:iCs/>
        </w:rPr>
        <w:t>Second Circuit:</w:t>
      </w:r>
      <w:r w:rsidRPr="00AD2F44">
        <w:t xml:space="preserve"> Chen v. Dun Huang Corp., 2021 BL 431002, 2021 WL 5234421, at *11 (S.D.N.Y. Nov. 8, 2021) (declining to require defendants to include notice in employees’ pay envelopes because it would suggest to workers “that the notice originates with the employer or that filling it out may actually be required or expected by the employer”) (citation omitted). </w:t>
      </w:r>
    </w:p>
    <w:p w14:paraId="64E87135" w14:textId="518C7164" w:rsidR="00721CCF" w:rsidRPr="00AD2F44" w:rsidRDefault="00F42107">
      <w:pPr>
        <w:pStyle w:val="14Footnote"/>
      </w:pPr>
      <w:r w:rsidRPr="00AD2F44">
        <w:rPr>
          <w:i/>
          <w:iCs/>
        </w:rPr>
        <w:t xml:space="preserve">Fourth Circuit: </w:t>
      </w:r>
      <w:r w:rsidRPr="00AD2F44">
        <w:t>Calderon v. GEICO Gen. Ins. Co., 2011 WL 98197, at *8 (D. Md. Jan. 12, 2011) (rejecting proposal to include notices with paychecks because it would be impractical given that paychecks are sealed documents and not included in envelopes, and it would be duplicative in any event);</w:t>
      </w:r>
    </w:p>
    <w:p w14:paraId="444BF64A" w14:textId="77777777" w:rsidR="00721CCF" w:rsidRPr="00AD2F44" w:rsidRDefault="00F42107">
      <w:pPr>
        <w:pStyle w:val="14Footnote"/>
      </w:pPr>
      <w:r w:rsidRPr="00AD2F44">
        <w:rPr>
          <w:i/>
          <w:iCs/>
        </w:rPr>
        <w:t>Seventh Circuit:</w:t>
      </w:r>
      <w:r w:rsidRPr="00AD2F44">
        <w:t xml:space="preserve"> Gonzalez v. J. Salerno &amp; Son, Inc., 2017 WL 2193248, at *7 (N.D. Ill. May 18, 2017) (denying plaintiffs’ request to place notices in payroll envelopes as it provided no “incremental benefit” to do so); Garcia v. Salamanca Group, Ltd., 2008 WL 818532 (N.D. Ill. Mar. 24, 2008) (refusing to order inclusion of notice in employees’ payroll envelopes on ground it was unnecessarily intrusive);</w:t>
      </w:r>
    </w:p>
    <w:p w14:paraId="31344E46" w14:textId="77777777" w:rsidR="00721CCF" w:rsidRPr="00AD2F44" w:rsidRDefault="00F42107">
      <w:pPr>
        <w:pStyle w:val="14Footnote"/>
      </w:pPr>
      <w:r w:rsidRPr="00AD2F44">
        <w:rPr>
          <w:i/>
          <w:iCs/>
        </w:rPr>
        <w:t>Eighth Circuit:</w:t>
      </w:r>
      <w:r w:rsidRPr="00AD2F44">
        <w:t xml:space="preserve"> Rhodes v. Truman Med. Ctr., Inc., 2014 WL 4722285 (W.D. Mo. Sept. 23, 2014) (denying notice through paychecks); </w:t>
      </w:r>
      <w:r w:rsidRPr="00AD2F44">
        <w:rPr>
          <w:i/>
          <w:iCs/>
        </w:rPr>
        <w:t>and</w:t>
      </w:r>
    </w:p>
    <w:p w14:paraId="3EABA1A8" w14:textId="670D65D8" w:rsidR="00721CCF" w:rsidRPr="00AD2F44" w:rsidRDefault="00F42107">
      <w:pPr>
        <w:pStyle w:val="14Footnote"/>
      </w:pPr>
      <w:r w:rsidRPr="00AD2F44">
        <w:rPr>
          <w:i/>
          <w:iCs/>
        </w:rPr>
        <w:t xml:space="preserve">Ninth Circuit: </w:t>
      </w:r>
      <w:r w:rsidRPr="00AD2F44">
        <w:t>Russell v. Wells Fargo &amp; Co., 2008 U.S. Dist. LEXIS 78771, at *14–15 (N.D. Cal. Sept. 3, 2008) (refusing to order that notice be distributed with paychecks where there was no evidence that first class mail was insufficient).</w:t>
      </w:r>
    </w:p>
  </w:footnote>
  <w:footnote w:id="440">
    <w:p w14:paraId="596575C8" w14:textId="77777777" w:rsidR="00721CCF" w:rsidRPr="00AD2F44" w:rsidRDefault="00F42107">
      <w:pPr>
        <w:pStyle w:val="14Footnote"/>
      </w:pPr>
      <w:r w:rsidRPr="00AD2F44">
        <w:rPr>
          <w:vertAlign w:val="superscript"/>
        </w:rPr>
        <w:footnoteRef/>
      </w:r>
      <w:r w:rsidRPr="00AD2F44">
        <w:rPr>
          <w:i/>
          <w:iCs/>
        </w:rPr>
        <w:t>Compare</w:t>
      </w:r>
      <w:r w:rsidRPr="00AD2F44">
        <w:t xml:space="preserve"> Cranney v. Carriage Servs., Inc., 2008 WL 608639 (D. Nev. Feb. 29, 2008) (ordering publication in next three issues of employee newsletter), </w:t>
      </w:r>
      <w:r w:rsidRPr="00AD2F44">
        <w:rPr>
          <w:i/>
          <w:iCs/>
        </w:rPr>
        <w:t>with</w:t>
      </w:r>
      <w:r w:rsidRPr="00AD2F44">
        <w:t xml:space="preserve"> Davis v. Westgate Planet Hollywood Las Vegas, LLC, 2009 WL 102735 (D. Nev. Jan. 12, 2009) (denying request to publish notice in newsletter), Rubery v. </w:t>
      </w:r>
      <w:r w:rsidRPr="00AD2F44">
        <w:t xml:space="preserve">Buth-Na-Bodhaige, Inc., 569 F. Supp. 2d 334 (W.D.N.Y. 2008) (finding electronic newsletter publication of proposed notice was not justified), </w:t>
      </w:r>
      <w:r w:rsidRPr="00AD2F44">
        <w:rPr>
          <w:i/>
          <w:iCs/>
        </w:rPr>
        <w:t>and</w:t>
      </w:r>
      <w:r w:rsidRPr="00AD2F44">
        <w:t xml:space="preserve"> Sherrill v. Sutherland Global Servs. Inc., 487 F. Supp. 2d 344, 351 (W.D.N.Y. 2007) (denying request to publish notice in company newsletter).</w:t>
      </w:r>
    </w:p>
  </w:footnote>
  <w:footnote w:id="441">
    <w:p w14:paraId="24646C00" w14:textId="77777777" w:rsidR="00721CCF" w:rsidRPr="00AD2F44" w:rsidRDefault="00F42107">
      <w:pPr>
        <w:pStyle w:val="14Footnote"/>
      </w:pPr>
      <w:r w:rsidRPr="00AD2F44">
        <w:rPr>
          <w:vertAlign w:val="superscript"/>
        </w:rPr>
        <w:footnoteRef/>
      </w:r>
      <w:r w:rsidRPr="00AD2F44">
        <w:rPr>
          <w:i/>
        </w:rPr>
        <w:t xml:space="preserve">See, e.g., </w:t>
      </w:r>
    </w:p>
    <w:p w14:paraId="3B8FF685" w14:textId="77777777" w:rsidR="00721CCF" w:rsidRPr="00AD2F44" w:rsidRDefault="00F42107">
      <w:pPr>
        <w:pStyle w:val="14Footnote"/>
      </w:pPr>
      <w:r w:rsidRPr="00AD2F44">
        <w:rPr>
          <w:i/>
          <w:iCs/>
        </w:rPr>
        <w:t>Second Circuit:</w:t>
      </w:r>
      <w:r w:rsidRPr="00AD2F44">
        <w:t xml:space="preserve"> </w:t>
      </w:r>
      <w:r w:rsidRPr="00AD2F44">
        <w:t xml:space="preserve">Dilonez v. Fox Linen Serv., Inc., 35 F. Supp. 3d 247 (E.D.N.Y. 2014) (approving publication of notice in Spanish language newspaper as being reasonably calculated to reach target audience); Gortat v. Capala Bros., 2010 WL 1423018, at *12 (E.D.N.Y. Apr. 9, 2010), </w:t>
      </w:r>
      <w:r w:rsidRPr="00AD2F44">
        <w:rPr>
          <w:i/>
          <w:iCs/>
        </w:rPr>
        <w:t xml:space="preserve">aff’d sub nom. </w:t>
      </w:r>
      <w:r w:rsidRPr="00AD2F44">
        <w:t>Gortat v. Capala Bros., Inc., 568 F. App’x 78 (2d Cir. 2014); Sipas v. Sammy’s Fishbox, Inc., 2006 WL 1084556 (S.D.N.Y. Apr. 24, 2006).</w:t>
      </w:r>
    </w:p>
    <w:p w14:paraId="1CF120D7" w14:textId="77777777" w:rsidR="00721CCF" w:rsidRPr="00AD2F44" w:rsidRDefault="00F42107">
      <w:pPr>
        <w:pStyle w:val="14Footnote"/>
      </w:pPr>
      <w:r w:rsidRPr="00AD2F44">
        <w:rPr>
          <w:i/>
          <w:iCs/>
        </w:rPr>
        <w:t>Fourth Circuit:</w:t>
      </w:r>
      <w:r w:rsidRPr="00AD2F44">
        <w:t xml:space="preserve"> Arevalo v. D.J.’s Underground, Inc., 2010 WL 4026112, at *3 (D. Md. Oct. 13, 2010) (permitting notice in Spanish-language paper and through Hispanic community organizations when opt-in rate was low and addresses had not been reliable); Montoya v. S.C.C.P. Painting Contractors, Inc., 2008 WL 554114 (D. Md. Feb. 26, 2008).</w:t>
      </w:r>
    </w:p>
    <w:p w14:paraId="69858762" w14:textId="77777777" w:rsidR="00721CCF" w:rsidRPr="00AD2F44" w:rsidRDefault="00F42107">
      <w:pPr>
        <w:pStyle w:val="14Footnote"/>
      </w:pPr>
      <w:r w:rsidRPr="00AD2F44">
        <w:rPr>
          <w:i/>
          <w:iCs/>
        </w:rPr>
        <w:t>Fifth Circuit:</w:t>
      </w:r>
      <w:r w:rsidRPr="00AD2F44">
        <w:t xml:space="preserve"> </w:t>
      </w:r>
      <w:r w:rsidRPr="00AD2F44">
        <w:rPr>
          <w:i/>
          <w:iCs/>
        </w:rPr>
        <w:t>Alford</w:t>
      </w:r>
      <w:r w:rsidRPr="00AD2F44">
        <w:t>,</w:t>
      </w:r>
      <w:r w:rsidRPr="00AD2F44">
        <w:rPr>
          <w:i/>
          <w:iCs/>
        </w:rPr>
        <w:t xml:space="preserve"> </w:t>
      </w:r>
      <w:r w:rsidRPr="00AD2F44">
        <w:t>2016 WL 8673858, at *7 (denying request to send notice by email but requiring defendant to provide email addresses for those putative class members for whom it did not have current address or for whom initial mailed notice was returned as undeliverable); Lima v. International Catastrophe Sols., Inc., 493 F. Supp. 2d 793 (E.D. La. 2007).</w:t>
      </w:r>
    </w:p>
    <w:p w14:paraId="42A7AC0B" w14:textId="77777777" w:rsidR="00721CCF" w:rsidRPr="00AD2F44" w:rsidRDefault="00F42107">
      <w:pPr>
        <w:pStyle w:val="14Footnote"/>
      </w:pPr>
      <w:r w:rsidRPr="00AD2F44">
        <w:rPr>
          <w:i/>
          <w:iCs/>
        </w:rPr>
        <w:t>Sixth Circuit:</w:t>
      </w:r>
      <w:r w:rsidRPr="00AD2F44">
        <w:t xml:space="preserve"> Sniffen v. Spectrum Indus. Servs., 2007 WL 1341772 (S.D. Ohio Feb. 13, 2007).</w:t>
      </w:r>
    </w:p>
    <w:p w14:paraId="357FFBFC" w14:textId="77777777" w:rsidR="00721CCF" w:rsidRPr="00AD2F44" w:rsidRDefault="00F42107">
      <w:pPr>
        <w:pStyle w:val="14Footnote"/>
      </w:pPr>
      <w:r w:rsidRPr="00AD2F44">
        <w:rPr>
          <w:i/>
          <w:iCs/>
        </w:rPr>
        <w:t>Seventh Circuit:</w:t>
      </w:r>
      <w:r w:rsidRPr="00AD2F44">
        <w:t xml:space="preserve"> Dekeyser v. Thyssenkrupp Waupaca, Inc., 2008 WL 5263750 (E.D. Wis. Dec. 18, 2008).</w:t>
      </w:r>
    </w:p>
    <w:p w14:paraId="09F2D229" w14:textId="77777777" w:rsidR="00721CCF" w:rsidRPr="00AD2F44" w:rsidRDefault="00F42107">
      <w:pPr>
        <w:pStyle w:val="14Footnote"/>
      </w:pPr>
      <w:r w:rsidRPr="00AD2F44">
        <w:rPr>
          <w:i/>
          <w:iCs/>
        </w:rPr>
        <w:t>Eighth Circuit:</w:t>
      </w:r>
      <w:r w:rsidRPr="00AD2F44">
        <w:t xml:space="preserve"> Wisnewski v. Champion Healthcare Corp., 2000 WL 1474414 (D.N.D. Jan. 11, 2000).</w:t>
      </w:r>
    </w:p>
    <w:p w14:paraId="437519AE" w14:textId="77777777" w:rsidR="00721CCF" w:rsidRPr="00AD2F44" w:rsidRDefault="00F42107">
      <w:pPr>
        <w:pStyle w:val="14Footnote"/>
      </w:pPr>
      <w:r w:rsidRPr="00AD2F44">
        <w:rPr>
          <w:i/>
          <w:iCs/>
        </w:rPr>
        <w:t>Ninth Circuit:</w:t>
      </w:r>
      <w:r w:rsidRPr="00AD2F44">
        <w:t xml:space="preserve"> Carillo v. Schneider Logistics, Inc., 2012 WL 556309, at *12–13, 18 WH Cases2d 1263 (C.D. Cal. Jan. 31, 2012) (permitting notice to be posted in local radio and news media in Spanish and English as well as with community organizations and in public locations such as transit stops, community centers, health and wellness centers, and with advocacy organizations, among others, because of transient nature of low wage workers), </w:t>
      </w:r>
      <w:r w:rsidRPr="00AD2F44">
        <w:rPr>
          <w:i/>
          <w:iCs/>
        </w:rPr>
        <w:t>aff’d</w:t>
      </w:r>
      <w:r w:rsidRPr="00AD2F44">
        <w:t>, 501 F. App’x 713 (9th Cir. 2012); Gomez v. H&amp;R Gunlund Ranches, Inc., 2010 WL 5232973, at *9–10 (E.D. Cal. Dec. 16, 2010) (permitting notice in “Spanish language media,” and rejecting objection that such notice would be unethical advertising); Romero v. Producers Dairy Foods, Inc., 235 F.R.D. 474, 492 (E.D. Cal. 2006) (noting that courts may order the use of postings, broadcast announcements, and publication to facilitate notice to putative class members).</w:t>
      </w:r>
    </w:p>
  </w:footnote>
  <w:footnote w:id="442">
    <w:p w14:paraId="7E66F72F" w14:textId="77777777" w:rsidR="00721CCF" w:rsidRPr="00AD2F44" w:rsidRDefault="00F42107">
      <w:pPr>
        <w:pStyle w:val="14Footnote"/>
      </w:pPr>
      <w:r w:rsidRPr="00AD2F44">
        <w:rPr>
          <w:vertAlign w:val="superscript"/>
        </w:rPr>
        <w:footnoteRef/>
      </w:r>
      <w:r w:rsidRPr="00AD2F44">
        <w:rPr>
          <w:i/>
          <w:iCs/>
        </w:rPr>
        <w:t>See, e.g.,</w:t>
      </w:r>
    </w:p>
    <w:p w14:paraId="4F25B125" w14:textId="77777777" w:rsidR="00721CCF" w:rsidRPr="00AD2F44" w:rsidRDefault="00F42107">
      <w:pPr>
        <w:pStyle w:val="14Footnote"/>
      </w:pPr>
      <w:r w:rsidRPr="00AD2F44">
        <w:rPr>
          <w:i/>
          <w:iCs/>
        </w:rPr>
        <w:t>Fourth Circuit:</w:t>
      </w:r>
      <w:r w:rsidRPr="00AD2F44">
        <w:t xml:space="preserve"> Montoya v. S.C.C.P. Painting Contractors, Inc., 2008 WL 554114 (D. Md. Feb. 26, 2008).</w:t>
      </w:r>
    </w:p>
    <w:p w14:paraId="7409C802" w14:textId="77777777" w:rsidR="00721CCF" w:rsidRPr="00AD2F44" w:rsidRDefault="00F42107">
      <w:pPr>
        <w:pStyle w:val="14Footnote"/>
      </w:pPr>
      <w:r w:rsidRPr="00AD2F44">
        <w:rPr>
          <w:i/>
          <w:iCs/>
        </w:rPr>
        <w:t>Fifth Circuit:</w:t>
      </w:r>
      <w:r w:rsidRPr="00AD2F44">
        <w:t xml:space="preserve"> </w:t>
      </w:r>
      <w:r w:rsidRPr="00AD2F44">
        <w:rPr>
          <w:i/>
          <w:iCs/>
        </w:rPr>
        <w:t>Lima</w:t>
      </w:r>
      <w:r w:rsidRPr="00AD2F44">
        <w:t>, 493 F. Supp. 2d</w:t>
      </w:r>
      <w:r w:rsidRPr="00AD2F44">
        <w:t xml:space="preserve"> 793.</w:t>
      </w:r>
    </w:p>
    <w:p w14:paraId="364AE053" w14:textId="1B7A31C3" w:rsidR="00721CCF" w:rsidRPr="00AD2F44" w:rsidRDefault="00F42107">
      <w:pPr>
        <w:pStyle w:val="14Footnote"/>
      </w:pPr>
      <w:r w:rsidRPr="00AD2F44">
        <w:rPr>
          <w:i/>
          <w:iCs/>
        </w:rPr>
        <w:t>Ninth Circuit:</w:t>
      </w:r>
      <w:r w:rsidRPr="00AD2F44">
        <w:t xml:space="preserve"> Adams v. Inter-Con Sec. Sys. Inc., 242 F.R.D. 530, 541 (N.D. Cal. 2007); Romero v. Producers Dairy Foods, Inc., 235 F.R.D. 474, 492 (E.D. Cal. 2006).</w:t>
      </w:r>
    </w:p>
  </w:footnote>
  <w:footnote w:id="443">
    <w:p w14:paraId="1B3B3443" w14:textId="47B5D64C" w:rsidR="00721CCF" w:rsidRPr="00AD2F44" w:rsidRDefault="00F42107">
      <w:pPr>
        <w:pStyle w:val="14Footnote"/>
      </w:pPr>
      <w:r w:rsidRPr="00AD2F44">
        <w:rPr>
          <w:vertAlign w:val="superscript"/>
        </w:rPr>
        <w:footnoteRef/>
      </w:r>
      <w:r w:rsidRPr="00AD2F44">
        <w:rPr>
          <w:i/>
          <w:iCs/>
        </w:rPr>
        <w:t xml:space="preserve">Fourth Circuit: </w:t>
      </w:r>
      <w:r w:rsidRPr="00AD2F44">
        <w:t xml:space="preserve">Goldston v. Ariel Cmty. Care, LLC, 2022 BL 148860, 2022 WL 1289673 (M.D.N.C. Apr. 29, 2022) (allowing notice sent via mail and email, but not by text, finding no special need for disclosing phone numbers, making text message request moot). </w:t>
      </w:r>
      <w:r w:rsidRPr="00AD2F44">
        <w:rPr>
          <w:i/>
          <w:iCs/>
        </w:rPr>
        <w:t xml:space="preserve">But see </w:t>
      </w:r>
      <w:r w:rsidRPr="00AD2F44">
        <w:t xml:space="preserve">Arevalo v. D.J.’s Underground, Inc., 2010 BL 242325, 2010 WL 4026112, at *2 (D. Md. Oct. 13, 2010) (refusing to permit telephone notice to putative class members despite low opt-in rate and research suggesting addresses were inaccurate; plaintiffs did not show “special need” required for allowing contact by telephone). </w:t>
      </w:r>
    </w:p>
    <w:p w14:paraId="5DD36D4D" w14:textId="77777777" w:rsidR="00721CCF" w:rsidRPr="00AD2F44" w:rsidRDefault="00F42107">
      <w:pPr>
        <w:pStyle w:val="14Footnote"/>
      </w:pPr>
      <w:r w:rsidRPr="00AD2F44">
        <w:rPr>
          <w:i/>
          <w:iCs/>
        </w:rPr>
        <w:t xml:space="preserve">Fifth Circuit: </w:t>
      </w:r>
      <w:r w:rsidRPr="00AD2F44">
        <w:t>Ferguson v. Texas Farm Bureau Bus. Corp., 2017 WL 7053928, at *9 (W.D. Tex. Dec. 11, 2017) (holding that, to extent defendants are unable to provide email addresses, defendants must produce telephone numbers instead and plaintiffs may call potential class members for sole purpose of ensuring their receipt of notice and consent form).</w:t>
      </w:r>
    </w:p>
    <w:p w14:paraId="718CA3B2" w14:textId="31EF501D" w:rsidR="00721CCF" w:rsidRPr="00AD2F44" w:rsidRDefault="00F42107">
      <w:pPr>
        <w:pStyle w:val="14Footnote"/>
      </w:pPr>
      <w:r w:rsidRPr="00AD2F44">
        <w:rPr>
          <w:i/>
          <w:iCs/>
        </w:rPr>
        <w:t xml:space="preserve">Seventh Circuit: </w:t>
      </w:r>
      <w:r w:rsidRPr="00AD2F44">
        <w:t>Espenscheid v. Direct</w:t>
      </w:r>
      <w:r w:rsidRPr="00AD2F44">
        <w:rPr>
          <w:caps/>
        </w:rPr>
        <w:t>sat</w:t>
      </w:r>
      <w:r w:rsidRPr="00AD2F44">
        <w:t xml:space="preserve"> USA, LLC, 2010 WL 2330309, at *15 (W.D. Wis. June 7, 2010) (allowing use of telephone contact for notice, with “court-approved script,” if other methods of notice first prove unsuccessful). </w:t>
      </w:r>
    </w:p>
  </w:footnote>
  <w:footnote w:id="444">
    <w:p w14:paraId="3B70D1CF" w14:textId="7B77D250" w:rsidR="00721CCF" w:rsidRPr="008017B6" w:rsidRDefault="00F42107">
      <w:pPr>
        <w:pStyle w:val="14Footnote"/>
        <w:rPr>
          <w:iCs/>
        </w:rPr>
      </w:pPr>
      <w:r w:rsidRPr="00AD2F44">
        <w:rPr>
          <w:rStyle w:val="FootnoteReference"/>
        </w:rPr>
        <w:footnoteRef/>
      </w:r>
      <w:r w:rsidRPr="00AD2F44">
        <w:t xml:space="preserve">Courts are split on the use of social media. </w:t>
      </w:r>
      <w:r w:rsidRPr="00AD2F44">
        <w:rPr>
          <w:i/>
        </w:rPr>
        <w:t xml:space="preserve">Compare </w:t>
      </w:r>
      <w:r w:rsidRPr="002F69CA">
        <w:rPr>
          <w:iCs/>
        </w:rPr>
        <w:t xml:space="preserve">King v. Voyager 888, LLC, </w:t>
      </w:r>
      <w:r w:rsidR="008017B6" w:rsidRPr="008017B6">
        <w:rPr>
          <w:iCs/>
        </w:rPr>
        <w:t>2022 BL 271656</w:t>
      </w:r>
      <w:r w:rsidR="008017B6">
        <w:rPr>
          <w:iCs/>
        </w:rPr>
        <w:t xml:space="preserve">, </w:t>
      </w:r>
      <w:r w:rsidRPr="002F69CA">
        <w:rPr>
          <w:iCs/>
        </w:rPr>
        <w:t>2022 WL 3098783, at *6 (D.D.C. Aug. 1, 2022)</w:t>
      </w:r>
      <w:r>
        <w:rPr>
          <w:iCs/>
        </w:rPr>
        <w:t xml:space="preserve"> (ordering production of social media account information (Facebook, Instagram, WhatsApp, and Twitter) and permitting distribution of notice via those channels); </w:t>
      </w:r>
      <w:r w:rsidRPr="00AD2F44">
        <w:rPr>
          <w:iCs/>
        </w:rPr>
        <w:t xml:space="preserve">Carranza v. VBFS, Inc., 2021 BL 122750, 2021 WL 1233546 (S.D.N.Y. Apr. 2, 2021) (allowing notice dissemination on personalized social media chat (including </w:t>
      </w:r>
      <w:r w:rsidRPr="00AD2F44">
        <w:rPr>
          <w:iCs/>
        </w:rPr>
        <w:t>What’sApp, Facebook, and WeChat) given limited other contact information possessed by defendants, but not general posting of notice to social media groups); Ke v. JR Sushi 2 Inc., 2021 BL 13953, 2021 WL 148751 (S.D.N.Y. Jan. 15, 2021);</w:t>
      </w:r>
      <w:r w:rsidRPr="00AD2F44">
        <w:rPr>
          <w:b/>
          <w:bCs/>
          <w:iCs/>
        </w:rPr>
        <w:t xml:space="preserve"> </w:t>
      </w:r>
      <w:r w:rsidRPr="00AD2F44">
        <w:t xml:space="preserve">Qiang Lu v. Purple Sushi Inc., 447 F. Supp. 3d 89, 97 (S.D.N.Y. 2020) (granting plaintiffs’ request to disseminate notice on social media, as well as requiring employer to produce putative collective members’ social media information, including WhatsApp, WeChat, and Facebook, noting that some putative collective members may lack phone numbers or stable addresses); McCoy v. Transdev Servs., Inc., 2020 WL 2319117, at *8 (D. Md. May 11, 2020) (allowing dissemination of notice through private messaging on Facebook), </w:t>
      </w:r>
      <w:r w:rsidRPr="00AD2F44">
        <w:rPr>
          <w:i/>
        </w:rPr>
        <w:t xml:space="preserve">with </w:t>
      </w:r>
      <w:r w:rsidRPr="00AD2F44">
        <w:rPr>
          <w:iCs/>
        </w:rPr>
        <w:t xml:space="preserve">Aleman-Valdivia v. Top Dog Plumbing &amp; Heating Corp., 2021 BL 374247, 2021 WL 4502479 (E.D.N.Y. Sept. 30, 2021) (denying request for distribution on social media services because plaintiff failed to demonstrate need beyond mail, email, text message, and WhatsApp given its similarity to text messaging); </w:t>
      </w:r>
      <w:r w:rsidRPr="00AD2F44">
        <w:t xml:space="preserve">Qian Xiong Lin v. DJ’s Int’l Buffet Inc., 2019 WL 5842798, at *5 (E.D.N.Y. Nov. 7, 2019) (denying request to post notice on social media and websites because it was “overbroad and not likely to materially improve the chances of notice” and could prejudice defendants) (citation omitted); Cervantez v. TDT Consulting, LLC, 2019 WL 3948355, at *10 (N.D. Tex. July 22, 2019) (recommending against notice distribution by Facebook or LinkedIn where plaintiff had “not shown that any of the other proposed methods [first-class mail, email, text, posting at workplace, posting online on website, and inclusion in employee paychecks] were insufficient to necessitate the need for social media”). </w:t>
      </w:r>
    </w:p>
  </w:footnote>
  <w:footnote w:id="445">
    <w:p w14:paraId="722DCCA3" w14:textId="77777777" w:rsidR="00721CCF" w:rsidRPr="00AD2F44" w:rsidRDefault="00F42107">
      <w:pPr>
        <w:pStyle w:val="14Footnote"/>
      </w:pPr>
      <w:r w:rsidRPr="00AD2F44">
        <w:rPr>
          <w:vertAlign w:val="superscript"/>
        </w:rPr>
        <w:footnoteRef/>
      </w:r>
      <w:r w:rsidRPr="00AD2F44">
        <w:rPr>
          <w:i/>
          <w:iCs/>
        </w:rPr>
        <w:t>Lima</w:t>
      </w:r>
      <w:r w:rsidRPr="00AD2F44">
        <w:t>, 493 F. Supp. 2d 793.</w:t>
      </w:r>
    </w:p>
  </w:footnote>
  <w:footnote w:id="446">
    <w:p w14:paraId="62106C45" w14:textId="77777777" w:rsidR="00721CCF" w:rsidRPr="00AD2F44" w:rsidRDefault="00F42107">
      <w:pPr>
        <w:pStyle w:val="14Footnote"/>
      </w:pPr>
      <w:r w:rsidRPr="00AD2F44">
        <w:rPr>
          <w:vertAlign w:val="superscript"/>
        </w:rPr>
        <w:footnoteRef/>
      </w:r>
      <w:r w:rsidRPr="00AD2F44">
        <w:rPr>
          <w:i/>
          <w:iCs/>
        </w:rPr>
        <w:t>See, e.g.,</w:t>
      </w:r>
    </w:p>
    <w:p w14:paraId="2B167201" w14:textId="77777777" w:rsidR="00721CCF" w:rsidRPr="00AD2F44" w:rsidRDefault="00F42107">
      <w:pPr>
        <w:pStyle w:val="14Footnote"/>
      </w:pPr>
      <w:r w:rsidRPr="00AD2F44">
        <w:rPr>
          <w:i/>
          <w:iCs/>
        </w:rPr>
        <w:t>Second Circuit:</w:t>
      </w:r>
      <w:r w:rsidRPr="00AD2F44">
        <w:t xml:space="preserve"> Macpherson v. Firth Rixson Ltd., 2012 WL 2522881, at *5 (W.D.N.Y. June 28, 2012) (denying plaintiff’s request to have defendants email notices to their employees and refusing to allow notice posted at worksites or in employee newsletters); Rubery v. </w:t>
      </w:r>
      <w:r w:rsidRPr="00AD2F44">
        <w:t>Buth-Na-Bodhaige, Inc., 569 F. Supp. 2d 334 (W.D.N.Y. 2008); Karvaly v. eBay, Inc., 245 F.R.D. 71, 91 (E.D.N.Y. 2007) (“[T]he Court is not persuaded that notice to Eligible Class Members by electronic mail, though clearly more convenient and less expensive for the parties, is an adequate substitute for the traditional method of notifying prospective class members by first-class mail.”); Sherrill v. Sutherland Global Servs. Inc., 487 F. Supp. 2d 344 (W.D.N.Y. 2007).</w:t>
      </w:r>
    </w:p>
    <w:p w14:paraId="17204929" w14:textId="77777777" w:rsidR="00721CCF" w:rsidRPr="00AD2F44" w:rsidRDefault="00F42107">
      <w:pPr>
        <w:pStyle w:val="14Footnote"/>
      </w:pPr>
      <w:r w:rsidRPr="00AD2F44">
        <w:rPr>
          <w:i/>
          <w:iCs/>
        </w:rPr>
        <w:t>Sixth Circuit:</w:t>
      </w:r>
      <w:r w:rsidRPr="00AD2F44">
        <w:t xml:space="preserve"> Fairfax v. Hogan Transp. Equip., Inc., 2017 WL 4349035, at *8 (S.D. Ohio Sept. 29, 2017) (denying request to send notice by email until plaintiffs make showing that first class mail is ineffective).</w:t>
      </w:r>
    </w:p>
    <w:p w14:paraId="4CA37798" w14:textId="77777777" w:rsidR="00721CCF" w:rsidRPr="00AD2F44" w:rsidRDefault="00F42107">
      <w:pPr>
        <w:pStyle w:val="14Footnote"/>
      </w:pPr>
      <w:r w:rsidRPr="00AD2F44">
        <w:rPr>
          <w:i/>
          <w:iCs/>
        </w:rPr>
        <w:t>Eighth Circuit</w:t>
      </w:r>
      <w:r w:rsidRPr="00AD2F44">
        <w:t xml:space="preserve">: Brown v. Trinity Prop. Mgmt., LLC, 2019 WL 6834018 (E.D. Ark. Dec. 13, 2019) (denying request to send notice by email as undue violation of privacy and pressure to join). </w:t>
      </w:r>
    </w:p>
    <w:p w14:paraId="362FE9EC" w14:textId="37C5FB53" w:rsidR="00721CCF" w:rsidRPr="00AD2F44" w:rsidRDefault="00F42107">
      <w:pPr>
        <w:pStyle w:val="14Footnote"/>
      </w:pPr>
      <w:r w:rsidRPr="00AD2F44">
        <w:rPr>
          <w:i/>
          <w:iCs/>
        </w:rPr>
        <w:t>Tenth Circuit:</w:t>
      </w:r>
      <w:r w:rsidRPr="00AD2F44">
        <w:t xml:space="preserve"> Clayton v. Velociti, Inc., 2009 WL 304190, at *3 (D. Kan. Feb. 9, 2009) (holding that emailing notice is “impracticable, burdensome, and may confuse or mislead potential class members”); Reab v. Electronic Arts, Inc., 214 F.R.D. 623, 631 (D. Colo. 2002) (“First class mail ensures, at the outset, that the appropriately targeted audience receives the intended notification and maximizes the integrity of the notice process.”).</w:t>
      </w:r>
    </w:p>
  </w:footnote>
  <w:footnote w:id="447">
    <w:p w14:paraId="672DC532" w14:textId="77777777" w:rsidR="00721CCF" w:rsidRPr="00AD2F44" w:rsidRDefault="00F42107">
      <w:pPr>
        <w:pStyle w:val="14Footnote"/>
      </w:pPr>
      <w:r w:rsidRPr="00AD2F44">
        <w:rPr>
          <w:vertAlign w:val="superscript"/>
        </w:rPr>
        <w:footnoteRef/>
      </w:r>
      <w:r w:rsidRPr="00AD2F44">
        <w:rPr>
          <w:i/>
          <w:iCs/>
        </w:rPr>
        <w:t>See, e.g.,</w:t>
      </w:r>
    </w:p>
    <w:p w14:paraId="61F2ED6C" w14:textId="5063D71A" w:rsidR="00721CCF" w:rsidRPr="00AD2F44" w:rsidRDefault="00F42107">
      <w:pPr>
        <w:pStyle w:val="14Footnote"/>
      </w:pPr>
      <w:r w:rsidRPr="00AD2F44">
        <w:rPr>
          <w:i/>
          <w:iCs/>
        </w:rPr>
        <w:t>Second Circuit:</w:t>
      </w:r>
      <w:r w:rsidRPr="00AD2F44">
        <w:t xml:space="preserve"> </w:t>
      </w:r>
      <w:r>
        <w:t xml:space="preserve">Zimnicki v. Krysiak Constr. Corp., </w:t>
      </w:r>
      <w:r w:rsidR="00625A14" w:rsidRPr="00846456">
        <w:t>2022 BL 459417</w:t>
      </w:r>
      <w:r w:rsidR="00625A14">
        <w:t xml:space="preserve">, </w:t>
      </w:r>
      <w:r w:rsidR="00C324DA" w:rsidRPr="00C324DA">
        <w:t xml:space="preserve">2022 WL 17820139 </w:t>
      </w:r>
      <w:r>
        <w:t>(E.D.N.Y.</w:t>
      </w:r>
      <w:r>
        <w:t xml:space="preserve"> Sept. 27, 2022); </w:t>
      </w:r>
      <w:r w:rsidRPr="00AD2F44">
        <w:t>Michael v. Bloomberg LP, 2015 WL 1810157 (S.D.N.Y. Apr. 17, 2015); Velasquez v. Digital Page, Inc., 2014 WL 2048425, at *15 (E.D.N.Y. May 19, 2014); Pippins v. KPMG, LLP, 2012 WL 19379, at *16 (S.D.N.Y. Jan. 3, 2012); Hallissey v. America Online, Inc., 2008 WL 465112 (S.D.N.Y. Feb. 19, 2008).</w:t>
      </w:r>
    </w:p>
    <w:p w14:paraId="3F8B3568" w14:textId="213FD438" w:rsidR="00721CCF" w:rsidRPr="00AD2F44" w:rsidRDefault="00F42107">
      <w:pPr>
        <w:pStyle w:val="14Footnote"/>
      </w:pPr>
      <w:r w:rsidRPr="00AD2F44">
        <w:rPr>
          <w:i/>
          <w:iCs/>
        </w:rPr>
        <w:t xml:space="preserve">Third Circuit: </w:t>
      </w:r>
      <w:r>
        <w:t xml:space="preserve">Weinmann v. Cont. Land Staff, LLC, </w:t>
      </w:r>
      <w:r w:rsidR="001A0800" w:rsidRPr="001A0800">
        <w:t>2023 BL 200591</w:t>
      </w:r>
      <w:r w:rsidR="001A0800">
        <w:t xml:space="preserve">, </w:t>
      </w:r>
      <w:r w:rsidR="00C324DA" w:rsidRPr="00C324DA">
        <w:t xml:space="preserve">2023 WL 3881394 </w:t>
      </w:r>
      <w:r>
        <w:t xml:space="preserve">(W.D. Pa. June 8, 2023) (allowing email notice and citing cases); </w:t>
      </w:r>
      <w:r w:rsidRPr="00AD2F44">
        <w:t>Bland v. Calfrac Well Servs. Corp., 2013 WL 4054594 (W.D. Pa. Aug. 12, 2013).</w:t>
      </w:r>
    </w:p>
    <w:p w14:paraId="5A8CA335" w14:textId="77777777" w:rsidR="00721CCF" w:rsidRPr="00AD2F44" w:rsidRDefault="00F42107">
      <w:pPr>
        <w:pStyle w:val="14Footnote"/>
      </w:pPr>
      <w:r w:rsidRPr="00AD2F44">
        <w:rPr>
          <w:i/>
          <w:iCs/>
        </w:rPr>
        <w:t>Fifth Circuit:</w:t>
      </w:r>
      <w:r w:rsidRPr="00AD2F44">
        <w:t xml:space="preserve"> Hobbs v. Cable Mktg. &amp; Installation, 290 F. Supp. 3d 589, 598 (E.D. La. 2018) (ordering notice by email); White v. Integrated Elec. Techs., Inc., 2013 WL 2903070, at *9 (E.D. La. June 13, 2013); McCarragher v. Ryland Grp., Inc., 2012 WL 4857575, at *6 (S.D. Tex. Oct. 11, 2012); Beall v. Tyler Techs., Inc., 2009 WL 3064689, at *1 (E.D. Tex. 2009) (court granted class notice via email and later compelled the employer to produce all email addresses, both personal and work).</w:t>
      </w:r>
    </w:p>
    <w:p w14:paraId="605E0C95" w14:textId="77777777" w:rsidR="00721CCF" w:rsidRPr="00AD2F44" w:rsidRDefault="00F42107">
      <w:pPr>
        <w:pStyle w:val="14Footnote"/>
      </w:pPr>
      <w:r w:rsidRPr="00AD2F44">
        <w:rPr>
          <w:i/>
          <w:iCs/>
        </w:rPr>
        <w:t>Sixth Circuit:</w:t>
      </w:r>
      <w:r w:rsidRPr="00AD2F44">
        <w:t xml:space="preserve"> Williams v. King Bee Delivery, LLC, 2017 WL 987452 (E.D. Ky. Mar. 14, 2017) (permitting email and first class notice to former employees but only first-class mail to current employees, and ordering that notice and consent form sent with email be sent as PDF attachment so that notice would not be distorted or otherwise altered); Kutzback v. LMS Intellibound LLC, 2014 WL 7187006 (W.D. Tenn. Dec. 16, 2014) (email notice permitted); O’Neal v. Emery Fed. Credit Union, 2014 WL 842948 (S.D. Ohio Mar. 4, 2014) (plaintiff was ordered to transmit an agreed-upon and court-approved notice to the current and former loan officers via mail and email); Lutz v. Huntington Bancshares Inc., 2013 WL 1703361, at *7 (S.D. Ohio Apr. 19, 2013) (denying plaintiffs’ request for phone and Social Security numbers, finding that email and first-class mail notice constituted “reasonable” notice, noting that courts generally allow only one form of notice unless others are shown necessary).</w:t>
      </w:r>
    </w:p>
    <w:p w14:paraId="1315924A" w14:textId="7A4E540B" w:rsidR="00721CCF" w:rsidRPr="00AD2F44" w:rsidRDefault="00F42107">
      <w:pPr>
        <w:pStyle w:val="14Footnote"/>
      </w:pPr>
      <w:r w:rsidRPr="00AD2F44">
        <w:rPr>
          <w:i/>
          <w:iCs/>
        </w:rPr>
        <w:t>Seventh Circuit:</w:t>
      </w:r>
      <w:r w:rsidRPr="00AD2F44">
        <w:t xml:space="preserve"> </w:t>
      </w:r>
      <w:r>
        <w:t xml:space="preserve">Wilmoth v. Steak N Shake, </w:t>
      </w:r>
      <w:r w:rsidR="00EE5233" w:rsidRPr="00EE5233">
        <w:t>2022 BL 192705</w:t>
      </w:r>
      <w:r w:rsidR="00EE5233">
        <w:t xml:space="preserve">, </w:t>
      </w:r>
      <w:r w:rsidR="00C324DA" w:rsidRPr="00C324DA">
        <w:t>2022 WL 1913026</w:t>
      </w:r>
      <w:r>
        <w:t>, at *</w:t>
      </w:r>
      <w:r w:rsidR="002B3C15">
        <w:t>5</w:t>
      </w:r>
      <w:r>
        <w:t xml:space="preserve"> (S.D. Ind. June 3, 2022) (explaining that notice via email had become “ubiquitous in this District”); </w:t>
      </w:r>
      <w:r w:rsidRPr="00AD2F44">
        <w:t>Muir v. Guardian Heating &amp; Cooling Servs., 2017 WL 959028 (N.D. Ill. Mar. 13, 2017) (required that notice be sent in email as PDF attachment and not in body of email to avoid modification and redistribution); Boltinghouse v. Abbott Labs., Inc.,</w:t>
      </w:r>
      <w:r w:rsidRPr="00AD2F44">
        <w:rPr>
          <w:i/>
          <w:iCs/>
        </w:rPr>
        <w:t xml:space="preserve"> </w:t>
      </w:r>
      <w:r w:rsidRPr="00AD2F44">
        <w:t>196 F. Supp. 3d 838 (N.D. Ill. 2016) (permitting notice by email but requiring notice to be in PDF attachment to minimize risk of improper modification); Kelly v. Bank of Am., N.A., 2011 WL 7718421, at *2 (N.D. Ill. Sept. 23, 2011).</w:t>
      </w:r>
    </w:p>
    <w:p w14:paraId="3D99D269" w14:textId="77777777" w:rsidR="00721CCF" w:rsidRPr="00AD2F44" w:rsidRDefault="00F42107">
      <w:pPr>
        <w:pStyle w:val="14Footnote"/>
      </w:pPr>
      <w:r w:rsidRPr="00AD2F44">
        <w:rPr>
          <w:i/>
          <w:iCs/>
        </w:rPr>
        <w:t>Eighth Circuit:</w:t>
      </w:r>
      <w:r w:rsidRPr="00AD2F44">
        <w:t xml:space="preserve"> Hussein v. Capital Bldg. Servs. Grp., Inc., 152 F. Supp. 3d 1182, 1198 (D. Minn. 2015) (permitting notice by, among other methods, email); Rhodes v. Truman Med. Ctr., Inc., 2014 WL 4722285, at *5 (W.D. Mo. Sept. 23, 2014) (authorizing notice by email); Nobles v. State Farm Mut. Auto. Ins. Co., 2011 WL 3794021, at *10 (W.D. Mo. Aug. 25, 2011); Perrin v. Papa John’s Int’l, Inc., 2011 WL 4815246, at *4 (E.D. Mo. Oct. 11, 2011) (permitting notice distribution by email).</w:t>
      </w:r>
    </w:p>
    <w:p w14:paraId="5129E275" w14:textId="77777777" w:rsidR="00721CCF" w:rsidRPr="00AD2F44" w:rsidRDefault="00F42107">
      <w:pPr>
        <w:pStyle w:val="14Footnote"/>
      </w:pPr>
      <w:r w:rsidRPr="00AD2F44">
        <w:rPr>
          <w:i/>
          <w:iCs/>
        </w:rPr>
        <w:t>Ninth Circuit:</w:t>
      </w:r>
      <w:r w:rsidRPr="00AD2F44">
        <w:t xml:space="preserve"> Bazzell v. Body Contour Ctrs., LLC, 2016 WL 3655274, at *7 (W.D. Wash. July 8, 2016) (granting plaintiffs’ request to send notice via email, finding that “[e]mail is no longer novel but a routine and critical form of communication”); Benedict v. Hewlett-Packard Co., 2014 WL 587135 (N.D. Cal. Feb. 13, 2014) (recognizing that federal courts routinely approve the production of email addresses and telephone numbers with other contact information to ensure that notice is effectuated); Santiago v. Amdocs, Inc., 2011 WL 6372348, at *8 (N.D. Cal. Dec. 19, 2011); Phelps v. MC Commc’ns, Inc., 2011 WL 3298414, at *6 (D. Nev. Aug. 1, 2011) (permitting notice distribution by email sent by plaintiff and not sent by defendant as plaintiff initially requested); Schemkes v. Presidential Limousine, Inc., 2011 WL 868182, at *4–5 (D. Nev. Mar. 10, 2011) (permitting email notice in light of “current housing situation in Las Vegas” and fact that many potential class members no longer reside at current addresses, noting that email would be less intrusive than phone contact); Lewis v. Wells Fargo &amp; Co</w:t>
      </w:r>
      <w:r w:rsidRPr="00AD2F44">
        <w:rPr>
          <w:i/>
          <w:iCs/>
        </w:rPr>
        <w:t>.,</w:t>
      </w:r>
      <w:r w:rsidRPr="00AD2F44">
        <w:t xml:space="preserve"> 669 F. Supp. 2d 1124 (N.D. Cal. 2009);</w:t>
      </w:r>
      <w:r w:rsidRPr="00AD2F44">
        <w:rPr>
          <w:i/>
          <w:iCs/>
        </w:rPr>
        <w:t xml:space="preserve"> </w:t>
      </w:r>
      <w:r w:rsidRPr="00AD2F44">
        <w:t>Davis v. Westgate Planet Hollywood Las Vegas, LLC, 2009 WL 102735, at *15 (D. Nev. Jan. 12, 2009) (granting circulation of class notice via both U.S. mail and email);</w:t>
      </w:r>
      <w:r w:rsidRPr="00AD2F44">
        <w:rPr>
          <w:i/>
          <w:iCs/>
        </w:rPr>
        <w:t xml:space="preserve"> </w:t>
      </w:r>
      <w:r w:rsidRPr="00AD2F44">
        <w:t>Cranney v. Carriage Servs., Inc., 2008 WL 608639, at *5 (D. Nev. Feb. 29, 2008).</w:t>
      </w:r>
    </w:p>
    <w:p w14:paraId="4EE173F3" w14:textId="77777777" w:rsidR="00721CCF" w:rsidRPr="00AD2F44" w:rsidRDefault="00F42107">
      <w:pPr>
        <w:pStyle w:val="14Footnote"/>
      </w:pPr>
      <w:r w:rsidRPr="00AD2F44">
        <w:rPr>
          <w:i/>
          <w:iCs/>
        </w:rPr>
        <w:t>Eleventh Circuit:</w:t>
      </w:r>
      <w:r w:rsidRPr="00AD2F44">
        <w:t xml:space="preserve"> Palma v. Metro PCS Wireless, Inc., 2013 WL 6836535, at *3 (M.D. Fla. Dec. 26, 2013) (finding “email an inexpensive and appropriate means of delivering notice of an action to a class.”); Alequin v. Darden Rests., Inc., 2013 U.S. Dist. LEXIS 108341 (S.D. Fla. July 31, 2013). </w:t>
      </w:r>
    </w:p>
  </w:footnote>
  <w:footnote w:id="448">
    <w:p w14:paraId="3A2A1C20" w14:textId="77777777" w:rsidR="00721CCF" w:rsidRPr="00AD2F44" w:rsidRDefault="00F42107">
      <w:pPr>
        <w:pStyle w:val="14Footnote"/>
      </w:pPr>
      <w:r w:rsidRPr="00AD2F44">
        <w:rPr>
          <w:vertAlign w:val="superscript"/>
        </w:rPr>
        <w:footnoteRef/>
      </w:r>
      <w:r w:rsidRPr="00AD2F44">
        <w:t>White v. Integrated Elec. Techs., Inc., 2013 WL 2903070 (E.D. La. June 13, 2013) (given the technical sophistication of the putative members, the court approved plaintiffs’ requests to the send notice twice by email, in addition to first-class mail).</w:t>
      </w:r>
    </w:p>
  </w:footnote>
  <w:footnote w:id="449">
    <w:p w14:paraId="7C85D236" w14:textId="77777777" w:rsidR="00721CCF" w:rsidRPr="00AD2F44" w:rsidRDefault="00F42107">
      <w:pPr>
        <w:pStyle w:val="14Footnote"/>
      </w:pPr>
      <w:r w:rsidRPr="00AD2F44">
        <w:rPr>
          <w:vertAlign w:val="superscript"/>
        </w:rPr>
        <w:footnoteRef/>
      </w:r>
      <w:r w:rsidRPr="00AD2F44">
        <w:rPr>
          <w:i/>
        </w:rPr>
        <w:t xml:space="preserve">See </w:t>
      </w:r>
    </w:p>
    <w:p w14:paraId="34DE529C" w14:textId="2304BE7C" w:rsidR="00721CCF" w:rsidRDefault="00F42107">
      <w:pPr>
        <w:pStyle w:val="14Footnote"/>
      </w:pPr>
      <w:r w:rsidRPr="00AD2F44">
        <w:rPr>
          <w:i/>
          <w:iCs/>
        </w:rPr>
        <w:t>Second Circuit:</w:t>
      </w:r>
      <w:r w:rsidRPr="00AD2F44">
        <w:t xml:space="preserve"> </w:t>
      </w:r>
      <w:r>
        <w:t>Rieske v. Gov’t Emps</w:t>
      </w:r>
      <w:r w:rsidR="003E32B5">
        <w:t>.</w:t>
      </w:r>
      <w:r>
        <w:t xml:space="preserve"> Ins. Co., </w:t>
      </w:r>
      <w:r w:rsidR="003E32B5" w:rsidRPr="003E32B5">
        <w:t>2022 BL 418813</w:t>
      </w:r>
      <w:r w:rsidR="003E32B5">
        <w:t xml:space="preserve">, </w:t>
      </w:r>
      <w:r w:rsidR="002B3C15" w:rsidRPr="002B3C15">
        <w:t xml:space="preserve">2022 WL 17127745 </w:t>
      </w:r>
      <w:r>
        <w:t xml:space="preserve">(E.D.N.Y. Nov. 22, 2022) (permitting text message notice given expansion of remote work during COVID-19 and the nature of the employees’ work as insurance adjusters in the field); </w:t>
      </w:r>
      <w:r w:rsidRPr="00AD2F44">
        <w:t xml:space="preserve">Cabrera v. Stephens, 2017 WL 4326511, at *8 (E.D.N.Y. Sept. 28, 2017) (ordering notice sent by electronic means, including text message and email, in addition to regular mail, concluding that “[p]ractical requests such as these reasonably further the purpose of notice of a collective action under the FLSA”); Martin v. Sprint/United Mgmt. Co., 2016 WL 30334, at *19 (S.D.N.Y. Jan. 4, 2016) (granting text message notice due to high turnover rate among employees); Vasto v. Credico (USA) LLC, 2016 WL 2658172 (S.D.N.Y. May 5, 2016) (same); Bhumithanarn v. 22 Noodle Mkt. Corp., 2015 WL 4240985, at *5 (S.D.N.Y. July 13, 2015) (“[G]iven the high turnover characteristic of the restaurant industry, the Court finds that notice via text message is likely to be a viable and efficient means of communicating with many prospective members of this collective action.”). </w:t>
      </w:r>
    </w:p>
    <w:p w14:paraId="29E8A0A2" w14:textId="080C5B0A" w:rsidR="00721CCF" w:rsidRPr="00AD2F44" w:rsidRDefault="00F42107">
      <w:pPr>
        <w:pStyle w:val="14Footnote"/>
      </w:pPr>
      <w:r>
        <w:rPr>
          <w:i/>
          <w:iCs/>
        </w:rPr>
        <w:t xml:space="preserve">Third Circuit: </w:t>
      </w:r>
      <w:r>
        <w:t xml:space="preserve">Weinmann v. Cont. Land Staff, LLC, </w:t>
      </w:r>
      <w:r w:rsidR="001A0800" w:rsidRPr="001A0800">
        <w:t>2023 BL 200591</w:t>
      </w:r>
      <w:r w:rsidR="001A0800">
        <w:t xml:space="preserve">, </w:t>
      </w:r>
      <w:r w:rsidR="002B3C15" w:rsidRPr="002B3C15">
        <w:t xml:space="preserve">2023 WL 3881394 </w:t>
      </w:r>
      <w:r>
        <w:t>(W.D. Pa. June 8, 2023) (allowing text message notice and collecting cases).</w:t>
      </w:r>
    </w:p>
    <w:p w14:paraId="50140137" w14:textId="5D0D46C1" w:rsidR="00721CCF" w:rsidRPr="00AD2F44" w:rsidRDefault="00F42107">
      <w:pPr>
        <w:pStyle w:val="14Footnote"/>
      </w:pPr>
      <w:r w:rsidRPr="00AD2F44">
        <w:rPr>
          <w:i/>
          <w:iCs/>
        </w:rPr>
        <w:t xml:space="preserve">Fourth Circuit: </w:t>
      </w:r>
      <w:r>
        <w:t>Njoroge v. PrimaCare Partners, LLC,</w:t>
      </w:r>
      <w:r w:rsidR="00A815AC" w:rsidRPr="00A815AC">
        <w:t xml:space="preserve"> 2022 BL 342131</w:t>
      </w:r>
      <w:r w:rsidR="00A815AC">
        <w:t>,</w:t>
      </w:r>
      <w:r>
        <w:t xml:space="preserve"> </w:t>
      </w:r>
      <w:r w:rsidR="002B3C15" w:rsidRPr="002B3C15">
        <w:t xml:space="preserve">2022 WL 4465894 </w:t>
      </w:r>
      <w:r>
        <w:t xml:space="preserve">(D. Md. Sept. 26, 2022) (permitting text message notice in addition to mail and email); </w:t>
      </w:r>
      <w:r w:rsidRPr="00AD2F44">
        <w:t xml:space="preserve">Mebane v. GKN Driveline N. Am., Inc., 337 F.R.D. 479 (M.D.N.C. 2020) (allowing dissemination of notice by text (as well as mail and email), noting defendant’s limited use of personal email to communicate with employees); Regan v. City of Hanahan, 2017 WL 1386334, at *3 (D.S.C. Apr. 17, 2017) (“Mail, email and text message notice is reasonable because, in today’s mobile society, individuals are likely to retain their mobile numbers and email addresses even when they move.”) (alterations omitted); Lynch v. Dining Concept Grp., LLC, Inc., 2015 WL 5916212 (D.S.C. Oct. 18, 2015) (granting text message notice where mail and email returned undeliverable); Irvine v. Destination Wild Dunes Mgmt., Inc., 132 F. Supp. 3d 707, 711 (D.S.C. 2015) (“The request that notice be distributed via direct mail, email and text messaging appears eminently reasonable to the Court. This has become a much more mobile society with one’s email address and cell phone number serving as the most consistent and reliable method of communication. Political candidates now routinely seek out their supporters’ cell phone numbers and email addresses because traditional methods of communication via regular mail and land line telephone numbers [have] quickly become obsolete.”). </w:t>
      </w:r>
    </w:p>
    <w:p w14:paraId="2A7F6CF4" w14:textId="414C791D" w:rsidR="00721CCF" w:rsidRPr="00AD2F44" w:rsidRDefault="00F42107">
      <w:pPr>
        <w:pStyle w:val="14Footnote"/>
      </w:pPr>
      <w:r w:rsidRPr="00AD2F44">
        <w:rPr>
          <w:i/>
          <w:iCs/>
        </w:rPr>
        <w:t xml:space="preserve">Fifth Circuit: </w:t>
      </w:r>
      <w:r w:rsidRPr="00AD2F44">
        <w:t xml:space="preserve">Thrower v. UniversalPegasus Int’l Inc., 484 F. Supp. 3d 473 (S.D. Tex. 2020) (allowing dissemination of notice by text, as well as mail and email, explaining more likely reception and reading of text messages); Hobbs v. Cable Mktg. &amp; Installation, 290 F. Supp. 3d 589, 598 (E.D. La. 2018) (ordering notice by mail, email, and text, with text notice including plain summary and link to the full notice); Butler v. TFS Oilfield Servs., LLC, 2017 WL 7052879, at *7 (W.D. Tex. Sept. 26, 2017) (finding notice by text reasonable given transient nature of work performed by putative opt-ins). </w:t>
      </w:r>
    </w:p>
    <w:p w14:paraId="1B1C9E99" w14:textId="77777777" w:rsidR="00CC5882" w:rsidRDefault="00F42107">
      <w:pPr>
        <w:pStyle w:val="14Footnote"/>
      </w:pPr>
      <w:r w:rsidRPr="00AD2F44">
        <w:rPr>
          <w:i/>
          <w:iCs/>
        </w:rPr>
        <w:t xml:space="preserve">Seventh Circuit: </w:t>
      </w:r>
      <w:r w:rsidRPr="00AD2F44">
        <w:t>Brashier v. Quincy Prop., LLC, 2018 WL 1934069, at *6 (C.D. Ill. Apr. 24, 2018) (ordering notice sent by text message upon plaintiffs’ showing that putative members were transient and defendant did not have reliable contact information).</w:t>
      </w:r>
    </w:p>
    <w:p w14:paraId="04B7AE6A" w14:textId="6E8FBB98" w:rsidR="00721CCF" w:rsidRPr="00AD2F44" w:rsidRDefault="00F42107">
      <w:pPr>
        <w:pStyle w:val="14Footnote"/>
      </w:pPr>
      <w:r w:rsidRPr="00AD2F44">
        <w:rPr>
          <w:i/>
          <w:iCs/>
        </w:rPr>
        <w:t xml:space="preserve">Tenth Circuit: </w:t>
      </w:r>
      <w:r w:rsidRPr="00AD2F44">
        <w:t>James v. Boyd Gaming Corp., 522 F. Supp. 3d 892, 925</w:t>
      </w:r>
      <w:r w:rsidRPr="00AD2F44">
        <w:rPr>
          <w:b/>
          <w:bCs/>
        </w:rPr>
        <w:t xml:space="preserve"> </w:t>
      </w:r>
      <w:r w:rsidRPr="00AD2F44">
        <w:t>(D. Kan. 2021) (allowing dissemination of notice by text but limiting frequency of texts to ensure class members were not “overwhelmed and annoyed”);</w:t>
      </w:r>
      <w:r w:rsidRPr="00AD2F44">
        <w:rPr>
          <w:b/>
          <w:bCs/>
        </w:rPr>
        <w:t xml:space="preserve"> </w:t>
      </w:r>
      <w:r w:rsidRPr="00AD2F44">
        <w:t xml:space="preserve">Calvillo v. Bull Rogers, Inc., 267 F. Supp. 3d 1307, 1315 (D.N.M. 2017) (“Courts have recognized that notice by email and text is reasonable in today’s mobile society and may … offer a more reliable means of reaching an individual even if that individual is away from home or has moved.”); Landry v. Swire Oilfield Servs., 2017 WL 1709695, at *39–40 (D.N.M. May 2, 2017) (“[C]ommunication via email and text message” will “increase the chance of the class members receiving and reading the notice”); Dempsey v. Jason’s Premier Pumping Servs., LLC, 2015 WL 13121134, at *2 (D. Colo. Nov. 11, 2015) (granting text message notice to workers who may travel frequently and/or be away from their homes for long periods of time). </w:t>
      </w:r>
    </w:p>
    <w:p w14:paraId="15AAD667" w14:textId="77777777" w:rsidR="00721CCF" w:rsidRPr="00AD2F44" w:rsidRDefault="00F42107">
      <w:pPr>
        <w:pStyle w:val="14Footnote"/>
      </w:pPr>
      <w:r w:rsidRPr="00AD2F44">
        <w:rPr>
          <w:i/>
          <w:iCs/>
        </w:rPr>
        <w:t xml:space="preserve">D.C. Circuit: </w:t>
      </w:r>
      <w:r w:rsidRPr="00AD2F44">
        <w:t xml:space="preserve">Eley v. Stadium Grp., LLC, 2015 WL 5611331, at *4 (D.D.C. Sept. 22, 2015) (granting request for text message notice because request was “in line with what has been approved in other FLSA collective actions”). </w:t>
      </w:r>
    </w:p>
  </w:footnote>
  <w:footnote w:id="450">
    <w:p w14:paraId="55EFE23E" w14:textId="77777777" w:rsidR="00721CCF" w:rsidRPr="00AD2F44" w:rsidRDefault="00F42107">
      <w:pPr>
        <w:pStyle w:val="14Footnote"/>
      </w:pPr>
      <w:r w:rsidRPr="00AD2F44">
        <w:rPr>
          <w:vertAlign w:val="superscript"/>
        </w:rPr>
        <w:footnoteRef/>
      </w:r>
      <w:r w:rsidRPr="00AD2F44">
        <w:rPr>
          <w:i/>
        </w:rPr>
        <w:t xml:space="preserve">See </w:t>
      </w:r>
    </w:p>
    <w:p w14:paraId="6EC74088" w14:textId="304CB024" w:rsidR="00721CCF" w:rsidRPr="00AD2F44" w:rsidRDefault="00F42107">
      <w:pPr>
        <w:pStyle w:val="14Footnote"/>
      </w:pPr>
      <w:r w:rsidRPr="00AD2F44">
        <w:rPr>
          <w:i/>
          <w:iCs/>
        </w:rPr>
        <w:t>Second Circuit:</w:t>
      </w:r>
      <w:r w:rsidRPr="00AD2F44">
        <w:t xml:space="preserve"> Mikityuk v. Cision US Inc., 2021 BL 165012, 2021 WL 1750370, at *9 (S.D.N.Y. May 4, 2021) (declining to allow dissemination of notice by text absent showing of high turnover rate among employees); </w:t>
      </w:r>
      <w:r w:rsidRPr="00AD2F44">
        <w:t xml:space="preserve">Hotanru v. Star Nissan, Inc., 2017 WL 1390808, at *6 (E.D.N.Y. Apr. 12, 2017) (“As plaintiffs make no argument that there is a high turnover rate among automobile sales representatives, the court authorizes distribution of the notice via email and first-class mail, but not via text message.”); Ansolralli v. CVS Pharmacy, Inc., 2017 WL 570767 (E.D.N.Y. Feb. 13, 2017) (denying notice by text message). </w:t>
      </w:r>
    </w:p>
    <w:p w14:paraId="54D8660C" w14:textId="42FDC614" w:rsidR="00721CCF" w:rsidRPr="002F69CA" w:rsidRDefault="00F42107">
      <w:pPr>
        <w:pStyle w:val="14Footnote"/>
      </w:pPr>
      <w:r>
        <w:rPr>
          <w:i/>
          <w:iCs/>
        </w:rPr>
        <w:t>Third Circuit</w:t>
      </w:r>
      <w:r>
        <w:t>: Russo v. Gov’t Emp</w:t>
      </w:r>
      <w:r w:rsidR="00A3781A">
        <w:t>.</w:t>
      </w:r>
      <w:r>
        <w:t xml:space="preserve"> Ins. Co., </w:t>
      </w:r>
      <w:r w:rsidR="00A3781A" w:rsidRPr="00A3781A">
        <w:t>2022 BL 271482</w:t>
      </w:r>
      <w:r w:rsidR="00A3781A">
        <w:t xml:space="preserve">, </w:t>
      </w:r>
      <w:r w:rsidR="002B3C15" w:rsidRPr="002B3C15">
        <w:t xml:space="preserve">2022 WL 3098107 </w:t>
      </w:r>
      <w:r>
        <w:t>(D.N.J. Aug. 3, 2022) (limiting notice to first-class mail and e-mail, and rejecting text message notice as unnecessary).</w:t>
      </w:r>
    </w:p>
    <w:p w14:paraId="6D03A3B4" w14:textId="3B8ABF44" w:rsidR="00721CCF" w:rsidRPr="00AD2F44" w:rsidRDefault="00F42107">
      <w:pPr>
        <w:pStyle w:val="14Footnote"/>
      </w:pPr>
      <w:r w:rsidRPr="00AD2F44">
        <w:rPr>
          <w:i/>
          <w:iCs/>
        </w:rPr>
        <w:t xml:space="preserve">Fourth Circuit: </w:t>
      </w:r>
      <w:r w:rsidRPr="00AD2F44">
        <w:t>Mullis v. Wings Over Spartanburg, 2017 WL 749362 (D.S.C. Feb. 27, 2017) (permitting email and posted notice, but finding that notice via text message was unwarranted).</w:t>
      </w:r>
    </w:p>
    <w:p w14:paraId="3FAC2BCC" w14:textId="3DE58779" w:rsidR="00721CCF" w:rsidRPr="00AD2F44" w:rsidRDefault="00F42107">
      <w:pPr>
        <w:pStyle w:val="14Footnote"/>
      </w:pPr>
      <w:r w:rsidRPr="00AD2F44">
        <w:rPr>
          <w:i/>
          <w:iCs/>
        </w:rPr>
        <w:t xml:space="preserve">Fifth Circuit: </w:t>
      </w:r>
      <w:r w:rsidRPr="00AD2F44">
        <w:t xml:space="preserve">Macias v. Catapult Painting, LLC, </w:t>
      </w:r>
      <w:r w:rsidR="005447E1" w:rsidRPr="005447E1">
        <w:rPr>
          <w:b/>
          <w:bCs/>
        </w:rPr>
        <w:t> </w:t>
      </w:r>
      <w:r w:rsidR="005447E1" w:rsidRPr="002F69CA">
        <w:t>2020 BL 408989</w:t>
      </w:r>
      <w:r w:rsidR="005447E1">
        <w:t xml:space="preserve">, </w:t>
      </w:r>
      <w:r w:rsidRPr="00AD2F44">
        <w:t>2020 WL 6253589, at *5 (S.D. Tex. Oct. 22, 2020) (ordering notice sent by mail and email but not text message, noting it was “not necessary” and phone calls and text messages “can present invasion of privacy concerns”);</w:t>
      </w:r>
      <w:r w:rsidRPr="00AD2F44">
        <w:rPr>
          <w:i/>
          <w:iCs/>
        </w:rPr>
        <w:t xml:space="preserve"> </w:t>
      </w:r>
      <w:r w:rsidRPr="00AD2F44">
        <w:t>Norman v. Neighborhood Healthcare Providers, PLLC, 2020 BL 314923, 2020 WL 4873848 (S.D. Miss. Aug. 19, 2020) (refusing to authorize text messaging notice and declining request for cell phone numbers)</w:t>
      </w:r>
      <w:r w:rsidRPr="008E5385">
        <w:t xml:space="preserve"> </w:t>
      </w:r>
      <w:r w:rsidRPr="00AD2F44">
        <w:t>Alverson v. BL Rest. Operations LLC,</w:t>
      </w:r>
      <w:r w:rsidR="005E1C39" w:rsidRPr="005E1C39">
        <w:rPr>
          <w:rFonts w:ascii="Arial" w:hAnsi="Arial" w:cs="Arial"/>
          <w:color w:val="292E31"/>
          <w:sz w:val="24"/>
        </w:rPr>
        <w:t xml:space="preserve"> </w:t>
      </w:r>
      <w:r w:rsidR="005E1C39" w:rsidRPr="005E1C39">
        <w:t>2018 BL 91541</w:t>
      </w:r>
      <w:r w:rsidR="005E1C39">
        <w:t>,</w:t>
      </w:r>
      <w:r w:rsidRPr="00AD2F44">
        <w:t xml:space="preserve"> 2018 WL 1324952, at *2 (W.D. Tex. Mar. 12, 2018) (ordering notice sent by mail and email but not text message).</w:t>
      </w:r>
    </w:p>
    <w:p w14:paraId="4B19113E" w14:textId="77777777" w:rsidR="00721CCF" w:rsidRPr="00AD2F44" w:rsidRDefault="00F42107">
      <w:pPr>
        <w:pStyle w:val="14Footnote"/>
      </w:pPr>
      <w:r w:rsidRPr="00AD2F44">
        <w:rPr>
          <w:i/>
          <w:iCs/>
        </w:rPr>
        <w:t xml:space="preserve">Sixth Circuit: </w:t>
      </w:r>
      <w:r w:rsidRPr="00AD2F44">
        <w:t xml:space="preserve">Hall v. U.S. Cargo &amp; Courier Serv., LLC, 299 F. Supp. 3d 888, 899–900 (S.D. Ohio 2018) (ordering notice sent by mail and email but not text message); Brittmon v. Upreach, LLC, 285 F. Supp. 3d 1033, 1044–45 (S.D. Ohio 2018) (ordering notice sent by mail and email but not text message until showing is made that mail and email notice was insufficient); Brandenburg v. Cousin Vinny’s Pizza LLC, 2017 WL 3500411, at *5 (S.D. Ohio Aug. 15, 2017) (declining to authorize notice by text message, finding request “premature” and “invasive” unless plaintiffs show that regular mail and email notice was “insufficient as to a given potential member”). </w:t>
      </w:r>
    </w:p>
    <w:p w14:paraId="1BB75317" w14:textId="74B767BC" w:rsidR="00721CCF" w:rsidRPr="00AD2F44" w:rsidRDefault="00721CCF">
      <w:pPr>
        <w:pStyle w:val="14Footnote"/>
      </w:pPr>
    </w:p>
    <w:p w14:paraId="62FB4B7B" w14:textId="174187F2" w:rsidR="00721CCF" w:rsidRPr="00AD2F44" w:rsidRDefault="00F42107">
      <w:pPr>
        <w:pStyle w:val="14Footnote"/>
      </w:pPr>
      <w:r w:rsidRPr="00AD2F44">
        <w:rPr>
          <w:i/>
          <w:iCs/>
        </w:rPr>
        <w:t xml:space="preserve">Seventh Circuit: </w:t>
      </w:r>
      <w:r>
        <w:t xml:space="preserve">Wilmoth v. Steak N Shake, </w:t>
      </w:r>
      <w:r w:rsidR="00EE5233" w:rsidRPr="00EE5233">
        <w:t>2022 BL 192705</w:t>
      </w:r>
      <w:r w:rsidR="00EE5233">
        <w:t xml:space="preserve">, </w:t>
      </w:r>
      <w:r w:rsidR="002B3C15" w:rsidRPr="002B3C15">
        <w:t xml:space="preserve">2022 WL 1913026 </w:t>
      </w:r>
      <w:r>
        <w:t xml:space="preserve">(S.D. Ind. June 3, 2022) (allowing email and website notice but rejecting text message notice as an unwarranted invasion of privacy); </w:t>
      </w:r>
      <w:r w:rsidRPr="00AD2F44">
        <w:t xml:space="preserve">Muir v. Guardian Heating &amp; Cooling Servs., Inc., 2017 WH Cases2d 77645 (N.D. Ill. Mar. 13, 2017) (permitting email and posted notice but finding that notice via text message was unwarranted); Ries v. Planesphere, Inc., 2016 WL 6277466, at *3 (N.D. Ill. Oct. 27, 2016) (same). </w:t>
      </w:r>
    </w:p>
    <w:p w14:paraId="5D8B9B61" w14:textId="6E45C3C7" w:rsidR="00721CCF" w:rsidRPr="00AD2F44" w:rsidRDefault="00F42107">
      <w:pPr>
        <w:pStyle w:val="14Footnote"/>
      </w:pPr>
      <w:r w:rsidRPr="00AD2F44">
        <w:rPr>
          <w:i/>
          <w:iCs/>
        </w:rPr>
        <w:t>Eighth Circuit:</w:t>
      </w:r>
      <w:r w:rsidRPr="00AD2F44">
        <w:t xml:space="preserve"> Lockett v. Pinnacle Ent’mt, Inc., 2021 BL 94476, 2021 WL 960424, at *9 (W.D. Mo. Mar. 12, 2021) (ordering notice sent by mail and email but not text message, reasoning that text messages are “more intrusive than email”) (citation omitted). </w:t>
      </w:r>
    </w:p>
    <w:p w14:paraId="5BE51839" w14:textId="250BD80B" w:rsidR="00721CCF" w:rsidRPr="00AD2F44" w:rsidRDefault="00F42107" w:rsidP="003E61AD">
      <w:pPr>
        <w:pStyle w:val="14Footnote"/>
      </w:pPr>
      <w:r w:rsidRPr="00AD2F44">
        <w:rPr>
          <w:i/>
          <w:iCs/>
        </w:rPr>
        <w:t xml:space="preserve">D.C. Circuit: </w:t>
      </w:r>
      <w:r w:rsidRPr="00AD2F44">
        <w:t>Castro v. Tierno Care Home Health Agency, Inc., 2022 BL 189359, 2022 WL 1433650, at *4 (D.D.C. Apr. 5, 2022) (ordering notice sent by mail and email but denying request to send notice by text after denying request for cell phone numbers where plaintiff failed to show “particularized need” for Spanish-speaking workers’ cell phone numbers).</w:t>
      </w:r>
    </w:p>
  </w:footnote>
  <w:footnote w:id="451">
    <w:p w14:paraId="7C7EE917" w14:textId="7EBEC28D" w:rsidR="00721CCF" w:rsidRPr="00AD2F44" w:rsidRDefault="00F42107" w:rsidP="00F23572">
      <w:pPr>
        <w:pStyle w:val="14Footnote"/>
      </w:pPr>
      <w:r w:rsidRPr="00AD2F44">
        <w:rPr>
          <w:rStyle w:val="FootnoteReference"/>
        </w:rPr>
        <w:footnoteRef/>
      </w:r>
      <w:r w:rsidRPr="00AD2F44">
        <w:t xml:space="preserve">Lin v. JD Produce Maspeth LLC, 2021 BL 427745, 2021 WL 5163218, at *13 (E.D.N.Y. Nov. 5, 2021) (collecting cases). </w:t>
      </w:r>
    </w:p>
  </w:footnote>
  <w:footnote w:id="452">
    <w:p w14:paraId="372E469B" w14:textId="303C87BF" w:rsidR="00721CCF" w:rsidRPr="00AD2F44" w:rsidRDefault="00F42107" w:rsidP="00F23572">
      <w:pPr>
        <w:pStyle w:val="14Footnote"/>
      </w:pPr>
      <w:r w:rsidRPr="00AD2F44">
        <w:rPr>
          <w:rStyle w:val="FootnoteReference"/>
        </w:rPr>
        <w:footnoteRef/>
      </w:r>
      <w:r w:rsidRPr="00AD2F44">
        <w:t>Bennett v. BT’s on the River, LLC, 2023 BL 31041, 2023 WL 2838076 (S.D. Fla. Jan. 31, 2023) (permitting QR code on notice form as link to online documents such as fillable consent to join form).</w:t>
      </w:r>
    </w:p>
  </w:footnote>
  <w:footnote w:id="453">
    <w:p w14:paraId="4FD4AF14" w14:textId="77777777" w:rsidR="00721CCF" w:rsidRPr="00AD2F44" w:rsidRDefault="00F42107">
      <w:pPr>
        <w:pStyle w:val="14Footnote"/>
      </w:pPr>
      <w:r w:rsidRPr="00AD2F44">
        <w:rPr>
          <w:vertAlign w:val="superscript"/>
        </w:rPr>
        <w:footnoteRef/>
      </w:r>
      <w:r w:rsidRPr="00AD2F44">
        <w:rPr>
          <w:i/>
          <w:iCs/>
        </w:rPr>
        <w:t>See, e.g.,</w:t>
      </w:r>
    </w:p>
    <w:p w14:paraId="2D4D801D" w14:textId="77777777" w:rsidR="00721CCF" w:rsidRPr="00AD2F44" w:rsidRDefault="00F42107">
      <w:pPr>
        <w:pStyle w:val="14Footnote"/>
      </w:pPr>
      <w:r w:rsidRPr="00AD2F44">
        <w:rPr>
          <w:i/>
          <w:iCs/>
        </w:rPr>
        <w:t>First Circuit:</w:t>
      </w:r>
      <w:r w:rsidRPr="00AD2F44">
        <w:t xml:space="preserve"> Poreda v. Boise Cascade, LLC, 532 F. Supp. 2d 234 (D. Mass. 2008).</w:t>
      </w:r>
    </w:p>
    <w:p w14:paraId="113896F4" w14:textId="77777777" w:rsidR="00721CCF" w:rsidRPr="00AD2F44" w:rsidRDefault="00F42107">
      <w:pPr>
        <w:pStyle w:val="14Footnote"/>
      </w:pPr>
      <w:r w:rsidRPr="00AD2F44">
        <w:rPr>
          <w:i/>
          <w:iCs/>
        </w:rPr>
        <w:t>Second Circuit:</w:t>
      </w:r>
      <w:r w:rsidRPr="00AD2F44">
        <w:t xml:space="preserve"> Ruggles v. Wellpoint, Inc., 2008 U.S. Dist. LEXIS 90819 (N.D.N.Y. Nov. 6, 2008); Dumitrescu v. Mr. Chow Enter., Ltd., 2008 WL 2600667 (S.D.N.Y. June 30, 2008); Francis v. A &amp; E Stores, Inc., 2008 WL 2588851 (S.D.N.Y. June 26, 2008); Chowdhury v. Duane Reade, Inc., 2007 WL 2873929 (S.D.N.Y. Oct. 2, 2007); Levy v. Verizon Info. Servs. Inc., 2007 WL 1747104 (E.D.N.Y. June 11, 2007); Lynch v. United Servs. Auto. Ass’n, 491 F. Supp. 2d 357 (S.D.N.Y. 2007).</w:t>
      </w:r>
    </w:p>
    <w:p w14:paraId="4303CDE1" w14:textId="77777777" w:rsidR="00721CCF" w:rsidRPr="00AD2F44" w:rsidRDefault="00F42107">
      <w:pPr>
        <w:pStyle w:val="14Footnote"/>
      </w:pPr>
      <w:r w:rsidRPr="00AD2F44">
        <w:rPr>
          <w:i/>
          <w:iCs/>
        </w:rPr>
        <w:t>Third Circuit:</w:t>
      </w:r>
      <w:r w:rsidRPr="00AD2F44">
        <w:t xml:space="preserve"> Hughes v. Township of Franklin, 2014 WL 1428609 (D.N.J. Apr. 14, 2014); Stillman v. Staples, Inc., 2008 WL 1843998 (D.N.J. Apr. 22, 2008); Herring v. Hewitt Assoc., Inc., 2007 WL 2121693 (D.N.J. July 24, 2007); Ritzer v. UBS Fin. Servs. Inc., 2008 U.S. Dist. LEXIS 71635 (D.N.J. Sept. 22, 2008).</w:t>
      </w:r>
    </w:p>
    <w:p w14:paraId="03FE1645" w14:textId="77777777" w:rsidR="00721CCF" w:rsidRPr="00AD2F44" w:rsidRDefault="00F42107">
      <w:pPr>
        <w:pStyle w:val="14Footnote"/>
      </w:pPr>
      <w:r w:rsidRPr="00AD2F44">
        <w:rPr>
          <w:i/>
          <w:iCs/>
        </w:rPr>
        <w:t>Fourth Circuit:</w:t>
      </w:r>
      <w:r w:rsidRPr="00AD2F44">
        <w:t xml:space="preserve"> Williams v. Long, 585 F. Supp. 2d 679, 691–92 (D. Md. 2008).</w:t>
      </w:r>
    </w:p>
    <w:p w14:paraId="45A90D43" w14:textId="77777777" w:rsidR="00721CCF" w:rsidRPr="00AD2F44" w:rsidRDefault="00F42107">
      <w:pPr>
        <w:pStyle w:val="14Footnote"/>
      </w:pPr>
      <w:r w:rsidRPr="00AD2F44">
        <w:rPr>
          <w:i/>
          <w:iCs/>
        </w:rPr>
        <w:t>Fifth Circuit:</w:t>
      </w:r>
      <w:r w:rsidRPr="00AD2F44">
        <w:t xml:space="preserve"> Roberts v. SB S. Welding LLC, 2015 WL 8773610, at *3 (N.D. Tex. Dec. 15, 2015) (denying request for email addresses, explaining that courts in that district normally begin with just name, address, and dates of employment); Behnken v. Luminant Mining Co., LLC, 2014 WL 585333 (N.D. Tex. Feb. 14, 2014); Albanil v. Coast 2 Coast, Inc., 2008 WL 4937565 (S.D. Tex. Nov. 17, 2008); Vogt v. Texas Instruments, Inc., 2006 U.S. Dist. LEXIS 67226 (N.D. Tex. Sept. 19, 2006).</w:t>
      </w:r>
    </w:p>
    <w:p w14:paraId="016EA606" w14:textId="77777777" w:rsidR="00721CCF" w:rsidRPr="00AD2F44" w:rsidRDefault="00F42107">
      <w:pPr>
        <w:pStyle w:val="14Footnote"/>
      </w:pPr>
      <w:r w:rsidRPr="00AD2F44">
        <w:rPr>
          <w:i/>
          <w:iCs/>
        </w:rPr>
        <w:t>Sixth Circuit:</w:t>
      </w:r>
      <w:r w:rsidRPr="00AD2F44">
        <w:t xml:space="preserve"> Larson v. Rush Fitness Corp., 2013 WL 5350640, at *7 (E.D. Tenn. Sept. 23, 2013).</w:t>
      </w:r>
    </w:p>
    <w:p w14:paraId="0CE3F020" w14:textId="77777777" w:rsidR="00721CCF" w:rsidRPr="00AD2F44" w:rsidRDefault="00F42107">
      <w:pPr>
        <w:pStyle w:val="14Footnote"/>
      </w:pPr>
      <w:r w:rsidRPr="00AD2F44">
        <w:rPr>
          <w:i/>
          <w:iCs/>
        </w:rPr>
        <w:t>Seventh Circuit:</w:t>
      </w:r>
      <w:r w:rsidRPr="00AD2F44">
        <w:t xml:space="preserve"> Sjoblom v. Charter Commc’ns LLC, 2008 U.S. Dist. LEXIS 18369 (W.D. Wis. Mar. 4, 2008); Ashley v. Lake Cnty., 2007 WL 1549926 (N.D. Ind. May 24, 2007).</w:t>
      </w:r>
    </w:p>
    <w:p w14:paraId="1F7FBB18" w14:textId="77777777" w:rsidR="00721CCF" w:rsidRPr="00AD2F44" w:rsidRDefault="00F42107">
      <w:pPr>
        <w:pStyle w:val="14Footnote"/>
      </w:pPr>
      <w:r w:rsidRPr="00AD2F44">
        <w:rPr>
          <w:i/>
          <w:iCs/>
        </w:rPr>
        <w:t>Eighth Circuit:</w:t>
      </w:r>
      <w:r w:rsidRPr="00AD2F44">
        <w:t xml:space="preserve"> Cortez</w:t>
      </w:r>
      <w:r w:rsidRPr="00AD2F44">
        <w:t xml:space="preserve"> v. Nebraska Beef, Inc., 2008 WL 5076254 (D. Neb. Nov. 21, 2008); Perez-Benites v. Candy Brand LLC, 2008 U.S. Dist. LEXIS 91402, at *10 (W.D. Ark. Oct. 31, 2008); Burch v. Qwest Commc’ns Int’l, Inc., 500 F. Supp. 2d 1181 (D. Minn. 2007).</w:t>
      </w:r>
    </w:p>
    <w:p w14:paraId="023940EE" w14:textId="77777777" w:rsidR="00721CCF" w:rsidRPr="00AD2F44" w:rsidRDefault="00F42107">
      <w:pPr>
        <w:pStyle w:val="14Footnote"/>
      </w:pPr>
      <w:r w:rsidRPr="00AD2F44">
        <w:rPr>
          <w:i/>
          <w:iCs/>
        </w:rPr>
        <w:t>Ninth Circuit:</w:t>
      </w:r>
      <w:r w:rsidRPr="00AD2F44">
        <w:t xml:space="preserve"> Russell v. Wells Fargo &amp; Co., 2008 U.S. Dist. LEXIS 78771 (N.D. Cal. Sept. 3, 2008); Carter v. Anderson Merchandisers, LP, 2008 WL 2783193 (C.D. Cal. July 10, 2008); Campbell v. Pricewaterhouse Coopers LLC, 2008 U.S. Dist. LEXIS 44795 (E.D. Cal. June 5, 2008); Adams v. Inter-Con Sec. Sys., Inc., 2007 WL 3225466 (N.D. Cal. Oct. 30, 2007); Gerlach v. Wells Fargo &amp; Co., 2006 WL 824652 (N.D. Cal. Mar. 28, 2006).</w:t>
      </w:r>
    </w:p>
    <w:p w14:paraId="697CA4F1" w14:textId="77777777" w:rsidR="00721CCF" w:rsidRPr="00AD2F44" w:rsidRDefault="00F42107">
      <w:pPr>
        <w:pStyle w:val="14Footnote"/>
      </w:pPr>
      <w:r w:rsidRPr="00AD2F44">
        <w:rPr>
          <w:i/>
          <w:iCs/>
        </w:rPr>
        <w:t>Tenth Circuit:</w:t>
      </w:r>
      <w:r w:rsidRPr="00AD2F44">
        <w:t xml:space="preserve"> Barnwell v. Corrections Corp. of Am., 2008 U.S. Dist. LEXIS 104230 (D. Kan. Dec. 9, 2008).</w:t>
      </w:r>
    </w:p>
    <w:p w14:paraId="6DD095C4" w14:textId="62F3B43D" w:rsidR="00721CCF" w:rsidRPr="00AD2F44" w:rsidRDefault="00F42107">
      <w:pPr>
        <w:pStyle w:val="14Footnote"/>
      </w:pPr>
      <w:r w:rsidRPr="00AD2F44">
        <w:rPr>
          <w:i/>
          <w:iCs/>
        </w:rPr>
        <w:t>Eleventh Circuit:</w:t>
      </w:r>
      <w:r w:rsidRPr="00AD2F44">
        <w:t xml:space="preserve"> Cox v. Appliance Direct, Inc., 2008 WL 3050050, at *5 (M.D. Fla. Aug. 1, 2008) (requiring provision of names and addresses); Longcrier v. HL-A Co., Inc., 595 F. Supp. 2d 1218 (S.D. Ala. 2008); Vaccaro v. Candidates on Demand Grp., Inc., 2008 U.S. Dist. LEXIS 29344 (S.D. Fla. Apr. 10, 2008).</w:t>
      </w:r>
    </w:p>
  </w:footnote>
  <w:footnote w:id="454">
    <w:p w14:paraId="760E820D" w14:textId="77777777" w:rsidR="00721CCF" w:rsidRPr="00AD2F44" w:rsidRDefault="00F42107">
      <w:pPr>
        <w:pStyle w:val="14Footnote"/>
      </w:pPr>
      <w:r w:rsidRPr="00AD2F44">
        <w:rPr>
          <w:vertAlign w:val="superscript"/>
        </w:rPr>
        <w:footnoteRef/>
      </w:r>
      <w:r w:rsidRPr="00AD2F44">
        <w:rPr>
          <w:i/>
          <w:iCs/>
        </w:rPr>
        <w:t>First Circuit:</w:t>
      </w:r>
      <w:r w:rsidRPr="00AD2F44">
        <w:t xml:space="preserve"> Doyon v. Rite Aid Corp., 279 F.R.D. 43, 49 (D. Me. 2011) (noting that “courts have held that individuals’ privacy interests in contact information such as names and addresses is minimal and, thus, not a bar to legitimate discovery requests”).</w:t>
      </w:r>
    </w:p>
    <w:p w14:paraId="25A024AF" w14:textId="77777777" w:rsidR="00721CCF" w:rsidRPr="00AD2F44" w:rsidRDefault="00F42107">
      <w:pPr>
        <w:pStyle w:val="14Footnote"/>
      </w:pPr>
      <w:r w:rsidRPr="00AD2F44">
        <w:rPr>
          <w:i/>
          <w:iCs/>
        </w:rPr>
        <w:t>Second Circuit:</w:t>
      </w:r>
      <w:r w:rsidRPr="00AD2F44">
        <w:t xml:space="preserve"> Youngblood v. Family Dollar Stores, Inc., 2011 WL 1742109 (S.D.N.Y. Jan. 5, 2011); Cuzco v. Orion Builders, Inc., 477 F. Supp. 2d 628, 636 (S.D.N.Y. 2007) (finding defendants’ concerns regarding confidentiality unfounded).</w:t>
      </w:r>
    </w:p>
    <w:p w14:paraId="0BAC2013" w14:textId="77777777" w:rsidR="00721CCF" w:rsidRPr="00AD2F44" w:rsidRDefault="00F42107">
      <w:pPr>
        <w:pStyle w:val="14Footnote"/>
      </w:pPr>
      <w:r w:rsidRPr="00AD2F44">
        <w:rPr>
          <w:i/>
          <w:iCs/>
        </w:rPr>
        <w:t>Seventh Circuit:</w:t>
      </w:r>
      <w:r w:rsidRPr="00AD2F44">
        <w:t xml:space="preserve"> Acevedo v. Ace Coffee Bar, Inc., 248 F.R.D. 550, 554 (N.D. Ill. 2008) (holding plaintiffs’ request for the contact information of similarly situated employees outweighs privacy rights of potential plaintiffs but imposing a protective order to ensure the information provided to plaintiffs is protected from disclosure and used for its intended purpose).</w:t>
      </w:r>
    </w:p>
    <w:p w14:paraId="65572BDA" w14:textId="6B3EF703" w:rsidR="00721CCF" w:rsidRPr="00AD2F44" w:rsidRDefault="00F42107">
      <w:pPr>
        <w:pStyle w:val="14Footnote"/>
      </w:pPr>
      <w:r w:rsidRPr="00AD2F44">
        <w:rPr>
          <w:i/>
          <w:iCs/>
        </w:rPr>
        <w:t>Ninth Circuit:</w:t>
      </w:r>
      <w:r w:rsidRPr="00AD2F44">
        <w:t xml:space="preserve"> Adams v. Inter-Con Sec. Sys., Inc., 242 F.R.D. 530, 540 (N.D. Cal. 2007) (denying defendant’s request that the contact information only be provided to a third-party administrator).</w:t>
      </w:r>
    </w:p>
  </w:footnote>
  <w:footnote w:id="455">
    <w:p w14:paraId="5C3A37D0" w14:textId="48090131" w:rsidR="00721CCF" w:rsidRPr="00AD2F44" w:rsidRDefault="00F42107">
      <w:pPr>
        <w:pStyle w:val="14Footnote"/>
      </w:pPr>
      <w:r w:rsidRPr="00AD2F44">
        <w:rPr>
          <w:vertAlign w:val="superscript"/>
        </w:rPr>
        <w:footnoteRef/>
      </w:r>
      <w:r w:rsidRPr="00AD2F44">
        <w:rPr>
          <w:i/>
          <w:iCs/>
        </w:rPr>
        <w:t>Second Circuit:</w:t>
      </w:r>
      <w:r w:rsidRPr="00AD2F44">
        <w:t xml:space="preserve"> </w:t>
      </w:r>
      <w:r>
        <w:t xml:space="preserve">Zimnicki v. Krysiak Constr. Corp., </w:t>
      </w:r>
      <w:r w:rsidR="00625A14" w:rsidRPr="00846456">
        <w:t>2022 BL 459417</w:t>
      </w:r>
      <w:r w:rsidR="00625A14">
        <w:t xml:space="preserve">, </w:t>
      </w:r>
      <w:r w:rsidR="002B3C15" w:rsidRPr="002B3C15">
        <w:t xml:space="preserve">2022 WL 17820139 </w:t>
      </w:r>
      <w:r>
        <w:t>(E.D.N.Y.</w:t>
      </w:r>
      <w:r>
        <w:t xml:space="preserve"> Sept. 27, 2022) (telephone numbers but not dates of birth); </w:t>
      </w:r>
      <w:r w:rsidRPr="00AD2F44">
        <w:t xml:space="preserve">Michael v. Bloomberg LP, 2015 WL 1810157 (S.D.N.Y. Apr. 17, 2015). </w:t>
      </w:r>
    </w:p>
    <w:p w14:paraId="407C1CCD" w14:textId="77777777" w:rsidR="00721CCF" w:rsidRPr="00AD2F44" w:rsidRDefault="00F42107">
      <w:pPr>
        <w:pStyle w:val="14Footnote"/>
      </w:pPr>
      <w:r w:rsidRPr="00AD2F44">
        <w:rPr>
          <w:i/>
          <w:iCs/>
        </w:rPr>
        <w:t>Third Circuit:</w:t>
      </w:r>
      <w:r w:rsidRPr="00AD2F44">
        <w:t xml:space="preserve"> Bland v. Calfrac Well Servs. Corp., 2013 WL 4054594 (W.D. Pa. Aug. 12, 2013).</w:t>
      </w:r>
    </w:p>
    <w:p w14:paraId="7469B013" w14:textId="77777777" w:rsidR="00721CCF" w:rsidRPr="00AD2F44" w:rsidRDefault="00F42107">
      <w:pPr>
        <w:pStyle w:val="14Footnote"/>
      </w:pPr>
      <w:r w:rsidRPr="00AD2F44">
        <w:rPr>
          <w:i/>
          <w:iCs/>
        </w:rPr>
        <w:t>Fourth Circuit:</w:t>
      </w:r>
      <w:r w:rsidRPr="00AD2F44">
        <w:t xml:space="preserve"> Mendoza v. Mo’s Fisherman Exch., Inc., 2016 WL 3440007 (D. Md. June 22, 2016) (requiring defendants to produce email addresses).</w:t>
      </w:r>
    </w:p>
    <w:p w14:paraId="1594AD4F" w14:textId="77777777" w:rsidR="00721CCF" w:rsidRPr="00AD2F44" w:rsidRDefault="00F42107">
      <w:pPr>
        <w:pStyle w:val="14Footnote"/>
      </w:pPr>
      <w:r w:rsidRPr="00AD2F44">
        <w:rPr>
          <w:i/>
          <w:iCs/>
        </w:rPr>
        <w:t>Sixth Circuit:</w:t>
      </w:r>
      <w:r w:rsidRPr="00AD2F44">
        <w:t xml:space="preserve"> O’Neal v. Emery Fed. Credit Union, 2014 WL 842948 (S.D. Ohio Mar. 4, 2014).</w:t>
      </w:r>
    </w:p>
    <w:p w14:paraId="03C97277" w14:textId="77777777" w:rsidR="00721CCF" w:rsidRPr="00AD2F44" w:rsidRDefault="00F42107">
      <w:pPr>
        <w:pStyle w:val="14Footnote"/>
      </w:pPr>
      <w:r w:rsidRPr="00AD2F44">
        <w:rPr>
          <w:i/>
          <w:iCs/>
        </w:rPr>
        <w:t>Seventh Circuit:</w:t>
      </w:r>
      <w:r w:rsidRPr="00AD2F44">
        <w:t xml:space="preserve"> Girolamo v. Community Physical Therapy &amp; Assocs., Ltd., 2016 WL 3693426 (N.D. Ill. July 12, 2016) (ordering production of email addresses).</w:t>
      </w:r>
    </w:p>
    <w:p w14:paraId="6238ECA3" w14:textId="67B6AE52" w:rsidR="00721CCF" w:rsidRPr="00AD2F44" w:rsidRDefault="00F42107">
      <w:pPr>
        <w:pStyle w:val="14Footnote"/>
      </w:pPr>
      <w:r w:rsidRPr="00AD2F44">
        <w:rPr>
          <w:i/>
          <w:iCs/>
        </w:rPr>
        <w:t>Ninth Circuit:</w:t>
      </w:r>
      <w:r w:rsidRPr="00AD2F44">
        <w:t xml:space="preserve"> Phelps v. MC Commc’ns, Inc. 2011 WL 3298414, at *6 (D. Nev. Aug. 1, 2011).</w:t>
      </w:r>
    </w:p>
  </w:footnote>
  <w:footnote w:id="456">
    <w:p w14:paraId="3CDB05E7" w14:textId="77777777" w:rsidR="00721CCF" w:rsidRPr="00AD2F44" w:rsidRDefault="00F42107">
      <w:pPr>
        <w:pStyle w:val="14Footnote"/>
      </w:pPr>
      <w:r w:rsidRPr="00AD2F44">
        <w:rPr>
          <w:vertAlign w:val="superscript"/>
        </w:rPr>
        <w:footnoteRef/>
      </w:r>
      <w:r w:rsidRPr="00AD2F44">
        <w:rPr>
          <w:i/>
          <w:iCs/>
        </w:rPr>
        <w:t>See, e.g.,</w:t>
      </w:r>
    </w:p>
    <w:p w14:paraId="397E3CD8" w14:textId="77777777" w:rsidR="00721CCF" w:rsidRPr="00AD2F44" w:rsidRDefault="00F42107">
      <w:pPr>
        <w:pStyle w:val="14Footnote"/>
      </w:pPr>
      <w:r w:rsidRPr="00AD2F44">
        <w:rPr>
          <w:i/>
          <w:iCs/>
        </w:rPr>
        <w:t>First Circuit:</w:t>
      </w:r>
      <w:r w:rsidRPr="00AD2F44">
        <w:t xml:space="preserve"> Poreda v. Boise Cascade, LLC, 532 F. Supp. 2d 234 (D. Mass. 2008).</w:t>
      </w:r>
    </w:p>
    <w:p w14:paraId="3AF100B6" w14:textId="1C7F8A12" w:rsidR="00721CCF" w:rsidRPr="00AD2F44" w:rsidRDefault="00F42107">
      <w:pPr>
        <w:pStyle w:val="14Footnote"/>
      </w:pPr>
      <w:r w:rsidRPr="00AD2F44">
        <w:rPr>
          <w:i/>
          <w:iCs/>
        </w:rPr>
        <w:t>Second Circuit:</w:t>
      </w:r>
      <w:r w:rsidRPr="00AD2F44">
        <w:t xml:space="preserve"> </w:t>
      </w:r>
      <w:r>
        <w:t xml:space="preserve">Zimnicki v. Krysiak Constr. Corp., </w:t>
      </w:r>
      <w:r w:rsidR="00625A14" w:rsidRPr="00846456">
        <w:t>2022 BL 459417</w:t>
      </w:r>
      <w:r w:rsidR="00625A14">
        <w:t xml:space="preserve">, </w:t>
      </w:r>
      <w:r w:rsidR="002B3C15" w:rsidRPr="002B3C15">
        <w:t xml:space="preserve">2022 WL 17820139 </w:t>
      </w:r>
      <w:r>
        <w:t>(E.D.N.Y.</w:t>
      </w:r>
      <w:r>
        <w:t xml:space="preserve"> Sept. 27, 2022); </w:t>
      </w:r>
      <w:r w:rsidRPr="00AD2F44">
        <w:t>Dumitrescu v. Mr. Chow Enter., Ltd., 2008 WL 2600667 (S.D.N.Y. June 30, 2008); Chowdhury v. Duane Reade, Inc., 2007 WL 2873929 (S.D.N.Y. Oct. 2, 2007); Levy v. Verizon Info. Servs. Inc., 2007 WL 1747104 (E.D.N.Y. June 11, 2007); Lynch v. United Servs. Auto. Ass’n, 491 F. Supp. 2d 357, 371–72 (S.D.N.Y. 2007); Sherrill v. Sutherland Global Servs., Inc., 487 F. Supp. 2d 344, 350 (W.D.N.Y. 2007); Damassia v. Duane Reade, Inc., 2006 WL 2853971, at *8 (S.D.N.Y. Oct. 5, 2006).</w:t>
      </w:r>
    </w:p>
    <w:p w14:paraId="4AB52294" w14:textId="77777777" w:rsidR="00721CCF" w:rsidRPr="00AD2F44" w:rsidRDefault="00F42107">
      <w:pPr>
        <w:pStyle w:val="14Footnote"/>
      </w:pPr>
      <w:r w:rsidRPr="00AD2F44">
        <w:rPr>
          <w:i/>
          <w:iCs/>
        </w:rPr>
        <w:t>Fourth Circuit:</w:t>
      </w:r>
      <w:r w:rsidRPr="00AD2F44">
        <w:t xml:space="preserve"> Sharer v. Tandberg, Inc., 2006 WL 2988104, at *3 (E.D. Va. Oct. 17, 2006).</w:t>
      </w:r>
    </w:p>
    <w:p w14:paraId="21FC6727" w14:textId="77777777" w:rsidR="00721CCF" w:rsidRPr="00AD2F44" w:rsidRDefault="00F42107">
      <w:pPr>
        <w:pStyle w:val="14Footnote"/>
      </w:pPr>
      <w:r w:rsidRPr="00AD2F44">
        <w:rPr>
          <w:i/>
          <w:iCs/>
        </w:rPr>
        <w:t>Fifth Circuit:</w:t>
      </w:r>
      <w:r w:rsidRPr="00AD2F44">
        <w:t xml:space="preserve"> Salinas-Rodriguez v. Alpha Servs., LLC, 2005 WL 3557178, at *4 (S.D. Miss. Dec. 27, 2005).</w:t>
      </w:r>
    </w:p>
    <w:p w14:paraId="6B0DFF68" w14:textId="77777777" w:rsidR="00721CCF" w:rsidRPr="00AD2F44" w:rsidRDefault="00F42107">
      <w:pPr>
        <w:pStyle w:val="14Footnote"/>
      </w:pPr>
      <w:r w:rsidRPr="00AD2F44">
        <w:rPr>
          <w:i/>
          <w:iCs/>
        </w:rPr>
        <w:t>Seventh Circuit:</w:t>
      </w:r>
      <w:r w:rsidRPr="00AD2F44">
        <w:t xml:space="preserve"> Espenscheid v. DirectSAT USA, LLC, 2010 WL 2330309, at *15 (W.D. Wis. June 7, 2010) (requiring production of telephone numbers to facilitate contact with putative class members, but only if other methods of notice first prove unsuccessful).</w:t>
      </w:r>
    </w:p>
    <w:p w14:paraId="130C3A7C" w14:textId="77777777" w:rsidR="00721CCF" w:rsidRPr="00AD2F44" w:rsidRDefault="00F42107">
      <w:pPr>
        <w:pStyle w:val="14Footnote"/>
      </w:pPr>
      <w:r w:rsidRPr="00AD2F44">
        <w:rPr>
          <w:i/>
          <w:iCs/>
        </w:rPr>
        <w:t>Eighth Circuit:</w:t>
      </w:r>
      <w:r w:rsidRPr="00AD2F44">
        <w:t xml:space="preserve"> Perez-Benites v. Candy Brand LLC, 2008 U.S. Dist. LEXIS 91402, at *10 (W.D. Ark. Oct. 31, 2008); Burch v. Qwest Commc’ns Int’l, Inc., 500 F. Supp. 2d 1181 (D. Minn. 2007).</w:t>
      </w:r>
    </w:p>
    <w:p w14:paraId="572C6AB5" w14:textId="77777777" w:rsidR="00721CCF" w:rsidRPr="00AD2F44" w:rsidRDefault="00F42107">
      <w:pPr>
        <w:pStyle w:val="14Footnote"/>
      </w:pPr>
      <w:r w:rsidRPr="00AD2F44">
        <w:rPr>
          <w:i/>
          <w:iCs/>
        </w:rPr>
        <w:t>Ninth Circuit:</w:t>
      </w:r>
      <w:r w:rsidRPr="00AD2F44">
        <w:t xml:space="preserve"> Benedict v. Hewlett-Packard Co., 2014 WL 587135 (N.D. Cal. Feb. 13, 2014) (finding production of telephone numbers and email addresses routine); Russell v. Wells Fargo &amp; Co., 2008 U.S. Dist. LEXIS 78771 (N.D. Cal. Sept. 3, 2008); Carter v. Anderson Merch., LP, 2008 WL 2783193, at *7 (C.D. Cal. July 10, 2008) (rejecting objection to provision of personal contact information to include name, address, and telephone number); Gerlach v. Wells Fargo &amp; Co., 2006 WL 824652 (N.D. Cal. Mar. 28, 2006); Romero v. Producers Dairy Foods, Inc., 235 F.R.D. 474 (E.D. Cal. 2006).</w:t>
      </w:r>
    </w:p>
    <w:p w14:paraId="5E067C6A" w14:textId="77777777" w:rsidR="00721CCF" w:rsidRPr="00AD2F44" w:rsidRDefault="00F42107">
      <w:pPr>
        <w:pStyle w:val="14Footnote"/>
      </w:pPr>
      <w:r w:rsidRPr="00AD2F44">
        <w:rPr>
          <w:i/>
          <w:iCs/>
        </w:rPr>
        <w:t>Tenth Circuit:</w:t>
      </w:r>
      <w:r w:rsidRPr="00AD2F44">
        <w:t xml:space="preserve"> Pinkston v. Wheatland Enters., Inc., 2013 WL 1191207, at *4 (D. Kan. Mar. 22, 2013).</w:t>
      </w:r>
    </w:p>
    <w:p w14:paraId="39DFE678" w14:textId="77777777" w:rsidR="00721CCF" w:rsidRPr="00AD2F44" w:rsidRDefault="00F42107">
      <w:pPr>
        <w:pStyle w:val="14Footnote"/>
      </w:pPr>
      <w:r w:rsidRPr="00AD2F44">
        <w:rPr>
          <w:i/>
          <w:iCs/>
        </w:rPr>
        <w:t>Eleventh Circuit:</w:t>
      </w:r>
      <w:r w:rsidRPr="00AD2F44">
        <w:t xml:space="preserve"> Vaccaro v. Candidates on Demand Grp., Inc., 2008 U.S. Dist. LEXIS 29344 (S.D. Fla. Apr. 10, 2008).</w:t>
      </w:r>
    </w:p>
    <w:p w14:paraId="5D995C03" w14:textId="77777777" w:rsidR="00721CCF" w:rsidRPr="00AD2F44" w:rsidRDefault="00F42107">
      <w:pPr>
        <w:pStyle w:val="14Footnote"/>
      </w:pPr>
      <w:r w:rsidRPr="00AD2F44">
        <w:rPr>
          <w:i/>
          <w:iCs/>
        </w:rPr>
        <w:t>D.C. Circuit:</w:t>
      </w:r>
      <w:r w:rsidRPr="00AD2F44">
        <w:t xml:space="preserve"> Ayala v. Tito Contractors, 2014 WL 464786 (D.D.C. Feb. 6, 2014) (telephone numbers).</w:t>
      </w:r>
    </w:p>
    <w:p w14:paraId="5F6BD7CC" w14:textId="77777777" w:rsidR="00721CCF" w:rsidRPr="00AD2F44" w:rsidRDefault="00F42107">
      <w:pPr>
        <w:pStyle w:val="14Footnote"/>
      </w:pPr>
      <w:r w:rsidRPr="00AD2F44">
        <w:rPr>
          <w:i/>
        </w:rPr>
        <w:t>But see</w:t>
      </w:r>
    </w:p>
    <w:p w14:paraId="47429EDA" w14:textId="77777777" w:rsidR="00721CCF" w:rsidRPr="00AD2F44" w:rsidRDefault="00F42107">
      <w:pPr>
        <w:pStyle w:val="14Footnote"/>
      </w:pPr>
      <w:r w:rsidRPr="00AD2F44">
        <w:rPr>
          <w:i/>
          <w:iCs/>
        </w:rPr>
        <w:t>Second Circuit:</w:t>
      </w:r>
      <w:r w:rsidRPr="00AD2F44">
        <w:t xml:space="preserve"> Cordova v. SCCF, Inc., 2014 WL 3512820 (S.D.N.Y. July 16, 2014) (refusing disclosure of telephone numbers unless mail returned undeliverable, but phone numbers must be disclosed in two business days if proof of undelivered mail sent to defendant); Alli v. Boston Mkt. Co., 2011 WL 4006691, at *6 (D. Conn. Sept. 8, 2011) (refusing to order production of telephone numbers because there was no showing their disclosure was necessary).</w:t>
      </w:r>
    </w:p>
    <w:p w14:paraId="61D4E0B1" w14:textId="77777777" w:rsidR="00721CCF" w:rsidRPr="00AD2F44" w:rsidRDefault="00F42107">
      <w:pPr>
        <w:pStyle w:val="14Footnote"/>
      </w:pPr>
      <w:r w:rsidRPr="00AD2F44">
        <w:rPr>
          <w:i/>
          <w:iCs/>
        </w:rPr>
        <w:t>Fourth Circuit:</w:t>
      </w:r>
      <w:r w:rsidRPr="00AD2F44">
        <w:t xml:space="preserve"> </w:t>
      </w:r>
      <w:r w:rsidRPr="00AD2F44">
        <w:rPr>
          <w:i/>
          <w:iCs/>
        </w:rPr>
        <w:t>Mendoza</w:t>
      </w:r>
      <w:r w:rsidRPr="00AD2F44">
        <w:t>, 2016 WL 3440007 (holding that defendants did not need to produce telephone numbers); Arevalo v. D.J.’s Underground, Inc., 2010 WL 4026112, at *2 (D. Md. Oct. 13, 2010) (refusing to provide telephone numbers of putative class members despite low opt-in rate and research suggesting addresses were inaccurate; plaintiffs did not show “special need” required for allowing contact by telephone).</w:t>
      </w:r>
    </w:p>
    <w:p w14:paraId="3EBCDBCA" w14:textId="77777777" w:rsidR="00721CCF" w:rsidRPr="00AD2F44" w:rsidRDefault="00F42107">
      <w:pPr>
        <w:pStyle w:val="14Footnote"/>
      </w:pPr>
      <w:r w:rsidRPr="00AD2F44">
        <w:rPr>
          <w:i/>
          <w:iCs/>
        </w:rPr>
        <w:t xml:space="preserve">Fifth Circuit: </w:t>
      </w:r>
      <w:r w:rsidRPr="00AD2F44">
        <w:t>Alford v. Freedom Oilfield Servs., LLC, 2016 WL 8673858 (W.D. Tex. Aug. 17, 2016) (declining to order production of birth dates, phone numbers, and partial Social Security numbers, except to extent that defendant was unwilling or unable to provide valid mailing addresses or email addresses for every putative class member).</w:t>
      </w:r>
    </w:p>
    <w:p w14:paraId="6E48A707" w14:textId="63E0A323" w:rsidR="00721CCF" w:rsidRPr="00AD2F44" w:rsidRDefault="00F42107">
      <w:pPr>
        <w:pStyle w:val="14Footnote"/>
      </w:pPr>
      <w:r w:rsidRPr="00AD2F44">
        <w:rPr>
          <w:i/>
          <w:iCs/>
        </w:rPr>
        <w:t>Seventh Circuit:</w:t>
      </w:r>
      <w:r w:rsidRPr="00AD2F44">
        <w:t xml:space="preserve"> </w:t>
      </w:r>
      <w:r>
        <w:t xml:space="preserve">Wilmoth v. Steak N Shake, Inc., </w:t>
      </w:r>
      <w:r w:rsidR="00EE5233" w:rsidRPr="00EE5233">
        <w:t>2022 BL 192705</w:t>
      </w:r>
      <w:r w:rsidR="00EE5233">
        <w:t xml:space="preserve">, </w:t>
      </w:r>
      <w:r w:rsidR="00AB2EFC" w:rsidRPr="00AB2EFC">
        <w:t xml:space="preserve">2022 WL 1913026 </w:t>
      </w:r>
      <w:r>
        <w:t xml:space="preserve">(S.D. Ind. June 3, 2022) (rejecting request for telephone numbers); </w:t>
      </w:r>
      <w:r w:rsidRPr="00AD2F44">
        <w:rPr>
          <w:i/>
          <w:iCs/>
        </w:rPr>
        <w:t>Girolamo</w:t>
      </w:r>
      <w:r w:rsidRPr="00AD2F44">
        <w:t xml:space="preserve">, 2016 WL 3693426 (ordering production of telephone numbers); Howard v. Securitas Sec. Servs., USA, Inc., 2009 WL 140126, at *9 (N.D. Ill. Jan. 20, 2009) (rejecting inclusion of telephone numbers as beyond information required by </w:t>
      </w:r>
      <w:r w:rsidRPr="00AD2F44">
        <w:rPr>
          <w:i/>
          <w:iCs/>
        </w:rPr>
        <w:t xml:space="preserve">Hoffmann-La Roche v. Sperling, </w:t>
      </w:r>
      <w:r w:rsidRPr="00AD2F44">
        <w:t>493 U.S. 165 (1989)); Ashley v. Lake Cnty., 2007 WL 1549926 (N.D. Ind. May 24, 2007).</w:t>
      </w:r>
    </w:p>
    <w:p w14:paraId="743C9ECB" w14:textId="2BA595DD" w:rsidR="00721CCF" w:rsidRPr="00AD2F44" w:rsidRDefault="00F42107">
      <w:pPr>
        <w:pStyle w:val="14Footnote"/>
      </w:pPr>
      <w:r w:rsidRPr="00AD2F44">
        <w:rPr>
          <w:i/>
          <w:iCs/>
        </w:rPr>
        <w:t xml:space="preserve">Ninth Circuit: </w:t>
      </w:r>
      <w:r w:rsidRPr="00AD2F44">
        <w:t>Russell v. Swick Mining Servs. USA Inc., 2017 WL 1365081, at *6 (D. Ariz. Apr. 14, 2017) (denying plaintiffs’ request that defendant be ordered to provide telephone numbers, Social Security numbers, and birth dates, concluding that there was “no reason to demand such unnecessarily intrusive information to be produced”).</w:t>
      </w:r>
    </w:p>
  </w:footnote>
  <w:footnote w:id="457">
    <w:p w14:paraId="54A4B746" w14:textId="77777777" w:rsidR="00721CCF" w:rsidRPr="00AD2F44" w:rsidRDefault="00F42107">
      <w:pPr>
        <w:pStyle w:val="14Footnote"/>
      </w:pPr>
      <w:r w:rsidRPr="00AD2F44">
        <w:rPr>
          <w:vertAlign w:val="superscript"/>
        </w:rPr>
        <w:footnoteRef/>
      </w:r>
      <w:r w:rsidRPr="00AD2F44">
        <w:rPr>
          <w:i/>
        </w:rPr>
        <w:t>Compare</w:t>
      </w:r>
    </w:p>
    <w:p w14:paraId="4E17D710" w14:textId="3BDF644F" w:rsidR="00721CCF" w:rsidRPr="00AD2F44" w:rsidRDefault="00F42107">
      <w:pPr>
        <w:pStyle w:val="14Footnote"/>
      </w:pPr>
      <w:r w:rsidRPr="00AD2F44">
        <w:rPr>
          <w:i/>
          <w:iCs/>
        </w:rPr>
        <w:t>Second Circuit:</w:t>
      </w:r>
      <w:r w:rsidRPr="00AD2F44">
        <w:t xml:space="preserve"> </w:t>
      </w:r>
      <w:r>
        <w:t xml:space="preserve">Zimnicki v. Krysiak Constr. Corp., </w:t>
      </w:r>
      <w:r w:rsidR="00625A14" w:rsidRPr="00846456">
        <w:t>2022 BL 459417</w:t>
      </w:r>
      <w:r w:rsidR="00625A14">
        <w:t xml:space="preserve">, </w:t>
      </w:r>
      <w:r w:rsidR="00AB2EFC" w:rsidRPr="00AB2EFC">
        <w:t xml:space="preserve">2022 WL 17820139 </w:t>
      </w:r>
      <w:r>
        <w:t>(E.D.N.Y.</w:t>
      </w:r>
      <w:r>
        <w:t xml:space="preserve"> Sept. 27, 2022); </w:t>
      </w:r>
      <w:r w:rsidRPr="00AD2F44">
        <w:t xml:space="preserve">King v. Fedcap Rehab. Servs., Inc., 2022 BL 33551, 2022 WL 292914 (S.D.N.Y. Feb. 1, 2022) (denying request for production of Social Security numbers, recognizing privacy concerns and finding that request was overly broad and did not aid dissemination of notice where mailing addresses, emails, and phone numbers were ordered to be produced); Benavides v. Serenity Spa NY Inc., 166 F. Supp. 3d 474, 489 (S.D.N.Y. 2016) (denying request for Social Security numbers as plaintiff failed to demonstrate need for this “sensitive” information); </w:t>
      </w:r>
      <w:r w:rsidRPr="00AD2F44">
        <w:rPr>
          <w:i/>
          <w:iCs/>
        </w:rPr>
        <w:t>Michael</w:t>
      </w:r>
      <w:r w:rsidRPr="00AD2F44">
        <w:t>, 2015 WL 1810157 (no production of Social Security numbers absent showing of high undeliverable rate); Macpherson v. Firth Rixson Ltd., 2012 WL 2522881, at *5 (W.D.N.Y. June 28, 2012) (denying plaintiff’s request for Social Security numbers, citing defendant’s privacy concerns); Alli v. Boston Mkt. Co., 2011 WL 4006691, at *6 (D. Conn. Sept. 8, 2011) (refusing to order production of Social Security numbers because there was no showing their disclosure was necessary); Chowdhury v. Duane Reade, Inc., 2007 WL 2873929 (S.D.N.Y. Oct. 2, 2007); Levy v. Verizon Info. Servs. Inc., 2007 WL 1747104 (E.D.N.Y. June 11, 2007); Damassia v. Duane Reade, Inc., 2006 WL 2853971 (S.D.N.Y. Oct. 5, 2006); Hens v. Clientlogic Operating Corp., 2006 WL 2795620 (W.D.N.Y. Sept. 26, 2006);</w:t>
      </w:r>
    </w:p>
    <w:p w14:paraId="03A26A77" w14:textId="77777777" w:rsidR="00721CCF" w:rsidRPr="00AD2F44" w:rsidRDefault="00F42107">
      <w:pPr>
        <w:pStyle w:val="14Footnote"/>
      </w:pPr>
      <w:r w:rsidRPr="00AD2F44">
        <w:rPr>
          <w:i/>
          <w:iCs/>
        </w:rPr>
        <w:t>Fourth Circuit:</w:t>
      </w:r>
      <w:r w:rsidRPr="00AD2F44">
        <w:t xml:space="preserve"> Sharer v. Tandberg, Inc., 2006 WL 2988104 (E.D. Va. Oct. 17, 2006);</w:t>
      </w:r>
    </w:p>
    <w:p w14:paraId="08DB0F0E" w14:textId="77777777" w:rsidR="00721CCF" w:rsidRPr="00AD2F44" w:rsidRDefault="00F42107">
      <w:pPr>
        <w:pStyle w:val="14Footnote"/>
      </w:pPr>
      <w:r w:rsidRPr="00AD2F44">
        <w:rPr>
          <w:i/>
          <w:iCs/>
        </w:rPr>
        <w:t>Fifth Circuit:</w:t>
      </w:r>
      <w:r w:rsidRPr="00AD2F44">
        <w:t xml:space="preserve"> White v. Integrated Elec. Sol. </w:t>
      </w:r>
      <w:r w:rsidRPr="00AD2F44">
        <w:rPr>
          <w:lang w:val="fr-FR"/>
        </w:rPr>
        <w:t xml:space="preserve">Techs., Inc., 2013 WL 2903070 (E.D. La. </w:t>
      </w:r>
      <w:r w:rsidRPr="00AD2F44">
        <w:t>June 13, 2013); Vogt v. Texas Instruments, Inc., 2006 WL 4660134 (N.D. Tex. Sept. 19, 2006) (refusing production of information beyond last known addresses but allowing plaintiffs to petition court for production of phone numbers and/or Social Security numbers of potential opt-ins whose notices are returned due to inaccurate address information);</w:t>
      </w:r>
    </w:p>
    <w:p w14:paraId="56DD4BEC" w14:textId="77777777" w:rsidR="00721CCF" w:rsidRPr="00AD2F44" w:rsidRDefault="00F42107">
      <w:pPr>
        <w:pStyle w:val="14Footnote"/>
      </w:pPr>
      <w:r w:rsidRPr="00AD2F44">
        <w:rPr>
          <w:i/>
          <w:iCs/>
        </w:rPr>
        <w:t>Sixth Circuit:</w:t>
      </w:r>
      <w:r w:rsidRPr="00AD2F44">
        <w:t xml:space="preserve"> Lutz v. Huntington Bancshares Inc., 2013 WL 1703361, at *7 (S.D. Ohio Apr. 19, 2013) (denying plaintiffs’ request for phone and Social Security numbers, finding that email and first-class mail notice constituted “reasonable” notice, noting that courts generally allow only one form of notice unless others are shown necessary); Jackson v. Papa John’s USA, Inc., 2009 WL 1011105, at *3–4 (N.D. Ohio Apr. 15, 2009) (evaluating five factors and determining that costs of releasing Social Security numbers outweighed benefits);</w:t>
      </w:r>
    </w:p>
    <w:p w14:paraId="02B693A6" w14:textId="434D818A" w:rsidR="00721CCF" w:rsidRPr="00AD2F44" w:rsidRDefault="00F42107">
      <w:pPr>
        <w:pStyle w:val="14Footnote"/>
      </w:pPr>
      <w:r w:rsidRPr="00AD2F44">
        <w:rPr>
          <w:i/>
          <w:iCs/>
        </w:rPr>
        <w:t xml:space="preserve">Seventh Circuit: </w:t>
      </w:r>
      <w:r>
        <w:t xml:space="preserve">Wilmoth v. Steak N Shake, Inc., </w:t>
      </w:r>
      <w:r w:rsidR="0067546C" w:rsidRPr="0067546C">
        <w:t>2022 BL 192705</w:t>
      </w:r>
      <w:r w:rsidR="0067546C">
        <w:t xml:space="preserve">, </w:t>
      </w:r>
      <w:r w:rsidR="00AB2EFC" w:rsidRPr="00AB2EFC">
        <w:t xml:space="preserve">2022 WL 1913026 </w:t>
      </w:r>
      <w:r>
        <w:t xml:space="preserve">(S.D. Ind. June 3, 2022) (rejecting request for partial </w:t>
      </w:r>
      <w:r w:rsidR="00D55238">
        <w:t>s</w:t>
      </w:r>
      <w:r>
        <w:t xml:space="preserve">ocial </w:t>
      </w:r>
      <w:r w:rsidR="00D55238">
        <w:t>s</w:t>
      </w:r>
      <w:r>
        <w:t xml:space="preserve">ecurity numbers); </w:t>
      </w:r>
      <w:r w:rsidRPr="00AD2F44">
        <w:t>Brand v. Comcast Corp., 2012 WL 4482124, at *9 (N.D. Ill. Sept. 26, 2012) (denying plaintiffs access to Social Security numbers, phone numbers, and email addresses);</w:t>
      </w:r>
    </w:p>
    <w:p w14:paraId="7BCC5035" w14:textId="0F6F6CD8" w:rsidR="00721CCF" w:rsidRDefault="00F42107" w:rsidP="00E64B4B">
      <w:pPr>
        <w:pStyle w:val="14Footnote"/>
      </w:pPr>
      <w:r w:rsidRPr="00AD2F44">
        <w:rPr>
          <w:i/>
          <w:iCs/>
        </w:rPr>
        <w:t>Eighth Circuit:</w:t>
      </w:r>
      <w:r w:rsidRPr="00AD2F44">
        <w:t xml:space="preserve"> Perez-Benites v. Candy Brand LLC, 2008 U.S. Dist. LEXIS 91402 (W.D. Ark. Oct. 31, 2008);</w:t>
      </w:r>
    </w:p>
    <w:p w14:paraId="4DC1E8BE" w14:textId="2E4FDDF9" w:rsidR="00721CCF" w:rsidRPr="002C7C24" w:rsidRDefault="00F42107" w:rsidP="00E64B4B">
      <w:pPr>
        <w:pStyle w:val="14Footnote"/>
      </w:pPr>
      <w:r>
        <w:rPr>
          <w:i/>
          <w:iCs/>
        </w:rPr>
        <w:t xml:space="preserve">Ninth Circuit: </w:t>
      </w:r>
      <w:r>
        <w:t xml:space="preserve">Roberts v. Sidwell Air Freight, Inc., </w:t>
      </w:r>
      <w:r w:rsidR="00B726E3" w:rsidRPr="00B726E3">
        <w:t>2023 BL 15817</w:t>
      </w:r>
      <w:r w:rsidR="00B726E3">
        <w:t xml:space="preserve">, </w:t>
      </w:r>
      <w:r>
        <w:t>2023 WL 256820 (W.D. Wash. Jan. 18, 2023) (denying plaintiff’s request for last four digits of social security numbers as too intrusive, particularly given production of phone numbers)</w:t>
      </w:r>
      <w:r w:rsidR="00B726E3">
        <w:t>.</w:t>
      </w:r>
    </w:p>
    <w:p w14:paraId="314B04E6" w14:textId="08A34CF7" w:rsidR="00721CCF" w:rsidRPr="00AD2F44" w:rsidRDefault="00F42107">
      <w:pPr>
        <w:pStyle w:val="14Footnote"/>
      </w:pPr>
      <w:r w:rsidRPr="00AD2F44">
        <w:rPr>
          <w:i/>
          <w:iCs/>
        </w:rPr>
        <w:t>and</w:t>
      </w:r>
    </w:p>
    <w:p w14:paraId="2607AAE0" w14:textId="77777777" w:rsidR="00721CCF" w:rsidRPr="00AD2F44" w:rsidRDefault="00F42107">
      <w:pPr>
        <w:pStyle w:val="14Footnote"/>
      </w:pPr>
      <w:r w:rsidRPr="00AD2F44">
        <w:rPr>
          <w:i/>
          <w:iCs/>
        </w:rPr>
        <w:t>Tenth Circuit:</w:t>
      </w:r>
      <w:r w:rsidRPr="00AD2F44">
        <w:t xml:space="preserve"> Pinkston v. Wheatland Enters., Inc., 2013 WL 1191207, at *4 (D. Kan. Mar. 22, 2013) (“Plaintiff has not yet shown a need for this information; if Plaintiff finds that he is unable to locate potential class members using names, telephone numbers, and addresses, he may make an appropriate motion detailing the need for the more private information.”);</w:t>
      </w:r>
    </w:p>
    <w:p w14:paraId="0F330A27" w14:textId="77777777" w:rsidR="00721CCF" w:rsidRPr="00AD2F44" w:rsidRDefault="00F42107">
      <w:pPr>
        <w:pStyle w:val="14Footnote"/>
      </w:pPr>
      <w:r w:rsidRPr="00AD2F44">
        <w:t>with</w:t>
      </w:r>
    </w:p>
    <w:p w14:paraId="3419252E" w14:textId="77777777" w:rsidR="00721CCF" w:rsidRPr="00AD2F44" w:rsidRDefault="00F42107">
      <w:pPr>
        <w:pStyle w:val="14Footnote"/>
      </w:pPr>
      <w:r w:rsidRPr="00AD2F44">
        <w:rPr>
          <w:i/>
          <w:iCs/>
        </w:rPr>
        <w:t>Second Circuit:</w:t>
      </w:r>
      <w:r w:rsidRPr="00AD2F44">
        <w:t xml:space="preserve"> Whitehorn v. Wolfgang’s Steakhouse, Inc., 767 F. Supp. 2d 445 (S.D.N.Y. 2011) (defendant ordered to produce Social Security numbers of individuals whom plaintiffs had been unable to contact, and parties ordered to enter confidentiality order);</w:t>
      </w:r>
    </w:p>
    <w:p w14:paraId="43B4133A" w14:textId="77777777" w:rsidR="00721CCF" w:rsidRPr="00AD2F44" w:rsidRDefault="00F42107">
      <w:pPr>
        <w:pStyle w:val="14Footnote"/>
      </w:pPr>
      <w:r w:rsidRPr="00AD2F44">
        <w:rPr>
          <w:i/>
          <w:iCs/>
        </w:rPr>
        <w:t xml:space="preserve">Third Circuit: </w:t>
      </w:r>
      <w:r w:rsidRPr="00AD2F44">
        <w:t>Ritzer v. UBS Fin. Servs., Inc., 2008 WL 4372784, at *5 (D.N.J. Sept. 22, 2008) (refusing to release Social Security numbers unless first class mail proves insufficient);</w:t>
      </w:r>
    </w:p>
    <w:p w14:paraId="6E5276C7" w14:textId="77777777" w:rsidR="00721CCF" w:rsidRPr="00AD2F44" w:rsidRDefault="00F42107">
      <w:pPr>
        <w:pStyle w:val="14Footnote"/>
      </w:pPr>
      <w:r w:rsidRPr="00AD2F44">
        <w:rPr>
          <w:i/>
          <w:iCs/>
        </w:rPr>
        <w:t xml:space="preserve">Seventh Circuit: </w:t>
      </w:r>
      <w:r w:rsidRPr="00AD2F44">
        <w:t xml:space="preserve">Kelly v. Bluegreen Corp., 256 F.R.D. 626, 632 (W.D. Wis. 2009) (refusing disclosure of Social Security numbers, birthdates, and phone numbers, but allowing plaintiffs to seek reconsideration if they have difficulty providing notice); </w:t>
      </w:r>
      <w:r w:rsidRPr="00AD2F44">
        <w:rPr>
          <w:i/>
          <w:iCs/>
        </w:rPr>
        <w:t>and</w:t>
      </w:r>
    </w:p>
    <w:p w14:paraId="6CA3A0E8" w14:textId="7BE84BD4" w:rsidR="00721CCF" w:rsidRDefault="00F42107">
      <w:pPr>
        <w:pStyle w:val="14Footnote"/>
      </w:pPr>
      <w:r w:rsidRPr="00AD2F44">
        <w:rPr>
          <w:i/>
          <w:iCs/>
        </w:rPr>
        <w:t>Ninth Circuit</w:t>
      </w:r>
      <w:r w:rsidRPr="00AD2F44">
        <w:t>: Ramirez v. Ghilotti Bros., 941 F. Supp. 2d 1197, 1207 (N.D. Cal. 2013) (denying defendant’s request to have opt-ins put last four digits of Social Security number on notice, finding defendant provided no evidence that it would be difficult to confirm that responses were, in fact, former employees).</w:t>
      </w:r>
    </w:p>
    <w:p w14:paraId="594D5835" w14:textId="3395587F" w:rsidR="00721CCF" w:rsidRPr="00E64B4B" w:rsidRDefault="00F42107">
      <w:pPr>
        <w:pStyle w:val="14Footnote"/>
      </w:pPr>
      <w:r>
        <w:rPr>
          <w:i/>
          <w:iCs/>
        </w:rPr>
        <w:t>Eleventh Circuit</w:t>
      </w:r>
      <w:r>
        <w:t xml:space="preserve">: </w:t>
      </w:r>
      <w:r w:rsidRPr="00E64B4B">
        <w:t>Negron v. Red Crab FL LLC</w:t>
      </w:r>
      <w:r>
        <w:t xml:space="preserve">, </w:t>
      </w:r>
      <w:r w:rsidR="00434FF5" w:rsidRPr="00434FF5">
        <w:t>2022 BL 345819</w:t>
      </w:r>
      <w:r w:rsidR="00434FF5">
        <w:t xml:space="preserve">, </w:t>
      </w:r>
      <w:r w:rsidRPr="00E64B4B">
        <w:t>2022 WL 4547935</w:t>
      </w:r>
      <w:r w:rsidRPr="00E64B4B">
        <w:rPr>
          <w:b/>
        </w:rPr>
        <w:t xml:space="preserve"> </w:t>
      </w:r>
      <w:r w:rsidRPr="00E64B4B">
        <w:t>(S.D. Fla. Sept. 29, 2022)</w:t>
      </w:r>
      <w:r>
        <w:t xml:space="preserve"> (</w:t>
      </w:r>
      <w:r w:rsidRPr="00E64B4B">
        <w:t>restrict</w:t>
      </w:r>
      <w:r>
        <w:t>ing</w:t>
      </w:r>
      <w:r w:rsidRPr="00E64B4B">
        <w:t xml:space="preserve"> production of the social security numbers to only the last four digits and declin</w:t>
      </w:r>
      <w:r>
        <w:t>ing</w:t>
      </w:r>
      <w:r w:rsidRPr="00E64B4B">
        <w:t xml:space="preserve"> to authorize disclosure of telephone numbers absent further showing of need</w:t>
      </w:r>
      <w:r>
        <w:t>,</w:t>
      </w:r>
      <w:r w:rsidRPr="00E64B4B">
        <w:t xml:space="preserve"> to protect </w:t>
      </w:r>
      <w:r>
        <w:t xml:space="preserve">putative </w:t>
      </w:r>
      <w:r w:rsidRPr="00E64B4B">
        <w:t>class members</w:t>
      </w:r>
      <w:r>
        <w:t xml:space="preserve">’ privacy). </w:t>
      </w:r>
    </w:p>
  </w:footnote>
  <w:footnote w:id="458">
    <w:p w14:paraId="5C60E4C8" w14:textId="77777777" w:rsidR="00721CCF" w:rsidRPr="00AD2F44" w:rsidRDefault="00F42107">
      <w:pPr>
        <w:pStyle w:val="14Footnote"/>
      </w:pPr>
      <w:r w:rsidRPr="00AD2F44">
        <w:rPr>
          <w:vertAlign w:val="superscript"/>
        </w:rPr>
        <w:footnoteRef/>
      </w:r>
      <w:r w:rsidRPr="00AD2F44">
        <w:rPr>
          <w:i/>
        </w:rPr>
        <w:t xml:space="preserve">See, e.g., </w:t>
      </w:r>
    </w:p>
    <w:p w14:paraId="0C35BA48" w14:textId="77777777" w:rsidR="00721CCF" w:rsidRPr="00AD2F44" w:rsidRDefault="00F42107">
      <w:pPr>
        <w:pStyle w:val="14Footnote"/>
      </w:pPr>
      <w:r w:rsidRPr="00AD2F44">
        <w:rPr>
          <w:i/>
          <w:iCs/>
        </w:rPr>
        <w:t>Second Circuit:</w:t>
      </w:r>
      <w:r w:rsidRPr="00AD2F44">
        <w:t xml:space="preserve"> Levy v. Verizon Info. Servs. Inc., 2007 WL 1747104 (E.D.N.Y. June 11, 2007); Lynch v. United Servs. Auto. Ass’n, 491 F. Supp. 2d 357 (S.D.N.Y. 2007).</w:t>
      </w:r>
    </w:p>
    <w:p w14:paraId="043805AC" w14:textId="77777777" w:rsidR="00721CCF" w:rsidRPr="00AD2F44" w:rsidRDefault="00F42107">
      <w:pPr>
        <w:pStyle w:val="14Footnote"/>
      </w:pPr>
      <w:r w:rsidRPr="00AD2F44">
        <w:rPr>
          <w:i/>
          <w:iCs/>
        </w:rPr>
        <w:t>Third Circuit:</w:t>
      </w:r>
      <w:r w:rsidRPr="00AD2F44">
        <w:t xml:space="preserve"> Stillman v. Staples, Inc., 2008 WL 1843998 (D.N.J. Apr. 22, 2008) (last four digits of Social Security numbers).</w:t>
      </w:r>
    </w:p>
    <w:p w14:paraId="743E3CB9" w14:textId="77777777" w:rsidR="00721CCF" w:rsidRPr="00AD2F44" w:rsidRDefault="00F42107">
      <w:pPr>
        <w:pStyle w:val="14Footnote"/>
      </w:pPr>
      <w:r w:rsidRPr="00AD2F44">
        <w:rPr>
          <w:i/>
          <w:iCs/>
        </w:rPr>
        <w:t>Eighth Circuit:</w:t>
      </w:r>
      <w:r w:rsidRPr="00AD2F44">
        <w:t xml:space="preserve"> Burch v. Qwest Commc’ns Int’l, Inc., 500 F. Supp. 2d 1181 (D. Minn. 2007).</w:t>
      </w:r>
    </w:p>
    <w:p w14:paraId="12AC699D" w14:textId="77777777" w:rsidR="00721CCF" w:rsidRPr="00AD2F44" w:rsidRDefault="00F42107">
      <w:pPr>
        <w:pStyle w:val="14Footnote"/>
      </w:pPr>
      <w:r w:rsidRPr="00AD2F44">
        <w:rPr>
          <w:i/>
          <w:iCs/>
        </w:rPr>
        <w:t>Ninth Circuit:</w:t>
      </w:r>
      <w:r w:rsidRPr="00AD2F44">
        <w:t xml:space="preserve"> Russell v. Wells Fargo &amp; Co., 2008 U.S. Dist. LEXIS 78771 (N.D. Cal. Sept. 3, 2008); Rees v. Souza’s Milk Transp. Co., 2006 WL 3251829 (E.D. Cal. Nov. 8, 2006).</w:t>
      </w:r>
    </w:p>
    <w:p w14:paraId="7B5C6ECB" w14:textId="012EC67B" w:rsidR="00721CCF" w:rsidRPr="00AD2F44" w:rsidRDefault="00F42107">
      <w:pPr>
        <w:pStyle w:val="14Footnote"/>
      </w:pPr>
      <w:r w:rsidRPr="00AD2F44">
        <w:rPr>
          <w:i/>
          <w:iCs/>
        </w:rPr>
        <w:t>Tenth Circuit:</w:t>
      </w:r>
      <w:r w:rsidRPr="00AD2F44">
        <w:t xml:space="preserve"> Gieseke v. First Horizon Home Loan Corp., 2007 WL 445202 (D. Kan. Feb. 7, 2007).</w:t>
      </w:r>
    </w:p>
  </w:footnote>
  <w:footnote w:id="459">
    <w:p w14:paraId="24135BE2" w14:textId="77777777" w:rsidR="00721CCF" w:rsidRPr="00AD2F44" w:rsidRDefault="00F42107">
      <w:pPr>
        <w:pStyle w:val="14Footnote"/>
      </w:pPr>
      <w:r w:rsidRPr="00AD2F44">
        <w:rPr>
          <w:vertAlign w:val="superscript"/>
        </w:rPr>
        <w:footnoteRef/>
      </w:r>
      <w:r w:rsidRPr="00AD2F44">
        <w:rPr>
          <w:i/>
          <w:iCs/>
        </w:rPr>
        <w:t>See, e.g.,</w:t>
      </w:r>
    </w:p>
    <w:p w14:paraId="15B8A394" w14:textId="77777777" w:rsidR="00721CCF" w:rsidRPr="00AD2F44" w:rsidRDefault="00F42107">
      <w:pPr>
        <w:pStyle w:val="14Footnote"/>
      </w:pPr>
      <w:r w:rsidRPr="00AD2F44">
        <w:rPr>
          <w:i/>
          <w:iCs/>
        </w:rPr>
        <w:t>Second Circuit:</w:t>
      </w:r>
      <w:r w:rsidRPr="00AD2F44">
        <w:t xml:space="preserve"> Fonseca v. Dircksen &amp; Talleyrand Inc., 2014 WL 1487279 (S.D.N.Y. Apr. 11, 2014) (providing Social Security numbers when notices returned).</w:t>
      </w:r>
    </w:p>
    <w:p w14:paraId="67681A43" w14:textId="77777777" w:rsidR="00721CCF" w:rsidRPr="00AD2F44" w:rsidRDefault="00F42107">
      <w:pPr>
        <w:pStyle w:val="14Footnote"/>
      </w:pPr>
      <w:r w:rsidRPr="00AD2F44">
        <w:rPr>
          <w:i/>
          <w:iCs/>
        </w:rPr>
        <w:t>Third Circuit:</w:t>
      </w:r>
      <w:r w:rsidRPr="00AD2F44">
        <w:t xml:space="preserve"> Bland v. </w:t>
      </w:r>
      <w:r w:rsidRPr="00AD2F44">
        <w:t>Calfrac Well Servs. Corp., 2013 WL 4054594 (W.D. Pa. Aug. 12, 2013) (providing for production of last four digits of Social Security numbers when notices returned).</w:t>
      </w:r>
    </w:p>
    <w:p w14:paraId="1FC470B5" w14:textId="77777777" w:rsidR="00721CCF" w:rsidRPr="00AD2F44" w:rsidRDefault="00F42107">
      <w:pPr>
        <w:pStyle w:val="14Footnote"/>
      </w:pPr>
      <w:r w:rsidRPr="00AD2F44">
        <w:rPr>
          <w:i/>
          <w:iCs/>
        </w:rPr>
        <w:t>Fifth Circuit:</w:t>
      </w:r>
      <w:r w:rsidRPr="00AD2F44">
        <w:t xml:space="preserve"> Roberts v. SB S. Welding LLC, 2015 WL 8773610, at *3 (N.D. Tex. Dec. 15, 2015) (providing for production of last four digits of Social Security number if particular putative opt-in’s notice was returned as undeliverable); Rodriguez v. Mechanical Tech. Servs., Inc., 2014 WL 1778915 (W.D. Tex. Apr. 17, 2014) (upon court approval, permitted the issuance of a supplemental notice in light of the fact that 66 of 312 notices had been marked as “undeliverable”).</w:t>
      </w:r>
    </w:p>
    <w:p w14:paraId="4E24869A" w14:textId="2F3AA6B2" w:rsidR="00721CCF" w:rsidRPr="00AD2F44" w:rsidRDefault="00F42107">
      <w:pPr>
        <w:pStyle w:val="14Footnote"/>
      </w:pPr>
      <w:r w:rsidRPr="00AD2F44">
        <w:rPr>
          <w:i/>
          <w:iCs/>
        </w:rPr>
        <w:t>Sixth Circuit:</w:t>
      </w:r>
      <w:r w:rsidRPr="00AD2F44">
        <w:t xml:space="preserve"> Larson v. Rush Fitness Corp., 2012 U.S. Dist. LEXIS 189211 (E.D. Tenn. Oct. 17, 2012), </w:t>
      </w:r>
      <w:r w:rsidRPr="00AD2F44">
        <w:rPr>
          <w:i/>
          <w:iCs/>
        </w:rPr>
        <w:t>adopted by</w:t>
      </w:r>
      <w:r w:rsidRPr="00AD2F44">
        <w:t xml:space="preserve"> 2013 U.S. Dist. LEXIS 163541 (E.D. Tenn. Sept. 23, 2013) (providing email addresses and telephone numbers when notices returned).</w:t>
      </w:r>
    </w:p>
  </w:footnote>
  <w:footnote w:id="460">
    <w:p w14:paraId="6A4C9A49" w14:textId="77777777" w:rsidR="00721CCF" w:rsidRPr="00AD2F44" w:rsidRDefault="00F42107">
      <w:pPr>
        <w:pStyle w:val="14Footnote"/>
      </w:pPr>
      <w:r w:rsidRPr="00AD2F44">
        <w:rPr>
          <w:vertAlign w:val="superscript"/>
        </w:rPr>
        <w:footnoteRef/>
      </w:r>
      <w:r w:rsidRPr="00AD2F44">
        <w:rPr>
          <w:i/>
          <w:iCs/>
        </w:rPr>
        <w:t>See</w:t>
      </w:r>
    </w:p>
    <w:p w14:paraId="17C7C248" w14:textId="77777777" w:rsidR="00721CCF" w:rsidRPr="00AD2F44" w:rsidRDefault="00F42107">
      <w:pPr>
        <w:pStyle w:val="14Footnote"/>
      </w:pPr>
      <w:r w:rsidRPr="00AD2F44">
        <w:rPr>
          <w:i/>
          <w:iCs/>
        </w:rPr>
        <w:t>Third Circuit:</w:t>
      </w:r>
      <w:r w:rsidRPr="00AD2F44">
        <w:t xml:space="preserve"> Bland v. PNC Bank, N.A., 2015 WL 7587365, at *3 (W.D. Pa. Nov. 25, 2015) (declining request to send reminder, given use of website, email, and mail notice).</w:t>
      </w:r>
    </w:p>
    <w:p w14:paraId="6574FCE0" w14:textId="77777777" w:rsidR="00721CCF" w:rsidRPr="00AD2F44" w:rsidRDefault="00F42107">
      <w:pPr>
        <w:pStyle w:val="14Footnote"/>
      </w:pPr>
      <w:r w:rsidRPr="00AD2F44">
        <w:rPr>
          <w:i/>
          <w:iCs/>
        </w:rPr>
        <w:t xml:space="preserve">Fourth Circuit: </w:t>
      </w:r>
      <w:r w:rsidRPr="00AD2F44">
        <w:t>Danford v. Lowe’s Home Ctrs., LLC, 2019 WL 4874823 (W.D.N.C. Oct. 2, 2019) (denying request to send reminder notice halfway through period, noting that other courts in Fourth Circuit have similarly denied reminder notices for relatively short opt-in period); Mueller v. Chesapeake Bay Seafood House Assocs., LLC, 2018 WL 1898557, at *9–10 (D. Md. Apr. 20, 2018) (denying request for second round of notices because plaintiffs were merely speculating as to why potential members did not opt in).</w:t>
      </w:r>
    </w:p>
    <w:p w14:paraId="54160A78" w14:textId="77777777" w:rsidR="00721CCF" w:rsidRPr="00AD2F44" w:rsidRDefault="00F42107">
      <w:pPr>
        <w:pStyle w:val="14Footnote"/>
      </w:pPr>
      <w:r w:rsidRPr="00AD2F44">
        <w:rPr>
          <w:i/>
          <w:iCs/>
        </w:rPr>
        <w:t xml:space="preserve">Fifth Circuit: </w:t>
      </w:r>
      <w:r w:rsidRPr="00AD2F44">
        <w:t xml:space="preserve">Roberts v. SB S. Welding, LLC, 2015 WL 8773610, at *3 (N.D. Tex. Dec. 15, 2015) (declining request to send reminder notice because it was unnecessary and could be viewed as encouragement by court to join action) (collecting cases on split of authority). </w:t>
      </w:r>
    </w:p>
    <w:p w14:paraId="6C9C896A" w14:textId="77777777" w:rsidR="00721CCF" w:rsidRPr="00AD2F44" w:rsidRDefault="00F42107">
      <w:pPr>
        <w:pStyle w:val="14Footnote"/>
      </w:pPr>
      <w:r w:rsidRPr="00AD2F44">
        <w:rPr>
          <w:i/>
          <w:iCs/>
        </w:rPr>
        <w:t>Sixth Circuit</w:t>
      </w:r>
      <w:r w:rsidRPr="00AD2F44">
        <w:t xml:space="preserve">: Kim v. Detroit Med. Informatics, LLC, 2019 WL 6307196, at *5 (E.D. Mich. Nov. 25, 2019) (denying plaintiffs’ request to send reminder notice as “unnecessary and redundant” given postal mail and electronic mail notice distribution). </w:t>
      </w:r>
    </w:p>
  </w:footnote>
  <w:footnote w:id="461">
    <w:p w14:paraId="4C508FF5" w14:textId="77777777" w:rsidR="00721CCF" w:rsidRPr="00AD2F44" w:rsidRDefault="00F42107">
      <w:pPr>
        <w:pStyle w:val="14Footnote"/>
      </w:pPr>
      <w:r w:rsidRPr="00AD2F44">
        <w:rPr>
          <w:vertAlign w:val="superscript"/>
        </w:rPr>
        <w:footnoteRef/>
      </w:r>
      <w:r w:rsidRPr="00AD2F44">
        <w:rPr>
          <w:i/>
          <w:iCs/>
        </w:rPr>
        <w:t>See</w:t>
      </w:r>
    </w:p>
    <w:p w14:paraId="49AF8BEF" w14:textId="77777777" w:rsidR="00721CCF" w:rsidRPr="00AD2F44" w:rsidRDefault="00F42107">
      <w:pPr>
        <w:pStyle w:val="14Footnote"/>
      </w:pPr>
      <w:r w:rsidRPr="00AD2F44">
        <w:rPr>
          <w:i/>
          <w:iCs/>
        </w:rPr>
        <w:t>Third Circuit:</w:t>
      </w:r>
      <w:r w:rsidRPr="00AD2F44">
        <w:t xml:space="preserve"> Garcia v. Vertical Screen, Inc., 387 F. Supp. 3d 598 (E.D. Pa. 2019) (allowing reminder communication, noting that such practice is routinely permitted in Third Circuit); Sanchez v. Santander Bank, 2019 WL 6050738 (D.N.J. Nov. 15, 2019) (permitting plaintiffs to send reminder notice by regular and electronic mail halfway through notice period). </w:t>
      </w:r>
    </w:p>
    <w:p w14:paraId="6E98392C" w14:textId="77777777" w:rsidR="00721CCF" w:rsidRPr="00AD2F44" w:rsidRDefault="00F42107">
      <w:pPr>
        <w:pStyle w:val="14Footnote"/>
      </w:pPr>
      <w:r w:rsidRPr="00AD2F44">
        <w:rPr>
          <w:i/>
          <w:iCs/>
        </w:rPr>
        <w:t>Fifth Circuit:</w:t>
      </w:r>
      <w:r w:rsidRPr="00AD2F44">
        <w:t xml:space="preserve"> Lawrence v. A-1 Cleaning &amp; Septic Sys., LLC, 2020 WL 2042323 (S.D. Tex. Apr. 28, 2020) (allowing reminder notices by first-class mail, email, and text, but not reminder phone calls).</w:t>
      </w:r>
    </w:p>
    <w:p w14:paraId="67F74D71" w14:textId="40AF488D" w:rsidR="00721CCF" w:rsidRPr="002F69CA" w:rsidRDefault="00F42107" w:rsidP="008E5385">
      <w:pPr>
        <w:pStyle w:val="14Footnote"/>
      </w:pPr>
      <w:r>
        <w:rPr>
          <w:i/>
          <w:iCs/>
        </w:rPr>
        <w:t xml:space="preserve">Seventh Circuit: </w:t>
      </w:r>
      <w:r>
        <w:t xml:space="preserve">Wilmoth v. Steak N Shake, Inc., </w:t>
      </w:r>
      <w:r w:rsidR="00EE5233" w:rsidRPr="00EE5233">
        <w:t>2022 BL 192705</w:t>
      </w:r>
      <w:r w:rsidR="00EE5233">
        <w:t xml:space="preserve">, </w:t>
      </w:r>
      <w:r w:rsidR="00AB2EFC" w:rsidRPr="00AB2EFC">
        <w:t xml:space="preserve">2022 WL 1913026 </w:t>
      </w:r>
      <w:r>
        <w:t>(S.D.</w:t>
      </w:r>
      <w:r>
        <w:t xml:space="preserve"> Ind. June 3, 2022) (permitting reminder given purposes of notice).</w:t>
      </w:r>
    </w:p>
    <w:p w14:paraId="60D635A8" w14:textId="5D6ADEEF" w:rsidR="00721CCF" w:rsidRDefault="00F42107">
      <w:pPr>
        <w:pStyle w:val="14Footnote"/>
      </w:pPr>
      <w:r w:rsidRPr="00AD2F44">
        <w:rPr>
          <w:i/>
          <w:iCs/>
        </w:rPr>
        <w:t xml:space="preserve">Eighth Circuit: </w:t>
      </w:r>
      <w:r w:rsidRPr="00AD2F44">
        <w:t xml:space="preserve">Walkinshaw v. Saint Elizabeth Reg. Med. Ctr., 507 F. Supp. 3d 1106, 1126 (D. Neb. 2020) (allowing reminder notice over defendant’s objections after adding clarifying language to dispel concerns of judicial endorsement); Hussein v. Capital Bldg. Servs. Grp., Inc., 152 F. Supp. 3d 1182, 1198–99, 2015 WH Cases2d 384 (D. Minn. 2015) (permitting reminder notice because it helps putative class members who do not receive, open, or read initial notice, or lose or forget about it, and assists judicial economy). </w:t>
      </w:r>
    </w:p>
    <w:p w14:paraId="07343FFE" w14:textId="377E42BA" w:rsidR="00721CCF" w:rsidRPr="00AD2F44" w:rsidRDefault="00F42107">
      <w:pPr>
        <w:pStyle w:val="14Footnote"/>
      </w:pPr>
      <w:r>
        <w:rPr>
          <w:i/>
          <w:iCs/>
        </w:rPr>
        <w:t xml:space="preserve">Ninth Circuit: </w:t>
      </w:r>
      <w:r>
        <w:t>Stanfield v. Lasalle Corr</w:t>
      </w:r>
      <w:r w:rsidR="006F46AE">
        <w:t>s</w:t>
      </w:r>
      <w:r>
        <w:t xml:space="preserve">. W. LLC, </w:t>
      </w:r>
      <w:r w:rsidR="00340506" w:rsidRPr="004A078D">
        <w:t>2022 BL 259650</w:t>
      </w:r>
      <w:r w:rsidR="00340506">
        <w:t xml:space="preserve">, </w:t>
      </w:r>
      <w:r w:rsidR="006F46AE" w:rsidRPr="006F46AE">
        <w:t xml:space="preserve">2022 WL 2967711 </w:t>
      </w:r>
      <w:r>
        <w:t>(D. Ariz. July 26, 2022) (allowing reminder email after 30 days and rejecting argument it suggests judicial encouragement).</w:t>
      </w:r>
    </w:p>
    <w:p w14:paraId="14D564CC" w14:textId="77777777" w:rsidR="00721CCF" w:rsidRPr="00AD2F44" w:rsidRDefault="00F42107">
      <w:pPr>
        <w:pStyle w:val="14Footnote"/>
      </w:pPr>
      <w:r w:rsidRPr="00AD2F44">
        <w:rPr>
          <w:i/>
          <w:iCs/>
        </w:rPr>
        <w:t>Tenth Circuit</w:t>
      </w:r>
      <w:r w:rsidRPr="00AD2F44">
        <w:t xml:space="preserve">: Mayhew v. Angmar Med. Holdings, Inc., 2019 WL 6255109 (D. Kan. Nov. 22, 2019) (allowing one reminder notice to those who had not filed consent form or indicated that they did not wish to participate, but denying request for two reminders). </w:t>
      </w:r>
    </w:p>
  </w:footnote>
  <w:footnote w:id="462">
    <w:p w14:paraId="598895C3" w14:textId="77777777" w:rsidR="00721CCF" w:rsidRPr="00AD2F44" w:rsidRDefault="00F42107">
      <w:pPr>
        <w:pStyle w:val="14Footnote"/>
      </w:pPr>
      <w:r w:rsidRPr="00AD2F44">
        <w:rPr>
          <w:vertAlign w:val="superscript"/>
        </w:rPr>
        <w:footnoteRef/>
      </w:r>
      <w:r w:rsidRPr="00AD2F44">
        <w:t xml:space="preserve">As the Eleventh Circuit noted in </w:t>
      </w:r>
      <w:r w:rsidRPr="00AD2F44">
        <w:rPr>
          <w:i/>
          <w:iCs/>
        </w:rPr>
        <w:t>Morgan v. Family Dollar Stores</w:t>
      </w:r>
      <w:r w:rsidRPr="00AD2F44">
        <w:t>, the ultimate question at both stages is whether</w:t>
      </w:r>
      <w:r w:rsidRPr="00AD2F44">
        <w:t xml:space="preserve"> collective action members are “similarly situated.” 551 F.3d 1233, 1258–64 (11th Cir. 2008); </w:t>
      </w:r>
      <w:r w:rsidRPr="00AD2F44">
        <w:rPr>
          <w:i/>
          <w:iCs/>
        </w:rPr>
        <w:t>see also</w:t>
      </w:r>
      <w:r w:rsidRPr="00AD2F44">
        <w:t xml:space="preserve"> Bayles v. American Med. Response, 950 F. Supp. 1053, 1058 (D. Colo. 1996) (granting decertification because it found plaintiffs were not “similarly situated” under the “plain meaning” of §216(b), but not defining similarly situated).</w:t>
      </w:r>
    </w:p>
  </w:footnote>
  <w:footnote w:id="463">
    <w:p w14:paraId="67E647C2" w14:textId="77777777" w:rsidR="00721CCF" w:rsidRPr="00AD2F44" w:rsidRDefault="00F42107">
      <w:pPr>
        <w:pStyle w:val="14Footnote"/>
      </w:pPr>
      <w:r w:rsidRPr="00AD2F44">
        <w:rPr>
          <w:vertAlign w:val="superscript"/>
        </w:rPr>
        <w:footnoteRef/>
      </w:r>
      <w:r w:rsidRPr="00AD2F44">
        <w:rPr>
          <w:i/>
          <w:iCs/>
        </w:rPr>
        <w:t>See, e.g.,</w:t>
      </w:r>
    </w:p>
    <w:p w14:paraId="085BC93A" w14:textId="77777777" w:rsidR="00721CCF" w:rsidRPr="00AD2F44" w:rsidRDefault="00F42107">
      <w:pPr>
        <w:pStyle w:val="14Footnote"/>
      </w:pPr>
      <w:r w:rsidRPr="00AD2F44">
        <w:rPr>
          <w:i/>
          <w:iCs/>
        </w:rPr>
        <w:t>Second Circuit:</w:t>
      </w:r>
      <w:r w:rsidRPr="00AD2F44">
        <w:t xml:space="preserve"> Rubery v. Buth-Na-Bodhaige, Inc., 569 F. Supp. 2d 334, 336 n.1 (W.D.N.Y. 2008).</w:t>
      </w:r>
    </w:p>
    <w:p w14:paraId="44437130" w14:textId="77777777" w:rsidR="00721CCF" w:rsidRPr="00AD2F44" w:rsidRDefault="00F42107">
      <w:pPr>
        <w:pStyle w:val="14Footnote"/>
      </w:pPr>
      <w:r w:rsidRPr="00AD2F44">
        <w:rPr>
          <w:i/>
          <w:iCs/>
        </w:rPr>
        <w:t>Third Circuit:</w:t>
      </w:r>
      <w:r w:rsidRPr="00AD2F44">
        <w:rPr>
          <w:b/>
          <w:bCs/>
        </w:rPr>
        <w:t xml:space="preserve"> </w:t>
      </w:r>
      <w:r w:rsidRPr="00AD2F44">
        <w:t>Craig v. Rite Aid Corp., 2012 WL 279647, at *3–6 (M.D. Pa. Jan. 31, 2012) (granting plaintiffs’ motion to stay consideration of defendant’s decertification motion until completion of fact discovery, reasoning that precedent suggested that waiting until close of discovery was routine and substantial discovery remained given that over 1,000 individuals opted in and there were still questions to answer about central corporate policies).</w:t>
      </w:r>
    </w:p>
    <w:p w14:paraId="6A5A2456" w14:textId="77777777" w:rsidR="00721CCF" w:rsidRPr="00AD2F44" w:rsidRDefault="00F42107">
      <w:pPr>
        <w:pStyle w:val="14Footnote"/>
      </w:pPr>
      <w:r w:rsidRPr="00AD2F44">
        <w:rPr>
          <w:i/>
          <w:iCs/>
        </w:rPr>
        <w:t>Fifth Circuit:</w:t>
      </w:r>
      <w:r w:rsidRPr="00AD2F44">
        <w:t xml:space="preserve"> Mooney v. Aramco Servs. Co., 54 F.3d 1207, 1214 (5th Cir. 1995).</w:t>
      </w:r>
      <w:r w:rsidRPr="00AD2F44">
        <w:rPr>
          <w:b/>
        </w:rPr>
        <w:t xml:space="preserve"> [Caution: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1F30F8A5" w14:textId="77777777" w:rsidR="00721CCF" w:rsidRPr="00AD2F44" w:rsidRDefault="00F42107">
      <w:pPr>
        <w:pStyle w:val="14Footnote"/>
      </w:pPr>
      <w:r w:rsidRPr="00AD2F44">
        <w:rPr>
          <w:i/>
          <w:iCs/>
        </w:rPr>
        <w:t>Tenth Circuit:</w:t>
      </w:r>
      <w:r w:rsidRPr="00AD2F44">
        <w:t xml:space="preserve"> Thiessen v. General Elec. Capital Corp., 267 F.3d 1095, 1103 (10th Cir. 2001).</w:t>
      </w:r>
    </w:p>
    <w:p w14:paraId="34BFA005" w14:textId="7C2C252E" w:rsidR="00721CCF" w:rsidRPr="00AD2F44" w:rsidRDefault="00F42107">
      <w:pPr>
        <w:pStyle w:val="14Footnote"/>
      </w:pPr>
      <w:r w:rsidRPr="00AD2F44">
        <w:rPr>
          <w:i/>
          <w:iCs/>
        </w:rPr>
        <w:t>Eleventh Circuit:</w:t>
      </w:r>
      <w:r w:rsidRPr="00AD2F44">
        <w:t xml:space="preserve"> </w:t>
      </w:r>
      <w:r w:rsidRPr="00AD2F44">
        <w:rPr>
          <w:i/>
          <w:iCs/>
        </w:rPr>
        <w:t>Morgan</w:t>
      </w:r>
      <w:r w:rsidRPr="00AD2F44">
        <w:t>, 551 F.3d at 1260; Anderson v. Cagles, Inc., 488 F.3d 945, 953 (11th Cir. 2007).</w:t>
      </w:r>
    </w:p>
  </w:footnote>
  <w:footnote w:id="464">
    <w:p w14:paraId="366A9DA2" w14:textId="77777777" w:rsidR="00721CCF" w:rsidRPr="00AD2F44" w:rsidRDefault="00F42107">
      <w:pPr>
        <w:pStyle w:val="14Footnote"/>
      </w:pPr>
      <w:r w:rsidRPr="00AD2F44">
        <w:rPr>
          <w:vertAlign w:val="superscript"/>
        </w:rPr>
        <w:footnoteRef/>
      </w:r>
      <w:r w:rsidRPr="00AD2F44">
        <w:rPr>
          <w:i/>
          <w:iCs/>
        </w:rPr>
        <w:t>See, e.g</w:t>
      </w:r>
      <w:r w:rsidRPr="00AD2F44">
        <w:t xml:space="preserve">., Johnson v. Big Lots Stores, Inc., 561 F. Supp. 2d 567, 570–72, 578–79 (E.D. La. 2008) (granting decertification motion after seven-day bench trial); </w:t>
      </w:r>
      <w:r w:rsidRPr="00AD2F44">
        <w:rPr>
          <w:i/>
          <w:iCs/>
        </w:rPr>
        <w:t>see also</w:t>
      </w:r>
      <w:r w:rsidRPr="00AD2F44">
        <w:t xml:space="preserve"> Baldridge v. SBC Commc’ns, 404 F.3d 930 (5th Cir. 2005) (holding decertification decision is not final decision terminating litigation and allowing appeal); Falcon v. Starbucks, 580 F. Supp. 2d 528, 541 (S.D. Tex. 2008) (denying defendant’s motion for decertification, but noting that court will reconsider its decision “at any time” if it determines case cannot adequately be tried through representative testimony or that trial would be too unwieldy for a jury); Chavez v. IBP, Inc., 2005 U.S. Dist. LEXIS 29714, at *8 (E.D. Wash. May 16, 2005) (explaining §216(b) “certifications are preliminary until final judgment is issued, and are subject to modification prior to a decision on the merits”).</w:t>
      </w:r>
    </w:p>
  </w:footnote>
  <w:footnote w:id="465">
    <w:p w14:paraId="332E2412" w14:textId="77777777" w:rsidR="00721CCF" w:rsidRPr="00AD2F44" w:rsidRDefault="00F42107">
      <w:pPr>
        <w:pStyle w:val="14Footnote"/>
      </w:pPr>
      <w:r w:rsidRPr="00AD2F44">
        <w:rPr>
          <w:vertAlign w:val="superscript"/>
        </w:rPr>
        <w:footnoteRef/>
      </w:r>
      <w:r w:rsidRPr="00AD2F44">
        <w:rPr>
          <w:i/>
          <w:iCs/>
        </w:rPr>
        <w:t>See, e.g.,</w:t>
      </w:r>
    </w:p>
    <w:p w14:paraId="0C2AA6AD" w14:textId="77777777" w:rsidR="00721CCF" w:rsidRPr="00AD2F44" w:rsidRDefault="00F42107">
      <w:pPr>
        <w:pStyle w:val="14Footnote"/>
      </w:pPr>
      <w:r w:rsidRPr="00AD2F44">
        <w:rPr>
          <w:i/>
          <w:iCs/>
        </w:rPr>
        <w:t>First Circuit:</w:t>
      </w:r>
      <w:r w:rsidRPr="00AD2F44">
        <w:t xml:space="preserve"> Melendez Cintron v. Hershey P.R., Inc., 363 F. Supp. 2d 10, 16 (D.P.R. 2005).</w:t>
      </w:r>
    </w:p>
    <w:p w14:paraId="5B48F00C" w14:textId="77777777" w:rsidR="00721CCF" w:rsidRPr="00AD2F44" w:rsidRDefault="00F42107">
      <w:pPr>
        <w:pStyle w:val="14Footnote"/>
      </w:pPr>
      <w:r w:rsidRPr="00AD2F44">
        <w:rPr>
          <w:i/>
          <w:iCs/>
        </w:rPr>
        <w:t>Second Circuit:</w:t>
      </w:r>
      <w:r w:rsidRPr="00AD2F44">
        <w:t xml:space="preserve"> Ruiz v. Citibank, N.A., 93 F. Supp. 3d 279, 298 (S.D.N.Y. 2015) (noting that second stage is “more stringent stage” and that there is “little difference” in various approaches applied by courts in deciding motions to decertify, whether or not they expressly import Rule 23 requirements).</w:t>
      </w:r>
    </w:p>
    <w:p w14:paraId="182DD4DA" w14:textId="77777777" w:rsidR="00721CCF" w:rsidRPr="00AD2F44" w:rsidRDefault="00F42107">
      <w:pPr>
        <w:pStyle w:val="14Footnote"/>
      </w:pPr>
      <w:r w:rsidRPr="00AD2F44">
        <w:rPr>
          <w:i/>
          <w:iCs/>
        </w:rPr>
        <w:t>Third Circuit:</w:t>
      </w:r>
      <w:r w:rsidRPr="00AD2F44">
        <w:t xml:space="preserve"> Morisky v. Public Serv. Elec. &amp; Gas Co., 111 F. Supp. 2d 493, 497 (D.N.J. 2000).</w:t>
      </w:r>
    </w:p>
    <w:p w14:paraId="314B7687" w14:textId="77777777" w:rsidR="00721CCF" w:rsidRPr="00AD2F44" w:rsidRDefault="00F42107">
      <w:pPr>
        <w:pStyle w:val="14Footnote"/>
      </w:pPr>
      <w:r w:rsidRPr="00AD2F44">
        <w:rPr>
          <w:i/>
          <w:iCs/>
        </w:rPr>
        <w:t>Fourth Circuit:</w:t>
      </w:r>
      <w:r w:rsidRPr="00AD2F44">
        <w:t xml:space="preserve"> Butler v. DirectSAT USA, 47 F. Supp. 3d 300, 306 (D. Md. 2014); Rawls v. Augustine Home Health Care, Inc., 244 F.R.D. 298, 300 (D. Md. 2007); Duncan v. Phoenix Supported Living, Inc., 2007 WL 1033360, at *1 (W.D.N.C. Mar. 30, 2007).</w:t>
      </w:r>
    </w:p>
    <w:p w14:paraId="370EEFE3" w14:textId="77777777" w:rsidR="00721CCF" w:rsidRPr="00AD2F44" w:rsidRDefault="00F42107">
      <w:pPr>
        <w:pStyle w:val="14Footnote"/>
      </w:pPr>
      <w:r w:rsidRPr="00AD2F44">
        <w:rPr>
          <w:i/>
          <w:iCs/>
        </w:rPr>
        <w:t>Fifth Circuit:</w:t>
      </w:r>
      <w:r w:rsidRPr="00AD2F44">
        <w:t xml:space="preserve"> Kelly v. Healthcare Servs. Grp., Inc., 106 F. Supp. 3d 808, 813 (E.D. Tex. 2015); Proctor v. </w:t>
      </w:r>
      <w:r w:rsidRPr="00AD2F44">
        <w:t>Allsups Convenience Stores, Inc., 250 F.R.D. 278, 280 (N.D. Tex. 2008).</w:t>
      </w:r>
    </w:p>
    <w:p w14:paraId="53159EF2" w14:textId="77777777" w:rsidR="00721CCF" w:rsidRPr="00AD2F44" w:rsidRDefault="00F42107">
      <w:pPr>
        <w:pStyle w:val="14Footnote"/>
      </w:pPr>
      <w:r w:rsidRPr="00AD2F44">
        <w:rPr>
          <w:i/>
          <w:iCs/>
        </w:rPr>
        <w:t>Sixth Circuit:</w:t>
      </w:r>
      <w:r w:rsidRPr="00AD2F44">
        <w:t xml:space="preserve"> Comer v. Wal-Mart Stores, 454 F.3d 544, 547 (6th Cir. 2006); Olivo v. GMAC Mortg. Corp., 374 F. Supp. 2d 545, 548 n.2 (E.D. Mich. 2004).</w:t>
      </w:r>
    </w:p>
    <w:p w14:paraId="7F7F8EB0" w14:textId="77777777" w:rsidR="00721CCF" w:rsidRPr="00AD2F44" w:rsidRDefault="00F42107">
      <w:pPr>
        <w:pStyle w:val="14Footnote"/>
      </w:pPr>
      <w:r w:rsidRPr="00AD2F44">
        <w:rPr>
          <w:i/>
          <w:iCs/>
        </w:rPr>
        <w:t>Eighth Circuit:</w:t>
      </w:r>
      <w:r w:rsidRPr="00AD2F44">
        <w:t xml:space="preserve"> Hamilton v. Diversicare Leasing Corp., 2014 WL 4955799, at *3 (W.D. Ark. Oct. 1, 2014) (“At the second stage … named Plaintiffs must make a stronger showing to continue to proceed on a collective basis.”); King v. West Corp., 2006 WL 118577, at *13 (D. Neb. Jan. 13, 2006); Smith v. Heartland Auto. Servs., 404 F. Supp. 2d 1144, 1149 (D. Minn. 2005).</w:t>
      </w:r>
    </w:p>
    <w:p w14:paraId="5B9201E7" w14:textId="77777777" w:rsidR="00721CCF" w:rsidRPr="00AD2F44" w:rsidRDefault="00F42107">
      <w:pPr>
        <w:pStyle w:val="14Footnote"/>
      </w:pPr>
      <w:r w:rsidRPr="00AD2F44">
        <w:rPr>
          <w:i/>
          <w:iCs/>
        </w:rPr>
        <w:t>Ninth Circuit:</w:t>
      </w:r>
      <w:r w:rsidRPr="00AD2F44">
        <w:t xml:space="preserve"> Campbell v. City of L.A., 903 F.3d 1090 (9th Cir. 2018) (holding that courts should apply the summary judgment standard in determining whether to decertify a class when decertification overlaps with merits of underlying claims); Brewer v. General Nutrition Corp., 2014 WL 5877695, at *14 (N.D. Cal. Nov. 12, 2014) (noting that, at second stage, there is “more searching review” and “it is plaintiffs’ burden to provide substantial evidence to demonstrate that they are similarly situated”).</w:t>
      </w:r>
    </w:p>
    <w:p w14:paraId="0B5FE073" w14:textId="473ECBB4" w:rsidR="00721CCF" w:rsidRPr="00AD2F44" w:rsidRDefault="00F42107">
      <w:pPr>
        <w:pStyle w:val="14Footnote"/>
      </w:pPr>
      <w:r w:rsidRPr="00AD2F44">
        <w:rPr>
          <w:i/>
          <w:iCs/>
        </w:rPr>
        <w:t>Eleventh Circuit: Morgan,</w:t>
      </w:r>
      <w:r w:rsidRPr="00AD2F44">
        <w:t xml:space="preserve"> 551 F.3d at 1261.</w:t>
      </w:r>
    </w:p>
  </w:footnote>
  <w:footnote w:id="466">
    <w:p w14:paraId="783253F8" w14:textId="77777777" w:rsidR="00721CCF" w:rsidRPr="00AD2F44" w:rsidRDefault="00F42107">
      <w:pPr>
        <w:pStyle w:val="14Footnote"/>
      </w:pPr>
      <w:r w:rsidRPr="00AD2F44">
        <w:rPr>
          <w:vertAlign w:val="superscript"/>
        </w:rPr>
        <w:footnoteRef/>
      </w:r>
      <w:r w:rsidRPr="00AD2F44">
        <w:rPr>
          <w:i/>
          <w:iCs/>
        </w:rPr>
        <w:t>See, e.g.,</w:t>
      </w:r>
    </w:p>
    <w:p w14:paraId="3DCC5A23" w14:textId="77777777" w:rsidR="00721CCF" w:rsidRPr="00AD2F44" w:rsidRDefault="00F42107">
      <w:pPr>
        <w:pStyle w:val="14Footnote"/>
      </w:pPr>
      <w:r w:rsidRPr="00AD2F44">
        <w:rPr>
          <w:i/>
          <w:iCs/>
        </w:rPr>
        <w:t>Second Circuit:</w:t>
      </w:r>
      <w:r w:rsidRPr="00AD2F44">
        <w:t xml:space="preserve"> Perez v. Allstate Ins. Co., 2014 WL 4635745, at *6 (E.D.N.Y. Sept. 16, 2014); Stevens v. HMS Host Corp., 2014 WL 4261410, at *5 (E.D.N.Y. Aug. 24, 2014).</w:t>
      </w:r>
    </w:p>
    <w:p w14:paraId="63AAD318" w14:textId="77777777" w:rsidR="00721CCF" w:rsidRPr="00AD2F44" w:rsidRDefault="00F42107">
      <w:pPr>
        <w:pStyle w:val="14Footnote"/>
      </w:pPr>
      <w:r w:rsidRPr="00AD2F44">
        <w:rPr>
          <w:i/>
          <w:iCs/>
        </w:rPr>
        <w:t>Third Circuit:</w:t>
      </w:r>
      <w:r w:rsidRPr="00AD2F44">
        <w:t xml:space="preserve"> Bell v. Reading Hosp. &amp; Med. Ctr., 2016 WL 3902938, at *8 (E.D. Pa. July 19, 2016); Chabrier v. Wilmington Fin. Inc., 2008 WL 938872, at *3 (E.D. Pa. Apr. 4, 2008) (quoting Garcia v. Elite Labor Serv., 1996 WL 33500122 (N.D. Ill. July 11, 1996)); Morisky v. Public Serv. Elec. &amp; Gas Co., 111 F. Supp. 2d 493, 496 (D.N.J. 2000).</w:t>
      </w:r>
    </w:p>
    <w:p w14:paraId="2B712C84" w14:textId="77777777" w:rsidR="00721CCF" w:rsidRPr="00AD2F44" w:rsidRDefault="00F42107">
      <w:pPr>
        <w:pStyle w:val="14Footnote"/>
      </w:pPr>
      <w:r w:rsidRPr="00AD2F44">
        <w:rPr>
          <w:i/>
          <w:iCs/>
        </w:rPr>
        <w:t>Fifth Circuit:</w:t>
      </w:r>
      <w:r w:rsidRPr="00AD2F44">
        <w:t xml:space="preserve"> </w:t>
      </w:r>
      <w:r w:rsidRPr="00AD2F44">
        <w:rPr>
          <w:i/>
          <w:iCs/>
        </w:rPr>
        <w:t>Kelly</w:t>
      </w:r>
      <w:r w:rsidRPr="00AD2F44">
        <w:t xml:space="preserve">, 106 F. Supp. 3d at 816; </w:t>
      </w:r>
      <w:r w:rsidRPr="00AD2F44">
        <w:rPr>
          <w:i/>
          <w:iCs/>
        </w:rPr>
        <w:t>Falcon</w:t>
      </w:r>
      <w:r w:rsidRPr="00AD2F44">
        <w:t>, 580 F. Supp. 2d at 534; England v. New Century Fin. Corp., 370 F. Supp. 2d 504, 507 (M.D. La. 2005); Basco v. Wal-Mart Stores, Inc., 2004 WL 1497709, at *5 (E.D. La. July 2, 2004).</w:t>
      </w:r>
    </w:p>
    <w:p w14:paraId="2FC593E7" w14:textId="77777777" w:rsidR="00721CCF" w:rsidRPr="00AD2F44" w:rsidRDefault="00F42107">
      <w:pPr>
        <w:pStyle w:val="14Footnote"/>
      </w:pPr>
      <w:r w:rsidRPr="00AD2F44">
        <w:rPr>
          <w:i/>
          <w:iCs/>
        </w:rPr>
        <w:t>Sixth Circuit:</w:t>
      </w:r>
      <w:r w:rsidRPr="00AD2F44">
        <w:t xml:space="preserve"> Wilks v. Pep Boys, 2006 WL 2821700, at *3 (M.D. Tenn. Sept. 26, 2006).</w:t>
      </w:r>
    </w:p>
    <w:p w14:paraId="49C7D77D" w14:textId="77777777" w:rsidR="00721CCF" w:rsidRPr="00AD2F44" w:rsidRDefault="00F42107">
      <w:pPr>
        <w:pStyle w:val="14Footnote"/>
      </w:pPr>
      <w:r w:rsidRPr="00AD2F44">
        <w:rPr>
          <w:i/>
          <w:iCs/>
        </w:rPr>
        <w:t>Eighth Circuit:</w:t>
      </w:r>
      <w:r w:rsidRPr="00AD2F44">
        <w:t xml:space="preserve"> </w:t>
      </w:r>
      <w:r w:rsidRPr="00AD2F44">
        <w:rPr>
          <w:i/>
          <w:iCs/>
        </w:rPr>
        <w:t>Hamilton</w:t>
      </w:r>
      <w:r w:rsidRPr="00AD2F44">
        <w:t xml:space="preserve">, 2014 WL 4955799, at *3 (“At the second stage … named Plaintiffs must make a stronger showing to continue to proceed on a collective basis.”); Nerland v. Caribou Coffee Co., 564 F. Supp. 2d 1010, 1018 (D. Minn. 2007); </w:t>
      </w:r>
      <w:r w:rsidRPr="00AD2F44">
        <w:rPr>
          <w:i/>
          <w:iCs/>
        </w:rPr>
        <w:t>King</w:t>
      </w:r>
      <w:r w:rsidRPr="00AD2F44">
        <w:t>, 2006 WL 118577, at *13.</w:t>
      </w:r>
    </w:p>
    <w:p w14:paraId="12A2B6B2" w14:textId="2A677DBD" w:rsidR="00721CCF" w:rsidRPr="00AD2F44" w:rsidRDefault="00F42107">
      <w:pPr>
        <w:pStyle w:val="14Footnote"/>
      </w:pPr>
      <w:r w:rsidRPr="00AD2F44">
        <w:rPr>
          <w:i/>
          <w:iCs/>
        </w:rPr>
        <w:t>Eleventh Circuit:</w:t>
      </w:r>
      <w:r w:rsidRPr="00AD2F44">
        <w:t xml:space="preserve"> </w:t>
      </w:r>
      <w:r w:rsidRPr="00AD2F44">
        <w:rPr>
          <w:i/>
          <w:iCs/>
        </w:rPr>
        <w:t>Morgan</w:t>
      </w:r>
      <w:r w:rsidRPr="00AD2F44">
        <w:t>, 551 F.3d at 1260; Grayson v. K Mart Corp., 79 F.3d 1086, 1097 (11th Cir. 1996); Pendlebury v. Starbucks, 518 F. Supp. 2d 1345, 1348 (S.D. Fla. 2008);</w:t>
      </w:r>
      <w:r w:rsidRPr="00AD2F44">
        <w:rPr>
          <w:i/>
          <w:iCs/>
        </w:rPr>
        <w:t xml:space="preserve"> see also</w:t>
      </w:r>
      <w:r w:rsidRPr="00AD2F44">
        <w:t xml:space="preserve"> Anderson v. Cagle’s, Inc., 488 F.3d 945, 953 (11th Cir. 2007) (noting that while plaintiffs do not need to show their positions are identical, they must establish similarities beyond mere job duties and pay provisions).</w:t>
      </w:r>
    </w:p>
  </w:footnote>
  <w:footnote w:id="467">
    <w:p w14:paraId="07478DCE" w14:textId="77777777" w:rsidR="00721CCF" w:rsidRPr="00AD2F44" w:rsidRDefault="00F42107">
      <w:pPr>
        <w:pStyle w:val="14Footnote"/>
      </w:pPr>
      <w:r w:rsidRPr="00AD2F44">
        <w:rPr>
          <w:vertAlign w:val="superscript"/>
        </w:rPr>
        <w:footnoteRef/>
      </w:r>
      <w:r w:rsidRPr="00AD2F44">
        <w:rPr>
          <w:i/>
          <w:iCs/>
        </w:rPr>
        <w:t>See, e.g.,</w:t>
      </w:r>
    </w:p>
    <w:p w14:paraId="5F17C1B8" w14:textId="77777777" w:rsidR="00721CCF" w:rsidRPr="00AD2F44" w:rsidRDefault="00F42107">
      <w:pPr>
        <w:pStyle w:val="14Footnote"/>
      </w:pPr>
      <w:r w:rsidRPr="00AD2F44">
        <w:rPr>
          <w:i/>
          <w:iCs/>
        </w:rPr>
        <w:t>Second Circuit:</w:t>
      </w:r>
      <w:r w:rsidRPr="00AD2F44">
        <w:t xml:space="preserve"> Hernandez v. Fresh Diet, Inc., 2014 WL 5039431, at *3 (S.D.N.Y. Sept. 29, 2014); </w:t>
      </w:r>
      <w:r w:rsidRPr="00AD2F44">
        <w:rPr>
          <w:i/>
          <w:iCs/>
        </w:rPr>
        <w:t>Stevens</w:t>
      </w:r>
      <w:r w:rsidRPr="00AD2F44">
        <w:t>, 2014 WL 4261410, at *5.</w:t>
      </w:r>
    </w:p>
    <w:p w14:paraId="2D6F9E4A" w14:textId="77777777" w:rsidR="00721CCF" w:rsidRPr="00AD2F44" w:rsidRDefault="00F42107">
      <w:pPr>
        <w:pStyle w:val="14Footnote"/>
      </w:pPr>
      <w:r w:rsidRPr="00AD2F44">
        <w:rPr>
          <w:i/>
          <w:iCs/>
        </w:rPr>
        <w:t>Fourth Circuit:</w:t>
      </w:r>
      <w:r w:rsidRPr="00AD2F44">
        <w:t xml:space="preserve"> </w:t>
      </w:r>
      <w:r w:rsidRPr="00AD2F44">
        <w:rPr>
          <w:i/>
          <w:iCs/>
        </w:rPr>
        <w:t>Butler</w:t>
      </w:r>
      <w:r w:rsidRPr="00AD2F44">
        <w:t>, 47 F. Supp. 3d at 306.</w:t>
      </w:r>
    </w:p>
    <w:p w14:paraId="2E184CAF" w14:textId="77777777" w:rsidR="00721CCF" w:rsidRPr="00AD2F44" w:rsidRDefault="00F42107">
      <w:pPr>
        <w:pStyle w:val="14Footnote"/>
      </w:pPr>
      <w:r w:rsidRPr="00AD2F44">
        <w:rPr>
          <w:i/>
          <w:iCs/>
        </w:rPr>
        <w:t>Fifth Circuit:</w:t>
      </w:r>
      <w:r w:rsidRPr="00AD2F44">
        <w:t xml:space="preserve"> </w:t>
      </w:r>
      <w:r w:rsidRPr="00AD2F44">
        <w:rPr>
          <w:i/>
          <w:iCs/>
        </w:rPr>
        <w:t>Falcon</w:t>
      </w:r>
      <w:r w:rsidRPr="00AD2F44">
        <w:t>, 580 F. Supp. 2d at 534.</w:t>
      </w:r>
    </w:p>
    <w:p w14:paraId="75429A35" w14:textId="77777777" w:rsidR="00721CCF" w:rsidRPr="00AD2F44" w:rsidRDefault="00F42107">
      <w:pPr>
        <w:pStyle w:val="14Footnote"/>
      </w:pPr>
      <w:r w:rsidRPr="00AD2F44">
        <w:rPr>
          <w:i/>
          <w:iCs/>
        </w:rPr>
        <w:t>Eighth Circuit:</w:t>
      </w:r>
      <w:r w:rsidRPr="00AD2F44">
        <w:t xml:space="preserve"> Judkins v. </w:t>
      </w:r>
      <w:r w:rsidRPr="00AD2F44">
        <w:t xml:space="preserve">SouthernCare, Inc., 74 F. Supp. 3d 1007, 1010 (S.D. Iowa 2015); </w:t>
      </w:r>
      <w:r w:rsidRPr="00AD2F44">
        <w:rPr>
          <w:i/>
          <w:iCs/>
        </w:rPr>
        <w:t>Nerland</w:t>
      </w:r>
      <w:r w:rsidRPr="00AD2F44">
        <w:t>, 564 F. Supp. 2d at 1018.</w:t>
      </w:r>
    </w:p>
    <w:p w14:paraId="1722CBC8" w14:textId="77777777" w:rsidR="00721CCF" w:rsidRPr="00AD2F44" w:rsidRDefault="00F42107">
      <w:pPr>
        <w:pStyle w:val="14Footnote"/>
      </w:pPr>
      <w:r w:rsidRPr="00AD2F44">
        <w:rPr>
          <w:i/>
          <w:iCs/>
        </w:rPr>
        <w:t>Ninth Circuit:</w:t>
      </w:r>
      <w:r w:rsidRPr="00AD2F44">
        <w:t xml:space="preserve"> </w:t>
      </w:r>
      <w:r w:rsidRPr="00AD2F44">
        <w:rPr>
          <w:i/>
          <w:iCs/>
        </w:rPr>
        <w:t>Brewer</w:t>
      </w:r>
      <w:r w:rsidRPr="00AD2F44">
        <w:t>, 2014 WL 5877695, at *15.</w:t>
      </w:r>
    </w:p>
    <w:p w14:paraId="2CF07A1E" w14:textId="77777777" w:rsidR="00721CCF" w:rsidRPr="00AD2F44" w:rsidRDefault="00F42107">
      <w:pPr>
        <w:pStyle w:val="14Footnote"/>
      </w:pPr>
      <w:r w:rsidRPr="00A674E3">
        <w:rPr>
          <w:i/>
          <w:iCs/>
        </w:rPr>
        <w:t>Tenth Circuit: Thiessen,</w:t>
      </w:r>
      <w:r w:rsidRPr="00AD2F44">
        <w:t xml:space="preserve"> 267 F.3d at 1103.</w:t>
      </w:r>
    </w:p>
    <w:p w14:paraId="2089AF29" w14:textId="60CAE14D" w:rsidR="00721CCF" w:rsidRPr="00AD2F44" w:rsidRDefault="00F42107">
      <w:pPr>
        <w:pStyle w:val="14Footnote"/>
      </w:pPr>
      <w:r w:rsidRPr="00AD2F44">
        <w:rPr>
          <w:i/>
          <w:iCs/>
        </w:rPr>
        <w:t>Eleventh Circuit:</w:t>
      </w:r>
      <w:r w:rsidRPr="00AD2F44">
        <w:t xml:space="preserve"> Morgan v. Family Dollar Stores, Inc., 551 F.3d 1233, 1260 (11th Cir. 2008); Geter v. Galardi S. Enters., Inc., 2015 WL 2384068, at *2 (S.D. Fla. May 19, 2015); </w:t>
      </w:r>
      <w:r w:rsidRPr="00AD2F44">
        <w:rPr>
          <w:i/>
          <w:iCs/>
        </w:rPr>
        <w:t>Pendlebury</w:t>
      </w:r>
      <w:r w:rsidRPr="00AD2F44">
        <w:t>, 518 F. Supp. 2d at 1348–49.</w:t>
      </w:r>
    </w:p>
  </w:footnote>
  <w:footnote w:id="468">
    <w:p w14:paraId="5D117EB3" w14:textId="77777777" w:rsidR="00721CCF" w:rsidRPr="00AD2F44" w:rsidRDefault="00F42107">
      <w:pPr>
        <w:pStyle w:val="14Footnote"/>
      </w:pPr>
      <w:r w:rsidRPr="00AD2F44">
        <w:rPr>
          <w:vertAlign w:val="superscript"/>
        </w:rPr>
        <w:footnoteRef/>
      </w:r>
      <w:r w:rsidRPr="00AD2F44">
        <w:t xml:space="preserve">Zavala v. Walmart Stores, Inc., 691 F.3d 527, 537 (3d Cir. 2012); </w:t>
      </w:r>
      <w:r w:rsidRPr="00AD2F44">
        <w:rPr>
          <w:i/>
          <w:iCs/>
        </w:rPr>
        <w:t>see also</w:t>
      </w:r>
      <w:r w:rsidRPr="00AD2F44">
        <w:t xml:space="preserve"> </w:t>
      </w:r>
      <w:r w:rsidRPr="00AD2F44">
        <w:rPr>
          <w:i/>
          <w:iCs/>
        </w:rPr>
        <w:t>Bell</w:t>
      </w:r>
      <w:r w:rsidRPr="00AD2F44">
        <w:t xml:space="preserve">, 2016 WL 3902938, at *7; Adami v. Cardo Windows, Inc., 2016 WL 1241798, at *5 (D.N.J. Mar. 30, 2016); </w:t>
      </w:r>
      <w:r w:rsidRPr="00AD2F44">
        <w:rPr>
          <w:i/>
          <w:iCs/>
        </w:rPr>
        <w:t>accord</w:t>
      </w:r>
      <w:r w:rsidRPr="00AD2F44">
        <w:t xml:space="preserve"> </w:t>
      </w:r>
      <w:r w:rsidRPr="00AD2F44">
        <w:rPr>
          <w:i/>
          <w:iCs/>
        </w:rPr>
        <w:t>Perez</w:t>
      </w:r>
      <w:r w:rsidRPr="00AD2F44">
        <w:t xml:space="preserve">, 2014 WL 4635745, at *6 (following </w:t>
      </w:r>
      <w:r w:rsidRPr="00AD2F44">
        <w:rPr>
          <w:i/>
          <w:iCs/>
        </w:rPr>
        <w:t>Zavala</w:t>
      </w:r>
      <w:r w:rsidRPr="00AD2F44">
        <w:t xml:space="preserve"> and holding that, at second stage, plaintiffs must prove that members of collective are similarly situated by preponderance of evidence); Hinterberger v. Catholic Health Sys., 299 F.R.D. 22, 55 (W.D.N.Y. 2014) (same).</w:t>
      </w:r>
    </w:p>
  </w:footnote>
  <w:footnote w:id="469">
    <w:p w14:paraId="03368BD2" w14:textId="77777777" w:rsidR="00721CCF" w:rsidRPr="00AD2F44" w:rsidRDefault="00F42107">
      <w:pPr>
        <w:pStyle w:val="14Footnote"/>
      </w:pPr>
      <w:r w:rsidRPr="00AD2F44">
        <w:rPr>
          <w:vertAlign w:val="superscript"/>
        </w:rPr>
        <w:footnoteRef/>
      </w:r>
      <w:r w:rsidRPr="00AD2F44">
        <w:rPr>
          <w:i/>
          <w:iCs/>
        </w:rPr>
        <w:t>See, e.g.,</w:t>
      </w:r>
    </w:p>
    <w:p w14:paraId="5E9EB541" w14:textId="77777777" w:rsidR="00721CCF" w:rsidRPr="00AD2F44" w:rsidRDefault="00F42107">
      <w:pPr>
        <w:pStyle w:val="14Footnote"/>
      </w:pPr>
      <w:r w:rsidRPr="00AD2F44">
        <w:rPr>
          <w:i/>
          <w:iCs/>
        </w:rPr>
        <w:t xml:space="preserve">First Circuit: </w:t>
      </w:r>
      <w:r w:rsidRPr="00AD2F44">
        <w:t>Norceide v. Cambridge Health Alliance, 2014 WL 775453, at *3 (D. Mass. Feb. 24, 2014); Reeves v. Alliant Techsys., Inc., 77 F. Supp. 2d 242, 247 (D.R.I. 1999).</w:t>
      </w:r>
    </w:p>
    <w:p w14:paraId="099C60C6" w14:textId="77777777" w:rsidR="00721CCF" w:rsidRPr="00AD2F44" w:rsidRDefault="00F42107">
      <w:pPr>
        <w:pStyle w:val="14Footnote"/>
      </w:pPr>
      <w:r w:rsidRPr="00AD2F44">
        <w:rPr>
          <w:i/>
          <w:iCs/>
        </w:rPr>
        <w:t>Second Circuit:</w:t>
      </w:r>
      <w:r w:rsidRPr="00AD2F44">
        <w:t xml:space="preserve"> Jacob v. Duane Reade, Inc., 2016 WL 3221148, at *7 (S.D.N.Y. June 9, 2016); Griffith v. Fordham Fin. Mgmt., Inc., 2016 WL 354895, at *3 (S.D.N.Y. Jan. 28, 2016); Harper v. Government Emps. Ins. Co., 2015 WL 9673810, at *4 (E.D.N.Y. Nov. 16, 2015); </w:t>
      </w:r>
      <w:r w:rsidRPr="00AD2F44">
        <w:rPr>
          <w:i/>
          <w:iCs/>
        </w:rPr>
        <w:t>Hernandez</w:t>
      </w:r>
      <w:r w:rsidRPr="00AD2F44">
        <w:t xml:space="preserve">, 2014 WL 5039431, at *3; </w:t>
      </w:r>
      <w:r w:rsidRPr="00AD2F44">
        <w:rPr>
          <w:i/>
          <w:iCs/>
        </w:rPr>
        <w:t>Perez</w:t>
      </w:r>
      <w:r w:rsidRPr="00AD2F44">
        <w:t>, 2014 WL 4635745, at *6; DeSilva v. North Shore-Long Island Jewish Health Sys., Inc., 27 F. Supp. 3d 313, 320 (E.D.N.Y. 2014); Johnson v. Wave Comm GR LLC, 4 F. Supp. 3d 453, 458 (N.D.N.Y. 2014); Ayers v. SGS Control Serv., Inc., 2007 WL 646326, at *5 (S.D.N.Y. Feb. 27, 2007).</w:t>
      </w:r>
    </w:p>
    <w:p w14:paraId="4F395476" w14:textId="77777777" w:rsidR="00721CCF" w:rsidRPr="00AD2F44" w:rsidRDefault="00F42107">
      <w:pPr>
        <w:pStyle w:val="14Footnote"/>
      </w:pPr>
      <w:r w:rsidRPr="00AD2F44">
        <w:rPr>
          <w:i/>
          <w:iCs/>
        </w:rPr>
        <w:t>Third Circuit:</w:t>
      </w:r>
      <w:r w:rsidRPr="00AD2F44">
        <w:t xml:space="preserve"> Zavala v. Walmart Stores, Inc., 691 F.3d 527, 537 (3d Cir. 2012) (recognizing factors applied by district courts); </w:t>
      </w:r>
      <w:r w:rsidRPr="00AD2F44">
        <w:rPr>
          <w:i/>
          <w:iCs/>
        </w:rPr>
        <w:t>Bell</w:t>
      </w:r>
      <w:r w:rsidRPr="00AD2F44">
        <w:t>, 2016 WL 3902938, at *8; Ruffin v. Avis Budget Car Rental, LLC, 2014 WL 294675, at *3 (D. N.J. Jan. 27, 2014); Moss v. Crawford &amp; Co., 201 F.R.D. 398, 409 (W.D. Pa. 2000).</w:t>
      </w:r>
    </w:p>
    <w:p w14:paraId="656A061C" w14:textId="77777777" w:rsidR="00721CCF" w:rsidRPr="00AD2F44" w:rsidRDefault="00F42107">
      <w:pPr>
        <w:pStyle w:val="14Footnote"/>
      </w:pPr>
      <w:r w:rsidRPr="00AD2F44">
        <w:rPr>
          <w:i/>
          <w:iCs/>
        </w:rPr>
        <w:t>Fourth Circuit:</w:t>
      </w:r>
      <w:r w:rsidRPr="00AD2F44">
        <w:t xml:space="preserve"> Regan v. City of Charleston, 2015 WL 6727079, at *3 (D.S.C. Nov. 3, 2015); Randolph v. </w:t>
      </w:r>
      <w:r w:rsidRPr="00AD2F44">
        <w:t xml:space="preserve">PowerComm Constr., Inc., 309 F.R.D. 349, 368 (D. Md. 2015); Rehberg v. Flowers Baking Co. of Jamestown, LLC, 2015 WL 1346125, at *15 (W.D.N.C. Mar. 24, 2015); </w:t>
      </w:r>
      <w:r w:rsidRPr="00AD2F44">
        <w:rPr>
          <w:i/>
          <w:iCs/>
        </w:rPr>
        <w:t>Butler</w:t>
      </w:r>
      <w:r w:rsidRPr="00AD2F44">
        <w:t xml:space="preserve">, 47 F. Supp. 3d at 306; LaFleur v. Dollar Tree Stores, Inc., 30 F. Supp. 3d 463, 468 (E.D. Va. 2014); Rawls v. Augustine Home Health Care, Inc., 244 F.R.D. 298, 300 (D. Md. 2007); Sharer v. Tandberg, Inc., 2007 WL 676220, at *2 (E.D. Va. Feb. 27, 2007); </w:t>
      </w:r>
      <w:r w:rsidRPr="00AD2F44">
        <w:rPr>
          <w:i/>
          <w:iCs/>
        </w:rPr>
        <w:t>Duncan</w:t>
      </w:r>
      <w:r w:rsidRPr="00AD2F44">
        <w:t>, 2007 WL 1033360, at *1.</w:t>
      </w:r>
    </w:p>
    <w:p w14:paraId="2F7958CF" w14:textId="77777777" w:rsidR="00721CCF" w:rsidRPr="00AD2F44" w:rsidRDefault="00F42107">
      <w:pPr>
        <w:pStyle w:val="14Footnote"/>
      </w:pPr>
      <w:r w:rsidRPr="00AD2F44">
        <w:rPr>
          <w:i/>
          <w:iCs/>
        </w:rPr>
        <w:t>Fifth Circuit:</w:t>
      </w:r>
      <w:r w:rsidRPr="00AD2F44">
        <w:t xml:space="preserve"> Mooney v. Aramco Servs., Co., 54 F.3d 1207, 1213 n.7, 1215–16 (5th Cir. 1995)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r w:rsidRPr="00AD2F44">
        <w:t xml:space="preserve">; Nguyen v. Versacom, LLC, 2016 WL 6650860, at *3 (N.D. Tex. Nov. 9, 2016); </w:t>
      </w:r>
      <w:r w:rsidRPr="00AD2F44">
        <w:rPr>
          <w:i/>
          <w:iCs/>
        </w:rPr>
        <w:t>Kelly</w:t>
      </w:r>
      <w:r w:rsidRPr="00AD2F44">
        <w:t xml:space="preserve">, 106 F. Supp. 3d at 813; Lipnicki v. Meritage Homes Corp., 2014 WL 5620603, at *2 (S.D. Tex. Nov. 4, 2014); Clark v. Centene Co. of Tex. LP, 44 F. Supp. 3d 674, 688 (W.D. Tex. 2014); Vanzzini v. Action Meat Distribs., Inc., 995 F. Supp. 2d 703, 720–21 (S.D. Tex. 2014); White v. NTC Transp., Inc., 2013 WL 5874566, at *2 (N.D. Miss. Oct. 31, 2013); </w:t>
      </w:r>
      <w:r w:rsidRPr="00AD2F44">
        <w:rPr>
          <w:i/>
          <w:iCs/>
        </w:rPr>
        <w:t>Proctor</w:t>
      </w:r>
      <w:r w:rsidRPr="00AD2F44">
        <w:t>, 250 F.R.D. at 280.</w:t>
      </w:r>
    </w:p>
    <w:p w14:paraId="5D50C19B" w14:textId="01D2BCB4" w:rsidR="00721CCF" w:rsidRPr="00AD2F44" w:rsidRDefault="00F42107">
      <w:pPr>
        <w:pStyle w:val="14Footnote"/>
      </w:pPr>
      <w:r w:rsidRPr="00AD2F44">
        <w:rPr>
          <w:i/>
          <w:iCs/>
        </w:rPr>
        <w:t>Sixth Circuit:</w:t>
      </w:r>
      <w:r w:rsidRPr="00AD2F44">
        <w:t xml:space="preserve"> Frye v. Baptist Mem. Hosp., Inc., 495 F. App’x 669, 672 (6th Cir. 2012) (reviewing application of </w:t>
      </w:r>
      <w:r w:rsidRPr="00AD2F44">
        <w:rPr>
          <w:i/>
          <w:iCs/>
        </w:rPr>
        <w:t>O’Brien</w:t>
      </w:r>
      <w:r w:rsidRPr="00AD2F44">
        <w:t xml:space="preserve"> factors); O’Brien v. Ed Donnelly Enters., Inc., 575 F.3d 567, 584 (6th Cir. 2009) (tacitly approving the three factors); </w:t>
      </w:r>
      <w:r w:rsidRPr="00201342">
        <w:t xml:space="preserve">Stephenson v. Family Sols. </w:t>
      </w:r>
      <w:r>
        <w:t>o</w:t>
      </w:r>
      <w:r w:rsidRPr="00201342">
        <w:t>f Ohio, Inc.</w:t>
      </w:r>
      <w:r>
        <w:t xml:space="preserve">, </w:t>
      </w:r>
      <w:r w:rsidRPr="00201342">
        <w:t>645 F.</w:t>
      </w:r>
      <w:r>
        <w:t xml:space="preserve"> </w:t>
      </w:r>
      <w:r w:rsidRPr="00201342">
        <w:t>Supp.</w:t>
      </w:r>
      <w:r>
        <w:t xml:space="preserve"> </w:t>
      </w:r>
      <w:r w:rsidRPr="00201342">
        <w:t>3d 755 (N.D. Ohio</w:t>
      </w:r>
      <w:r>
        <w:t xml:space="preserve"> </w:t>
      </w:r>
      <w:r w:rsidRPr="00201342">
        <w:t>2022)</w:t>
      </w:r>
      <w:r>
        <w:t xml:space="preserve">; </w:t>
      </w:r>
      <w:r w:rsidRPr="00AD2F44">
        <w:t>Thompson v. Bruister and Assocs., Inc., 967 F. Supp. 2d 1204, 1211 (M.D. Tenn. Aug. 23, 2013); Creely v. HCR Manorcare, Inc., 920 F. Supp. 2d 846, 851 (N.D. Ohio 2013).</w:t>
      </w:r>
    </w:p>
    <w:p w14:paraId="7E20514A" w14:textId="77777777" w:rsidR="00721CCF" w:rsidRPr="00AD2F44" w:rsidRDefault="00F42107">
      <w:pPr>
        <w:pStyle w:val="14Footnote"/>
      </w:pPr>
      <w:r w:rsidRPr="00AD2F44">
        <w:rPr>
          <w:i/>
          <w:iCs/>
        </w:rPr>
        <w:t>Seventh Circuit:</w:t>
      </w:r>
      <w:r w:rsidRPr="00AD2F44">
        <w:t xml:space="preserve"> Long v. Epic Sys. Corp., 2016 WL 4625497, at *5 (W.D. Wis. Sept. 6, 2016); Allen v. City of Chi., 2014 WL 5461856, at *4 (N.D. Ill. Oct. 22, 2014), </w:t>
      </w:r>
      <w:r w:rsidRPr="00AD2F44">
        <w:rPr>
          <w:i/>
          <w:iCs/>
        </w:rPr>
        <w:t>aff’d on other grounds,</w:t>
      </w:r>
      <w:r w:rsidRPr="00AD2F44">
        <w:t xml:space="preserve"> 865 F.3d 936 (7th Cir. 2017); Blakes v. Illinois Bell Tel. Co., 2013 WL 6662831, at *9 (N.D. Ill. Dec. 17, 2013); Hundt v. DirectSAT USA, LLC, 294 F.R.D. 101, 104 (N.D. Ill. 2013).</w:t>
      </w:r>
    </w:p>
    <w:p w14:paraId="38DB78FF" w14:textId="77777777" w:rsidR="00721CCF" w:rsidRPr="00AD2F44" w:rsidRDefault="00F42107">
      <w:pPr>
        <w:pStyle w:val="14Footnote"/>
      </w:pPr>
      <w:r w:rsidRPr="00AD2F44">
        <w:rPr>
          <w:i/>
          <w:iCs/>
        </w:rPr>
        <w:t>Eighth Circuit:</w:t>
      </w:r>
      <w:r w:rsidRPr="00AD2F44">
        <w:t xml:space="preserve"> Bouaphakeo v. Tyson Foods, Inc., 765 F.3d 791, 796 (8th Cir. 2014); Arnold v. DirecTV, LLC, 2017 WL 1251033, at *2 (E.D. Mo. Mar. 31, 2017); Lindsay v. Clear Wireless, LLC, 2016 WL 916365, at *3 (D. Minn. Mar. 10, 2016); Swartz v. DJ Eng’g, Inc., 2015 WL 4139376, at *6 (D. Kan. July 9, 2015); </w:t>
      </w:r>
      <w:r w:rsidRPr="00AD2F44">
        <w:rPr>
          <w:i/>
          <w:iCs/>
        </w:rPr>
        <w:t>Judkins</w:t>
      </w:r>
      <w:r w:rsidRPr="00AD2F44">
        <w:t>, 74</w:t>
      </w:r>
      <w:r w:rsidRPr="00AD2F44">
        <w:br/>
        <w:t>F. Supp. 3d at 1009; Brackett v. St. Louis Bd. of Police Comm’rs, 2014 WL 1377460, at *2 (E.D. Mo. April 8, 2014); Jancich v. Stonegate Mortg. Corp., 2014 WL 1011480, at *2 (D. Kan. Mar. 17, 2014); Holaway v. Stratasys, Inc., 2013 WL 5787476, at *3 (D. Minn. Oct. 28, 2013); Watson v. Surf-Frac Wellhead Equip. Co., 2013 WL 5524122, at *6 (E.D. Ark. Oct. 3, 2013); King v. West Corp., 2006 WL 118577, at *14 (D. Neb. Jan. 13, 2006).</w:t>
      </w:r>
    </w:p>
    <w:p w14:paraId="56BDA4E1" w14:textId="77777777" w:rsidR="00721CCF" w:rsidRPr="00AD2F44" w:rsidRDefault="00F42107">
      <w:pPr>
        <w:pStyle w:val="14Footnote"/>
      </w:pPr>
      <w:r w:rsidRPr="00AD2F44">
        <w:rPr>
          <w:i/>
          <w:iCs/>
        </w:rPr>
        <w:t>Ninth Circuit:</w:t>
      </w:r>
      <w:r w:rsidRPr="00AD2F44">
        <w:t xml:space="preserve"> Woods v. Vector Mktg. Corp., 2015 WL 5188682, at *6 (N.D. Cal. Sept. 4, 2015); Collinge v. IntelliQuick Delivery, Inc., 2015 WL 1292444, at *2 (D. Ariz. Mar. 23, 2015); Lillehagen v. Alorica, Inc., 2014 WL 6989230, at *26 (C.D. Cal. Dec. 10, 2014); </w:t>
      </w:r>
      <w:r w:rsidRPr="00AD2F44">
        <w:rPr>
          <w:i/>
          <w:iCs/>
        </w:rPr>
        <w:t>Brewer</w:t>
      </w:r>
      <w:r w:rsidRPr="00AD2F44">
        <w:t>, 2014 WL 5877695, at *15; Santiago v. Amdocs, Inc., 2013 WL 5444324, at *4 (N.D. Cal. Sept. 30, 2014); Chavez v. IBP, Inc., 2005 U.S. Dist. LEXIS 29714, at *6 (E.D. Wa. May 16, 2005).</w:t>
      </w:r>
    </w:p>
    <w:p w14:paraId="446B2833" w14:textId="77777777" w:rsidR="00721CCF" w:rsidRPr="00AD2F44" w:rsidRDefault="00F42107">
      <w:pPr>
        <w:pStyle w:val="14Footnote"/>
      </w:pPr>
      <w:r w:rsidRPr="00AD2F44">
        <w:rPr>
          <w:i/>
          <w:iCs/>
        </w:rPr>
        <w:t>Tenth Circuit:</w:t>
      </w:r>
      <w:r w:rsidRPr="00AD2F44">
        <w:t xml:space="preserve"> Thiessen v. General Elec. Capital Corp., 267 F.3d 1095, 1103 (10th Cir. 2001); Lozoya v. All Phase Landscape Constr., Inc., 2014 WL 222104, at *1 (D. Colo. Jan. 21, 2014).</w:t>
      </w:r>
    </w:p>
    <w:p w14:paraId="5DF20BE9" w14:textId="01F0728A" w:rsidR="00721CCF" w:rsidRPr="00AD2F44" w:rsidRDefault="00F42107">
      <w:pPr>
        <w:pStyle w:val="14Footnote"/>
      </w:pPr>
      <w:r w:rsidRPr="00AD2F44">
        <w:rPr>
          <w:i/>
          <w:iCs/>
        </w:rPr>
        <w:t>Eleventh Circuit:</w:t>
      </w:r>
      <w:r w:rsidRPr="00AD2F44">
        <w:t xml:space="preserve"> Morgan v. Family Dollar Stores, Inc., 551 F.3d 1233 (11th Cir. 2008) (applying factors); Anderson v. Cagle’s, Inc., 488 F.3d 945, 953 (11th Cir. 2007) (referencing three factors with approval); Miller v. FleetCor Techs. Operating Co., LLC, 118 F. Supp. 3d 1351, 1355 (N.D. Ga. 2015); Tanner v. TPUSA, Inc., 2015 WL 6940118, at *3 (M.D. Ga. Nov. 9, 2015); </w:t>
      </w:r>
      <w:r w:rsidRPr="00AD2F44">
        <w:rPr>
          <w:i/>
          <w:iCs/>
        </w:rPr>
        <w:t>Geter</w:t>
      </w:r>
      <w:r w:rsidRPr="00AD2F44">
        <w:t>, 2015 WL 2384068, at *2; Mathis v. Darden Rests., 2014 WL 4428171, at *2 (S.D. Fla. Sept. 1, 2014); Rindfleisch v. Gentiva Servs., Inc., 22 F. Supp. 3d 1295, 1303 (N.D. Ga. 2014); Hughes v. Burie, 2014 WL 1572543, at *1 (N.D. Fla. Apr. 18, 2014); Bobbit v. Broadband Interactive, Inc., 2013 WL 5720329, at *12 (M.D. Fla. Oct. 21, 2013).</w:t>
      </w:r>
    </w:p>
  </w:footnote>
  <w:footnote w:id="470">
    <w:p w14:paraId="29BFCC40" w14:textId="77777777" w:rsidR="00721CCF" w:rsidRPr="00AD2F44" w:rsidRDefault="00F42107">
      <w:pPr>
        <w:pStyle w:val="14Footnote"/>
      </w:pPr>
      <w:r w:rsidRPr="00AD2F44">
        <w:rPr>
          <w:vertAlign w:val="superscript"/>
        </w:rPr>
        <w:footnoteRef/>
      </w:r>
      <w:r w:rsidRPr="00AD2F44">
        <w:t xml:space="preserve">Johnson v. Big Lots Stores, Inc., 561 F. Supp. 2d 567, 574 (E.D. La. 2008); </w:t>
      </w:r>
      <w:r w:rsidRPr="00AD2F44">
        <w:rPr>
          <w:i/>
          <w:iCs/>
        </w:rPr>
        <w:t>see also</w:t>
      </w:r>
      <w:r w:rsidRPr="00AD2F44">
        <w:t xml:space="preserve"> Chabrier v. Wilmington Fin. Inc., 2008 WL 938872, at *3 (E.D. Pa. Apr. 4, 2008) (explaining </w:t>
      </w:r>
      <w:r w:rsidRPr="00AD2F44">
        <w:t>“[f]inal certification is not based on any single factor in isolation, but on many factors”).</w:t>
      </w:r>
    </w:p>
  </w:footnote>
  <w:footnote w:id="471">
    <w:p w14:paraId="3E0B8E97" w14:textId="77777777" w:rsidR="00721CCF" w:rsidRPr="00AD2F44" w:rsidRDefault="00F42107">
      <w:pPr>
        <w:pStyle w:val="14Footnote"/>
      </w:pPr>
      <w:r w:rsidRPr="00AD2F44">
        <w:rPr>
          <w:vertAlign w:val="superscript"/>
        </w:rPr>
        <w:footnoteRef/>
      </w:r>
      <w:r w:rsidRPr="00AD2F44">
        <w:rPr>
          <w:i/>
          <w:iCs/>
        </w:rPr>
        <w:t>Johnson</w:t>
      </w:r>
      <w:r w:rsidRPr="00AD2F44">
        <w:t xml:space="preserve">, 561 F. Supp. 2d at 574; </w:t>
      </w:r>
      <w:r w:rsidRPr="00AD2F44">
        <w:rPr>
          <w:i/>
          <w:iCs/>
        </w:rPr>
        <w:t>see also</w:t>
      </w:r>
      <w:r w:rsidRPr="00AD2F44">
        <w:t xml:space="preserve"> </w:t>
      </w:r>
      <w:r w:rsidRPr="00AD2F44">
        <w:rPr>
          <w:i/>
          <w:iCs/>
        </w:rPr>
        <w:t>Anderson</w:t>
      </w:r>
      <w:r w:rsidRPr="00AD2F44">
        <w:t>, 488 F.3d at 953.</w:t>
      </w:r>
    </w:p>
  </w:footnote>
  <w:footnote w:id="472">
    <w:p w14:paraId="5C69FA70" w14:textId="77777777" w:rsidR="00721CCF" w:rsidRPr="00AD2F44" w:rsidRDefault="00F42107">
      <w:pPr>
        <w:pStyle w:val="14Footnote"/>
      </w:pPr>
      <w:r w:rsidRPr="00AD2F44">
        <w:rPr>
          <w:vertAlign w:val="superscript"/>
        </w:rPr>
        <w:footnoteRef/>
      </w:r>
      <w:r w:rsidRPr="00AD2F44">
        <w:rPr>
          <w:i/>
        </w:rPr>
        <w:t>Ayers</w:t>
      </w:r>
      <w:r w:rsidRPr="00AD2F44">
        <w:t>, 2007 WL 646326, at *5 (citing Scott v. Aetna Servs., Inc</w:t>
      </w:r>
      <w:r w:rsidRPr="00AD2F44">
        <w:rPr>
          <w:i/>
        </w:rPr>
        <w:t>.,</w:t>
      </w:r>
      <w:r w:rsidRPr="00AD2F44">
        <w:t xml:space="preserve"> 210 F.R.D. 261, 265 (D. Conn. 2002)). For a discussion of generalized defenses, see Chapter 16, Litigation Issues, §VII [Defenses]. </w:t>
      </w:r>
    </w:p>
  </w:footnote>
  <w:footnote w:id="473">
    <w:p w14:paraId="68B994BE" w14:textId="77777777" w:rsidR="00721CCF" w:rsidRPr="00AD2F44" w:rsidRDefault="00F42107">
      <w:pPr>
        <w:pStyle w:val="14Footnote"/>
      </w:pPr>
      <w:r w:rsidRPr="00AD2F44">
        <w:rPr>
          <w:vertAlign w:val="superscript"/>
        </w:rPr>
        <w:footnoteRef/>
      </w:r>
      <w:r w:rsidRPr="00AD2F44">
        <w:t xml:space="preserve">Holaway v. Stratasys, Inc., 2013 WL 5787476, at *3 (D. Minn. Oct. 28, 2013) (decertifying collective action with one plaintiff and two opt-ins in part because “[t]here are few if any procedural efficiencies to be gained by trying this case as a three-plaintiff class or as three separate actions individually”). </w:t>
      </w:r>
      <w:r w:rsidRPr="00AD2F44">
        <w:rPr>
          <w:i/>
          <w:iCs/>
        </w:rPr>
        <w:t>But see</w:t>
      </w:r>
      <w:r w:rsidRPr="00AD2F44">
        <w:t xml:space="preserve"> Judkins v. </w:t>
      </w:r>
      <w:r w:rsidRPr="00AD2F44">
        <w:t>SouthernCare, Inc., 74 F. Supp. 3d 1007, 1014 (S.D. Iowa 2015) (“Although there may be a need for individual testimony, the relatively small number of plaintiffs mitigates any concern about procedural efficiency.”).</w:t>
      </w:r>
    </w:p>
  </w:footnote>
  <w:footnote w:id="474">
    <w:p w14:paraId="328C391B" w14:textId="77777777" w:rsidR="00721CCF" w:rsidRPr="00AD2F44" w:rsidRDefault="00F42107">
      <w:pPr>
        <w:pStyle w:val="14Footnote"/>
      </w:pPr>
      <w:r w:rsidRPr="00AD2F44">
        <w:rPr>
          <w:vertAlign w:val="superscript"/>
        </w:rPr>
        <w:footnoteRef/>
      </w:r>
      <w:r w:rsidRPr="00AD2F44">
        <w:rPr>
          <w:i/>
          <w:iCs/>
        </w:rPr>
        <w:t>Griffith</w:t>
      </w:r>
      <w:r w:rsidRPr="00AD2F44">
        <w:t>, 2016 WL 354895, at *3 (“While Section 216(b) does not have a numerosity requirement, the apparent lack of enthusiasm by the class indicates that a collective action is inappropriate.”); Keef v. M.A. Mortenson Co., 2009 WL 465030, at *1, 3 (D. Minn. Feb. 24, 2009) (granting decertification motion because the individualized inquiries necessary in light of the facts and legal analysis meant that the plaintiffs were not similarly situated; as the court stated, “In view of the fact-intensive inquiry required for each plaintiff, and the limited number of potential plaintiffs who have chosen to opt in, the Court exercises its discretion and concludes an FLSA collective action is inappropriate.”).</w:t>
      </w:r>
    </w:p>
  </w:footnote>
  <w:footnote w:id="475">
    <w:p w14:paraId="487792DB" w14:textId="77777777" w:rsidR="00721CCF" w:rsidRPr="00AD2F44" w:rsidRDefault="00F42107">
      <w:pPr>
        <w:pStyle w:val="14Footnote"/>
      </w:pPr>
      <w:r w:rsidRPr="00AD2F44">
        <w:rPr>
          <w:vertAlign w:val="superscript"/>
        </w:rPr>
        <w:footnoteRef/>
      </w:r>
      <w:r w:rsidRPr="00AD2F44">
        <w:t xml:space="preserve">Falcon v. Starbucks, 580 F. Supp. 2d 528, 538 (S.D. Tex. 2008); </w:t>
      </w:r>
      <w:r w:rsidRPr="00AD2F44">
        <w:rPr>
          <w:i/>
          <w:iCs/>
        </w:rPr>
        <w:t>cf</w:t>
      </w:r>
      <w:r w:rsidRPr="00AD2F44">
        <w:t>. Wilks v. Pep Boys, 2006 WL 2821700, at *1 (M.D. Tenn. Sept. 26, 2006) (denying decertification without discussing opt-in rate issue in case where 356 out of 90,000 putative collective action plaintiffs opted in).</w:t>
      </w:r>
    </w:p>
  </w:footnote>
  <w:footnote w:id="476">
    <w:p w14:paraId="2E49B16E" w14:textId="77777777" w:rsidR="00721CCF" w:rsidRPr="00AD2F44" w:rsidRDefault="00F42107">
      <w:pPr>
        <w:pStyle w:val="14Footnote"/>
      </w:pPr>
      <w:r w:rsidRPr="00AD2F44">
        <w:rPr>
          <w:vertAlign w:val="superscript"/>
        </w:rPr>
        <w:footnoteRef/>
      </w:r>
      <w:r w:rsidRPr="00AD2F44">
        <w:t>Senne v. Kansas City Royals Baseball Corp., 934 F.3d 918, 948–49 (9th Cir. 2019) (quoting Campbell v. City of L.A., 903 F.3d 1090, 1117 (9th Cir. 2018)) (affirming collective as to minimum wage and overtime claims).</w:t>
      </w:r>
    </w:p>
  </w:footnote>
  <w:footnote w:id="477">
    <w:p w14:paraId="5C288294" w14:textId="13E8D038" w:rsidR="00721CCF" w:rsidRPr="00F24822" w:rsidRDefault="00F42107">
      <w:pPr>
        <w:pStyle w:val="14Footnote"/>
      </w:pPr>
      <w:r w:rsidRPr="00AD2F44">
        <w:rPr>
          <w:vertAlign w:val="superscript"/>
        </w:rPr>
        <w:footnoteRef/>
      </w:r>
      <w:r w:rsidRPr="00AD2F44">
        <w:rPr>
          <w:i/>
          <w:iCs/>
        </w:rPr>
        <w:t>Id</w:t>
      </w:r>
      <w:r w:rsidRPr="00AD2F44">
        <w:t>. (affirming district court’s denial of decertification motion because plaintiffs had met their burden of demonstrating that they were similarly situated).</w:t>
      </w:r>
      <w:r>
        <w:t xml:space="preserve"> </w:t>
      </w:r>
      <w:r>
        <w:rPr>
          <w:i/>
          <w:iCs/>
        </w:rPr>
        <w:t>See also</w:t>
      </w:r>
      <w:r>
        <w:t xml:space="preserve"> </w:t>
      </w:r>
      <w:r w:rsidRPr="00F24822">
        <w:t>Ribota v. C</w:t>
      </w:r>
      <w:r w:rsidR="00434FF5">
        <w:t>oun</w:t>
      </w:r>
      <w:r w:rsidRPr="00F24822">
        <w:t>ty</w:t>
      </w:r>
      <w:r w:rsidRPr="00F24822">
        <w:t xml:space="preserve"> of San Bernardino,</w:t>
      </w:r>
      <w:r>
        <w:t xml:space="preserve"> </w:t>
      </w:r>
      <w:r w:rsidR="00434FF5" w:rsidRPr="00434FF5">
        <w:t>2023 BL 32485</w:t>
      </w:r>
      <w:r w:rsidR="00434FF5">
        <w:t xml:space="preserve">, </w:t>
      </w:r>
      <w:r w:rsidRPr="00F24822">
        <w:t>2023 WL 2558561 (C.D. Cal. Jan. 31, 2023)</w:t>
      </w:r>
      <w:r>
        <w:t xml:space="preserve"> (following </w:t>
      </w:r>
      <w:r w:rsidRPr="00751ABC">
        <w:rPr>
          <w:i/>
          <w:iCs/>
        </w:rPr>
        <w:t>Campbell</w:t>
      </w:r>
      <w:r>
        <w:t xml:space="preserve">, denying decertification motion, despite defendant’s evidentiary submission creating multiple issues of disputed fact, reasoning </w:t>
      </w:r>
      <w:r w:rsidRPr="00F24822">
        <w:t>it would be improper to resolve disputed factual questions as to whether plaintiffs are similarly situated in defendant’s favor</w:t>
      </w:r>
      <w:r>
        <w:t xml:space="preserve"> and </w:t>
      </w:r>
      <w:r w:rsidRPr="00F24822">
        <w:t>plaintiffs submitted substantial evidence of a uniform policy and practice that violates the FLSA</w:t>
      </w:r>
      <w:r>
        <w:t xml:space="preserve">). </w:t>
      </w:r>
    </w:p>
  </w:footnote>
  <w:footnote w:id="478">
    <w:p w14:paraId="19265BC2" w14:textId="77777777" w:rsidR="00721CCF" w:rsidRPr="00AD2F44" w:rsidRDefault="00F42107">
      <w:pPr>
        <w:pStyle w:val="14Footnote"/>
      </w:pPr>
      <w:r w:rsidRPr="00AD2F44">
        <w:rPr>
          <w:rStyle w:val="FootnoteReference"/>
        </w:rPr>
        <w:footnoteRef/>
      </w:r>
      <w:r w:rsidRPr="00AD2F44">
        <w:t>Scott v. Chipotle Mexican Grill, Inc</w:t>
      </w:r>
      <w:r w:rsidRPr="00AD2F44">
        <w:rPr>
          <w:i/>
          <w:iCs/>
        </w:rPr>
        <w:t>.</w:t>
      </w:r>
      <w:r w:rsidRPr="00AD2F44">
        <w:t xml:space="preserve">, 954 F.3d 502 (2d Cir. 2020). </w:t>
      </w:r>
    </w:p>
  </w:footnote>
  <w:footnote w:id="479">
    <w:p w14:paraId="6F9ADBD8" w14:textId="287FA2FC" w:rsidR="00721CCF" w:rsidRPr="00AD2F44" w:rsidRDefault="00F42107">
      <w:pPr>
        <w:pStyle w:val="14Footnote"/>
        <w:rPr>
          <w:b/>
          <w:bCs/>
        </w:rPr>
      </w:pPr>
      <w:r w:rsidRPr="00AD2F44">
        <w:rPr>
          <w:rStyle w:val="FootnoteReference"/>
        </w:rPr>
        <w:footnoteRef/>
      </w:r>
      <w:r w:rsidRPr="00AD2F44">
        <w:rPr>
          <w:i/>
          <w:iCs/>
        </w:rPr>
        <w:t>Id.</w:t>
      </w:r>
      <w:r w:rsidRPr="00AD2F44">
        <w:t xml:space="preserve"> at 517. </w:t>
      </w:r>
      <w:r w:rsidRPr="00AD2F44">
        <w:rPr>
          <w:i/>
          <w:iCs/>
        </w:rPr>
        <w:t>See also</w:t>
      </w:r>
      <w:r w:rsidRPr="00AD2F44">
        <w:t xml:space="preserve"> Foster v. City of N.Y., 2021 BL 115191, 2021 WL 1191810 (S.D.N.Y. Mar. 30, 2021) (adopting this inquiry as appropriate standard at decertification stage in Second Circuit, citing </w:t>
      </w:r>
      <w:r w:rsidRPr="00AD2F44">
        <w:rPr>
          <w:i/>
          <w:iCs/>
        </w:rPr>
        <w:t>Scott</w:t>
      </w:r>
      <w:r w:rsidRPr="00AD2F44">
        <w:t>); Pino v. Harris Water Main &amp; Sewer Contractors Inc., 2020 BL 364493, 2020 WL 5708889 (E.D.N.Y. Sept. 23, 2020) (same).</w:t>
      </w:r>
    </w:p>
  </w:footnote>
  <w:footnote w:id="480">
    <w:p w14:paraId="22F0DA6B" w14:textId="77777777" w:rsidR="00721CCF" w:rsidRPr="00AD2F44" w:rsidRDefault="00F42107">
      <w:pPr>
        <w:pStyle w:val="14Footnote"/>
      </w:pPr>
      <w:r w:rsidRPr="00AD2F44">
        <w:rPr>
          <w:vertAlign w:val="superscript"/>
        </w:rPr>
        <w:footnoteRef/>
      </w:r>
      <w:r w:rsidRPr="00AD2F44">
        <w:rPr>
          <w:i/>
          <w:iCs/>
        </w:rPr>
        <w:t>See, e.g.,</w:t>
      </w:r>
    </w:p>
    <w:p w14:paraId="0CF7F28C" w14:textId="77777777" w:rsidR="00721CCF" w:rsidRPr="00AD2F44" w:rsidRDefault="00F42107">
      <w:pPr>
        <w:pStyle w:val="14Footnote"/>
      </w:pPr>
      <w:r w:rsidRPr="00AD2F44">
        <w:rPr>
          <w:i/>
          <w:iCs/>
        </w:rPr>
        <w:t>First Circuit:</w:t>
      </w:r>
      <w:r w:rsidRPr="00AD2F44">
        <w:t xml:space="preserve"> Kane v. Gage Merch. Servs., 138 F. Supp. 2d 212, 214 (D. Mass. 2001).</w:t>
      </w:r>
    </w:p>
    <w:p w14:paraId="1F2096C4" w14:textId="77777777" w:rsidR="00721CCF" w:rsidRPr="00AD2F44" w:rsidRDefault="00F42107">
      <w:pPr>
        <w:pStyle w:val="14Footnote"/>
      </w:pPr>
      <w:r w:rsidRPr="00AD2F44">
        <w:rPr>
          <w:i/>
          <w:iCs/>
        </w:rPr>
        <w:t>Second Circuit:</w:t>
      </w:r>
      <w:r w:rsidRPr="00AD2F44">
        <w:t xml:space="preserve"> Rubery v. Buth-Na-Bodhaige, Inc., 569 F. Supp. 2d 334, 336 n.1 (W.D.N.Y. 2007); Scott v. Aetna Servs., Inc., 210 F.R.D. 261, 264 (D. Conn. 2002).</w:t>
      </w:r>
    </w:p>
    <w:p w14:paraId="40448FA1" w14:textId="77777777" w:rsidR="00721CCF" w:rsidRPr="00AD2F44" w:rsidRDefault="00F42107">
      <w:pPr>
        <w:pStyle w:val="14Footnote"/>
      </w:pPr>
      <w:r w:rsidRPr="00AD2F44">
        <w:rPr>
          <w:i/>
          <w:iCs/>
        </w:rPr>
        <w:t>Third Circuit:</w:t>
      </w:r>
      <w:r w:rsidRPr="00AD2F44">
        <w:t xml:space="preserve"> Chabrier v. Wilmington Fin. Inc., 2008 WL 938872, at *3 (E.D. Pa. Apr. 4, 2008).</w:t>
      </w:r>
    </w:p>
    <w:p w14:paraId="2146F6B2" w14:textId="77777777" w:rsidR="00721CCF" w:rsidRPr="00AD2F44" w:rsidRDefault="00F42107">
      <w:pPr>
        <w:pStyle w:val="14Footnote"/>
      </w:pPr>
      <w:r w:rsidRPr="00AD2F44">
        <w:rPr>
          <w:i/>
          <w:iCs/>
        </w:rPr>
        <w:t>Fifth Circuit:</w:t>
      </w:r>
      <w:r w:rsidRPr="00AD2F44">
        <w:t xml:space="preserve"> Mooney v. Aramco Servs. Co., 54 F.3d 1207, 1214 (5th Cir. 1995)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r w:rsidRPr="00AD2F44">
        <w:t xml:space="preserve">; White v. NTC Transp., Inc., 2013 WL 5874566, at *2 (N.D. Miss. Oct. 31, 2013); Proctor v. </w:t>
      </w:r>
      <w:r w:rsidRPr="00AD2F44">
        <w:t>Allsups Convenience Stores, Inc., 250 F.R.D. 278, 280 (N.D. Tex. 2008).</w:t>
      </w:r>
    </w:p>
    <w:p w14:paraId="3A72D106" w14:textId="77777777" w:rsidR="00721CCF" w:rsidRPr="00AD2F44" w:rsidRDefault="00F42107">
      <w:pPr>
        <w:pStyle w:val="14Footnote"/>
      </w:pPr>
      <w:r w:rsidRPr="00AD2F44">
        <w:rPr>
          <w:i/>
          <w:iCs/>
        </w:rPr>
        <w:t>Sixth Circuit:</w:t>
      </w:r>
      <w:r w:rsidRPr="00AD2F44">
        <w:t xml:space="preserve"> Smith v. Lowe’s Home Ctr., Inc., 236 F.R.D. 354, 357 (S.D. Ohio 2006).</w:t>
      </w:r>
    </w:p>
    <w:p w14:paraId="61C99C28" w14:textId="77777777" w:rsidR="00721CCF" w:rsidRPr="00AD2F44" w:rsidRDefault="00F42107">
      <w:pPr>
        <w:pStyle w:val="14Footnote"/>
      </w:pPr>
      <w:r w:rsidRPr="00AD2F44">
        <w:rPr>
          <w:i/>
          <w:iCs/>
        </w:rPr>
        <w:t>Eighth Circuit:</w:t>
      </w:r>
      <w:r w:rsidRPr="00AD2F44">
        <w:t xml:space="preserve"> Arnold v. DirecTV, LLC, 2017 WL 1251033, at *2 (E.D. Mo. Mar. 31, 2017) (“If the [class members] are similarly situated, the district court allows the representative action to proceed to trial.”); Nerland v. Caribou Coffee Co., 564 F. Supp. 2d 1010, 1017 (D. Minn. 2007).</w:t>
      </w:r>
    </w:p>
    <w:p w14:paraId="0E78A797" w14:textId="4C4DDAAF" w:rsidR="00721CCF" w:rsidRPr="00AD2F44" w:rsidRDefault="00F42107">
      <w:pPr>
        <w:pStyle w:val="14Footnote"/>
      </w:pPr>
      <w:r w:rsidRPr="00AD2F44">
        <w:rPr>
          <w:i/>
          <w:iCs/>
        </w:rPr>
        <w:t>Eleventh Circuit:</w:t>
      </w:r>
      <w:r w:rsidRPr="00AD2F44">
        <w:t xml:space="preserve"> Epps v. Oak St. Mortg. LLC, 2006 WL 1460273, at *4 (M.D. Fla. May 22, 2006).</w:t>
      </w:r>
    </w:p>
  </w:footnote>
  <w:footnote w:id="481">
    <w:p w14:paraId="45C20566" w14:textId="77777777" w:rsidR="00721CCF" w:rsidRPr="00AD2F44" w:rsidRDefault="00F42107">
      <w:pPr>
        <w:pStyle w:val="14Footnote"/>
      </w:pPr>
      <w:r w:rsidRPr="00AD2F44">
        <w:rPr>
          <w:vertAlign w:val="superscript"/>
        </w:rPr>
        <w:footnoteRef/>
      </w:r>
      <w:r w:rsidRPr="00AD2F44">
        <w:rPr>
          <w:i/>
          <w:iCs/>
        </w:rPr>
        <w:t>See, e.g.,</w:t>
      </w:r>
    </w:p>
    <w:p w14:paraId="3F560713" w14:textId="77777777" w:rsidR="00721CCF" w:rsidRPr="00AD2F44" w:rsidRDefault="00F42107">
      <w:pPr>
        <w:pStyle w:val="14Footnote"/>
      </w:pPr>
      <w:r w:rsidRPr="00AD2F44">
        <w:rPr>
          <w:i/>
          <w:iCs/>
        </w:rPr>
        <w:t>First Circuit:</w:t>
      </w:r>
      <w:r w:rsidRPr="00AD2F44">
        <w:t xml:space="preserve"> </w:t>
      </w:r>
      <w:r w:rsidRPr="00AD2F44">
        <w:rPr>
          <w:i/>
          <w:iCs/>
        </w:rPr>
        <w:t>Kane</w:t>
      </w:r>
      <w:r w:rsidRPr="00AD2F44">
        <w:t>, 138 F. Supp. 2d at 214.</w:t>
      </w:r>
    </w:p>
    <w:p w14:paraId="625A48C1" w14:textId="77777777" w:rsidR="00721CCF" w:rsidRPr="00AD2F44" w:rsidRDefault="00F42107">
      <w:pPr>
        <w:pStyle w:val="14Footnote"/>
      </w:pPr>
      <w:r w:rsidRPr="00AD2F44">
        <w:rPr>
          <w:i/>
          <w:iCs/>
        </w:rPr>
        <w:t>Second Circuit:</w:t>
      </w:r>
      <w:r w:rsidRPr="00AD2F44">
        <w:t xml:space="preserve"> Perez v. Metro Dairy Corp., 2015 WL 1535294, at *1 (E.D.N.Y. Apr. 6, 2015); Hinterberger v. Catholic Health Sys., 299 F.R.D. 22, 55 (W.D.N.Y. 2014); DeSilva v. North Shore-Long Island Jewish Health Sys., Inc., 27 F. Supp. 3d 313, 320 (E.D.N.Y. 2014); </w:t>
      </w:r>
      <w:r w:rsidRPr="00AD2F44">
        <w:rPr>
          <w:i/>
          <w:iCs/>
        </w:rPr>
        <w:t>Rubery</w:t>
      </w:r>
      <w:r w:rsidRPr="00AD2F44">
        <w:t>, 569 F. Supp. 2d at 336 n.1;</w:t>
      </w:r>
      <w:r w:rsidRPr="00AD2F44">
        <w:rPr>
          <w:i/>
          <w:iCs/>
        </w:rPr>
        <w:t xml:space="preserve"> Scott</w:t>
      </w:r>
      <w:r w:rsidRPr="00AD2F44">
        <w:t>, 210 F.R.D. at 264.</w:t>
      </w:r>
    </w:p>
    <w:p w14:paraId="3CA600AF" w14:textId="77777777" w:rsidR="00721CCF" w:rsidRPr="00AD2F44" w:rsidRDefault="00F42107">
      <w:pPr>
        <w:pStyle w:val="14Footnote"/>
      </w:pPr>
      <w:r w:rsidRPr="00AD2F44">
        <w:rPr>
          <w:i/>
          <w:iCs/>
        </w:rPr>
        <w:t>Third Circuit:</w:t>
      </w:r>
      <w:r w:rsidRPr="00AD2F44">
        <w:t xml:space="preserve"> </w:t>
      </w:r>
      <w:r w:rsidRPr="00AD2F44">
        <w:rPr>
          <w:i/>
          <w:iCs/>
        </w:rPr>
        <w:t>Chabrier</w:t>
      </w:r>
      <w:r w:rsidRPr="00AD2F44">
        <w:t>, 2008 WL 938872, at *3.</w:t>
      </w:r>
    </w:p>
    <w:p w14:paraId="47751AFB" w14:textId="77777777" w:rsidR="00721CCF" w:rsidRPr="00AD2F44" w:rsidRDefault="00F42107">
      <w:pPr>
        <w:pStyle w:val="14Footnote"/>
      </w:pPr>
      <w:r w:rsidRPr="00AD2F44">
        <w:rPr>
          <w:i/>
          <w:iCs/>
        </w:rPr>
        <w:t>Fourth Circuit:</w:t>
      </w:r>
      <w:r w:rsidRPr="00AD2F44">
        <w:t xml:space="preserve"> LaFleur v. Dollar Tree Stores, Inc., 30 F. Supp. 3d 463, 468 (E.D. Va. 2014).</w:t>
      </w:r>
    </w:p>
    <w:p w14:paraId="7298EE1D" w14:textId="77777777" w:rsidR="00721CCF" w:rsidRPr="00AD2F44" w:rsidRDefault="00F42107">
      <w:pPr>
        <w:pStyle w:val="14Footnote"/>
      </w:pPr>
      <w:r w:rsidRPr="00AD2F44">
        <w:rPr>
          <w:i/>
          <w:iCs/>
        </w:rPr>
        <w:t>Fifth Circuit:</w:t>
      </w:r>
      <w:r w:rsidRPr="00AD2F44">
        <w:t xml:space="preserve"> </w:t>
      </w:r>
      <w:r w:rsidRPr="00AD2F44">
        <w:rPr>
          <w:i/>
          <w:iCs/>
        </w:rPr>
        <w:t>Mooney</w:t>
      </w:r>
      <w:r w:rsidRPr="00AD2F44">
        <w:t xml:space="preserve">, 54 F.3d at 1214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r w:rsidRPr="00AD2F44">
        <w:t xml:space="preserve">; </w:t>
      </w:r>
      <w:r w:rsidRPr="00AD2F44">
        <w:rPr>
          <w:i/>
          <w:iCs/>
        </w:rPr>
        <w:t>White</w:t>
      </w:r>
      <w:r w:rsidRPr="00AD2F44">
        <w:t xml:space="preserve">, 2013 WL 5874566, at *2; </w:t>
      </w:r>
      <w:r w:rsidRPr="00AD2F44">
        <w:rPr>
          <w:i/>
          <w:iCs/>
        </w:rPr>
        <w:t>Proctor</w:t>
      </w:r>
      <w:r w:rsidRPr="00AD2F44">
        <w:t>, 250 F.R.D. at 280.</w:t>
      </w:r>
    </w:p>
    <w:p w14:paraId="6FF3D40E" w14:textId="77777777" w:rsidR="00721CCF" w:rsidRPr="00AD2F44" w:rsidRDefault="00F42107">
      <w:pPr>
        <w:pStyle w:val="14Footnote"/>
      </w:pPr>
      <w:r w:rsidRPr="00A674E3">
        <w:rPr>
          <w:i/>
          <w:iCs/>
        </w:rPr>
        <w:t>Sixth Circuit:</w:t>
      </w:r>
      <w:r w:rsidRPr="00AD2F44">
        <w:t xml:space="preserve"> </w:t>
      </w:r>
      <w:r w:rsidRPr="00AD2F44">
        <w:rPr>
          <w:i/>
          <w:iCs/>
        </w:rPr>
        <w:t>Lowe’s Home Centers,</w:t>
      </w:r>
      <w:r w:rsidRPr="00AD2F44">
        <w:t xml:space="preserve"> 236 F.R.D. at 357.</w:t>
      </w:r>
    </w:p>
    <w:p w14:paraId="781B114C" w14:textId="77777777" w:rsidR="00721CCF" w:rsidRPr="00AD2F44" w:rsidRDefault="00F42107">
      <w:pPr>
        <w:pStyle w:val="14Footnote"/>
      </w:pPr>
      <w:r w:rsidRPr="00AD2F44">
        <w:rPr>
          <w:i/>
          <w:iCs/>
        </w:rPr>
        <w:t>Eighth Circuit:</w:t>
      </w:r>
      <w:r w:rsidRPr="00AD2F44">
        <w:t xml:space="preserve"> </w:t>
      </w:r>
      <w:r w:rsidRPr="00AD2F44">
        <w:rPr>
          <w:i/>
          <w:iCs/>
        </w:rPr>
        <w:t>Arnold</w:t>
      </w:r>
      <w:r w:rsidRPr="00AD2F44">
        <w:t xml:space="preserve">, 2017 WL 1251033, at *2 (“If the [class members] are similarly situated, the district court allows the representative action to proceed to trial. If not, the district court decertifies the class, dismisses without prejudice the opt-in plaintiffs, and allows the class representative to proceed to trial on her individual claims.”); </w:t>
      </w:r>
      <w:r w:rsidRPr="00AD2F44">
        <w:rPr>
          <w:i/>
          <w:iCs/>
        </w:rPr>
        <w:t>Nerland</w:t>
      </w:r>
      <w:r w:rsidRPr="00AD2F44">
        <w:t>, 564 F. Supp. 2d at 1017</w:t>
      </w:r>
    </w:p>
  </w:footnote>
  <w:footnote w:id="482">
    <w:p w14:paraId="41738652" w14:textId="77777777" w:rsidR="00721CCF" w:rsidRPr="00AD2F44" w:rsidRDefault="00F42107">
      <w:pPr>
        <w:pStyle w:val="14Footnote"/>
      </w:pPr>
      <w:r w:rsidRPr="00AD2F44">
        <w:rPr>
          <w:vertAlign w:val="superscript"/>
        </w:rPr>
        <w:footnoteRef/>
      </w:r>
      <w:r w:rsidRPr="00AD2F44">
        <w:rPr>
          <w:i/>
          <w:iCs/>
        </w:rPr>
        <w:t>See, e.g.,</w:t>
      </w:r>
      <w:r w:rsidRPr="00AD2F44">
        <w:t xml:space="preserve"> Roussell v. Brinker Int’l, Inc., 441 F. App’x 222, 226 (5th Cir. Sept. 14, 2011) (upholding partial decertification and dismissing 3,500 opt-ins, but permitting 55 to proceed on a collective basis because the evidence showed they were similarly situated); Blakes v. Illinois Bell Tel. Co., 2013 WL 6662831, at *17–21 (N.D. Ill. Dec. 17, 2013) (denying decertification as to policy of requiring post-shift working time off the clock, but granting decertification as to claims that plaintiffs worked during lunch to improve efficiency because resolution of such claims required individualized inquiries); Russell v. Illinois Bell Tel. Co., 721 F. Supp. 2d 804 (N.D. Ill. 2010) (granting in part and denying in part decertification motion for off-the-clock claims at call center; decertified claims were highly individualized, such as for time spent blowing up balloons; claims that retained certification were based on common policies).</w:t>
      </w:r>
    </w:p>
  </w:footnote>
  <w:footnote w:id="483">
    <w:p w14:paraId="7FC60608" w14:textId="77777777" w:rsidR="00721CCF" w:rsidRPr="00AD2F44" w:rsidRDefault="00F42107">
      <w:pPr>
        <w:pStyle w:val="14Footnote"/>
      </w:pPr>
      <w:r w:rsidRPr="00AD2F44">
        <w:rPr>
          <w:vertAlign w:val="superscript"/>
        </w:rPr>
        <w:footnoteRef/>
      </w:r>
      <w:r w:rsidRPr="00AD2F44">
        <w:rPr>
          <w:i/>
          <w:iCs/>
        </w:rPr>
        <w:t>See, e.g</w:t>
      </w:r>
      <w:r w:rsidRPr="00AD2F44">
        <w:t xml:space="preserve">., Bailey v. Gentiva Health Servs., No. 1:14-cv-01892, Doc. 26 (N.D. Ga. Mar. 4, 2015) (applying Rules 20 and 21 of the Federal Rules of Civil Procedure and dismissing on misjoinder grounds claims of over 100 opt-ins who filed a multi-plaintiff action following the decertification order in </w:t>
      </w:r>
      <w:r w:rsidRPr="00AD2F44">
        <w:rPr>
          <w:i/>
          <w:iCs/>
        </w:rPr>
        <w:t>Rindfleisch v. Gentiva Health Servs., Inc.</w:t>
      </w:r>
      <w:r w:rsidRPr="00AD2F44">
        <w:t xml:space="preserve">, 22 F. Supp. 3d 1295 (N.D. Ga. 2014)); Gray v. Dolgencorp, Inc., No. 7:06-cv-01538, Docs. 46–48 (N.D. Ala. Nov. 3, 2006) (following Rules 20 and 21 and severing over 2,000 multiple claims and designating many for transfer to jurisdictions across the country following the district court’s decertification order in </w:t>
      </w:r>
      <w:r w:rsidRPr="00AD2F44">
        <w:rPr>
          <w:i/>
          <w:iCs/>
        </w:rPr>
        <w:t>Brown v. Dollar General Stores, Ltd.</w:t>
      </w:r>
      <w:r w:rsidRPr="00AD2F44">
        <w:t>, No. 7:02-cv-0673, Doc. 703, 707 (N.D. Ala. Aug. 4 and 6, 2006)).</w:t>
      </w:r>
    </w:p>
  </w:footnote>
  <w:footnote w:id="484">
    <w:p w14:paraId="6AE259EA" w14:textId="77777777" w:rsidR="00721CCF" w:rsidRPr="00AD2F44" w:rsidRDefault="00F42107">
      <w:pPr>
        <w:pStyle w:val="14Footnote"/>
      </w:pPr>
      <w:r w:rsidRPr="00AD2F44">
        <w:rPr>
          <w:vertAlign w:val="superscript"/>
        </w:rPr>
        <w:footnoteRef/>
      </w:r>
      <w:r w:rsidRPr="00AD2F44">
        <w:rPr>
          <w:i/>
          <w:iCs/>
        </w:rPr>
        <w:t>See generally</w:t>
      </w:r>
      <w:r w:rsidRPr="00AD2F44">
        <w:t xml:space="preserve"> </w:t>
      </w:r>
      <w:r w:rsidRPr="00AD2F44">
        <w:rPr>
          <w:i/>
          <w:iCs/>
        </w:rPr>
        <w:t>In re</w:t>
      </w:r>
      <w:r w:rsidRPr="00AD2F44">
        <w:t xml:space="preserve"> Tyson Foods, Inc., 502 F. Supp. 2d 1358, 1360 (J.P.M.L. Aug. 17, 2007).</w:t>
      </w:r>
    </w:p>
  </w:footnote>
  <w:footnote w:id="485">
    <w:p w14:paraId="08A04D56" w14:textId="77777777" w:rsidR="00721CCF" w:rsidRPr="00AD2F44" w:rsidRDefault="00F42107">
      <w:pPr>
        <w:pStyle w:val="14Footnote"/>
      </w:pPr>
      <w:r w:rsidRPr="00AD2F44">
        <w:rPr>
          <w:vertAlign w:val="superscript"/>
        </w:rPr>
        <w:footnoteRef/>
      </w:r>
      <w:r w:rsidRPr="00AD2F44">
        <w:rPr>
          <w:i/>
          <w:iCs/>
        </w:rPr>
        <w:t>See, e.g</w:t>
      </w:r>
      <w:r w:rsidRPr="00AD2F44">
        <w:t>., Brechler v. Qwest Commc’ns Int’l, Inc., 2009 WL 692329, at *1 (D. Ariz. Mar. 17, 2009) (“‘demonstrated similarity among the individual situations … some factual nexus which binds the named plaintiffs and potential class members together as victims of a particular alleged [policy or practice]’”) (alteration in original) (quoting Heagney v. European Am. Bank, 122 F.R.D. 125, 127 (E.D.N.Y. 1988)); Falcon v. Starbucks, 580 F. Supp. 2d 528, 535 (S.D. Tex. 2008) (quoting Simmons v. T-Mobile, 2007 WL 210008, at *8 (S.D. Tex. Jan. 24, 2007)).</w:t>
      </w:r>
    </w:p>
  </w:footnote>
  <w:footnote w:id="486">
    <w:p w14:paraId="08C3A24E" w14:textId="77777777" w:rsidR="00721CCF" w:rsidRPr="00AD2F44" w:rsidRDefault="00F42107">
      <w:pPr>
        <w:pStyle w:val="14Footnote"/>
      </w:pPr>
      <w:r w:rsidRPr="00AD2F44">
        <w:rPr>
          <w:vertAlign w:val="superscript"/>
        </w:rPr>
        <w:footnoteRef/>
      </w:r>
      <w:r w:rsidRPr="00AD2F44">
        <w:t xml:space="preserve">Duncan v. Phoenix Supported Living, Inc., 2007 WL 1033360, at *1 (W.D.N.C. Mar. 30, 2007). </w:t>
      </w:r>
    </w:p>
  </w:footnote>
  <w:footnote w:id="487">
    <w:p w14:paraId="54363771" w14:textId="77777777" w:rsidR="00721CCF" w:rsidRPr="00AD2F44" w:rsidRDefault="00F42107">
      <w:pPr>
        <w:pStyle w:val="14Footnote"/>
      </w:pPr>
      <w:r w:rsidRPr="00AD2F44">
        <w:rPr>
          <w:vertAlign w:val="superscript"/>
        </w:rPr>
        <w:footnoteRef/>
      </w:r>
      <w:r w:rsidRPr="00AD2F44">
        <w:t xml:space="preserve">Hill v. Muscogee Cnty. Sch. Dist., 2005 WL 3526669, at *3–4 (M.D. Ga. Dec. 20, 2005) (emphasis in original) (denying defendant’s decertification motion in part because plaintiffs had presented sufficient evidence of a “pattern of potential FLSA violations,” but explaining that “unrelated sporadic violations” would not suffice to establish that claims should be treated collectively); </w:t>
      </w:r>
      <w:r w:rsidRPr="00AD2F44">
        <w:rPr>
          <w:i/>
          <w:iCs/>
        </w:rPr>
        <w:t>see also</w:t>
      </w:r>
      <w:r w:rsidRPr="00AD2F44">
        <w:t xml:space="preserve"> Zavala v. Walmart Stores, Inc., 691 F.3d 527, 537 (3d Cir. 2012) (affirming decertification: “While the District Court noted the commonalities among the proposed plaintiffs, it was ultimately convinced that the class should not be certified for trial. … ‘[T]he putative class members worked in 180 different stores in 33 states throughout the country and for 70 different contractors and subcontractors. The individuals worked varying hours and for different wages depending on the contractor.’ … These factors convinced the District Court that there were ‘significant differences in the factual and employment settings of the individual claimants.’”); Marsh v. Butler Sch. Sys., 242 F. Supp. 2d 1086, 1094 (M.D. Ala. 2003) (explaining that unrelated sporadic violations of FLSA by a single employer are insufficient to justify collective treatment).</w:t>
      </w:r>
    </w:p>
  </w:footnote>
  <w:footnote w:id="488">
    <w:p w14:paraId="3EF9D13A" w14:textId="77777777" w:rsidR="00721CCF" w:rsidRPr="00AD2F44" w:rsidRDefault="00F42107">
      <w:pPr>
        <w:pStyle w:val="14Footnote"/>
      </w:pPr>
      <w:r w:rsidRPr="00AD2F44">
        <w:rPr>
          <w:vertAlign w:val="superscript"/>
        </w:rPr>
        <w:footnoteRef/>
      </w:r>
      <w:r w:rsidRPr="00AD2F44">
        <w:rPr>
          <w:i/>
          <w:iCs/>
        </w:rPr>
        <w:t>See, e.g</w:t>
      </w:r>
      <w:r w:rsidRPr="00AD2F44">
        <w:t>., Bell v. Reading Hosp. &amp; Med. Ctr., 2016 WL 3902938, at *10 (E.D. Pa. July 19, 2016) (granting decertification where 22 opt-in plaintiffs worked in 14 departments under 32 supervisors, and each department offered different services, maintained different hours of operation, and varied in size and capacity); Reed v. County of Orange, 266 F.R.D. 446, 450 (C.D. Cal. 2010) (collecting cases).</w:t>
      </w:r>
    </w:p>
  </w:footnote>
  <w:footnote w:id="489">
    <w:p w14:paraId="10DC7C7C" w14:textId="77777777" w:rsidR="00721CCF" w:rsidRPr="00AD2F44" w:rsidRDefault="00F42107">
      <w:pPr>
        <w:pStyle w:val="14Footnote"/>
      </w:pPr>
      <w:r w:rsidRPr="00AD2F44">
        <w:rPr>
          <w:vertAlign w:val="superscript"/>
        </w:rPr>
        <w:footnoteRef/>
      </w:r>
      <w:r w:rsidRPr="00AD2F44">
        <w:rPr>
          <w:i/>
          <w:iCs/>
        </w:rPr>
        <w:t>See, e.g.,</w:t>
      </w:r>
    </w:p>
    <w:p w14:paraId="75A04F6D" w14:textId="77777777" w:rsidR="00721CCF" w:rsidRPr="00AD2F44" w:rsidRDefault="00F42107">
      <w:pPr>
        <w:pStyle w:val="14Footnote"/>
      </w:pPr>
      <w:r w:rsidRPr="00AD2F44">
        <w:rPr>
          <w:i/>
          <w:iCs/>
        </w:rPr>
        <w:t>Third Circuit:</w:t>
      </w:r>
      <w:r w:rsidRPr="00AD2F44">
        <w:t xml:space="preserve"> Moss v. Crawford &amp; Co., 201 F.R.D. 398, 409 (W.D. Pa. 2000).</w:t>
      </w:r>
    </w:p>
    <w:p w14:paraId="2213F326" w14:textId="77777777" w:rsidR="00721CCF" w:rsidRPr="00AD2F44" w:rsidRDefault="00F42107">
      <w:pPr>
        <w:pStyle w:val="14Footnote"/>
      </w:pPr>
      <w:r w:rsidRPr="00AD2F44">
        <w:rPr>
          <w:i/>
          <w:iCs/>
        </w:rPr>
        <w:t>Fourth Circuit:</w:t>
      </w:r>
      <w:r w:rsidRPr="00AD2F44">
        <w:t xml:space="preserve"> Rehberg v. Flowers Baking Co. of Jamestown, LLC, 2015 WL 1346125, at *17 (W.D.N.C. Mar. 24, 2015); LaFleur v. Dollar Tree Stores, Inc., 30 F. Supp. 3d 463, 469 (E.D. Va. 2014); Rawls v. Augustine Home Health Care, Inc., 244 F.R.D. 298, 300 (D. Md. 2007).</w:t>
      </w:r>
    </w:p>
    <w:p w14:paraId="7263B7AB" w14:textId="77777777" w:rsidR="00721CCF" w:rsidRPr="00AD2F44" w:rsidRDefault="00F42107">
      <w:pPr>
        <w:pStyle w:val="14Footnote"/>
      </w:pPr>
      <w:r w:rsidRPr="00AD2F44">
        <w:rPr>
          <w:i/>
          <w:iCs/>
        </w:rPr>
        <w:t>Fifth Circuit:</w:t>
      </w:r>
      <w:r w:rsidRPr="00AD2F44">
        <w:t xml:space="preserve"> Reyes v. Texas </w:t>
      </w:r>
      <w:r w:rsidRPr="00AD2F44">
        <w:t>EZPawn, L.P., 2007 WL 101808, at *2 (S.D. Tex. Jan. 8, 2007).</w:t>
      </w:r>
    </w:p>
    <w:p w14:paraId="768A042B" w14:textId="77777777" w:rsidR="00721CCF" w:rsidRPr="00AD2F44" w:rsidRDefault="00F42107">
      <w:pPr>
        <w:pStyle w:val="14Footnote"/>
      </w:pPr>
      <w:r w:rsidRPr="00AD2F44">
        <w:rPr>
          <w:i/>
          <w:iCs/>
        </w:rPr>
        <w:t>Sixth Circuit:</w:t>
      </w:r>
      <w:r w:rsidRPr="00AD2F44">
        <w:t xml:space="preserve"> Crawford v. Lexington-Fayette Urban Cnty. Gov’t, 2008 WL 2885230, at *8 (E.D. Ky. July 22, 2008).</w:t>
      </w:r>
    </w:p>
    <w:p w14:paraId="27CED8F0" w14:textId="77777777" w:rsidR="00721CCF" w:rsidRPr="00AD2F44" w:rsidRDefault="00F42107">
      <w:pPr>
        <w:pStyle w:val="14Footnote"/>
      </w:pPr>
      <w:r w:rsidRPr="00AD2F44">
        <w:rPr>
          <w:i/>
          <w:iCs/>
        </w:rPr>
        <w:t>Eighth Circuit:</w:t>
      </w:r>
      <w:r w:rsidRPr="00AD2F44">
        <w:t xml:space="preserve"> Hamilton v. Diversicare Leasing Corp., 2014 WL 4955799, at *3 (W.D. Ark. Oct. 1, 2014).</w:t>
      </w:r>
    </w:p>
    <w:p w14:paraId="456537A5" w14:textId="258B5D21" w:rsidR="00721CCF" w:rsidRPr="00AD2F44" w:rsidRDefault="00F42107">
      <w:pPr>
        <w:pStyle w:val="14Footnote"/>
      </w:pPr>
      <w:r w:rsidRPr="00AD2F44">
        <w:rPr>
          <w:i/>
          <w:iCs/>
        </w:rPr>
        <w:t>Ninth Circuit:</w:t>
      </w:r>
      <w:r w:rsidRPr="00AD2F44">
        <w:t xml:space="preserve"> Benedict v. Hewlett-Packard Co., 2016 WL 3742342, at *6 (N.D. Cal. July 13, 2016) (granting decertification of class of technical consultants, noting that “[c]ourts look at whether plaintiffs had differing job titles or duties, worked in different geographic locations, worked under different supervisors, or allege different types of violative conduct. … The greater the variation, the less manageable an FLSA collective becomes.”); Smith v. Micron Elec., Inc., 2005 WL 5336571, at *2 (D. Idaho Feb. 4, 2005).</w:t>
      </w:r>
    </w:p>
    <w:p w14:paraId="6E8078F4" w14:textId="0ECDC4CB" w:rsidR="00721CCF" w:rsidRPr="00AD2F44" w:rsidRDefault="00F42107">
      <w:pPr>
        <w:pStyle w:val="14Footnote"/>
      </w:pPr>
      <w:r w:rsidRPr="00AD2F44">
        <w:rPr>
          <w:i/>
          <w:iCs/>
        </w:rPr>
        <w:t xml:space="preserve">Tenth Circuit: </w:t>
      </w:r>
      <w:r w:rsidRPr="00AD2F44">
        <w:t xml:space="preserve">Brayman v. KeyPoint Gov’t Sols., Inc., </w:t>
      </w:r>
      <w:r w:rsidRPr="00AB2EFC">
        <w:rPr>
          <w:lang w:val="es-ES"/>
        </w:rPr>
        <w:t>595 F. Supp. 3d 983 (D. Colo. 2022) (granting final certification and denying decertification despite plaintiffs working in different geographical settings because of same job title and general supervision, being subject to same pay requirements and performance standards, and consistent declaration testimony about environment that caused or encouraged off-the-clock work across worksites).</w:t>
      </w:r>
    </w:p>
    <w:p w14:paraId="57148138" w14:textId="39C92CC9" w:rsidR="00721CCF" w:rsidRPr="00AD2F44" w:rsidRDefault="00F42107">
      <w:pPr>
        <w:pStyle w:val="14Footnote"/>
      </w:pPr>
      <w:r w:rsidRPr="00AD2F44">
        <w:rPr>
          <w:i/>
          <w:iCs/>
        </w:rPr>
        <w:t>Eleventh Circuit:</w:t>
      </w:r>
      <w:r w:rsidRPr="00AD2F44">
        <w:t xml:space="preserve"> Blandon v. Waste Pro USA, Inc., 2021 BL 485969, 2021 WL 7447594 (M.D. Fla. Dec. 21, 2021) (granting decertification where drivers worked in multiple states and with varying compensation structures); Carr v. AutoZoner, LLC, 2021 BL 403608, 2021 WL 4894610 (N.D. Ala. Oct. 20, 2021) (granting decertification where deposition testimony showed store managers had different daily responsibilities, discretion over managerial tasks, and differing authority to hire, promote, and set pay); Geter v. Galardi S. Enters., Inc., 2015 WL 2384068 (S.D. Fla. May 19, 2015) (denying motion for decertification in independent contractor misclassification case filed by exotic dancers where all plaintiffs worked in same location, performed similar job duties, and were supervised by individuals at one workplace, even though some had written agreements and others did not and earning potential among class members varied); Mathis v. Darden Rests., 2014 WL 4428171, at *4 (S.D. Fla. Sept. 1, 2014) (finding disparate factual and employment settings between bartenders and servers where they worked across 1,995 restaurants spread across 50 states and relevant policies differed by job title, state, brand, specific restaurant, and managers); Whineglass v. Smith, 2013 WL 2237841, at *7 (M.D. Fla. May 21, 2013) (collecting cases); </w:t>
      </w:r>
      <w:r w:rsidRPr="00AD2F44">
        <w:rPr>
          <w:i/>
          <w:iCs/>
        </w:rPr>
        <w:t>In re</w:t>
      </w:r>
      <w:r w:rsidRPr="00AD2F44">
        <w:t xml:space="preserve"> Tyson Foods, Inc. FLSA Litig., 694 F. Supp. 2d 1372, 1378–79 (M.D. Ga. Mar. 16, 2010) (denying decertification after considering evidence related to compensation practices at eight plants, in light of defendant’s common practice of paying plaintiffs based on “mastercard” system that paid employees based on production line time).</w:t>
      </w:r>
    </w:p>
  </w:footnote>
  <w:footnote w:id="490">
    <w:p w14:paraId="48AE17BC" w14:textId="439C663A" w:rsidR="00721CCF" w:rsidRPr="00AD2F44" w:rsidRDefault="00F42107">
      <w:pPr>
        <w:pStyle w:val="14Footnote"/>
      </w:pPr>
      <w:r w:rsidRPr="00AD2F44">
        <w:rPr>
          <w:vertAlign w:val="superscript"/>
        </w:rPr>
        <w:footnoteRef/>
      </w:r>
      <w:r w:rsidRPr="00AD2F44">
        <w:rPr>
          <w:i/>
          <w:iCs/>
        </w:rPr>
        <w:t>See</w:t>
      </w:r>
    </w:p>
    <w:p w14:paraId="59D171B2" w14:textId="620AA040" w:rsidR="00721CCF" w:rsidRPr="00AD2F44" w:rsidRDefault="00F42107">
      <w:pPr>
        <w:pStyle w:val="14Footnote"/>
      </w:pPr>
      <w:r w:rsidRPr="00AD2F44">
        <w:rPr>
          <w:i/>
          <w:iCs/>
        </w:rPr>
        <w:t xml:space="preserve">Second Circuit: </w:t>
      </w:r>
      <w:r w:rsidRPr="00AD2F44">
        <w:t>Perez v. Allstate Ins. Co., 2014 WL 4635745, at *9 (E.D.N.Y. Sept. 16, 2014) (finding that fact that adjusters worked in different states and applied different fee schedules did not alter court’s conclusion that primary duties of all adjusters in collective were substantially similar).</w:t>
      </w:r>
    </w:p>
    <w:p w14:paraId="530390CE" w14:textId="4CB2A7A4" w:rsidR="00721CCF" w:rsidRPr="00AD2F44" w:rsidRDefault="00F42107">
      <w:pPr>
        <w:pStyle w:val="14Footnote"/>
      </w:pPr>
      <w:r w:rsidRPr="00AD2F44">
        <w:rPr>
          <w:i/>
          <w:iCs/>
        </w:rPr>
        <w:t>Fifth Circuit:</w:t>
      </w:r>
      <w:r w:rsidRPr="00AD2F44">
        <w:t xml:space="preserve"> Nguyen v. </w:t>
      </w:r>
      <w:r w:rsidRPr="00AD2F44">
        <w:t>Versacom, LLC, 2016 WL 6650860, at *4–5 (N.D. Tex. Nov. 9, 2016) (denying decertification motion and finding plaintiffs similarly situated where all plaintiffs held two technician positions that were subject to one or both of two allegedly unlawful policies, even though variations existed as to project location, job duties, and management structure).</w:t>
      </w:r>
    </w:p>
    <w:p w14:paraId="4AD71231" w14:textId="7CD62A19" w:rsidR="00721CCF" w:rsidRPr="00AD2F44" w:rsidRDefault="00F42107">
      <w:pPr>
        <w:pStyle w:val="14Footnote"/>
      </w:pPr>
      <w:r w:rsidRPr="00AD2F44">
        <w:rPr>
          <w:i/>
          <w:iCs/>
        </w:rPr>
        <w:t>Sixth Circuit:</w:t>
      </w:r>
      <w:r w:rsidRPr="00AD2F44">
        <w:t xml:space="preserve"> Wilson v. Guardian Angel Nursing, Inc., 2009 WL 790107, at *8 (M.D. Tenn. Mar. 24, 2009) (holding different geographic locations of class members did not warrant decertification where facts undisputed by defendants in earlier summary judgment proceeding showed that collective decision on merits was proper).</w:t>
      </w:r>
    </w:p>
    <w:p w14:paraId="37E1B619" w14:textId="61B3563B" w:rsidR="00721CCF" w:rsidRPr="00AD2F44" w:rsidRDefault="00F42107">
      <w:pPr>
        <w:pStyle w:val="14Footnote"/>
      </w:pPr>
      <w:r w:rsidRPr="00AD2F44">
        <w:rPr>
          <w:i/>
          <w:iCs/>
        </w:rPr>
        <w:t>Eighth Circuit:</w:t>
      </w:r>
      <w:r w:rsidRPr="00AD2F44">
        <w:t xml:space="preserve"> Judkins v. SouthernCare, Inc., 74 F. Supp. 3d 1007, 1010 (S.D. Iowa 2015) (denying motion to decertify class where plaintiffs worked at various different geographic locations but had job duties that were substantially similar).</w:t>
      </w:r>
    </w:p>
    <w:p w14:paraId="69139DD1" w14:textId="37FFFD49" w:rsidR="00721CCF" w:rsidRPr="00AD2F44" w:rsidRDefault="00F42107">
      <w:pPr>
        <w:pStyle w:val="14Footnote"/>
      </w:pPr>
      <w:r w:rsidRPr="00AD2F44">
        <w:rPr>
          <w:i/>
          <w:iCs/>
        </w:rPr>
        <w:t>Eleventh Circuit:</w:t>
      </w:r>
      <w:r w:rsidRPr="00AD2F44">
        <w:t xml:space="preserve"> Hipp v. Liberty Nat’l Life Ins. Co., 252 F.3d 1208, 1219 (11th Cir. 2001) (in an ADEA case, the fact that plaintiffs worked at different locations was not sufficient to warrant reversal of district court’s denial of decertification); Epps v. Oak St. Mortg. LLC, 2006 WL 1460273, at *6 (M.D. Fla. May 22, 2006) (denying decertification motion as to exempt loan officers and noting that the fact that plaintiffs “worked in three different branch offices in two states is not conclusive as to the similarly situated inquiry,” where plaintiffs shared the same job title, job description, job functions, production requirements, evaluation process, and compensation plan, and had offered no evidence that their discretion varied by employee or office).</w:t>
      </w:r>
    </w:p>
    <w:p w14:paraId="4E1F3A48" w14:textId="2FCB60CD" w:rsidR="00721CCF" w:rsidRPr="00AD2F44" w:rsidRDefault="00F42107">
      <w:pPr>
        <w:pStyle w:val="14Footnote"/>
      </w:pPr>
      <w:r w:rsidRPr="00AD2F44">
        <w:rPr>
          <w:i/>
          <w:iCs/>
        </w:rPr>
        <w:t xml:space="preserve">But see </w:t>
      </w:r>
      <w:r w:rsidRPr="00AD2F44">
        <w:t>England v. New Century Fin. Corp., 370 F. Supp. 2d 504, 511 (M.D. La. 2005) (finding individualized inquiries would predominate because of the different locations, managers, and factual situations, as evidenced in part by plaintiffs’ counsel’s estimate of a need for 200–400 depositions); Johnson v. TGF Precision Haircutters, Inc., 2005 WL 1994286, at *2 (S.D. Tex. Aug. 17, 2005) (explaining “variances even within a single state, however, are not necessarily insignificant,” and finding that geographic dispersion supported decertification because employment practices varied by location).</w:t>
      </w:r>
    </w:p>
  </w:footnote>
  <w:footnote w:id="491">
    <w:p w14:paraId="1F0BC4C2" w14:textId="284D5C0C" w:rsidR="00721CCF" w:rsidRPr="00AD2F44" w:rsidRDefault="00F42107">
      <w:pPr>
        <w:pStyle w:val="14Footnote"/>
      </w:pPr>
      <w:r w:rsidRPr="00AD2F44">
        <w:rPr>
          <w:vertAlign w:val="superscript"/>
        </w:rPr>
        <w:footnoteRef/>
      </w:r>
      <w:r w:rsidRPr="00AD2F44">
        <w:t>Anderson v. Cagle’s, Inc., 488 F.3d 945, 953 (11th Cir. 2007) (reasoning that the “similarities necessary to maintain a collective action under Section 16(b) must extend ‘beyond the mere facts of job duties and pay provisions’”) (internal citation omitted); Colosimo v. Flagship Resort Dev. Corp., 2021 BL 119087,</w:t>
      </w:r>
      <w:r w:rsidRPr="00AD2F44">
        <w:rPr>
          <w:rFonts w:ascii="Arial" w:eastAsia="Cambria" w:hAnsi="Arial" w:cs="Arial"/>
          <w:color w:val="000000"/>
          <w:sz w:val="24"/>
          <w:szCs w:val="20"/>
        </w:rPr>
        <w:t xml:space="preserve"> </w:t>
      </w:r>
      <w:r w:rsidRPr="00AD2F44">
        <w:t xml:space="preserve">2021 WL 1207484 (D.N.J. Mar. 31, 2021) (denying final certification, finding salesperson plaintiffs were not similarly situated because they created their own markets and schedules and performed varying amounts of work in office and field); </w:t>
      </w:r>
      <w:r w:rsidRPr="00AD2F44">
        <w:t xml:space="preserve">Illano v. H&amp;R Block E. Enters., Inc., 2010 WL 9553051, at *3–5 (S.D. Fla. Nov. 4, 2010) (decertifying collective action including employees with same job titles and pay structures where plaintiffs worked at various different locations, under different managers, and cited different reasons for working off the clock). Nevertheless, mere differences in pay rates are not sufficient to justify decertification. </w:t>
      </w:r>
      <w:r w:rsidRPr="00AD2F44">
        <w:rPr>
          <w:i/>
          <w:iCs/>
        </w:rPr>
        <w:t>See, e.g</w:t>
      </w:r>
      <w:r w:rsidRPr="00AD2F44">
        <w:t xml:space="preserve">., Bradford v. Bed Bath &amp; Beyond, Inc., 184 F. Supp. 2d 1342, 1351 (N.D. Ga. 2002); </w:t>
      </w:r>
      <w:r w:rsidRPr="00AD2F44">
        <w:rPr>
          <w:i/>
          <w:iCs/>
        </w:rPr>
        <w:t>Moss</w:t>
      </w:r>
      <w:r w:rsidRPr="00AD2F44">
        <w:t>, 201 F.R.D. at 410. However, variations in payment and compensation structures can support decertification. Johnson v. TGF Precision Haircutters, Inc., 2005 WL 1994286, at *5 (S.D. Tex. Aug. 17, 2005).</w:t>
      </w:r>
    </w:p>
  </w:footnote>
  <w:footnote w:id="492">
    <w:p w14:paraId="21880FD5" w14:textId="77777777" w:rsidR="00721CCF" w:rsidRPr="00AD2F44" w:rsidRDefault="00F42107">
      <w:pPr>
        <w:pStyle w:val="14Footnote"/>
      </w:pPr>
      <w:r w:rsidRPr="00AD2F44">
        <w:rPr>
          <w:vertAlign w:val="superscript"/>
        </w:rPr>
        <w:footnoteRef/>
      </w:r>
      <w:r w:rsidRPr="00AD2F44">
        <w:rPr>
          <w:i/>
          <w:iCs/>
        </w:rPr>
        <w:t>See, e.g.,</w:t>
      </w:r>
    </w:p>
    <w:p w14:paraId="7BD4318C" w14:textId="77777777" w:rsidR="00721CCF" w:rsidRPr="00AD2F44" w:rsidRDefault="00F42107">
      <w:pPr>
        <w:pStyle w:val="14Footnote"/>
      </w:pPr>
      <w:r w:rsidRPr="00AD2F44">
        <w:rPr>
          <w:i/>
          <w:iCs/>
        </w:rPr>
        <w:t>Eighth Circuit:</w:t>
      </w:r>
      <w:r w:rsidRPr="00AD2F44">
        <w:t xml:space="preserve"> Frank v. Gold’n Plump Poultry, Inc., 2007 WL 2780504, at *4–5 (D. Minn. Sept. 24, 2007) (partially denying defendant’s motion for decertification because defendant exaggerated the differences in donning and doffing requirements between shifts and departments and noting “plaintiffs’ claims need to be considered at a higher level of abstraction,” but retaining a subclass for a single division at a single plant because of the factual similarities among plaintiffs in that subclass).</w:t>
      </w:r>
    </w:p>
    <w:p w14:paraId="167DB987" w14:textId="0C590FE4" w:rsidR="00721CCF" w:rsidRPr="00AD2F44" w:rsidRDefault="00F42107">
      <w:pPr>
        <w:pStyle w:val="14Footnote"/>
      </w:pPr>
      <w:r w:rsidRPr="00AD2F44">
        <w:rPr>
          <w:i/>
          <w:iCs/>
        </w:rPr>
        <w:t>Ninth Circuit:</w:t>
      </w:r>
      <w:r w:rsidRPr="00AD2F44">
        <w:t xml:space="preserve"> Echeverria v. Nevada, 2022 BL 179057, 2022 WL 1652450 (D. Nev. May 23, 2022) (denying decertification motion, finding sufficient evidence of common policy of unpaid preliminary and postliminary activities; holding different amounts of time to perform different tasks went to damages inquiry, not certification); </w:t>
      </w:r>
      <w:r w:rsidRPr="00AD2F44">
        <w:t>Khadera v. ABM Indus., Inc., 2011 WL 7064235, at *2–3 (W.D. Wash. Dec. 1, 2011) (denying decertification where majority of opt-in plaintiffs performed cleaning duties and unifying theory supported by deposition testimony was that defendant forced plaintiffs to perform uncompensated work before and after shifts and during unpaid meal breaks, and workload could not be completed during scheduled hours).</w:t>
      </w:r>
    </w:p>
    <w:p w14:paraId="704338A5" w14:textId="77777777" w:rsidR="00721CCF" w:rsidRPr="00AD2F44" w:rsidRDefault="00F42107">
      <w:pPr>
        <w:pStyle w:val="14Footnote"/>
      </w:pPr>
      <w:r w:rsidRPr="00AD2F44">
        <w:rPr>
          <w:i/>
          <w:iCs/>
        </w:rPr>
        <w:t>Tenth Circuit:</w:t>
      </w:r>
      <w:r w:rsidRPr="00AD2F44">
        <w:t xml:space="preserve"> Underwood v. NMC Mortg. Corp., 2009 WL 1322588, at *3 (D. Kan. May 11, 2009) (reasoning different locations and different supervisors did not undermine collective treatment where issues to be decided related to uniform scheduling policy and uniform compensation plan).</w:t>
      </w:r>
    </w:p>
    <w:p w14:paraId="5DE11284" w14:textId="46B7B2F9" w:rsidR="00721CCF" w:rsidRPr="00AD2F44" w:rsidRDefault="00F42107">
      <w:pPr>
        <w:pStyle w:val="14Footnote"/>
      </w:pPr>
      <w:r w:rsidRPr="00AD2F44">
        <w:rPr>
          <w:i/>
          <w:iCs/>
        </w:rPr>
        <w:t>Eleventh Circuit:</w:t>
      </w:r>
      <w:r w:rsidRPr="00AD2F44">
        <w:t xml:space="preserve"> Pendlebury v. Starbucks, 518 F. Supp. 2d 1345, 1355–56 (S.D. Fla. 2008) (rejecting defendant’s decertification arguments about the plaintiffs’ individual management styles and concluding “[t]he fact that many managers will go about the performance of a particular task in different ways does not mean that they have different responsibilities”).</w:t>
      </w:r>
    </w:p>
  </w:footnote>
  <w:footnote w:id="493">
    <w:p w14:paraId="1E904678" w14:textId="77777777" w:rsidR="00721CCF" w:rsidRPr="00AD2F44" w:rsidRDefault="00F42107">
      <w:pPr>
        <w:pStyle w:val="14Footnote"/>
      </w:pPr>
      <w:r w:rsidRPr="00AD2F44">
        <w:rPr>
          <w:vertAlign w:val="superscript"/>
        </w:rPr>
        <w:footnoteRef/>
      </w:r>
      <w:r w:rsidRPr="00AD2F44">
        <w:rPr>
          <w:i/>
          <w:iCs/>
        </w:rPr>
        <w:t>See, e.g.,</w:t>
      </w:r>
    </w:p>
    <w:p w14:paraId="1FEC2E61" w14:textId="77777777" w:rsidR="00721CCF" w:rsidRPr="00AD2F44" w:rsidRDefault="00F42107">
      <w:pPr>
        <w:pStyle w:val="14Footnote"/>
      </w:pPr>
      <w:r w:rsidRPr="00AD2F44">
        <w:rPr>
          <w:i/>
          <w:iCs/>
        </w:rPr>
        <w:t>Second Circuit:</w:t>
      </w:r>
      <w:r w:rsidRPr="00AD2F44">
        <w:t xml:space="preserve"> Ayers v. SGS Control Serv., Inc., 2007 WL 646326, at *5 (S.D.N.Y. Feb. 27, 2007).</w:t>
      </w:r>
    </w:p>
    <w:p w14:paraId="42BC0F56" w14:textId="77777777" w:rsidR="00721CCF" w:rsidRPr="00AD2F44" w:rsidRDefault="00F42107">
      <w:pPr>
        <w:pStyle w:val="14Footnote"/>
      </w:pPr>
      <w:r w:rsidRPr="00AD2F44">
        <w:rPr>
          <w:i/>
          <w:iCs/>
        </w:rPr>
        <w:t>Third Circuit:</w:t>
      </w:r>
      <w:r w:rsidRPr="00AD2F44">
        <w:t xml:space="preserve"> </w:t>
      </w:r>
      <w:r w:rsidRPr="00AD2F44">
        <w:rPr>
          <w:i/>
          <w:iCs/>
        </w:rPr>
        <w:t>Moss</w:t>
      </w:r>
      <w:r w:rsidRPr="00AD2F44">
        <w:t>, 201 F.R.D. at 409–10.</w:t>
      </w:r>
    </w:p>
    <w:p w14:paraId="43A536C0" w14:textId="77777777" w:rsidR="00721CCF" w:rsidRPr="00AD2F44" w:rsidRDefault="00F42107">
      <w:pPr>
        <w:pStyle w:val="14Footnote"/>
      </w:pPr>
      <w:r w:rsidRPr="00AD2F44">
        <w:rPr>
          <w:i/>
          <w:iCs/>
        </w:rPr>
        <w:t>Fourth Circuit:</w:t>
      </w:r>
      <w:r w:rsidRPr="00AD2F44">
        <w:t xml:space="preserve"> Regan v. City of Charleston, 2015 WL 6727079, at *4 (D.S.C. Nov. 3, 2015) (denying motion for decertification where challenged fluctuating workweek pay plan applied to all plaintiffs and opt-ins in case); </w:t>
      </w:r>
      <w:r w:rsidRPr="00AD2F44">
        <w:rPr>
          <w:i/>
          <w:iCs/>
        </w:rPr>
        <w:t>Rawls</w:t>
      </w:r>
      <w:r w:rsidRPr="00AD2F44">
        <w:t>, 244 F.R.D. at 300.</w:t>
      </w:r>
    </w:p>
    <w:p w14:paraId="34323BCB" w14:textId="77777777" w:rsidR="00721CCF" w:rsidRPr="00AD2F44" w:rsidRDefault="00F42107">
      <w:pPr>
        <w:pStyle w:val="14Footnote"/>
      </w:pPr>
      <w:r w:rsidRPr="00AD2F44">
        <w:rPr>
          <w:i/>
          <w:iCs/>
        </w:rPr>
        <w:t>Fifth Circuit:</w:t>
      </w:r>
      <w:r w:rsidRPr="00AD2F44">
        <w:t xml:space="preserve"> Roussell v. Brinker Int’l, Inc., 441 F. App’x 222, 226–27 (5th Cir. 2011) (upholding district court’s decision to decertify part of 3,556-person opt-in class, and retain 55 opt-in plaintiffs who showed they were similarly situated, because evidence revealed pattern of coercion among all 55 class members to share tips, and differences highlighted by defendant were not relevant to legal issues to be resolved); Maynor v. Dow Chem. Co., 671 F. Supp. 2d 902, 929–37 (S.D. Tex. 2009) (denying decertification in light of defendant’s common practice of requiring uncompensated training time and application of possible discipline for failing to meet training requirements).</w:t>
      </w:r>
    </w:p>
    <w:p w14:paraId="062C9EA3" w14:textId="77777777" w:rsidR="00721CCF" w:rsidRPr="00AD2F44" w:rsidRDefault="00F42107">
      <w:pPr>
        <w:pStyle w:val="14Footnote"/>
      </w:pPr>
      <w:r w:rsidRPr="00AD2F44">
        <w:rPr>
          <w:i/>
          <w:iCs/>
        </w:rPr>
        <w:t>Sixth Circuit:</w:t>
      </w:r>
      <w:r w:rsidRPr="00AD2F44">
        <w:t xml:space="preserve"> Jordan v. IBP, Inc., 542 F. Supp. 2d 790, 813 (M.D. Tenn. 2008); </w:t>
      </w:r>
      <w:r w:rsidRPr="00AD2F44">
        <w:rPr>
          <w:i/>
          <w:iCs/>
        </w:rPr>
        <w:t>Crawford</w:t>
      </w:r>
      <w:r w:rsidRPr="00AD2F44">
        <w:t>, 2008 WL 2885230, at *5 (stating “plaintiffs must produce substantial evidence demonstrating that a central policy exists that binds the potential class members together”).</w:t>
      </w:r>
    </w:p>
    <w:p w14:paraId="78CE760E" w14:textId="51525E55" w:rsidR="00721CCF" w:rsidRPr="00AD2F44" w:rsidRDefault="00F42107">
      <w:pPr>
        <w:pStyle w:val="14Footnote"/>
      </w:pPr>
      <w:r w:rsidRPr="00AD2F44">
        <w:rPr>
          <w:i/>
          <w:iCs/>
        </w:rPr>
        <w:t>Eighth Circuit:</w:t>
      </w:r>
      <w:r w:rsidRPr="00AD2F44">
        <w:t xml:space="preserve"> Cope v. Let’s</w:t>
      </w:r>
      <w:r w:rsidRPr="00AD2F44">
        <w:t xml:space="preserve"> Eat Out, Inc., 354 F. Supp. 3d 976 (W.D. Mo. 2019) (denying employer’s decertification motion because though tipped putative class members did not all perform the same nontipped tasks, that did not overcome the fact that all were subject to the common policy to not pay for such time); </w:t>
      </w:r>
      <w:r w:rsidRPr="00AD2F44">
        <w:rPr>
          <w:i/>
          <w:iCs/>
        </w:rPr>
        <w:t>Judkins</w:t>
      </w:r>
      <w:r w:rsidRPr="00AD2F44">
        <w:t>, 74 F. Supp. 3d at 1009 (“Plaintiffs must demonstrate that they are similarly situated, which is proved if they ‘suffer from a single, FLSA-violating policy, and when proof of that policy or of conduct in conformity with that policy proves a violation to all the plaintiffs.’”) (citation omitted).</w:t>
      </w:r>
    </w:p>
    <w:p w14:paraId="2393E2AF" w14:textId="6EFD4F89" w:rsidR="00721CCF" w:rsidRPr="00AD2F44" w:rsidRDefault="00F42107">
      <w:pPr>
        <w:pStyle w:val="14Footnote"/>
      </w:pPr>
      <w:r w:rsidRPr="00AD2F44">
        <w:rPr>
          <w:i/>
          <w:iCs/>
        </w:rPr>
        <w:t>Ninth Circuit:</w:t>
      </w:r>
      <w:r w:rsidRPr="00AD2F44">
        <w:t xml:space="preserve"> Phillips v. Cnty. of Riverside, 2022 BL 121604, 2022 WL 2162822 (C.D. Cal. Apr. 7, 2022) (decertifying collective where evidence showed no uniform policy to deny overtime for administrative tasks); Wong v. HSBC Mortg. Corp. (USA), 2010 WL 3833952, at *2–4 (N.D. Cal. Sept. 29, 2010) (granting decertification given that there was no “centralized rule, policy or practice” that governs how plaintiffs spent their work time in outside sales exemption misclassification case, and relying on Rule 23 certification analyses as “instructive with respect to the question of whether the instant class members are ‘similarly situated’” under FLSA); </w:t>
      </w:r>
      <w:r w:rsidRPr="00AD2F44">
        <w:rPr>
          <w:i/>
          <w:iCs/>
        </w:rPr>
        <w:t>Micron Electronics</w:t>
      </w:r>
      <w:r w:rsidRPr="00AD2F44">
        <w:t xml:space="preserve">, 2005 WL 5336571, at *2 (the “key issue” relating to the first factor is whether the employer had a “common, </w:t>
      </w:r>
      <w:r w:rsidRPr="00AD2F44">
        <w:rPr>
          <w:i/>
          <w:iCs/>
        </w:rPr>
        <w:t>de facto</w:t>
      </w:r>
      <w:r w:rsidRPr="00AD2F44">
        <w:t xml:space="preserve"> policy of permitting off-the-clock work”).</w:t>
      </w:r>
    </w:p>
    <w:p w14:paraId="7B6C271E" w14:textId="2688DF04" w:rsidR="00721CCF" w:rsidRPr="00AD2F44" w:rsidRDefault="00F42107">
      <w:pPr>
        <w:pStyle w:val="14Footnote"/>
      </w:pPr>
      <w:r w:rsidRPr="00AD2F44">
        <w:rPr>
          <w:i/>
          <w:iCs/>
        </w:rPr>
        <w:t>Eleventh Circuit:</w:t>
      </w:r>
      <w:r w:rsidRPr="00AD2F44">
        <w:t xml:space="preserve"> </w:t>
      </w:r>
      <w:r w:rsidRPr="00AD2F44">
        <w:rPr>
          <w:i/>
          <w:iCs/>
        </w:rPr>
        <w:t>In re</w:t>
      </w:r>
      <w:r w:rsidRPr="00AD2F44">
        <w:t xml:space="preserve"> </w:t>
      </w:r>
      <w:r w:rsidRPr="00AD2F44">
        <w:rPr>
          <w:i/>
          <w:iCs/>
        </w:rPr>
        <w:t xml:space="preserve">Tyson Foods, </w:t>
      </w:r>
      <w:r w:rsidRPr="00AD2F44">
        <w:t>694 F. Supp. 2d at 1378–79 (denying decertification in light of defendant’s common practice of paying plaintiffs based on “mastercard” system that paid employees based on production line time).</w:t>
      </w:r>
    </w:p>
  </w:footnote>
  <w:footnote w:id="494">
    <w:p w14:paraId="7F25980A" w14:textId="77777777" w:rsidR="00721CCF" w:rsidRPr="00AD2F44" w:rsidRDefault="00F42107">
      <w:pPr>
        <w:pStyle w:val="14Footnote"/>
        <w:rPr>
          <w:i/>
          <w:iCs/>
        </w:rPr>
      </w:pPr>
      <w:r w:rsidRPr="00AD2F44">
        <w:rPr>
          <w:vertAlign w:val="superscript"/>
        </w:rPr>
        <w:footnoteRef/>
      </w:r>
      <w:r w:rsidRPr="00AD2F44">
        <w:t xml:space="preserve">Wilks v. Pep Boys, 2006 WL 2821700, at *3 (M.D. Tenn. Sept. 26, 2006), </w:t>
      </w:r>
      <w:r w:rsidRPr="00AD2F44">
        <w:rPr>
          <w:i/>
          <w:iCs/>
        </w:rPr>
        <w:t>aff’d</w:t>
      </w:r>
      <w:r w:rsidRPr="00AD2F44">
        <w:t>, 278 F. App’x 488 (6th Cir. 2008).</w:t>
      </w:r>
      <w:r w:rsidRPr="00AD2F44">
        <w:rPr>
          <w:i/>
          <w:iCs/>
        </w:rPr>
        <w:t xml:space="preserve"> See, e.g.,</w:t>
      </w:r>
    </w:p>
    <w:p w14:paraId="6046B86F" w14:textId="77777777" w:rsidR="00721CCF" w:rsidRPr="00AD2F44" w:rsidRDefault="00F42107">
      <w:pPr>
        <w:pStyle w:val="14Footnote"/>
      </w:pPr>
      <w:r w:rsidRPr="00AD2F44">
        <w:rPr>
          <w:i/>
          <w:iCs/>
        </w:rPr>
        <w:t>Fourth Circuit:</w:t>
      </w:r>
      <w:r w:rsidRPr="00AD2F44">
        <w:t xml:space="preserve"> </w:t>
      </w:r>
      <w:r w:rsidRPr="00AD2F44">
        <w:rPr>
          <w:i/>
          <w:iCs/>
        </w:rPr>
        <w:t>Rehberg</w:t>
      </w:r>
      <w:r w:rsidRPr="00AD2F44">
        <w:t>, 2015 WL 1346125, at *17 (motion to decertify denied as to companywide class of delivery drivers because all were classified as independent contractors and subject to uniform procedures); Butler v. DirectSAT USA, 47 F. Supp. 3d 300, 311 (D. Md. 2014) (denying decertification motion as to technicians where evidence showed common policy for technicians not to be paid for off-the-clock work before and after their shifts).</w:t>
      </w:r>
    </w:p>
    <w:p w14:paraId="141E5D75" w14:textId="77777777" w:rsidR="00721CCF" w:rsidRPr="00AD2F44" w:rsidRDefault="00F42107">
      <w:pPr>
        <w:pStyle w:val="14Footnote"/>
      </w:pPr>
      <w:r w:rsidRPr="00AD2F44">
        <w:rPr>
          <w:i/>
          <w:iCs/>
        </w:rPr>
        <w:t>Fifth Circuit:</w:t>
      </w:r>
      <w:r w:rsidRPr="00AD2F44">
        <w:t xml:space="preserve"> </w:t>
      </w:r>
      <w:r w:rsidRPr="00AD2F44">
        <w:t>Vanzzini v. Action Meat Distribs., Inc., 995 F. Supp. 2d 703, 721 (S.D. Tex. 2014) (“The presence of a common policy, plan or practice affecting all putative class members, although not required, can be helpful in assessing the first factor, concerning the plaintiff’s factual and employment settings.”).</w:t>
      </w:r>
    </w:p>
    <w:p w14:paraId="6BF410E4" w14:textId="77777777" w:rsidR="00721CCF" w:rsidRPr="00AD2F44" w:rsidRDefault="00F42107">
      <w:pPr>
        <w:pStyle w:val="14Footnote"/>
      </w:pPr>
      <w:r w:rsidRPr="00AD2F44">
        <w:rPr>
          <w:i/>
          <w:iCs/>
        </w:rPr>
        <w:t xml:space="preserve">Ninth Circuit: </w:t>
      </w:r>
      <w:r w:rsidRPr="00AD2F44">
        <w:t xml:space="preserve">Senne v. Kansas City Royals Baseball Corp., 934 F.3d 918, 949 (9th Cir. 2019) (affirming recertification order after concluding that members of the collective (minor league baseball players) were subject to the same pay practice, including not paying minor league players for spring training, extended spring training, and instructional league). </w:t>
      </w:r>
    </w:p>
    <w:p w14:paraId="0D38EE4C" w14:textId="10BDFC28" w:rsidR="00721CCF" w:rsidRPr="00AD2F44" w:rsidRDefault="00F42107">
      <w:pPr>
        <w:pStyle w:val="14Footnote"/>
      </w:pPr>
      <w:r w:rsidRPr="00AD2F44">
        <w:rPr>
          <w:i/>
          <w:iCs/>
        </w:rPr>
        <w:t>Tenth Circuit:</w:t>
      </w:r>
      <w:r w:rsidRPr="00AD2F44">
        <w:t xml:space="preserve"> </w:t>
      </w:r>
      <w:r w:rsidRPr="00AD2F44">
        <w:rPr>
          <w:i/>
          <w:iCs/>
        </w:rPr>
        <w:t>Underwood</w:t>
      </w:r>
      <w:r w:rsidRPr="00AD2F44">
        <w:t>, 2009 WL 1322588, at *3 (ruling that uniform scheduling and compensation plan were sufficiently similar to overcome other factual differences for purposes of collective treatment).</w:t>
      </w:r>
    </w:p>
  </w:footnote>
  <w:footnote w:id="495">
    <w:p w14:paraId="5C1A89A3" w14:textId="77777777" w:rsidR="00721CCF" w:rsidRPr="00AD2F44" w:rsidRDefault="00F42107">
      <w:pPr>
        <w:pStyle w:val="14Footnote"/>
      </w:pPr>
      <w:r w:rsidRPr="00AD2F44">
        <w:rPr>
          <w:vertAlign w:val="superscript"/>
        </w:rPr>
        <w:footnoteRef/>
      </w:r>
      <w:r w:rsidRPr="00AD2F44">
        <w:rPr>
          <w:i/>
          <w:iCs/>
        </w:rPr>
        <w:t>See, e.g</w:t>
      </w:r>
      <w:r w:rsidRPr="00AD2F44">
        <w:t>., Frank v. Gold’n Plump Poultry, Inc., 2007 WL 2780504, at *3 (D. Minn. Sept. 24, 2007) (rejecting defendant’s argument that decertification was warranted because the company did not have a standard policy regarding whether or not employees should be compensated for time spent donning and doffing protective clothing and holding “[t]he bottom line is that Gold’n Plump has, at a minimum, decided not to require that its employees be paid for donning and doffing. That no-policy has allegedly injured all members of the putative class and is properly challenged through a class action.”); Wren v. RGIS Inventory Specialists, 256 F.R.D. 180 (N.D. Cal. 2009) (holding that the absence of a policy to pay for donning and waiting time constituted a policy).</w:t>
      </w:r>
    </w:p>
  </w:footnote>
  <w:footnote w:id="496">
    <w:p w14:paraId="011F1C9E" w14:textId="77777777" w:rsidR="00721CCF" w:rsidRPr="00AD2F44" w:rsidRDefault="00F42107">
      <w:pPr>
        <w:pStyle w:val="14Footnote"/>
      </w:pPr>
      <w:r w:rsidRPr="00AD2F44">
        <w:rPr>
          <w:vertAlign w:val="superscript"/>
        </w:rPr>
        <w:footnoteRef/>
      </w:r>
      <w:r w:rsidRPr="00AD2F44">
        <w:rPr>
          <w:i/>
          <w:iCs/>
        </w:rPr>
        <w:t>See</w:t>
      </w:r>
      <w:r w:rsidRPr="00AD2F44">
        <w:t xml:space="preserve"> Hipp v. Liberty Nat’l Life Ins. Co., 252 F.3d 1208, 1219 (11th Cir. 2001). At least one district court in the Eleventh Circuit has held that the common policy standard is appropriate at the first stage of analysis, not the second stage. </w:t>
      </w:r>
      <w:r w:rsidRPr="00AD2F44">
        <w:rPr>
          <w:i/>
          <w:iCs/>
        </w:rPr>
        <w:t>See Pendlebury</w:t>
      </w:r>
      <w:r w:rsidRPr="00AD2F44">
        <w:t>, 518 F. Supp. 2d at 1348 n.3 (noting this factor is more appropriately examined under the first prong of the two-part test).</w:t>
      </w:r>
    </w:p>
  </w:footnote>
  <w:footnote w:id="497">
    <w:p w14:paraId="21998A2E" w14:textId="77777777" w:rsidR="00721CCF" w:rsidRPr="00AD2F44" w:rsidRDefault="00F42107">
      <w:pPr>
        <w:pStyle w:val="14Footnote"/>
      </w:pPr>
      <w:r w:rsidRPr="00AD2F44">
        <w:rPr>
          <w:vertAlign w:val="superscript"/>
        </w:rPr>
        <w:footnoteRef/>
      </w:r>
      <w:r w:rsidRPr="00AD2F44">
        <w:rPr>
          <w:i/>
          <w:iCs/>
        </w:rPr>
        <w:t>See, e.g</w:t>
      </w:r>
      <w:r w:rsidRPr="00AD2F44">
        <w:t>., Crawford v. Professional Transp., Inc., 2017 WL 1077660, at *6–7 (S.D. Ind. Mar. 22, 2017) (granting decertification where drivers were subject to exemption and pre-trip inspection policies that changed three times during class period, and evidence showed divergent information regarding knowledge of policies and practices employed by drivers with respect to pre-trip inspections); Brechler v. Qwest Commc’ns Int’l, Inc., 2009 WL 692329, at *3 (D. Ariz. Mar. 17, 2009) (reasoning that variations in whether discipline was issued and overtime was allowed, evidence that some employees could work no overtime and not be disciplined for failing to complete tasks, and evidence that overtime was carefully monitored at some facilities warranted decertification, in spite of defendant’s “troubling” lack of system for reporting overtime other than “incidental” overtime); Duncan v. Phoenix Supported Living, Inc., 2007 WL 1033360, at *2 (W.D.N.C. Mar. 30, 2007).</w:t>
      </w:r>
    </w:p>
  </w:footnote>
  <w:footnote w:id="498">
    <w:p w14:paraId="1A56C3B5" w14:textId="0D4766FC" w:rsidR="00721CCF" w:rsidRPr="00AD2F44" w:rsidRDefault="00F42107">
      <w:pPr>
        <w:pStyle w:val="14Footnote"/>
      </w:pPr>
      <w:r w:rsidRPr="00AD2F44">
        <w:rPr>
          <w:vertAlign w:val="superscript"/>
        </w:rPr>
        <w:footnoteRef/>
      </w:r>
      <w:r w:rsidRPr="00AD2F44">
        <w:rPr>
          <w:i/>
          <w:iCs/>
        </w:rPr>
        <w:t>See, e.g</w:t>
      </w:r>
      <w:r w:rsidRPr="00AD2F44">
        <w:t>., Arnold v. DirecTV, LLC, 2017 WL 1251033, at *7 (E.D. Mo. Mar. 31, 2017) (“Where a purported unlawful policy impacts Plaintiffs in different and individual ways, ‘there is not one single decision, policy, or plan but rather multiple policies that require decertification.’”) (citation omitted); Johnson v. TGF Precision Haircutters, Inc., 2005 WL 1994286, at *4 (S.D. Tex. Aug. 17, 2005).</w:t>
      </w:r>
    </w:p>
  </w:footnote>
  <w:footnote w:id="499">
    <w:p w14:paraId="0D9EB031" w14:textId="77777777" w:rsidR="00721CCF" w:rsidRPr="00AD2F44" w:rsidRDefault="00F42107">
      <w:pPr>
        <w:pStyle w:val="14Footnote"/>
      </w:pPr>
      <w:r w:rsidRPr="00AD2F44">
        <w:rPr>
          <w:vertAlign w:val="superscript"/>
        </w:rPr>
        <w:footnoteRef/>
      </w:r>
      <w:r w:rsidRPr="00AD2F44">
        <w:rPr>
          <w:i/>
          <w:iCs/>
        </w:rPr>
        <w:t>See, e.g</w:t>
      </w:r>
      <w:r w:rsidRPr="00AD2F44">
        <w:t>., Thiessen v. General Elec. Capital, 267 F.3d 1095, 1104 (10th Cir. 2001) (holding that decertification was an abuse of discretion, even though the policy at issue was expressly repudiated during the middle of the class period).</w:t>
      </w:r>
    </w:p>
  </w:footnote>
  <w:footnote w:id="500">
    <w:p w14:paraId="1BD9F0D4" w14:textId="77777777" w:rsidR="00721CCF" w:rsidRPr="00AD2F44" w:rsidRDefault="00F42107">
      <w:pPr>
        <w:pStyle w:val="14Footnote"/>
      </w:pPr>
      <w:r w:rsidRPr="00AD2F44">
        <w:rPr>
          <w:vertAlign w:val="superscript"/>
        </w:rPr>
        <w:footnoteRef/>
      </w:r>
      <w:r w:rsidRPr="00AD2F44">
        <w:rPr>
          <w:i/>
        </w:rPr>
        <w:t xml:space="preserve">See, e.g., </w:t>
      </w:r>
    </w:p>
    <w:p w14:paraId="336A327E" w14:textId="1EE465A3" w:rsidR="00721CCF" w:rsidRPr="00AD2F44" w:rsidRDefault="00F42107">
      <w:pPr>
        <w:pStyle w:val="14Footnote"/>
      </w:pPr>
      <w:r w:rsidRPr="00AD2F44">
        <w:rPr>
          <w:i/>
          <w:iCs/>
        </w:rPr>
        <w:t>First Circuit:</w:t>
      </w:r>
      <w:r w:rsidRPr="00AD2F44">
        <w:t xml:space="preserve"> Owens v. City of Malden, 568 F. Supp. 3d 77 (D. Mass. 2021) (analyzing disparate factual employment setting factor with individualized defenses factor and decertifying collective of police officers after five-day bench trial upon finding that individual considerations overwhelmed common questions). </w:t>
      </w:r>
    </w:p>
    <w:p w14:paraId="12F8A682" w14:textId="578C10B7" w:rsidR="00721CCF" w:rsidRPr="00AD2F44" w:rsidRDefault="00F42107">
      <w:pPr>
        <w:pStyle w:val="14Footnote"/>
      </w:pPr>
      <w:r w:rsidRPr="00AD2F44">
        <w:rPr>
          <w:i/>
          <w:iCs/>
        </w:rPr>
        <w:t>Second Circuit:</w:t>
      </w:r>
      <w:r w:rsidRPr="00AD2F44">
        <w:t xml:space="preserve"> Harper v. Government Emps. Ins. Co., 2015 WL 9673810, at *6 (E.D.N.Y. Nov. 16, 2015) (“Courts within this Circuit have held that if determination of ‘whether a plaintiff is subject to FLSA exemption will require individualized, rather than representative, proof,’ then ‘the individualized defenses prong of the analysis mirrors the disparate employment settings prong.’”) (citation omitted); Hernandez v. Fresh Diet, Inc., 2014 WL 5039431, at *6 (S.D.N.Y. Sept. 29, 2014) (“[T]he individualized defenses prong of the analysis mirrors the disparate employment settings prong.”); Stevens v. HMS Host Corp., 2014 WL 4261410, at *7 (E.D.N.Y. Aug. 24, 2014) (“Here, the individualized defenses prong of the analysis mirrors the disparate employment settings prong.”).</w:t>
      </w:r>
    </w:p>
    <w:p w14:paraId="68188EDF" w14:textId="09F1AEC7" w:rsidR="00721CCF" w:rsidRPr="00AD2F44" w:rsidRDefault="00F42107">
      <w:pPr>
        <w:pStyle w:val="14Footnote"/>
      </w:pPr>
      <w:r w:rsidRPr="00AD2F44">
        <w:rPr>
          <w:i/>
          <w:iCs/>
        </w:rPr>
        <w:t>Fifth Circuit:</w:t>
      </w:r>
      <w:r w:rsidRPr="00AD2F44">
        <w:t xml:space="preserve"> Kelly v. Healthcare Servs. Grp., Inc., 106 F. Supp. 3d 808, 813 (E.D. Tex. 2015) (noting that first and second certification factors “largely merge into one inquiry”); Lipnicki v. Meritage Homes Corp., 2014 WL 5620603, at *2 (S.D. Tex. Nov. 4, 2014) (same); Johnson v. Big Lots Stores, Inc., 561 F. Supp. 2d 567, 574 (E.D. La. 2008) (explaining “[t]he extent to which opt-in plaintiffs’ work experiences differ directly influences Big Lots’ capacity to prove its statutory exemption defense”).</w:t>
      </w:r>
    </w:p>
    <w:p w14:paraId="1194EB77" w14:textId="2848A49A" w:rsidR="00721CCF" w:rsidRPr="00AD2F44" w:rsidRDefault="00F42107">
      <w:pPr>
        <w:pStyle w:val="14Footnote"/>
      </w:pPr>
      <w:r w:rsidRPr="00AD2F44">
        <w:rPr>
          <w:i/>
          <w:iCs/>
        </w:rPr>
        <w:t>Eighth Circuit:</w:t>
      </w:r>
      <w:r w:rsidRPr="00AD2F44">
        <w:t xml:space="preserve"> Olukayode v. UnitedHealth Grp., 2021 BL 290601, 2021 WL 3293648 (D. Minn. Aug. 2, 2021) (decertifying collective upon determination of factual employment setting factor and individualized defenses factor, finding disparate work experiences among consultants and individualized defenses made collective litigation unmanageable). </w:t>
      </w:r>
    </w:p>
  </w:footnote>
  <w:footnote w:id="501">
    <w:p w14:paraId="112DE7B4" w14:textId="77777777" w:rsidR="00721CCF" w:rsidRPr="00AD2F44" w:rsidRDefault="00F42107">
      <w:pPr>
        <w:pStyle w:val="14Footnote"/>
      </w:pPr>
      <w:r w:rsidRPr="00AD2F44">
        <w:rPr>
          <w:vertAlign w:val="superscript"/>
        </w:rPr>
        <w:footnoteRef/>
      </w:r>
      <w:r w:rsidRPr="00AD2F44">
        <w:rPr>
          <w:i/>
          <w:iCs/>
        </w:rPr>
        <w:t>Moss</w:t>
      </w:r>
      <w:r w:rsidRPr="00AD2F44">
        <w:t xml:space="preserve">, 201 F.R.D. at 410; </w:t>
      </w:r>
      <w:r w:rsidRPr="00AD2F44">
        <w:rPr>
          <w:i/>
          <w:iCs/>
        </w:rPr>
        <w:t>accord</w:t>
      </w:r>
      <w:r w:rsidRPr="00AD2F44">
        <w:t xml:space="preserve"> Solsol v. Scrub, Inc., 2017 WL 2285822, at *3–4 (N.D. Ill. May 23, 2017) (finding that class of janitorial service workers who worked at O’Hare International Airport asserted affirmative defenses that relied on individualized testimony unique to each plaintiff that could not be generalized); Benedict v. Hewlett-Packard Co., 2016 WL 3742342, at *9–10 (N.D. Cal. July 13, 2016) (finding individualized defenses weighed in favor of decertification where defendants invoked four exemptions as defenses that required individualized inquiries); Crawford v. Lexington-Fayette Urban Cnty. Gov’t, 2008 WL 2885230, at *9 (E.D. Ky. July 22, 2008); Reyes v. Texas </w:t>
      </w:r>
      <w:r w:rsidRPr="00AD2F44">
        <w:t>EZPawn, L.P., 2007 WL 101808, at *5 (S.D. Tex. Jan. 8, 2007).</w:t>
      </w:r>
    </w:p>
  </w:footnote>
  <w:footnote w:id="502">
    <w:p w14:paraId="291EA8BA" w14:textId="77777777" w:rsidR="00721CCF" w:rsidRPr="00AD2F44" w:rsidRDefault="00F42107">
      <w:pPr>
        <w:pStyle w:val="14Footnote"/>
        <w:rPr>
          <w:i/>
          <w:iCs/>
        </w:rPr>
      </w:pPr>
      <w:r w:rsidRPr="00AD2F44">
        <w:rPr>
          <w:vertAlign w:val="superscript"/>
        </w:rPr>
        <w:footnoteRef/>
      </w:r>
      <w:r w:rsidRPr="00AD2F44">
        <w:t xml:space="preserve">Morgan v. Family Dollar Stores, Inc., 551 F.3d 1233, 1263 (11th Cir. 2008); </w:t>
      </w:r>
      <w:r w:rsidRPr="00AD2F44">
        <w:rPr>
          <w:i/>
          <w:iCs/>
        </w:rPr>
        <w:t>see also</w:t>
      </w:r>
    </w:p>
    <w:p w14:paraId="183BB43A" w14:textId="77777777" w:rsidR="00721CCF" w:rsidRPr="00AD2F44" w:rsidRDefault="00F42107">
      <w:pPr>
        <w:pStyle w:val="14Footnote"/>
      </w:pPr>
      <w:r w:rsidRPr="00AD2F44">
        <w:rPr>
          <w:i/>
          <w:iCs/>
        </w:rPr>
        <w:t>Second Circuit:</w:t>
      </w:r>
      <w:r w:rsidRPr="00AD2F44">
        <w:t xml:space="preserve"> Locurto v. AT&amp;T Mobility Servs. LLC, 2018 WL 4519201 (S.D.N.Y. Sept. 20, 2018) (rejecting defendant’s decertification motion based on arguments regarding application of the administrative exemption, evaluating the credibility of plaintiffs, and whether plaintiffs had failed to properly perform their jobs, where there was substantial evidence that plaintiffs and opt-in plaintiffs performed the same duties in largely the same manner, and exercised similar levels of discretion); Perez v. Metro Dairy Corp., 2015 WL 1535294, at *3 (E.D.N.Y. Apr. 6, 2015) (denying decertification motion and rejecting employer’s argument that named plaintiff was subject to exemption defenses not applicable to other opt-in plaintiffs in class; according to court, even though named plaintiff had some supervisor and sales roles, he was similarly situated to assistant milk truck drivers and milk truck drivers in class).</w:t>
      </w:r>
    </w:p>
    <w:p w14:paraId="457DC194" w14:textId="77777777" w:rsidR="00721CCF" w:rsidRPr="00AD2F44" w:rsidRDefault="00F42107">
      <w:pPr>
        <w:pStyle w:val="14Footnote"/>
      </w:pPr>
      <w:r w:rsidRPr="00AD2F44">
        <w:rPr>
          <w:i/>
          <w:iCs/>
        </w:rPr>
        <w:t>Fourth Circuit:</w:t>
      </w:r>
      <w:r w:rsidRPr="00AD2F44">
        <w:t xml:space="preserve"> Devine v. City of Hampton, 2015 WL 10765154, at *4 (E.D. Va. Oct. 13, 2015) (finding that defendant’s claimed individualized defenses challenged measure of damages, not liability); Randolph v. PowerComm Constr., Inc., 309 F.R.D. 349, 369 (D. Md. 2015) (“The individualized defenses factor assesses whether potential defenses pertain to the plaintiff class or whether the potential defenses require proof of individual facts at trial.”); Rehberg v. Flowers Baking Co. of Jamestown, LLC, 2015 WL 1346125, at *17 (W.D.N.C. Mar. 24, 2015) (“The presence of defenses that require individualized inquiries does not necessarily require decertification if common issues and facts predominate, and the court finds other factors indicate that Plaintiffs are similarly situated and proceeding as a collective action would be appropriate.”); LaFleur v. Dollar Tree Stores, 30 F. Supp. 2d 463, 473–75 (E.D. Va. Mar. 7, 2014) (finding that the individualized defense factor weighed in favor of certification where various defenses raised by the employer, including the de minimis defense, the no notice defense, the good faith defense, and the no willfulness defense, could be presented by the employer on a broad basis as to the class).</w:t>
      </w:r>
    </w:p>
    <w:p w14:paraId="04782090" w14:textId="3AD10C2B" w:rsidR="00721CCF" w:rsidRPr="00AD2F44" w:rsidRDefault="00F42107">
      <w:pPr>
        <w:pStyle w:val="14Footnote"/>
      </w:pPr>
      <w:r w:rsidRPr="00AD2F44">
        <w:rPr>
          <w:i/>
          <w:iCs/>
        </w:rPr>
        <w:t>Fifth Circuit:</w:t>
      </w:r>
      <w:r w:rsidRPr="00AD2F44">
        <w:t xml:space="preserve"> Segovia v. </w:t>
      </w:r>
      <w:r w:rsidRPr="00AD2F44">
        <w:t>Fuelco Energy LLC, 2021 BL 200228, 2021 WL 2187956, at *11 (W.D. Tex. May 28, 2021) (denying decertification motion post-</w:t>
      </w:r>
      <w:r w:rsidRPr="00AD2F44">
        <w:rPr>
          <w:i/>
          <w:iCs/>
        </w:rPr>
        <w:t>Swales</w:t>
      </w:r>
      <w:r w:rsidRPr="00AD2F44">
        <w:t>, finding defenses “mostly globally applicable” and any individualized defenses can be handled by court with case management tools); Senegal v. Fairfield Indus., Inc., 2018 WL 6079354 (S.D. Tex. Nov. 21, 2018) (refusing to decertify collective based on defendant’s arguments regarding individualized defenses that are not uniformly applicable to the entire class); Nguyen v. Versacom, LLC, 2016 WL 6650860, at *5–6 (N.D. Tex. Nov. 9, 2016) (finding that defendant failed to meet its burden of proving merits of defense that plaintiff’s work for competitor would give rise to valid defense to overtime claim, and further finding that defendant’s claim that 10 plaintiffs met highly compensated exemption could be handled as part of collective action and would not render collective action unmanageable); Maynor v. Dow Chem. Co., 671 F. Supp. 2d 902, 932–35 (S.D. Tex. 2009) (denying decertification where defendant contended it did not know, and could not know, what kind of training and how much training many plaintiffs used; court concluded that issue of knowledge of training was common issue and amount of time went to damages).</w:t>
      </w:r>
    </w:p>
    <w:p w14:paraId="0F85E6F8" w14:textId="672FF3F8" w:rsidR="00721CCF" w:rsidRPr="00AD2F44" w:rsidRDefault="00F42107">
      <w:pPr>
        <w:pStyle w:val="14Footnote"/>
      </w:pPr>
      <w:r w:rsidRPr="00AD2F44">
        <w:rPr>
          <w:i/>
          <w:iCs/>
        </w:rPr>
        <w:t>Sixth Circuit:</w:t>
      </w:r>
      <w:r w:rsidRPr="00AD2F44">
        <w:t xml:space="preserve"> Monroe v. FTS USA, LLC, 860 F.3d 389 (6th Cir. 2017) (affirming district court’s certification, holding that individualized defenses alone did not warrant decertification where sufficient common issues or job traits otherwise permit collective litigation; court found that plaintiffs presented credible testimony and documentary evidence showing they performed uncompensated work, which shifted burden to defendants to negate inferences drawn from evidence, and jury partially accepted defendants’ defenses in concluding that technicians worked less than what they claimed at trial); Martinez v. First Class Interiors of Naples, LLC, 2022 BL 160046, 2022 WL 1462965 (M.D. Tenn. May 6, 2022) (denying decertification motion, holding single defense of employer status applied to all plaintiffs, which supported finding that workers were similarly situated); Johnson v. Koch Foods, Inc., 657 F. Supp. 2d 951 (E.D. Tenn. 2009) (denying decertification because common practice of paying for “production line time” rather than actual time worked outweighed individualized defenses asserted by defendant).</w:t>
      </w:r>
    </w:p>
    <w:p w14:paraId="1EFA637B" w14:textId="77777777" w:rsidR="00721CCF" w:rsidRPr="00AD2F44" w:rsidRDefault="00F42107">
      <w:pPr>
        <w:pStyle w:val="14Footnote"/>
      </w:pPr>
      <w:r w:rsidRPr="00AD2F44">
        <w:rPr>
          <w:i/>
          <w:iCs/>
        </w:rPr>
        <w:t>Seventh Circuit:</w:t>
      </w:r>
      <w:r w:rsidRPr="00AD2F44">
        <w:t xml:space="preserve"> Allen v. City of Chi., 2014 WL 5461856, at *8 (N.D. Ill. Oct. 22, 2014) (finding that police officers could proceed collectively with off-the-clock work claims where officers used Blackberry devices but worked different assignments in different locations, on different teams, and under different supervisors; common question of whether city had unwritten policy of permitting off-the-clock work was predominant), </w:t>
      </w:r>
      <w:r w:rsidRPr="00AD2F44">
        <w:rPr>
          <w:i/>
          <w:iCs/>
        </w:rPr>
        <w:t>aff’d</w:t>
      </w:r>
      <w:r w:rsidRPr="00AD2F44">
        <w:t>, 865 F.3d 936 (7th Cir. 2017); Blakes v. Illinois Bell Tel. Co., 2013 WL 6662831, at *20 (N.D. Ill. Dec. 17, 2013) (finding that various defenses to cable splicers’ post-employment off-the-clock work claims, including employer knowledge and the de minimis defense, could be determined collectively where work was performed in the employer’s garages and appeared to be uniform).</w:t>
      </w:r>
    </w:p>
    <w:p w14:paraId="06C71FAF" w14:textId="77777777" w:rsidR="00721CCF" w:rsidRPr="00AD2F44" w:rsidRDefault="00F42107">
      <w:pPr>
        <w:pStyle w:val="14Footnote"/>
      </w:pPr>
      <w:r w:rsidRPr="00AD2F44">
        <w:rPr>
          <w:i/>
          <w:iCs/>
        </w:rPr>
        <w:t>Eighth Circuit:</w:t>
      </w:r>
      <w:r w:rsidRPr="00AD2F44">
        <w:t xml:space="preserve"> Harris v. Chipotle Mexican Grill, Inc.,</w:t>
      </w:r>
      <w:r w:rsidRPr="00AD2F44">
        <w:rPr>
          <w:b/>
          <w:bCs/>
        </w:rPr>
        <w:t xml:space="preserve"> </w:t>
      </w:r>
      <w:r w:rsidRPr="00AD2F44">
        <w:t>2017 WL 2537228 (D. Minn. June 12, 2017) (denying decertification motion, holding that plaintiffs’ ability to prove actual or constructive knowledge of work performed off the clock was common among class members and that amount of time plaintiffs spent on compensable and noncompensable activities, plaintiffs’ failure to use timekeeping system correctly, and credibility determinations did not warrant decertification); Swartz v. DJ Eng’g, Inc., 2015 WL 4139376, at *6–11 (D. Kan. July 9, 2015) (finding that “common issues about the alleged violations of the salary-basis requirement would predominate over issues relating to actual job duties performed”); Brackett v. St. Louis Bd. of Police Comm’rs, 2014 WL 1377460, at *3 (E.D. Mo. April 8, 2014) (denying decertification motion where plaintiffs’ exemption status was capable of collective disposition).</w:t>
      </w:r>
    </w:p>
    <w:p w14:paraId="20172051" w14:textId="77777777" w:rsidR="00721CCF" w:rsidRPr="00AD2F44" w:rsidRDefault="00F42107">
      <w:pPr>
        <w:pStyle w:val="14Footnote"/>
      </w:pPr>
      <w:r w:rsidRPr="00AD2F44">
        <w:rPr>
          <w:i/>
          <w:iCs/>
        </w:rPr>
        <w:t>Ninth Circuit:</w:t>
      </w:r>
      <w:r w:rsidRPr="00AD2F44">
        <w:t xml:space="preserve"> Lillehagen v. Alorica, Inc., 2014 WL 6989230, at *28 (C.D. Cal. Dec. 10, 2014) (“Even if a defense does not apply identically to every single plaintiff, the district court need not decertify if the defenses are generalizable to most of them or if the differences between the plaintiffs in relation to the defense are only minor differences.”); Khadera v. ABM Indus., Inc., 2011 WL 7064235, at *3–5 (W.D. Wash. Dec. 1, 2011) (denying decertification and rejecting argument that employer’s knowledge of off-the-clock work had to be litigated individually, reasoning that not every employee had to complain about such work, and that it would be sufficient if employer was generally aware of “types of practices” that were employed to deny overtime, an issue which could be addressed collectively).</w:t>
      </w:r>
    </w:p>
    <w:p w14:paraId="323F8F8E" w14:textId="77777777" w:rsidR="00721CCF" w:rsidRPr="00AD2F44" w:rsidRDefault="00F42107">
      <w:pPr>
        <w:pStyle w:val="14Footnote"/>
      </w:pPr>
      <w:r w:rsidRPr="00AD2F44">
        <w:rPr>
          <w:i/>
          <w:iCs/>
        </w:rPr>
        <w:t>Tenth Circuit:</w:t>
      </w:r>
      <w:r w:rsidRPr="00AD2F44">
        <w:t xml:space="preserve"> Thiessen v. General Elec. Capital Corp., 267 F.3d 1095, 1104–08 (10th Cir. 2001) (rejecting the argument that “individualized defenses” required decertification); Jancich v. Stonegate Mortg. Co., 2014 WL 1011480, at *3 (D. Kan. Mar. 17, 2014) (rejecting argument that exemption defenses were highly individualized and finding that application of the administrative exemption could be determined across the board).</w:t>
      </w:r>
    </w:p>
    <w:p w14:paraId="4B73030B" w14:textId="5E1CEAC6" w:rsidR="00721CCF" w:rsidRPr="00AD2F44" w:rsidRDefault="00F42107">
      <w:pPr>
        <w:pStyle w:val="14Footnote"/>
      </w:pPr>
      <w:r w:rsidRPr="00AD2F44">
        <w:rPr>
          <w:i/>
          <w:iCs/>
        </w:rPr>
        <w:t>Eleventh Circuit:</w:t>
      </w:r>
      <w:r w:rsidRPr="00AD2F44">
        <w:t xml:space="preserve"> Schumann v. Collier Anesthesia, P.A., 2017 WL 1361524, at *4 (M.D. Fla. Apr. 14, 2017) (finding that statute of limitations defense did not support decertification because it was “class-wide” defense that could be “readily and fairly managed” in collective action); Miller v. FleetCor Techs. Operating Co., LLC, 118 F. Supp. 3d 1351, 1359–60 (N.D. Ga. 2015) (holding that similarities in job responsibilities, pay structure, across-the-board encouragement to work overtime to meet sales quotas, lack of formal time-tracking system, and lack of paid overtime outweighed differences in statutes of limitations, credibility, and manager leniency); </w:t>
      </w:r>
      <w:r w:rsidRPr="00AD2F44">
        <w:rPr>
          <w:i/>
          <w:iCs/>
        </w:rPr>
        <w:t>In re</w:t>
      </w:r>
      <w:r w:rsidRPr="00AD2F44">
        <w:t xml:space="preserve"> Tyson Foods, Inc. FLSA Litig., 694 F. Supp. 2d 1372, 1379 (M.D. Ga. 2010) (denying decertification and reasoning that individualized defenses related to practice of paying for donning and doffing time were insufficient to warrant decertification in light of “general practice” not to pay for donning and doffing).</w:t>
      </w:r>
    </w:p>
  </w:footnote>
  <w:footnote w:id="503">
    <w:p w14:paraId="16488947" w14:textId="77777777" w:rsidR="00721CCF" w:rsidRPr="00AD2F44" w:rsidRDefault="00F42107">
      <w:pPr>
        <w:pStyle w:val="14Footnote"/>
      </w:pPr>
      <w:r w:rsidRPr="00AD2F44">
        <w:rPr>
          <w:vertAlign w:val="superscript"/>
        </w:rPr>
        <w:footnoteRef/>
      </w:r>
      <w:r w:rsidRPr="00AD2F44">
        <w:rPr>
          <w:i/>
        </w:rPr>
        <w:t xml:space="preserve">See, e.g., </w:t>
      </w:r>
    </w:p>
    <w:p w14:paraId="77C718D2" w14:textId="77777777" w:rsidR="00721CCF" w:rsidRPr="00AD2F44" w:rsidRDefault="00F42107">
      <w:pPr>
        <w:pStyle w:val="14Footnote"/>
      </w:pPr>
      <w:r w:rsidRPr="00AD2F44">
        <w:rPr>
          <w:i/>
          <w:iCs/>
        </w:rPr>
        <w:t>Second Circuit:</w:t>
      </w:r>
      <w:r w:rsidRPr="00AD2F44">
        <w:t xml:space="preserve"> </w:t>
      </w:r>
      <w:r w:rsidRPr="00AD2F44">
        <w:rPr>
          <w:i/>
          <w:iCs/>
        </w:rPr>
        <w:t>Stevens</w:t>
      </w:r>
      <w:r w:rsidRPr="00AD2F44">
        <w:t>, 2014 WL 4261410, at *7 (noting that judicial estoppel and statute of limitations defenses are not the kind of individualized defenses that require decertification); Johnson v. Wave Comm GR LLC, 4 F. Supp. 3d 453, 460 (N.D.N.Y. 2014) (holding that statute of limitations defenses did not support decertification as they could be easily applied to the class).</w:t>
      </w:r>
    </w:p>
    <w:p w14:paraId="2C101AB0" w14:textId="77777777" w:rsidR="00721CCF" w:rsidRPr="00AD2F44" w:rsidRDefault="00F42107">
      <w:pPr>
        <w:pStyle w:val="14Footnote"/>
      </w:pPr>
      <w:r w:rsidRPr="00AD2F44">
        <w:rPr>
          <w:i/>
          <w:iCs/>
        </w:rPr>
        <w:t>Third Circuit:</w:t>
      </w:r>
      <w:r w:rsidRPr="00AD2F44">
        <w:t xml:space="preserve"> </w:t>
      </w:r>
      <w:r w:rsidRPr="00AD2F44">
        <w:rPr>
          <w:i/>
          <w:iCs/>
        </w:rPr>
        <w:t>Moss</w:t>
      </w:r>
      <w:r w:rsidRPr="00AD2F44">
        <w:t>, 201 F.R.D. at 410–11 (noting the defendant’s intent to “examine each opt-in plaintiff’s background and personal knowledge of the FLSA in support of their statute of limitations defense,” but concluding the defense was intended to be raised against the entire class and would not render the opt-in class unmanageable).</w:t>
      </w:r>
    </w:p>
    <w:p w14:paraId="00DCA915" w14:textId="77777777" w:rsidR="00721CCF" w:rsidRPr="00AD2F44" w:rsidRDefault="00F42107">
      <w:pPr>
        <w:pStyle w:val="14Footnote"/>
      </w:pPr>
      <w:r w:rsidRPr="00AD2F44">
        <w:rPr>
          <w:i/>
          <w:iCs/>
        </w:rPr>
        <w:t>Fourth Circuit:</w:t>
      </w:r>
      <w:r w:rsidRPr="00AD2F44">
        <w:t xml:space="preserve"> </w:t>
      </w:r>
      <w:r w:rsidRPr="00AD2F44">
        <w:rPr>
          <w:i/>
          <w:iCs/>
        </w:rPr>
        <w:t>Rehberg</w:t>
      </w:r>
      <w:r w:rsidRPr="00AD2F44">
        <w:t>, 2015 WL 1346125, at *18 (finding that statute of limitations and judicial estoppel are defenses that involve legal issues for court to determine and would not render class unmanageable); Butler v. DirectSAT USA, 47 F. Supp. 3d 300, 313 (D. Md. 2014) (concluding that willfulness can be determined on collective basis).</w:t>
      </w:r>
    </w:p>
    <w:p w14:paraId="2C4F479F" w14:textId="77777777" w:rsidR="00721CCF" w:rsidRPr="00AD2F44" w:rsidRDefault="00F42107">
      <w:pPr>
        <w:pStyle w:val="14Footnote"/>
      </w:pPr>
      <w:r w:rsidRPr="00AD2F44">
        <w:rPr>
          <w:i/>
          <w:iCs/>
        </w:rPr>
        <w:t>Fifth Circuit:</w:t>
      </w:r>
      <w:r w:rsidRPr="00AD2F44">
        <w:t xml:space="preserve"> Clark v. Centene Co. of Tex. LP, 44 F. Supp. 3d 674, 691 (W.D. Tex. 2014) (denying decertification motion and finding that statute of limitations defenses did not support decertification because plaintiffs’ dates of employment were undisputed and, once determination regarding willfulness was made, application of limitations period was straightforward task); Escobedo v. Dynasty Insulation, Inc., 2009 WL 2382982, at *7–8 (W.D. Tex. July 31, 2009) (denying decertification based on defendant’s argument that opt-in plaintiffs had time-barred claims, reasoning that defendant’s defense was to whether its conduct was willful, and that applied to all plaintiffs, not just opt-ins, as did issue of whether equitable tolling and equitable estoppel applied; finally, even if defendant’s defenses to opt-in plaintiffs applied only to them, allegations by plaintiffs regarding defendants’ deliberate decision not to pay overtime applied across class, and defenses went only to issue of recovery).</w:t>
      </w:r>
    </w:p>
    <w:p w14:paraId="787B730E" w14:textId="77777777" w:rsidR="00721CCF" w:rsidRPr="00AD2F44" w:rsidRDefault="00F42107">
      <w:pPr>
        <w:pStyle w:val="14Footnote"/>
      </w:pPr>
      <w:r w:rsidRPr="00AD2F44">
        <w:rPr>
          <w:i/>
          <w:iCs/>
        </w:rPr>
        <w:t>Seventh Circuit:</w:t>
      </w:r>
      <w:r w:rsidRPr="00AD2F44">
        <w:t xml:space="preserve"> </w:t>
      </w:r>
      <w:r w:rsidRPr="00AD2F44">
        <w:rPr>
          <w:i/>
          <w:iCs/>
        </w:rPr>
        <w:t>Allen</w:t>
      </w:r>
      <w:r w:rsidRPr="00AD2F44">
        <w:t>, 2014 WL 5461856, at *8 (finding that “the statute of limitations defense is not a particularized inquiry where the common policy or practice is alleged to be an unwritten rule understood by everyone”).</w:t>
      </w:r>
    </w:p>
    <w:p w14:paraId="32F9D2B1" w14:textId="77777777" w:rsidR="00721CCF" w:rsidRPr="00AD2F44" w:rsidRDefault="00F42107">
      <w:pPr>
        <w:pStyle w:val="14Footnote"/>
      </w:pPr>
      <w:r w:rsidRPr="00AD2F44">
        <w:rPr>
          <w:i/>
          <w:iCs/>
        </w:rPr>
        <w:t>Ninth Circuit:</w:t>
      </w:r>
      <w:r w:rsidRPr="00AD2F44">
        <w:t xml:space="preserve"> </w:t>
      </w:r>
      <w:r w:rsidRPr="00AD2F44">
        <w:rPr>
          <w:i/>
          <w:iCs/>
        </w:rPr>
        <w:t>Micron Electronics</w:t>
      </w:r>
      <w:r w:rsidRPr="00AD2F44">
        <w:t>, 2005 WL 5336571, at *3 n.6 (holding defenses pertaining to statutes of limitations, equitable tolling, judicial estoppel, and lack of standing due to bankruptcy findings would not require individualized proof at trial).</w:t>
      </w:r>
    </w:p>
    <w:p w14:paraId="35149011" w14:textId="77777777" w:rsidR="00721CCF" w:rsidRPr="00AD2F44" w:rsidRDefault="00F42107">
      <w:pPr>
        <w:pStyle w:val="14Footnote"/>
      </w:pPr>
      <w:r w:rsidRPr="00AD2F44">
        <w:rPr>
          <w:i/>
          <w:iCs/>
        </w:rPr>
        <w:t>Eleventh Circuit:</w:t>
      </w:r>
      <w:r w:rsidRPr="00AD2F44">
        <w:t xml:space="preserve"> Geter v. Galardi S. Enters., Inc., 2015 WL 2384068, at *5 (S.D. Fla. May 19, 2015) (finding that statute of limitations defense that impacts amount of damages and not liability does not compel decertification).</w:t>
      </w:r>
    </w:p>
    <w:p w14:paraId="70E7A5C1" w14:textId="2B75B06E" w:rsidR="00721CCF" w:rsidRPr="00AD2F44" w:rsidRDefault="00F42107">
      <w:pPr>
        <w:pStyle w:val="14Footnote"/>
      </w:pPr>
      <w:r w:rsidRPr="00AD2F44">
        <w:rPr>
          <w:i/>
          <w:iCs/>
        </w:rPr>
        <w:t>But see</w:t>
      </w:r>
      <w:r w:rsidRPr="00AD2F44">
        <w:t xml:space="preserve"> </w:t>
      </w:r>
      <w:r w:rsidRPr="00AD2F44">
        <w:t>Illano v. H&amp;R Block E. Enters., Inc., 2010 WL 9553051, at *4 (S.D. Fla. Nov. 4, 2010) (granting decertification motion, in part, because individualized inquiries would need to be made to determine whether the defendant employer’s actions were willful).</w:t>
      </w:r>
    </w:p>
  </w:footnote>
  <w:footnote w:id="504">
    <w:p w14:paraId="01CEC531" w14:textId="77777777" w:rsidR="00721CCF" w:rsidRPr="00AD2F44" w:rsidRDefault="00F42107">
      <w:pPr>
        <w:pStyle w:val="14Footnote"/>
      </w:pPr>
      <w:r w:rsidRPr="00AD2F44">
        <w:rPr>
          <w:vertAlign w:val="superscript"/>
        </w:rPr>
        <w:footnoteRef/>
      </w:r>
      <w:r w:rsidRPr="00AD2F44">
        <w:rPr>
          <w:i/>
          <w:iCs/>
        </w:rPr>
        <w:t>See, e.g.,</w:t>
      </w:r>
    </w:p>
    <w:p w14:paraId="746FA7D0" w14:textId="77777777" w:rsidR="00721CCF" w:rsidRPr="00AD2F44" w:rsidRDefault="00F42107">
      <w:pPr>
        <w:pStyle w:val="14Footnote"/>
      </w:pPr>
      <w:r w:rsidRPr="00AD2F44">
        <w:rPr>
          <w:i/>
          <w:iCs/>
        </w:rPr>
        <w:t>Second Circuit:</w:t>
      </w:r>
      <w:r w:rsidRPr="00AD2F44">
        <w:t xml:space="preserve"> </w:t>
      </w:r>
      <w:r w:rsidRPr="00AD2F44">
        <w:rPr>
          <w:i/>
          <w:iCs/>
        </w:rPr>
        <w:t>Wave Comm</w:t>
      </w:r>
      <w:r w:rsidRPr="00AD2F44">
        <w:t>, 4 F. Supp. 3d at 460 (holding that individualized issues as to damages did not require decertification where common questions regarding liability predominate).</w:t>
      </w:r>
    </w:p>
    <w:p w14:paraId="7A85CD8C" w14:textId="77777777" w:rsidR="00721CCF" w:rsidRPr="00AD2F44" w:rsidRDefault="00F42107">
      <w:pPr>
        <w:pStyle w:val="14Footnote"/>
      </w:pPr>
      <w:r w:rsidRPr="00AD2F44">
        <w:rPr>
          <w:i/>
          <w:iCs/>
        </w:rPr>
        <w:t>Fourth Circuit:</w:t>
      </w:r>
      <w:r w:rsidRPr="00AD2F44">
        <w:t xml:space="preserve"> LaFleur v. Dollar Tree Stores, 30 F. Supp. 2d 463, 473–75 (E.D. Va. 2014) (finding individualized issues regarding damages, including dates, hours, and pay rate, do not preclude the parties from proceeding collectively on the issue of liability); Martinez-Hernandez v. Butterball, LLC, 2011 WL 4549606, at *4 (E.D.N.C. Sept. 29, 2011) (denying decertification in donning and doffing case, despite differences in amount of compensation received, because this variation went primarily to the issue of damages).</w:t>
      </w:r>
    </w:p>
    <w:p w14:paraId="7A2B75DB" w14:textId="77777777" w:rsidR="00721CCF" w:rsidRPr="00AD2F44" w:rsidRDefault="00F42107">
      <w:pPr>
        <w:pStyle w:val="14Footnote"/>
      </w:pPr>
      <w:r w:rsidRPr="00AD2F44">
        <w:rPr>
          <w:i/>
          <w:iCs/>
        </w:rPr>
        <w:t>Fifth Circuit:</w:t>
      </w:r>
      <w:r w:rsidRPr="00AD2F44">
        <w:t xml:space="preserve"> </w:t>
      </w:r>
      <w:r w:rsidRPr="00AD2F44">
        <w:rPr>
          <w:i/>
          <w:iCs/>
        </w:rPr>
        <w:t>Clark</w:t>
      </w:r>
      <w:r w:rsidRPr="00AD2F44">
        <w:t>, 44 F. Supp. 3d at 690 (denying decertification motion and finding that evidence of differing hours worked by plaintiffs is relevant only to damages, not liability).</w:t>
      </w:r>
    </w:p>
    <w:p w14:paraId="70555874" w14:textId="77777777" w:rsidR="00721CCF" w:rsidRPr="00AD2F44" w:rsidRDefault="00F42107">
      <w:pPr>
        <w:pStyle w:val="14Footnote"/>
      </w:pPr>
      <w:r w:rsidRPr="00AD2F44">
        <w:rPr>
          <w:i/>
          <w:iCs/>
        </w:rPr>
        <w:t>Seventh Circuit:</w:t>
      </w:r>
      <w:r w:rsidRPr="00AD2F44">
        <w:t xml:space="preserve"> </w:t>
      </w:r>
      <w:r w:rsidRPr="00AD2F44">
        <w:rPr>
          <w:i/>
          <w:iCs/>
        </w:rPr>
        <w:t>Allen</w:t>
      </w:r>
      <w:r w:rsidRPr="00AD2F44">
        <w:t>, 2014 WL 5461856, at *9 (stating that decertification was not necessary due to different overtime hours claimed by 52 plaintiffs in class because court could rely on emails, telephone records, and unreported time “reconstructed from memory” to determine damages or, if need be, appoint a special master to “resolve a difficult computation of damages”).</w:t>
      </w:r>
    </w:p>
    <w:p w14:paraId="152F4AC3" w14:textId="77777777" w:rsidR="00721CCF" w:rsidRPr="00AD2F44" w:rsidRDefault="00F42107">
      <w:pPr>
        <w:pStyle w:val="14Footnote"/>
      </w:pPr>
      <w:r w:rsidRPr="00AD2F44">
        <w:rPr>
          <w:i/>
          <w:iCs/>
        </w:rPr>
        <w:t>Eighth Circuit:</w:t>
      </w:r>
      <w:r w:rsidRPr="00AD2F44">
        <w:t xml:space="preserve"> Cruz v. TMI Hospitality, Inc., 2015 WL 6671334, at *17 (D. Minn. Oct. 30, 2015) (finding that individualized issues on number of hours worked did not overwhelm common issues presented in action); Nerland v. Caribou Coffee Co., 564 F. Supp. 2d 1010, 1025 (D. Minn. 2007).</w:t>
      </w:r>
    </w:p>
    <w:p w14:paraId="5253CE9D" w14:textId="77777777" w:rsidR="00721CCF" w:rsidRPr="00AD2F44" w:rsidRDefault="00F42107">
      <w:pPr>
        <w:pStyle w:val="14Footnote"/>
      </w:pPr>
      <w:r w:rsidRPr="00AD2F44">
        <w:rPr>
          <w:i/>
          <w:iCs/>
        </w:rPr>
        <w:t>Ninth Circuit:</w:t>
      </w:r>
      <w:r w:rsidRPr="00AD2F44">
        <w:t xml:space="preserve"> Campbell v. City of L.A., 903 F.3d 1090, 1117 (9th Cir. 2018) </w:t>
      </w:r>
      <w:r w:rsidRPr="00AD2F44">
        <w:br/>
      </w:r>
      <w:r w:rsidRPr="00AD2F44">
        <w:t>(“[i]ndividualized damages cannot defeat collective treatment under the more forgiving standard” for FLSA collective certification); Gilmer v. Alameda-Contra Costa Transit Dist., 2011 WL 5242977, at *5–8 (N.D. Cal. Nov. 2, 2011) (denying decertification based on claim that some drivers did not work 40 hours, because court had previously found employer’s pre- and post-shift travel time policy unlawful, and rejecting argument that variations in damages justified decertification, as differences related to damage valuation, which was not a sufficient basis for decertification; relying on Ninth Circuit authority in Rule 23(b)(3) class cases); Smith v. Micron Elec., Inc., 2005 WL 5336571, at *3 (D. Idaho Feb. 4, 2005).</w:t>
      </w:r>
    </w:p>
    <w:p w14:paraId="742A4A94" w14:textId="77777777" w:rsidR="00721CCF" w:rsidRPr="00AD2F44" w:rsidRDefault="00F42107">
      <w:pPr>
        <w:pStyle w:val="14Footnote"/>
      </w:pPr>
      <w:r w:rsidRPr="00AD2F44">
        <w:rPr>
          <w:i/>
          <w:iCs/>
        </w:rPr>
        <w:t>Tenth Circuit:</w:t>
      </w:r>
      <w:r w:rsidRPr="00AD2F44">
        <w:t xml:space="preserve"> Underwood v. NMC Mortg. Corp., 2009 WL 1322588, at *4 (D. Kan. May 11, 2009) (reasoning that individualized defenses primarily related to hours worked by each of 32 class members, and this kind of “straightforward inquiry” did not undermine collective treatment).</w:t>
      </w:r>
    </w:p>
    <w:p w14:paraId="157BFF09" w14:textId="77777777" w:rsidR="00721CCF" w:rsidRPr="00AD2F44" w:rsidRDefault="00F42107">
      <w:pPr>
        <w:pStyle w:val="14Footnote"/>
      </w:pPr>
      <w:r w:rsidRPr="00AD2F44">
        <w:rPr>
          <w:i/>
          <w:iCs/>
        </w:rPr>
        <w:t>Eleventh Circuit:</w:t>
      </w:r>
      <w:r w:rsidRPr="00AD2F44">
        <w:t xml:space="preserve"> Hill v. Muscogee Cnty. Sch. Dist., 2005 WL 3526669, at *4 (M.D. Ga. Dec. 20, 2005); Bradford v. Bed Bath &amp; Beyond, Inc., 184 F. Supp. 2d 1342, 1351 (N.D. Ga. 2002).</w:t>
      </w:r>
    </w:p>
    <w:p w14:paraId="50F3CC11" w14:textId="65BBAA94" w:rsidR="00721CCF" w:rsidRPr="00AD2F44" w:rsidRDefault="00F42107">
      <w:pPr>
        <w:pStyle w:val="14Footnote"/>
      </w:pPr>
      <w:r w:rsidRPr="00AD2F44">
        <w:rPr>
          <w:i/>
          <w:iCs/>
        </w:rPr>
        <w:t>But see</w:t>
      </w:r>
      <w:r w:rsidRPr="00AD2F44">
        <w:t xml:space="preserve"> Rindfleisch v. Gentiva Servs., Inc., 22 F. Supp. 3d 1295, 1303 (N.D. Ga. 2014) (representative testimony regarding damages was not appropriate where evidence showed that not every plaintiff worked overtime).</w:t>
      </w:r>
    </w:p>
  </w:footnote>
  <w:footnote w:id="505">
    <w:p w14:paraId="33E8932D" w14:textId="77777777" w:rsidR="00721CCF" w:rsidRPr="00AD2F44" w:rsidRDefault="00F42107">
      <w:pPr>
        <w:pStyle w:val="14Footnote"/>
      </w:pPr>
      <w:r w:rsidRPr="00AD2F44">
        <w:rPr>
          <w:vertAlign w:val="superscript"/>
        </w:rPr>
        <w:footnoteRef/>
      </w:r>
      <w:r w:rsidRPr="00AD2F44">
        <w:rPr>
          <w:i/>
          <w:iCs/>
        </w:rPr>
        <w:t>Second Circuit:</w:t>
      </w:r>
      <w:r w:rsidRPr="00AD2F44">
        <w:t xml:space="preserve"> Indergit v. Rite Aid Corp., 52 F. Supp. 3d 522, 524 (S.D.N.Y. 2014) (“[T]he issue of damages does not preclude collective action, and the case can be bifurcated into liability and damages phases if and when it becomes necessary.”).</w:t>
      </w:r>
    </w:p>
    <w:p w14:paraId="7C62E782" w14:textId="77777777" w:rsidR="00721CCF" w:rsidRPr="00AD2F44" w:rsidRDefault="00F42107">
      <w:pPr>
        <w:pStyle w:val="14Footnote"/>
      </w:pPr>
      <w:r w:rsidRPr="00AD2F44">
        <w:rPr>
          <w:i/>
          <w:iCs/>
        </w:rPr>
        <w:t>Fifth Circuit:</w:t>
      </w:r>
      <w:r w:rsidRPr="00AD2F44">
        <w:t xml:space="preserve"> Mahoney v. Farmers Ins. Exch.,</w:t>
      </w:r>
      <w:r w:rsidRPr="00AD2F44">
        <w:rPr>
          <w:b/>
          <w:bCs/>
        </w:rPr>
        <w:t xml:space="preserve"> </w:t>
      </w:r>
      <w:r w:rsidRPr="00AD2F44">
        <w:t>2011 WL 4458513, at *10 (S.D. Tex. Sept. 23, 2011) (defendant’s concern over off-the-clock hours worked by 18 plaintiffs could be addressed through bifurcation, as liability stage would focus on classwide question of whether defendant knew or should have known of off-the-clock work, and damages phase would focus on number of overtime hours, overtime compensation, and extent to which off-the-clock work could be attributed to reasons other than company policies).</w:t>
      </w:r>
    </w:p>
    <w:p w14:paraId="79584EF9" w14:textId="77777777" w:rsidR="00721CCF" w:rsidRPr="00AD2F44" w:rsidRDefault="00F42107">
      <w:pPr>
        <w:pStyle w:val="14Footnote"/>
      </w:pPr>
      <w:r w:rsidRPr="00AD2F44">
        <w:rPr>
          <w:i/>
          <w:iCs/>
        </w:rPr>
        <w:t>Eighth Circuit:</w:t>
      </w:r>
      <w:r w:rsidRPr="00AD2F44">
        <w:t xml:space="preserve"> Rikard v. U.S. Auto Prot., LLC, 2013 WL 5532688, at *3 (E.D. Mo. Oct. 4, 2013) (denying decertification motion, finding that the court will consider bifurcation into liability and damages phases, using the damages phase to debate the impact of any unlawful policy on plaintiffs); </w:t>
      </w:r>
      <w:r w:rsidRPr="00AD2F44">
        <w:rPr>
          <w:i/>
          <w:iCs/>
        </w:rPr>
        <w:t>Nerland</w:t>
      </w:r>
      <w:r w:rsidRPr="00AD2F44">
        <w:t>, 564 F. Supp. 2d at 1025.</w:t>
      </w:r>
    </w:p>
    <w:p w14:paraId="4BDAA443" w14:textId="7EDC552F" w:rsidR="00721CCF" w:rsidRPr="00AD2F44" w:rsidRDefault="00F42107">
      <w:pPr>
        <w:pStyle w:val="14Footnote"/>
      </w:pPr>
      <w:r w:rsidRPr="00AD2F44">
        <w:rPr>
          <w:i/>
          <w:iCs/>
        </w:rPr>
        <w:t>Eleventh Circuit:</w:t>
      </w:r>
      <w:r w:rsidRPr="00AD2F44">
        <w:t xml:space="preserve"> Bobbit v. Broadband Interactive, Inc., 2013 WL 5720329, at *17 (M.D. Fla. Oct. 17, 2013) (agreeing that the number of overtime hours and extent of damages need to be determined on an individualized basis but can be handled in a separate damages phase).</w:t>
      </w:r>
    </w:p>
  </w:footnote>
  <w:footnote w:id="506">
    <w:p w14:paraId="1DDC7748" w14:textId="77777777" w:rsidR="00721CCF" w:rsidRPr="00AD2F44" w:rsidRDefault="00F42107">
      <w:pPr>
        <w:pStyle w:val="14Footnote"/>
      </w:pPr>
      <w:r w:rsidRPr="00AD2F44">
        <w:rPr>
          <w:vertAlign w:val="superscript"/>
        </w:rPr>
        <w:footnoteRef/>
      </w:r>
      <w:r w:rsidRPr="00AD2F44">
        <w:t>Prise v. Alderwoods Grp., Inc., 817 F. Supp. 2d 651 (W.D. Pa. 2011) (rejecting proposal for bifurcation as method to avoid decertification; various defenses asserted were too individualized and the case would devolve into hundreds of mini-trials). See also §V.B [Case Management Issues; Bifurcation of Liability and Damages] of this chapter.</w:t>
      </w:r>
    </w:p>
  </w:footnote>
  <w:footnote w:id="507">
    <w:p w14:paraId="2DD8CFF0" w14:textId="77777777" w:rsidR="00721CCF" w:rsidRPr="00AD2F44" w:rsidRDefault="00F42107">
      <w:pPr>
        <w:pStyle w:val="14Footnote"/>
      </w:pPr>
      <w:r w:rsidRPr="00AD2F44">
        <w:rPr>
          <w:vertAlign w:val="superscript"/>
        </w:rPr>
        <w:footnoteRef/>
      </w:r>
      <w:r w:rsidRPr="00AD2F44">
        <w:t>Drake v. Steak N Shake Operations, Inc., 286 F. Supp. 3d 1040, 1045 (E.D. Mo. 2017) (denying decertification motion, recognizing that defendant’s unclean hands defense based on plaintiffs signing “Certification of Job Duties” form was common to collective);</w:t>
      </w:r>
      <w:r w:rsidRPr="00AD2F44">
        <w:rPr>
          <w:i/>
          <w:iCs/>
        </w:rPr>
        <w:t xml:space="preserve"> Allen</w:t>
      </w:r>
      <w:r w:rsidRPr="00AD2F44">
        <w:t xml:space="preserve">, 2014 WL 5461856, at *7 (finding that liquidated damages defense would apply similarly to each opt-in plaintiff); Frank v. Gold’n Plump Poultry, Inc., 2007 WL 2780504, at *4 (D. Minn. Sept. 24, 2007) (concluding the employer’s arguments regarding whether donning and doffing constituted compensable work, whether the amount of time spent could be considered de minimis, and whether the employer acted in good faith could be litigated on a classwide basis); </w:t>
      </w:r>
      <w:r w:rsidRPr="00AD2F44">
        <w:rPr>
          <w:i/>
          <w:iCs/>
        </w:rPr>
        <w:t>see also</w:t>
      </w:r>
      <w:r w:rsidRPr="00AD2F44">
        <w:t xml:space="preserve"> Wilks v. Pep Boys, 2006 WL 2821700, at *7 (M.D. Tenn. Sept. 26, 2006) (denying decertification motion where the defenses, including evidence of lawful employment policies and practices, can be raised collectively).</w:t>
      </w:r>
    </w:p>
  </w:footnote>
  <w:footnote w:id="508">
    <w:p w14:paraId="71ADE84D" w14:textId="77777777" w:rsidR="00721CCF" w:rsidRPr="00AD2F44" w:rsidRDefault="00F42107">
      <w:pPr>
        <w:pStyle w:val="14Footnote"/>
      </w:pPr>
      <w:r w:rsidRPr="00AD2F44">
        <w:rPr>
          <w:vertAlign w:val="superscript"/>
        </w:rPr>
        <w:footnoteRef/>
      </w:r>
      <w:r w:rsidRPr="00AD2F44">
        <w:t xml:space="preserve">Geter v. Galardi S. Enters., Inc., 2015 WL 2384068, at *5 (S.D. Fla. May 19, 2015) (holding that decertification was not necessary where it appeared set-off defense could be applied across the board); Smith v. Family Video Movie Club, Inc., 2015 WL 1542649, at *8 (N.D. Ill. Mar. 31, 2015) (finding that setoff claimed for 30-minute paid meal breaks could be efficiently managed when computing damages). </w:t>
      </w:r>
    </w:p>
  </w:footnote>
  <w:footnote w:id="509">
    <w:p w14:paraId="37B5C211" w14:textId="77777777" w:rsidR="00721CCF" w:rsidRPr="00AD2F44" w:rsidRDefault="00F42107">
      <w:pPr>
        <w:pStyle w:val="14Footnote"/>
      </w:pPr>
      <w:r w:rsidRPr="00AD2F44">
        <w:rPr>
          <w:vertAlign w:val="superscript"/>
        </w:rPr>
        <w:footnoteRef/>
      </w:r>
      <w:r w:rsidRPr="00AD2F44">
        <w:rPr>
          <w:i/>
          <w:iCs/>
        </w:rPr>
        <w:t>See, e.g</w:t>
      </w:r>
      <w:r w:rsidRPr="00AD2F44">
        <w:t xml:space="preserve">., Morgan v. Family Dollar Stores, Inc., 551 F.3d 1233, 1264 (11th Cir. 2008); </w:t>
      </w:r>
      <w:r w:rsidRPr="00AD2F44">
        <w:t>Khadera v. ABM Indus., Inc., 2011 WL 7064235, at *6 (W.D. Wash. Dec. 1, 2011) (reasoning that sample testimony and representative evidence on damages could be used to litigate claims collectively).</w:t>
      </w:r>
    </w:p>
  </w:footnote>
  <w:footnote w:id="510">
    <w:p w14:paraId="52E2D5D3" w14:textId="77777777" w:rsidR="00721CCF" w:rsidRPr="00AD2F44" w:rsidRDefault="00F42107">
      <w:pPr>
        <w:pStyle w:val="14Footnote"/>
      </w:pPr>
      <w:r w:rsidRPr="00AD2F44">
        <w:rPr>
          <w:vertAlign w:val="superscript"/>
        </w:rPr>
        <w:footnoteRef/>
      </w:r>
      <w:r w:rsidRPr="00AD2F44">
        <w:rPr>
          <w:i/>
        </w:rPr>
        <w:t>Compare</w:t>
      </w:r>
    </w:p>
    <w:p w14:paraId="6331DCB6" w14:textId="00CC9A9D" w:rsidR="00721CCF" w:rsidRPr="00AD2F44" w:rsidRDefault="00F42107">
      <w:pPr>
        <w:pStyle w:val="14Footnote"/>
      </w:pPr>
      <w:r w:rsidRPr="00AD2F44">
        <w:rPr>
          <w:i/>
          <w:iCs/>
        </w:rPr>
        <w:t>Second Circuit:</w:t>
      </w:r>
      <w:r w:rsidRPr="00AD2F44">
        <w:t xml:space="preserve"> Vecchio v. Quest Diagnostics Inc., 2020 BL 358141, 2020 WL 5604080 (S.D.N.Y. Sept. 18, 2020) (granting decertification motion, finding lack of common evidence for hours worked and defendant’s knowledge of hours worked); Harper v. Government Emps. Ins. Co., 2015 WL 9673810, at *4 (E.D.N.Y. Nov. 16, 2015); DeSilva v. North Shore-Long Island Jewish Health Sys., Inc., 27 F. Supp. 3d 313, 325–26 (E.D.N.Y. 2014) (decertifying action where plaintiffs’ burden to show that employer had actual or constructive knowledge of claimed off-the-clock work required individual determinations); </w:t>
      </w:r>
      <w:r w:rsidRPr="00AD2F44">
        <w:t>Zivali v. AT&amp;T Mobility, LLC, 784 F. Supp. 2d 456, 467–68 (S.D.N.Y. 2011) (granting decertification in off-the-clock case where there was no company policy or practice of encouraging off-the-clock work and, thus, plaintiffs would have to prove prima facie case of such work individually and defendant could challenge some claims as de minimis);</w:t>
      </w:r>
    </w:p>
    <w:p w14:paraId="0AED22E3" w14:textId="77777777" w:rsidR="00721CCF" w:rsidRPr="00AD2F44" w:rsidRDefault="00F42107">
      <w:pPr>
        <w:pStyle w:val="14Footnote"/>
      </w:pPr>
      <w:r w:rsidRPr="00AD2F44">
        <w:rPr>
          <w:i/>
          <w:iCs/>
        </w:rPr>
        <w:t>Third Circuit:</w:t>
      </w:r>
      <w:r w:rsidRPr="00AD2F44">
        <w:t xml:space="preserve"> Bell v. Reading Hosp. &amp; Med. Ctr., 2016 WL 3902938, at *12 (E.D. Pa. July 19, 2016) (“When plaintiffs allege that FLSA violations result from the </w:t>
      </w:r>
      <w:r w:rsidRPr="00AD2F44">
        <w:rPr>
          <w:i/>
          <w:iCs/>
        </w:rPr>
        <w:t>enforcement</w:t>
      </w:r>
      <w:r w:rsidRPr="00AD2F44">
        <w:t xml:space="preserve"> decisions of individual supervisors … collective treatment is not appropriate.”); Prise v. Alderwoods Grp., Inc., 817 F. Supp. 2d 651, 681 (W.D. Pa. 2011) (granting decertification of nationwide collective action where evidence demonstrated that evaluation of claims would devolve into individualized inquiries);</w:t>
      </w:r>
    </w:p>
    <w:p w14:paraId="4660201A" w14:textId="77777777" w:rsidR="00721CCF" w:rsidRPr="00AD2F44" w:rsidRDefault="00F42107">
      <w:pPr>
        <w:pStyle w:val="14Footnote"/>
      </w:pPr>
      <w:r w:rsidRPr="00AD2F44">
        <w:rPr>
          <w:i/>
          <w:iCs/>
        </w:rPr>
        <w:t>Fifth Circuit:</w:t>
      </w:r>
      <w:r w:rsidRPr="00AD2F44">
        <w:t xml:space="preserve"> Reyes v. Texas EZPawn, L.P., 2007 WL 101808, at *5 (S.D. Tex. Jan. 8, 2007) (explaining defendants in an exemption case intended to use employment records, performance reviews, and internal complaint procedure records to support each plaintiff’s classification as an exempt employee); England v. New Century Fin. Corp., 370 F. Supp. 2d 504, 511 (M.D. La. 2005) (finding individualized inquiries would predominate because of different locations, managers, and factual situations, as evidenced in part by plaintiffs’ counsel’s estimate of need for 200–400 depositions); Basco v. Wal-Mart Stores, Inc., 2004 WL 1497709, at *8 (E.D. La. July 2, 2004) (applying criteria from first- and second-stage analysis after significant discovery had been conducted to deny certification of off-the-clock collective action where defendant was entitled to contest whether any uncompensated work occurred, whether uncompensated work was compensable, whether managers were aware of uncompensated work, whether plaintiffs properly availed themselves of company’s timekeeping system, whether preliminary and postliminary activities were compensable, whether uncompensated work was de minimis, whether individual claims were barred on statute of limitations grounds, and whether each individual manager acted in good faith);</w:t>
      </w:r>
    </w:p>
    <w:p w14:paraId="70BC63C7" w14:textId="77777777" w:rsidR="00721CCF" w:rsidRPr="00AD2F44" w:rsidRDefault="00F42107">
      <w:pPr>
        <w:pStyle w:val="14Footnote"/>
      </w:pPr>
      <w:r w:rsidRPr="00AD2F44">
        <w:rPr>
          <w:i/>
          <w:iCs/>
        </w:rPr>
        <w:t>Eighth Circuit:</w:t>
      </w:r>
      <w:r w:rsidRPr="00AD2F44">
        <w:t xml:space="preserve"> Arnold v. DirecTV, LLC, 2017 WL 1251033, at *8 (E.D. Mo. Mar. 31, 2017) (decertifying collective action including 800 current and former DirecTV technicians, in part, due to individualized defenses: “The Court has already ruled on DirecTV’s motions for summary judgment, finding that the applicability of the 7(i) exemption and the Employee Commuting Flexibility Act, as well as the statute of limitations issue (and willfulness), are not common questions that can be determined as a matter of law based on representative testimony. Defenses raised as to individual Plaintiffs, i.e., unclean hands, judicial estoppel, and the failure of certain Plaintiffs to fit within the class definition, further highlight the distinctions between the Plaintiffs’ claims and, therefore, favor decertification.”); King v. West Corp., 2006 WL 118577, at *15 (D. Neb. Jan. 13, 2006) (decertifying a class in part because defendant intended to offer individualized defenses regarding whether uncompensated work occurred, whether time spent performing such work was de minimis, and whether plaintiffs had scheduling flexibility, and noting “[d]isparate individual defenses heighten the individuality of the claims, and requiring the defendant to raise these arguments in a class action suit undermines its ability to mount a clear and coherent defense to the case and significantly complicates trial management”);</w:t>
      </w:r>
    </w:p>
    <w:p w14:paraId="064CBD70" w14:textId="77777777" w:rsidR="00721CCF" w:rsidRPr="00AD2F44" w:rsidRDefault="00F42107">
      <w:pPr>
        <w:pStyle w:val="14Footnote"/>
      </w:pPr>
      <w:r w:rsidRPr="00AD2F44">
        <w:rPr>
          <w:i/>
          <w:iCs/>
        </w:rPr>
        <w:t>Ninth Circuit:</w:t>
      </w:r>
      <w:r w:rsidRPr="00AD2F44">
        <w:t xml:space="preserve"> Espinosa v. County of Fresno, 290 F.R.D. 494, 506 (E.D. Cal. 2013) (“Courts have found that the </w:t>
      </w:r>
      <w:r w:rsidRPr="00AD2F44">
        <w:rPr>
          <w:i/>
          <w:iCs/>
        </w:rPr>
        <w:t>de minimis</w:t>
      </w:r>
      <w:r w:rsidRPr="00AD2F44">
        <w:t xml:space="preserve"> issue can support a finding of decertification”); Beauperthuy v. 24 Hour Fitness USA, Inc., 772 F. Supp. 2d 1111, 1125–26 (N.D. Cal. 2011) (granting decertification in case testing §207(i) exemption, because weekly analysis required by statute, coupled with variations in wages and commissions based on experience, certification level, and time period worked all led to conclusion that inquiry would be highly individualized and not capable of resolution by common proof); </w:t>
      </w:r>
      <w:r w:rsidRPr="00AD2F44">
        <w:rPr>
          <w:i/>
          <w:iCs/>
        </w:rPr>
        <w:t>and</w:t>
      </w:r>
    </w:p>
    <w:p w14:paraId="490C13C8" w14:textId="18E6B682" w:rsidR="00721CCF" w:rsidRPr="00AD2F44" w:rsidRDefault="00F42107">
      <w:pPr>
        <w:pStyle w:val="14Footnote"/>
      </w:pPr>
      <w:r w:rsidRPr="00AD2F44">
        <w:rPr>
          <w:i/>
          <w:iCs/>
        </w:rPr>
        <w:t>Eleventh Circuit:</w:t>
      </w:r>
      <w:r w:rsidRPr="00AD2F44">
        <w:t xml:space="preserve"> Blandon v. Waste Pro USA, Inc., 2021 WL 7447594 (M.D. Fla. Dec. 21, 2021) (holding individualized defenses favored decertification based on applicability of Motor Carrier Exemption and whether alleged overtime work was de minimis); Williams v. Accredited Home Lenders, Inc., 2006 WL 2085312, at *5 (N.D. Ga. July 25, 2006) (decertifying the class where plaintiffs intended to use computer activity reports, emails, and phone records to prove hundreds of small overtime claims and the cost of litigating such issues “is mind boggling” and “[t]he waste of scarce judicial resources of conducting such a trial would be unconscionable”); Epps v. Oak St. Mortg. LLC, 2006 WL 1460273, at *8 (M.D. Fla. May 22, 2006) (granting decertification to nonexempt subclass where defendant intended to contest when each plaintiff worked off the clock, if each plaintiff even worked 40 hours in a given week, whether each manager knew about the off-the-clock work, whether the plaintiffs failed to take advantage of the company’s time system, whether any off-the-clock work was de minimis, and whether each manager acted in good faith);</w:t>
      </w:r>
    </w:p>
    <w:p w14:paraId="6F5FABEE" w14:textId="77777777" w:rsidR="00721CCF" w:rsidRPr="00AD2F44" w:rsidRDefault="00F42107">
      <w:pPr>
        <w:pStyle w:val="14Footnote"/>
        <w:rPr>
          <w:i/>
          <w:iCs/>
        </w:rPr>
      </w:pPr>
      <w:r w:rsidRPr="00AD2F44">
        <w:rPr>
          <w:i/>
          <w:iCs/>
        </w:rPr>
        <w:t>with</w:t>
      </w:r>
    </w:p>
    <w:p w14:paraId="4453C637" w14:textId="77777777" w:rsidR="00721CCF" w:rsidRPr="00AD2F44" w:rsidRDefault="00F42107">
      <w:pPr>
        <w:pStyle w:val="14Footnote"/>
      </w:pPr>
      <w:r w:rsidRPr="00AD2F44">
        <w:rPr>
          <w:i/>
          <w:iCs/>
        </w:rPr>
        <w:t>Fifth Circuit:</w:t>
      </w:r>
      <w:r w:rsidRPr="00AD2F44">
        <w:t xml:space="preserve"> Falcon v. Starbucks, 580 F. Supp. 2d 528, 540 (S.D. Tex. 2008) (rejecting defendant’s argument that decertification was necessary because court would be required to conduct “mini-trials” into whether off-the-clock activities were compensable, whether defendant had actual or constructive knowledge of off-the-clock work, and whether off-the-clock work was de minimis);</w:t>
      </w:r>
    </w:p>
    <w:p w14:paraId="5CE81674" w14:textId="77777777" w:rsidR="00721CCF" w:rsidRPr="00AD2F44" w:rsidRDefault="00F42107">
      <w:pPr>
        <w:pStyle w:val="14Footnote"/>
      </w:pPr>
      <w:r w:rsidRPr="00AD2F44">
        <w:rPr>
          <w:i/>
          <w:iCs/>
        </w:rPr>
        <w:t>Eighth Circuit:</w:t>
      </w:r>
      <w:r w:rsidRPr="00AD2F44">
        <w:t xml:space="preserve"> Ahle v. Veracity Rsch. Co., 738 F. Supp. 2d 896, 923 (D. Minn. 2010) (denying decertification where court had determined that various asserted exemptions did not apply, so applicability of exemptions would not need to be evaluated individually, and criticizing argument that applicability of exemptions needs to be evaluated individually, because it would undermine FLSA collective action device (citing cases));</w:t>
      </w:r>
    </w:p>
    <w:p w14:paraId="4EB23E40" w14:textId="77777777" w:rsidR="00721CCF" w:rsidRPr="00AD2F44" w:rsidRDefault="00F42107">
      <w:pPr>
        <w:pStyle w:val="14Footnote"/>
      </w:pPr>
      <w:r w:rsidRPr="00AD2F44">
        <w:rPr>
          <w:i/>
          <w:iCs/>
        </w:rPr>
        <w:t>Ninth Circuit:</w:t>
      </w:r>
      <w:r w:rsidRPr="00AD2F44">
        <w:t xml:space="preserve"> Lillehagen v. Alorica, Inc., 2014 WL 6989230, at *29 (C.D. Cal. Dec. 10, 2014) (denying decertification motion and finding that issue of whether employer had actual or constructive knowledge of unpaid log-out episodes and breaks did not require individualized analysis); </w:t>
      </w:r>
      <w:r w:rsidRPr="00AD2F44">
        <w:rPr>
          <w:i/>
          <w:iCs/>
        </w:rPr>
        <w:t>and</w:t>
      </w:r>
    </w:p>
    <w:p w14:paraId="270AFC7C" w14:textId="18826DC8" w:rsidR="00721CCF" w:rsidRPr="00AD2F44" w:rsidRDefault="00F42107">
      <w:pPr>
        <w:pStyle w:val="14Footnote"/>
      </w:pPr>
      <w:r w:rsidRPr="00AD2F44">
        <w:rPr>
          <w:i/>
          <w:iCs/>
        </w:rPr>
        <w:t>Eleventh Circuit:</w:t>
      </w:r>
      <w:r w:rsidRPr="00AD2F44">
        <w:t xml:space="preserve"> Bradford v. Bed Bath &amp; Beyond, 184 F. Supp. 2d 1342 (N.D. Ga. 2002) (rejecting decertification in managerial exemption case where job duties of plaintiffs across stores were “substantially similar” such that individualized defenses did not present difficulty for proceeding collectively).</w:t>
      </w:r>
    </w:p>
  </w:footnote>
  <w:footnote w:id="511">
    <w:p w14:paraId="6B84F5B7" w14:textId="77777777" w:rsidR="00721CCF" w:rsidRPr="00AD2F44" w:rsidRDefault="00F42107">
      <w:pPr>
        <w:pStyle w:val="14Footnote"/>
      </w:pPr>
      <w:r w:rsidRPr="00AD2F44">
        <w:rPr>
          <w:vertAlign w:val="superscript"/>
        </w:rPr>
        <w:footnoteRef/>
      </w:r>
      <w:r w:rsidRPr="00AD2F44">
        <w:rPr>
          <w:i/>
          <w:iCs/>
        </w:rPr>
        <w:t>See, e.g.,</w:t>
      </w:r>
    </w:p>
    <w:p w14:paraId="66D3510F" w14:textId="6BCA69E9" w:rsidR="00721CCF" w:rsidRPr="00AD2F44" w:rsidRDefault="00F42107">
      <w:pPr>
        <w:pStyle w:val="14Footnote"/>
      </w:pPr>
      <w:r w:rsidRPr="00AD2F44">
        <w:rPr>
          <w:i/>
          <w:iCs/>
        </w:rPr>
        <w:t>First Circuit:</w:t>
      </w:r>
      <w:r w:rsidRPr="00AD2F44">
        <w:t xml:space="preserve"> Noll v. Flowers Foods, Inc., 478 F. Supp. 3d. 59 (D. Me. 2020) (granting decertification upon finding disparate evidence on application of “small” or “personal” vehicle exception to Motor Carrier Act’s exemption defense). </w:t>
      </w:r>
    </w:p>
    <w:p w14:paraId="53D995B9" w14:textId="77777777" w:rsidR="00721CCF" w:rsidRPr="00AD2F44" w:rsidRDefault="00F42107">
      <w:pPr>
        <w:pStyle w:val="14Footnote"/>
      </w:pPr>
      <w:r w:rsidRPr="00AD2F44">
        <w:rPr>
          <w:i/>
          <w:iCs/>
        </w:rPr>
        <w:t>Second Circuit: DeSilva</w:t>
      </w:r>
      <w:r w:rsidRPr="00AD2F44">
        <w:t xml:space="preserve">, 27 F. Supp. 3d at 326 (granting decertification motion where defendants intended to argue that some members of putative class were exempt employees). </w:t>
      </w:r>
    </w:p>
    <w:p w14:paraId="5D51BBE9" w14:textId="18B992E9" w:rsidR="00721CCF" w:rsidRPr="00AD2F44" w:rsidRDefault="00F42107">
      <w:pPr>
        <w:pStyle w:val="14Footnote"/>
      </w:pPr>
      <w:r w:rsidRPr="00AD2F44">
        <w:rPr>
          <w:i/>
          <w:iCs/>
        </w:rPr>
        <w:t xml:space="preserve">Fifth Circuit: </w:t>
      </w:r>
      <w:r w:rsidRPr="00AD2F44">
        <w:t xml:space="preserve">Sanders v. Latshaw Drilling Co., LLC, 2019 WL 1209769 (N.D. Tex. Mar.14, 2019) (finding that individual defenses were present regarding whether workers were misclassified as exempt (as plaintiffs worked in different job titles, worked in different divisions, performed different tasks, and exercised different levels of discretion), such that certification was inapplicable); </w:t>
      </w:r>
      <w:r w:rsidRPr="00AD2F44">
        <w:t>Vanzzini v. Action Meat Distribs., Inc., 995 F. Supp. 2d 703, 720–21 (S.D. Tex. 2014) (decertifying collective action where one plaintiff was subject to Motor Carrier Act exemption defense and other class members were not).</w:t>
      </w:r>
    </w:p>
  </w:footnote>
  <w:footnote w:id="512">
    <w:p w14:paraId="23A2D474" w14:textId="77777777" w:rsidR="00721CCF" w:rsidRPr="00AD2F44" w:rsidRDefault="00F42107">
      <w:pPr>
        <w:pStyle w:val="14Footnote"/>
      </w:pPr>
      <w:r w:rsidRPr="00AD2F44">
        <w:rPr>
          <w:vertAlign w:val="superscript"/>
        </w:rPr>
        <w:footnoteRef/>
      </w:r>
      <w:r w:rsidRPr="00AD2F44">
        <w:rPr>
          <w:i/>
          <w:iCs/>
        </w:rPr>
        <w:t xml:space="preserve">Fourth Circuit: </w:t>
      </w:r>
      <w:r w:rsidRPr="00AD2F44">
        <w:t>Rehberg v. Flowers Baking Co. of Jamestown, LLC, 2015 WL 1346125, at *18 (W.D.N.C. Mar. 24, 2015) (holding that possibility of Motor Carrier Act and outside sales exemption defenses did not overwhelm similarly situated analysis where primary inquiry was for court to determine whether distributors were misclassified as independent contractors).</w:t>
      </w:r>
    </w:p>
    <w:p w14:paraId="38BD34D1" w14:textId="77777777" w:rsidR="00721CCF" w:rsidRPr="00AD2F44" w:rsidRDefault="00F42107">
      <w:pPr>
        <w:pStyle w:val="14Footnote"/>
      </w:pPr>
      <w:r w:rsidRPr="00AD2F44">
        <w:rPr>
          <w:i/>
          <w:iCs/>
        </w:rPr>
        <w:t xml:space="preserve">Ninth Circuit: </w:t>
      </w:r>
      <w:r w:rsidRPr="00AD2F44">
        <w:t xml:space="preserve">Collinge v. </w:t>
      </w:r>
      <w:r w:rsidRPr="00AD2F44">
        <w:t>IntelliQuick Delivery, Inc., 2015 WL 1292444, at *8–9 (D. Ariz. Mar. 23, 2015) (denying motion for decertification in independent contractor misclassification case where application of Motor Carrier Act exemption defense did not require individualized showing or those subject to defense could be easily identified).</w:t>
      </w:r>
    </w:p>
    <w:p w14:paraId="4DA00520" w14:textId="29455669" w:rsidR="00721CCF" w:rsidRPr="00AD2F44" w:rsidRDefault="00F42107">
      <w:pPr>
        <w:pStyle w:val="14Footnote"/>
      </w:pPr>
      <w:r w:rsidRPr="00AD2F44">
        <w:rPr>
          <w:i/>
          <w:iCs/>
        </w:rPr>
        <w:t xml:space="preserve">Eleventh Circuit: </w:t>
      </w:r>
      <w:r w:rsidRPr="00AD2F44">
        <w:t>Geter v. Galardi S. Enters., Inc., 2015 WL 2384068, at *2 (S.D. Fla. May 19, 2015) (denying motion to decertify independent contractor misclassification case filed by exotic dancers; finding that application of creative, artistic professional exemption to any or all plaintiffs would not be hampered by proceeding as collective action).</w:t>
      </w:r>
    </w:p>
  </w:footnote>
  <w:footnote w:id="513">
    <w:p w14:paraId="0EF1763E" w14:textId="77777777" w:rsidR="00721CCF" w:rsidRPr="00AD2F44" w:rsidRDefault="00F42107">
      <w:pPr>
        <w:pStyle w:val="14Footnote"/>
      </w:pPr>
      <w:r w:rsidRPr="00AD2F44">
        <w:rPr>
          <w:vertAlign w:val="superscript"/>
        </w:rPr>
        <w:footnoteRef/>
      </w:r>
      <w:r w:rsidRPr="00AD2F44">
        <w:rPr>
          <w:i/>
          <w:iCs/>
        </w:rPr>
        <w:t xml:space="preserve">Compare </w:t>
      </w:r>
      <w:r w:rsidRPr="00AD2F44">
        <w:t xml:space="preserve">Sargent v. HG Staffing, LLC, 171 F. Supp. 3d 1063, 1082–83 (D. Nev. 2016) (determining whether work performed off the clock was de minimis required individualized inquiries and favored decertification), DeSilva v. North Shore-Long Island Jewish Health Sys., Inc., 27 F. Supp. 3d 313, 326 (E.D.N.Y. 2014) (finding that de minimis defense required individual analysis and weighed against certification), </w:t>
      </w:r>
      <w:r w:rsidRPr="00AD2F44">
        <w:rPr>
          <w:i/>
          <w:iCs/>
        </w:rPr>
        <w:t>and</w:t>
      </w:r>
      <w:r w:rsidRPr="00AD2F44">
        <w:t xml:space="preserve"> Brewer v. General Nutrition Corp., 2014 WL 5877695, at *16 (N.D. Cal. Nov. 12, 2014), </w:t>
      </w:r>
      <w:r w:rsidRPr="00AD2F44">
        <w:rPr>
          <w:i/>
          <w:iCs/>
        </w:rPr>
        <w:t>with</w:t>
      </w:r>
      <w:r w:rsidRPr="00AD2F44">
        <w:t xml:space="preserve"> Cruz v. TMI Hospitality, Inc., 2015 WL 6671334, at *17 (D. Minn. Oct. 30, 2015) (finding that estoppel defense could be litigated on collective basis), </w:t>
      </w:r>
      <w:r w:rsidRPr="00AD2F44">
        <w:rPr>
          <w:i/>
          <w:iCs/>
        </w:rPr>
        <w:t xml:space="preserve">and </w:t>
      </w:r>
      <w:r w:rsidRPr="00AD2F44">
        <w:t xml:space="preserve">Allen v. City of Chi., 2014 WL 5461856, at *8 (N.D. Ill. Oct. 22, 2014) (denying decertification motion and noting that, although some plaintiffs’ claims may not exceed de minimis or setoff thresholds, that issue would not be unduly difficult to determine if necessary after court determined whether city maintained policy that violated FLSA), </w:t>
      </w:r>
      <w:r w:rsidRPr="00AD2F44">
        <w:rPr>
          <w:i/>
          <w:iCs/>
        </w:rPr>
        <w:t>aff’d on other grounds,</w:t>
      </w:r>
      <w:r w:rsidRPr="00AD2F44">
        <w:t xml:space="preserve"> 865 F.3d 936 (7th Cir. 2017). </w:t>
      </w:r>
    </w:p>
  </w:footnote>
  <w:footnote w:id="514">
    <w:p w14:paraId="6051E54A" w14:textId="77777777" w:rsidR="00721CCF" w:rsidRPr="00AD2F44" w:rsidRDefault="00F42107">
      <w:pPr>
        <w:pStyle w:val="14Footnote"/>
      </w:pPr>
      <w:r w:rsidRPr="00AD2F44">
        <w:rPr>
          <w:vertAlign w:val="superscript"/>
        </w:rPr>
        <w:footnoteRef/>
      </w:r>
      <w:r w:rsidRPr="00AD2F44">
        <w:rPr>
          <w:i/>
          <w:iCs/>
        </w:rPr>
        <w:t>See, e.g.,</w:t>
      </w:r>
      <w:r w:rsidRPr="00AD2F44">
        <w:t xml:space="preserve"> Tanner v. TPUSA, Inc., 2015 WL 6940118, at *5–7 (M.D. Ga. Nov. 9, 2015) (“Taken together, </w:t>
      </w:r>
      <w:r w:rsidRPr="00AD2F44">
        <w:rPr>
          <w:i/>
          <w:iCs/>
        </w:rPr>
        <w:t>Morgan</w:t>
      </w:r>
      <w:r w:rsidRPr="00AD2F44">
        <w:t xml:space="preserve"> [</w:t>
      </w:r>
      <w:r w:rsidRPr="00AD2F44">
        <w:rPr>
          <w:i/>
          <w:iCs/>
        </w:rPr>
        <w:t>v. Family Dollar Stores, Inc.</w:t>
      </w:r>
      <w:r w:rsidRPr="00AD2F44">
        <w:t xml:space="preserve">, 551 F.3d 1233 (11th Cir. 2008),] and </w:t>
      </w:r>
      <w:r w:rsidRPr="00AD2F44">
        <w:rPr>
          <w:i/>
          <w:iCs/>
        </w:rPr>
        <w:t>Rindfleisch</w:t>
      </w:r>
      <w:r w:rsidRPr="00AD2F44">
        <w:t xml:space="preserve"> [</w:t>
      </w:r>
      <w:r w:rsidRPr="00AD2F44">
        <w:rPr>
          <w:i/>
          <w:iCs/>
        </w:rPr>
        <w:t>v. Gentiva Servs., Inc.</w:t>
      </w:r>
      <w:r w:rsidRPr="00AD2F44">
        <w:t xml:space="preserve">, 22 F. Supp. 3d 1295 (N.D. Ga. 2014),] support this Court’s and other courts’ conclusion that distinctions among plaintiffs’ individual damages may not be a basis for decertification but where class-wide liability is not established, decertification is appropriate.”); Willoughby v. Youth Vills., Inc., 113 F. Supp. 3d 1265, 1275 (N.D. Ga. 2015) (holding that “collective action is improper when actual liability cannot be established on a class-wide basis” and that “as a general rule, a group of opt-in plaintiffs cannot be similarly situated for the purposes of a collective action when individual determinations regarding liability must be made”). </w:t>
      </w:r>
    </w:p>
  </w:footnote>
  <w:footnote w:id="515">
    <w:p w14:paraId="40D62DA3" w14:textId="77777777" w:rsidR="00721CCF" w:rsidRPr="00AD2F44" w:rsidRDefault="00F42107">
      <w:pPr>
        <w:pStyle w:val="14Footnote"/>
      </w:pPr>
      <w:r w:rsidRPr="00AD2F44">
        <w:rPr>
          <w:vertAlign w:val="superscript"/>
        </w:rPr>
        <w:footnoteRef/>
      </w:r>
      <w:r w:rsidRPr="00AD2F44">
        <w:t>705 F.3d 770 (7th Cir. 2013).</w:t>
      </w:r>
    </w:p>
  </w:footnote>
  <w:footnote w:id="516">
    <w:p w14:paraId="73A19350" w14:textId="77777777" w:rsidR="00721CCF" w:rsidRPr="00AD2F44" w:rsidRDefault="00F42107">
      <w:pPr>
        <w:pStyle w:val="14Footnote"/>
      </w:pPr>
      <w:r w:rsidRPr="00AD2F44">
        <w:rPr>
          <w:vertAlign w:val="superscript"/>
        </w:rPr>
        <w:footnoteRef/>
      </w:r>
      <w:r w:rsidRPr="00AD2F44">
        <w:rPr>
          <w:i/>
          <w:iCs/>
        </w:rPr>
        <w:t>Id.</w:t>
      </w:r>
      <w:r w:rsidRPr="00AD2F44">
        <w:t xml:space="preserve"> at 771–72.</w:t>
      </w:r>
    </w:p>
  </w:footnote>
  <w:footnote w:id="517">
    <w:p w14:paraId="189D60BF" w14:textId="77777777" w:rsidR="00721CCF" w:rsidRPr="00AD2F44" w:rsidRDefault="00F42107">
      <w:pPr>
        <w:pStyle w:val="14Footnote"/>
      </w:pPr>
      <w:r w:rsidRPr="00AD2F44">
        <w:rPr>
          <w:vertAlign w:val="superscript"/>
        </w:rPr>
        <w:footnoteRef/>
      </w:r>
      <w:r w:rsidRPr="00AD2F44">
        <w:rPr>
          <w:i/>
          <w:iCs/>
        </w:rPr>
        <w:t>Id</w:t>
      </w:r>
      <w:r w:rsidRPr="00AD2F44">
        <w:t>. at 772–73.</w:t>
      </w:r>
    </w:p>
  </w:footnote>
  <w:footnote w:id="518">
    <w:p w14:paraId="68953C73" w14:textId="77777777" w:rsidR="00721CCF" w:rsidRPr="00AD2F44" w:rsidRDefault="00F42107">
      <w:pPr>
        <w:pStyle w:val="14Footnote"/>
      </w:pPr>
      <w:r w:rsidRPr="00AD2F44">
        <w:rPr>
          <w:vertAlign w:val="superscript"/>
        </w:rPr>
        <w:footnoteRef/>
      </w:r>
      <w:r w:rsidRPr="00AD2F44">
        <w:rPr>
          <w:i/>
          <w:iCs/>
        </w:rPr>
        <w:t>Id</w:t>
      </w:r>
      <w:r w:rsidRPr="00AD2F44">
        <w:t>. at 773.</w:t>
      </w:r>
    </w:p>
  </w:footnote>
  <w:footnote w:id="519">
    <w:p w14:paraId="403D0967" w14:textId="77777777" w:rsidR="00721CCF" w:rsidRPr="00AD2F44" w:rsidRDefault="00F42107">
      <w:pPr>
        <w:pStyle w:val="14Footnote"/>
      </w:pPr>
      <w:r w:rsidRPr="00AD2F44">
        <w:rPr>
          <w:vertAlign w:val="superscript"/>
        </w:rPr>
        <w:footnoteRef/>
      </w:r>
      <w:r w:rsidRPr="00AD2F44">
        <w:rPr>
          <w:i/>
          <w:iCs/>
        </w:rPr>
        <w:t>See</w:t>
      </w:r>
      <w:r w:rsidRPr="00AD2F44">
        <w:t xml:space="preserve"> </w:t>
      </w:r>
      <w:r w:rsidRPr="00AD2F44">
        <w:rPr>
          <w:i/>
          <w:iCs/>
        </w:rPr>
        <w:t>id</w:t>
      </w:r>
      <w:r w:rsidRPr="00AD2F44">
        <w:t xml:space="preserve">. at 774. </w:t>
      </w:r>
      <w:r w:rsidRPr="00AD2F44">
        <w:rPr>
          <w:i/>
          <w:iCs/>
        </w:rPr>
        <w:t>But see</w:t>
      </w:r>
      <w:r w:rsidRPr="00AD2F44">
        <w:t xml:space="preserve"> Butler v. DirectSAT USA, 47 F. Supp. 3d 300, 306 (D. Md. 2014) (distinguishing </w:t>
      </w:r>
      <w:r w:rsidRPr="00AD2F44">
        <w:rPr>
          <w:i/>
          <w:iCs/>
        </w:rPr>
        <w:t xml:space="preserve">Espenscheid </w:t>
      </w:r>
      <w:r w:rsidRPr="00AD2F44">
        <w:t>and finding that it is possible to go through each plaintiffs’ damages individually if need be with class of only 26 plaintiffs).</w:t>
      </w:r>
    </w:p>
  </w:footnote>
  <w:footnote w:id="520">
    <w:p w14:paraId="009E9767" w14:textId="77777777" w:rsidR="00721CCF" w:rsidRPr="00AD2F44" w:rsidRDefault="00F42107">
      <w:pPr>
        <w:pStyle w:val="14Footnote"/>
      </w:pPr>
      <w:r w:rsidRPr="00AD2F44">
        <w:rPr>
          <w:vertAlign w:val="superscript"/>
        </w:rPr>
        <w:footnoteRef/>
      </w:r>
      <w:r w:rsidRPr="00AD2F44">
        <w:rPr>
          <w:i/>
          <w:iCs/>
        </w:rPr>
        <w:t xml:space="preserve">Espenscheid, </w:t>
      </w:r>
      <w:r w:rsidRPr="00AD2F44">
        <w:t>705 F.3d at 773.</w:t>
      </w:r>
    </w:p>
  </w:footnote>
  <w:footnote w:id="521">
    <w:p w14:paraId="5F22FBDE" w14:textId="77777777" w:rsidR="00721CCF" w:rsidRPr="00AD2F44" w:rsidRDefault="00F42107">
      <w:pPr>
        <w:pStyle w:val="14Footnote"/>
      </w:pPr>
      <w:r w:rsidRPr="00AD2F44">
        <w:rPr>
          <w:vertAlign w:val="superscript"/>
        </w:rPr>
        <w:footnoteRef/>
      </w:r>
      <w:r w:rsidRPr="00AD2F44">
        <w:rPr>
          <w:i/>
          <w:iCs/>
        </w:rPr>
        <w:t>Id</w:t>
      </w:r>
      <w:r w:rsidRPr="00AD2F44">
        <w:t>. at 774.</w:t>
      </w:r>
    </w:p>
  </w:footnote>
  <w:footnote w:id="522">
    <w:p w14:paraId="5C256F5B" w14:textId="77777777" w:rsidR="00721CCF" w:rsidRPr="00AD2F44" w:rsidRDefault="00F42107">
      <w:pPr>
        <w:pStyle w:val="14Footnote"/>
      </w:pPr>
      <w:r w:rsidRPr="00AD2F44">
        <w:rPr>
          <w:vertAlign w:val="superscript"/>
        </w:rPr>
        <w:footnoteRef/>
      </w:r>
      <w:r w:rsidRPr="00AD2F44">
        <w:rPr>
          <w:i/>
          <w:iCs/>
        </w:rPr>
        <w:t>Id</w:t>
      </w:r>
      <w:r w:rsidRPr="00AD2F44">
        <w:t>. at 773.</w:t>
      </w:r>
    </w:p>
  </w:footnote>
  <w:footnote w:id="523">
    <w:p w14:paraId="232DD718" w14:textId="77777777" w:rsidR="00721CCF" w:rsidRPr="00AD2F44" w:rsidRDefault="00F42107">
      <w:pPr>
        <w:pStyle w:val="14Footnote"/>
      </w:pPr>
      <w:r w:rsidRPr="00AD2F44">
        <w:rPr>
          <w:vertAlign w:val="superscript"/>
        </w:rPr>
        <w:footnoteRef/>
      </w:r>
      <w:r w:rsidRPr="00AD2F44">
        <w:rPr>
          <w:i/>
          <w:iCs/>
        </w:rPr>
        <w:t>Id</w:t>
      </w:r>
      <w:r w:rsidRPr="00AD2F44">
        <w:t xml:space="preserve">. at 777; </w:t>
      </w:r>
      <w:r w:rsidRPr="00AD2F44">
        <w:rPr>
          <w:i/>
          <w:iCs/>
        </w:rPr>
        <w:t>see also</w:t>
      </w:r>
      <w:r w:rsidRPr="00AD2F44">
        <w:t xml:space="preserve"> Hazelbaker v. Metropolitan Prop. &amp; Cas. Ins. Co., 2014 WL 5304911, at *5 (D. Ariz. Oct. 16, 2014) (“Plaintiffs’ proposed solutions—bifurcation of the damages stage and representative testimony—cannot rescue this case from its inevitable descent into a multitude of mini-trials. Bifurcation does the Court no good when the liability stage is not itself spared from individualized inquiries.”).</w:t>
      </w:r>
    </w:p>
  </w:footnote>
  <w:footnote w:id="524">
    <w:p w14:paraId="30A16FD0" w14:textId="77777777" w:rsidR="00721CCF" w:rsidRPr="00AD2F44" w:rsidRDefault="00F42107">
      <w:pPr>
        <w:pStyle w:val="14Footnote"/>
      </w:pPr>
      <w:r w:rsidRPr="00AD2F44">
        <w:rPr>
          <w:vertAlign w:val="superscript"/>
        </w:rPr>
        <w:footnoteRef/>
      </w:r>
      <w:r w:rsidRPr="00AD2F44">
        <w:t xml:space="preserve">52 F. Supp. 3d 522 (S.D.N.Y. 2014). </w:t>
      </w:r>
    </w:p>
  </w:footnote>
  <w:footnote w:id="525">
    <w:p w14:paraId="3C4B4BF7" w14:textId="77777777" w:rsidR="00721CCF" w:rsidRPr="00AD2F44" w:rsidRDefault="00F42107">
      <w:pPr>
        <w:pStyle w:val="14Footnote"/>
      </w:pPr>
      <w:r w:rsidRPr="00AD2F44">
        <w:rPr>
          <w:vertAlign w:val="superscript"/>
        </w:rPr>
        <w:footnoteRef/>
      </w:r>
      <w:r w:rsidRPr="00AD2F44">
        <w:rPr>
          <w:i/>
          <w:iCs/>
        </w:rPr>
        <w:t>Id</w:t>
      </w:r>
      <w:r w:rsidRPr="00AD2F44">
        <w:t>.</w:t>
      </w:r>
      <w:r w:rsidRPr="00AD2F44">
        <w:rPr>
          <w:i/>
          <w:iCs/>
        </w:rPr>
        <w:t xml:space="preserve"> </w:t>
      </w:r>
      <w:r w:rsidRPr="00AD2F44">
        <w:t xml:space="preserve">at 524; </w:t>
      </w:r>
      <w:r w:rsidRPr="00AD2F44">
        <w:rPr>
          <w:i/>
          <w:iCs/>
        </w:rPr>
        <w:t>see also</w:t>
      </w:r>
      <w:r w:rsidRPr="00AD2F44">
        <w:t xml:space="preserve"> Bitner v. Wyndham Vacation Resorts, Inc., 2016 WL 7480428, at *15 (W.D. Wis. Dec. 29, 2017) (finding defendant’s fairness and due process concerns could be mitigated by bifurcating determinations of liability and damages); Nguyen v. Versacom, LLC, 2016 WL 6650860, at *7 (N.D. Tex. Nov. 9, 2016) (distinguishing </w:t>
      </w:r>
      <w:r w:rsidRPr="00AD2F44">
        <w:rPr>
          <w:i/>
          <w:iCs/>
        </w:rPr>
        <w:t xml:space="preserve">Espenscheid </w:t>
      </w:r>
      <w:r w:rsidRPr="00AD2F44">
        <w:t xml:space="preserve">and finding that plaintiffs’ claims, involving 72 plaintiffs (as opposed to 2,341 plaintiffs), could proceed as collective action and, at most, court would need to hold 72 separate hearings on damages, which could be handled through bifurcation or use of special master). </w:t>
      </w:r>
    </w:p>
  </w:footnote>
  <w:footnote w:id="526">
    <w:p w14:paraId="2FAE0E8F" w14:textId="77777777" w:rsidR="00721CCF" w:rsidRPr="00AD2F44" w:rsidRDefault="00F42107">
      <w:pPr>
        <w:pStyle w:val="14Footnote"/>
        <w:rPr>
          <w:i/>
          <w:iCs/>
        </w:rPr>
      </w:pPr>
      <w:r w:rsidRPr="00AD2F44">
        <w:rPr>
          <w:vertAlign w:val="superscript"/>
        </w:rPr>
        <w:footnoteRef/>
      </w:r>
      <w:r w:rsidRPr="00AD2F44">
        <w:t xml:space="preserve">Hoffmann-La Roche, Inc. v. Sperling, 493 U.S. 165, 170 (1989); </w:t>
      </w:r>
      <w:r w:rsidRPr="00AD2F44">
        <w:rPr>
          <w:i/>
          <w:iCs/>
        </w:rPr>
        <w:t>see also</w:t>
      </w:r>
    </w:p>
    <w:p w14:paraId="437156E5" w14:textId="77777777" w:rsidR="00721CCF" w:rsidRPr="00AD2F44" w:rsidRDefault="00F42107">
      <w:pPr>
        <w:pStyle w:val="14Footnote"/>
      </w:pPr>
      <w:r w:rsidRPr="00AD2F44">
        <w:rPr>
          <w:i/>
          <w:iCs/>
        </w:rPr>
        <w:t>Second Circuit:</w:t>
      </w:r>
      <w:r w:rsidRPr="00AD2F44">
        <w:t xml:space="preserve"> Stevens v. HMS Host Corp., 2014 WL 4261410, at *8 (E.D.N.Y. Aug. 24, 2014); Johnson v. Wave Comm GR LLC, 4 F. Supp. 3d 453, 461 (N.D.N.Y. 2014).</w:t>
      </w:r>
    </w:p>
    <w:p w14:paraId="6E1F6BF3" w14:textId="77777777" w:rsidR="00721CCF" w:rsidRPr="00AD2F44" w:rsidRDefault="00F42107">
      <w:pPr>
        <w:pStyle w:val="14Footnote"/>
      </w:pPr>
      <w:r w:rsidRPr="00AD2F44">
        <w:rPr>
          <w:i/>
          <w:iCs/>
        </w:rPr>
        <w:t>Third Circuit:</w:t>
      </w:r>
      <w:r w:rsidRPr="00AD2F44">
        <w:t xml:space="preserve"> Adami v. Cardo Windows, Inc., 2016 WL 1241798, at *11 (D.N.J. Mar. 30, 2016); Moss v. Crawford &amp; Co., 201 F.R.D. 398, 410 (W.D. Pa. 2000).</w:t>
      </w:r>
    </w:p>
    <w:p w14:paraId="467D4489" w14:textId="77777777" w:rsidR="00721CCF" w:rsidRPr="00AD2F44" w:rsidRDefault="00F42107">
      <w:pPr>
        <w:pStyle w:val="14Footnote"/>
      </w:pPr>
      <w:r w:rsidRPr="00AD2F44">
        <w:rPr>
          <w:i/>
          <w:iCs/>
        </w:rPr>
        <w:t>Fourth Circuit:</w:t>
      </w:r>
      <w:r w:rsidRPr="00AD2F44">
        <w:t xml:space="preserve"> Devine v. City of Hampton, 2015 WL 10765154, at *4 (E.D. Va. Oct. 13, 2015); Rehberg v. Flowers Baking Co. of Jamestown, LLC, 2015 WL 1346125, at *18 (W.D.N.C. Mar. 24, 2015); Randolph v. PowerComm Constr., Inc., 309 F.R.D. 349, 369 (D. Md. 2015); Butler v. DirectSAT USA, 47 F. Supp. 3d 300, 314 (D. Md. 2014); LaFleur v. Dollar Tree Stores, 30 F. Supp. 2d 463, 468 (E.D. Va. Mar. 7, 2014).</w:t>
      </w:r>
    </w:p>
    <w:p w14:paraId="4EBB0DF7" w14:textId="77777777" w:rsidR="00721CCF" w:rsidRPr="00AD2F44" w:rsidRDefault="00F42107">
      <w:pPr>
        <w:pStyle w:val="14Footnote"/>
      </w:pPr>
      <w:r w:rsidRPr="00AD2F44">
        <w:rPr>
          <w:i/>
          <w:iCs/>
        </w:rPr>
        <w:t>Fifth Circuit:</w:t>
      </w:r>
      <w:r w:rsidRPr="00AD2F44">
        <w:t xml:space="preserve"> Nguyen v. Versacom, LLC, 2016 WL 6650860, at *6 (N.D. Tex. Nov. 9, 2016).</w:t>
      </w:r>
    </w:p>
    <w:p w14:paraId="7913A088" w14:textId="2D1B58CC" w:rsidR="00721CCF" w:rsidRPr="00AD2F44" w:rsidRDefault="00F42107">
      <w:pPr>
        <w:pStyle w:val="14Footnote"/>
      </w:pPr>
      <w:r w:rsidRPr="00AD2F44">
        <w:rPr>
          <w:i/>
          <w:iCs/>
        </w:rPr>
        <w:t>Eighth Circuit:</w:t>
      </w:r>
      <w:r w:rsidRPr="00AD2F44">
        <w:t xml:space="preserve"> Arnold v. DirecTV, LLC, 2017 WL 1251033, at *9 (E.D. Mo. Mar. 31, 2017); Cruz v. TMI Hospitality, Inc., 2015 WL 6671334, at *18 (D. Minn. Oct. 30, 2015); Judkins v. </w:t>
      </w:r>
      <w:r w:rsidRPr="00AD2F44">
        <w:t>SouthernCare, Inc., 74 F. Supp. 3d 1007, 1009 (S.D. Iowa 2015); Brackett v. St. Louis Bd. of Police Com</w:t>
      </w:r>
      <w:r>
        <w:t>m</w:t>
      </w:r>
      <w:r w:rsidRPr="00AD2F44">
        <w:t>’rs, 2014 WL 1377460, at *3 (E.D. Mo. Apr. 8, 2014); Rikard v. Auto Prot., LLC, 2013 WL 5532688, at *3 (E.D. Mo. Oct. 4, 2013).</w:t>
      </w:r>
    </w:p>
    <w:p w14:paraId="01027F84" w14:textId="77777777" w:rsidR="00721CCF" w:rsidRPr="00AD2F44" w:rsidRDefault="00F42107">
      <w:pPr>
        <w:pStyle w:val="14Footnote"/>
      </w:pPr>
      <w:r w:rsidRPr="00AD2F44">
        <w:rPr>
          <w:i/>
          <w:iCs/>
        </w:rPr>
        <w:t>Ninth Circuit:</w:t>
      </w:r>
      <w:r w:rsidRPr="00AD2F44">
        <w:t xml:space="preserve"> Collinge v. IntelliQuick Delivery, Inc., 2015 WL 1292444, at *10 (D. Ariz. Mar. 23, 2015); Lillehagen v. Alorica, Inc., 2014 WL 6989230, at *31 (C.D. Cal. Dec. 10, 2014).</w:t>
      </w:r>
    </w:p>
    <w:p w14:paraId="57E2930A" w14:textId="77777777" w:rsidR="00721CCF" w:rsidRPr="00AD2F44" w:rsidRDefault="00F42107">
      <w:pPr>
        <w:pStyle w:val="14Footnote"/>
      </w:pPr>
      <w:r w:rsidRPr="00AD2F44">
        <w:rPr>
          <w:i/>
          <w:iCs/>
        </w:rPr>
        <w:t>Tenth Circuit:</w:t>
      </w:r>
      <w:r w:rsidRPr="00AD2F44">
        <w:t xml:space="preserve"> Jancich v. Stonegate Mortg. Corp., 2014 WL 1011480, at *4 (D. Kan. Mar. 17, 2014).</w:t>
      </w:r>
    </w:p>
    <w:p w14:paraId="2A2FC74B" w14:textId="5336BB7B" w:rsidR="00721CCF" w:rsidRPr="00AD2F44" w:rsidRDefault="00F42107">
      <w:pPr>
        <w:pStyle w:val="14Footnote"/>
      </w:pPr>
      <w:r w:rsidRPr="00AD2F44">
        <w:rPr>
          <w:i/>
          <w:iCs/>
        </w:rPr>
        <w:t>Eleventh Circuit:</w:t>
      </w:r>
      <w:r w:rsidRPr="00AD2F44">
        <w:t xml:space="preserve"> Morgan v. Family Dollar Stores, Inc., 551 F.3d 1233, 1264 (11th Cir. 2008); Miller v. FleetCor Techs. Operating Co., LLC, 118 F. Supp. 3d 1351, 1355 (N.D. Ga. 2015); Bobbit v. Broadband Interactive, Inc., 2013 WL 5720329, at *17 (M.D. Fla. Oct. 17, 2013).</w:t>
      </w:r>
    </w:p>
  </w:footnote>
  <w:footnote w:id="527">
    <w:p w14:paraId="05FD5354" w14:textId="77777777" w:rsidR="00721CCF" w:rsidRPr="00AD2F44" w:rsidRDefault="00F42107">
      <w:pPr>
        <w:pStyle w:val="14Footnote"/>
      </w:pPr>
      <w:r w:rsidRPr="00AD2F44">
        <w:rPr>
          <w:vertAlign w:val="superscript"/>
        </w:rPr>
        <w:footnoteRef/>
      </w:r>
      <w:r w:rsidRPr="00AD2F44">
        <w:rPr>
          <w:i/>
          <w:iCs/>
        </w:rPr>
        <w:t>Morgan</w:t>
      </w:r>
      <w:r w:rsidRPr="00AD2F44">
        <w:t xml:space="preserve">, 551 F.3d at 1265; Nerland v. Caribou Coffee Co., 564 F. Supp. 2d 1010, 1026 (D. Minn. 2007); </w:t>
      </w:r>
      <w:r w:rsidRPr="00AD2F44">
        <w:rPr>
          <w:i/>
          <w:iCs/>
        </w:rPr>
        <w:t>see also</w:t>
      </w:r>
      <w:r w:rsidRPr="00AD2F44">
        <w:t xml:space="preserve"> Pendlebury v. Starbucks, 518 F. Supp. 2d 1345, 1362 (S.D. Fla. 2008) (explaining that, if the class must be similar in almost all respects, the statute’s intent would be frustrated “and the statute’s class provisions would be effectively emasculated”).</w:t>
      </w:r>
    </w:p>
  </w:footnote>
  <w:footnote w:id="528">
    <w:p w14:paraId="62727124" w14:textId="77777777" w:rsidR="00721CCF" w:rsidRPr="00AD2F44" w:rsidRDefault="00F42107">
      <w:pPr>
        <w:pStyle w:val="14Footnote"/>
      </w:pPr>
      <w:r w:rsidRPr="00AD2F44">
        <w:rPr>
          <w:vertAlign w:val="superscript"/>
        </w:rPr>
        <w:footnoteRef/>
      </w:r>
      <w:r w:rsidRPr="00AD2F44">
        <w:t xml:space="preserve">Falcon v. Starbucks Corp., 580 F. Supp. 2d 528, 541 (S.D. Tex. 2008); </w:t>
      </w:r>
      <w:r w:rsidRPr="00AD2F44">
        <w:rPr>
          <w:i/>
          <w:iCs/>
        </w:rPr>
        <w:t>see also</w:t>
      </w:r>
      <w:r w:rsidRPr="00AD2F44">
        <w:t xml:space="preserve"> Chabrier v. Wilmington Fin. Inc., 2008 WL 938872, at *3 (E.D. Pa. Apr. 4, 2008) (explaining “class treatment is efficient and preferable to individual litigation” when plaintiffs are similarly situated).</w:t>
      </w:r>
    </w:p>
  </w:footnote>
  <w:footnote w:id="529">
    <w:p w14:paraId="5B6B51AF" w14:textId="77777777" w:rsidR="00721CCF" w:rsidRPr="00AD2F44" w:rsidRDefault="00F42107">
      <w:pPr>
        <w:pStyle w:val="14Footnote"/>
      </w:pPr>
      <w:r w:rsidRPr="00AD2F44">
        <w:rPr>
          <w:vertAlign w:val="superscript"/>
        </w:rPr>
        <w:footnoteRef/>
      </w:r>
      <w:r w:rsidRPr="00AD2F44">
        <w:rPr>
          <w:i/>
          <w:iCs/>
        </w:rPr>
        <w:t>Nerland</w:t>
      </w:r>
      <w:r w:rsidRPr="00AD2F44">
        <w:t>, 564 F. Supp. 2d at 1025.</w:t>
      </w:r>
    </w:p>
  </w:footnote>
  <w:footnote w:id="530">
    <w:p w14:paraId="3F299E16" w14:textId="77777777" w:rsidR="00721CCF" w:rsidRPr="00AD2F44" w:rsidRDefault="00F42107">
      <w:pPr>
        <w:pStyle w:val="14Footnote"/>
        <w:rPr>
          <w:i/>
          <w:iCs/>
        </w:rPr>
      </w:pPr>
      <w:r w:rsidRPr="00AD2F44">
        <w:rPr>
          <w:vertAlign w:val="superscript"/>
        </w:rPr>
        <w:footnoteRef/>
      </w:r>
      <w:r w:rsidRPr="00AD2F44">
        <w:rPr>
          <w:i/>
          <w:iCs/>
        </w:rPr>
        <w:t>Id</w:t>
      </w:r>
      <w:r w:rsidRPr="00AD2F44">
        <w:t xml:space="preserve">. at 1026; </w:t>
      </w:r>
      <w:r w:rsidRPr="00AD2F44">
        <w:rPr>
          <w:i/>
          <w:iCs/>
        </w:rPr>
        <w:t>see also</w:t>
      </w:r>
    </w:p>
    <w:p w14:paraId="3AA280F8" w14:textId="77777777" w:rsidR="00721CCF" w:rsidRPr="00AD2F44" w:rsidRDefault="00F42107">
      <w:pPr>
        <w:pStyle w:val="14Footnote"/>
      </w:pPr>
      <w:r w:rsidRPr="00AD2F44">
        <w:rPr>
          <w:i/>
          <w:iCs/>
        </w:rPr>
        <w:t>Third Circuit:</w:t>
      </w:r>
      <w:r w:rsidRPr="00AD2F44">
        <w:t xml:space="preserve"> Rivet v. Office Depot, Inc., 207 F. Supp. 3d 417, 428 (D.N.J. 2016) (“Because in most cases the cost of litigation would greatly exceed the amount of any potential recovery, a majority of [assistant store managers] would not be able to pursue their claims.”).</w:t>
      </w:r>
    </w:p>
    <w:p w14:paraId="073A6ECF" w14:textId="77777777" w:rsidR="00721CCF" w:rsidRPr="00AD2F44" w:rsidRDefault="00F42107">
      <w:pPr>
        <w:pStyle w:val="14Footnote"/>
      </w:pPr>
      <w:r w:rsidRPr="00AD2F44">
        <w:rPr>
          <w:i/>
          <w:iCs/>
        </w:rPr>
        <w:t>Fourth Circuit:</w:t>
      </w:r>
      <w:r w:rsidRPr="00AD2F44">
        <w:t xml:space="preserve"> </w:t>
      </w:r>
      <w:r w:rsidRPr="00AD2F44">
        <w:rPr>
          <w:i/>
          <w:iCs/>
        </w:rPr>
        <w:t>Randolph</w:t>
      </w:r>
      <w:r w:rsidRPr="00AD2F44">
        <w:t xml:space="preserve">, 309 F.R.D. at 368 (finding that “[e]ach individual plaintiff would be unlikely to pursue his or her claim alone due to the costs involved relative to the damages sought”); </w:t>
      </w:r>
      <w:r w:rsidRPr="00AD2F44">
        <w:rPr>
          <w:i/>
          <w:iCs/>
        </w:rPr>
        <w:t>Butler</w:t>
      </w:r>
      <w:r w:rsidRPr="00AD2F44">
        <w:t xml:space="preserve">, 47 F. Supp. 3d at 314 (same); </w:t>
      </w:r>
      <w:r w:rsidRPr="00AD2F44">
        <w:rPr>
          <w:i/>
          <w:iCs/>
        </w:rPr>
        <w:t>LaFleur</w:t>
      </w:r>
      <w:r w:rsidRPr="00AD2F44">
        <w:t>, 30 F. Supp. 2d at 475 (same).</w:t>
      </w:r>
    </w:p>
    <w:p w14:paraId="67B99DF7" w14:textId="77777777" w:rsidR="00721CCF" w:rsidRPr="00AD2F44" w:rsidRDefault="00F42107">
      <w:pPr>
        <w:pStyle w:val="14Footnote"/>
      </w:pPr>
      <w:r w:rsidRPr="00AD2F44">
        <w:rPr>
          <w:i/>
          <w:iCs/>
        </w:rPr>
        <w:t>Seventh Circuit:</w:t>
      </w:r>
      <w:r w:rsidRPr="00AD2F44">
        <w:t xml:space="preserve"> Bitner v. Wyndham Vacation Resorts, Inc., 2016 WL 7480428, at *15 (W.D. Wis. Dec. 29, 2017) (“[T]he court must at least factor in the possibility that some potential plaintiffs would not pursue individual claims because the promise of receiving damages is too small to justify the expenditure of time in individual lawsuits.”); Long v. Epic Sys. Corp., 2016 WL 4625497, at *8 (W.D. Wis. Sept. 6, 2016) (“Defendant’s rights ‘must be balanced with the rights of plaintiffs, many of whom likely would be unable to bear the costs of an individual trial, to have their day in court.’”) (citation omitted); Russell v. Illinois Bell Tel. Co., Inc., 721 F. Supp. 2d 804, 823 (N.D. Ill. 2010) (“Because of the modest amounts likely involved, many of the plaintiffs would be unable to afford the costs of pursuing their claims individually.”).</w:t>
      </w:r>
    </w:p>
    <w:p w14:paraId="56EDF15C" w14:textId="77777777" w:rsidR="00721CCF" w:rsidRPr="00AD2F44" w:rsidRDefault="00F42107">
      <w:pPr>
        <w:pStyle w:val="14Footnote"/>
      </w:pPr>
      <w:r w:rsidRPr="00AD2F44">
        <w:rPr>
          <w:i/>
          <w:iCs/>
        </w:rPr>
        <w:t>Eighth Circuit:</w:t>
      </w:r>
      <w:r w:rsidRPr="00AD2F44">
        <w:t xml:space="preserve"> Glass v. IDS Fin. Servs., Inc., 778 F. Supp. 1029, 1081 (D. Minn. 1991).</w:t>
      </w:r>
    </w:p>
    <w:p w14:paraId="01512E18" w14:textId="33A690AA" w:rsidR="00721CCF" w:rsidRPr="00AD2F44" w:rsidRDefault="00F42107">
      <w:pPr>
        <w:pStyle w:val="14Footnote"/>
      </w:pPr>
      <w:r w:rsidRPr="00AD2F44">
        <w:rPr>
          <w:i/>
          <w:iCs/>
        </w:rPr>
        <w:t>Ninth Circuit:</w:t>
      </w:r>
      <w:r w:rsidRPr="00AD2F44">
        <w:t xml:space="preserve"> </w:t>
      </w:r>
      <w:r w:rsidRPr="00AD2F44">
        <w:t>Khadera v. ABM Indus., Inc., 2011 WL 7064235, at *6 (W.D. Wash. Dec. 1, 2011) (citing need for plaintiffs to pool resources and efficiently resolve common issues, among other reasons, in denying motion for decertification, where court already concluded that plaintiffs were similarly situated).</w:t>
      </w:r>
    </w:p>
  </w:footnote>
  <w:footnote w:id="531">
    <w:p w14:paraId="2261EFC4" w14:textId="77777777" w:rsidR="00721CCF" w:rsidRPr="00AD2F44" w:rsidRDefault="00F42107">
      <w:pPr>
        <w:pStyle w:val="14Footnote"/>
      </w:pPr>
      <w:r w:rsidRPr="00AD2F44">
        <w:rPr>
          <w:vertAlign w:val="superscript"/>
        </w:rPr>
        <w:footnoteRef/>
      </w:r>
      <w:r w:rsidRPr="00AD2F44">
        <w:t>Johnson v. Big Lots Stores, Inc., 561 F. Supp. 2d 567, 587 (E.D. La. 2008)</w:t>
      </w:r>
      <w:r w:rsidRPr="00AD2F44">
        <w:rPr>
          <w:i/>
          <w:iCs/>
        </w:rPr>
        <w:t>. See, e.g</w:t>
      </w:r>
      <w:r w:rsidRPr="00AD2F44">
        <w:t>.,</w:t>
      </w:r>
    </w:p>
    <w:p w14:paraId="2237E9A7" w14:textId="77777777" w:rsidR="00721CCF" w:rsidRPr="00AD2F44" w:rsidRDefault="00F42107">
      <w:pPr>
        <w:pStyle w:val="14Footnote"/>
      </w:pPr>
      <w:r w:rsidRPr="00AD2F44">
        <w:rPr>
          <w:i/>
          <w:iCs/>
        </w:rPr>
        <w:t>Fifth Circuit</w:t>
      </w:r>
      <w:r w:rsidRPr="00AD2F44">
        <w:t xml:space="preserve">: Clay v. New Tech Global Ventures, LLC, 2019 WL 1028532 (W.D. La. Mar. 4, 2019) (while acknowledging fairness and procedural considerations, the court nonetheless granted a decertification motion due to the small size of the collective—nine party plaintiffs—and because it would not be able to efficiently resolve common issues of law and fact that arose from the alleged activity); Sanders v. Latshaw Drilling Co., LLC 2019 WL 129769 (N.D. Tex. Mar. 14, 2018) (granting decertification motion where the collective was small (eight) and the party plaintiffs were not similarly situated); Johnson v. Big Lots Stores, Inc., 561 F. Supp. 2d 567, 587 (E.D. La. 2008) (granting defendant’s motion for decertification in part because “serious concerns about due process” would be raised by requiring the employer to use representative proof when the plaintiffs were not representative of each other and noting “[t]he collective action device does not </w:t>
      </w:r>
      <w:r w:rsidRPr="00AD2F44">
        <w:t>effect its salutary purposes when it only puts the defendant between a rock and a hard place”).</w:t>
      </w:r>
    </w:p>
    <w:p w14:paraId="560B7A87" w14:textId="4F0AE29C" w:rsidR="00721CCF" w:rsidRPr="00AD2F44" w:rsidRDefault="00F42107">
      <w:pPr>
        <w:pStyle w:val="14Footnote"/>
      </w:pPr>
      <w:r w:rsidRPr="00AD2F44">
        <w:rPr>
          <w:i/>
          <w:iCs/>
        </w:rPr>
        <w:t>Seventh Circuit</w:t>
      </w:r>
      <w:r w:rsidRPr="00AD2F44">
        <w:t>: Solsol v. Scrub, Inc., 2017 WL 2285822, at *8 (N.D. Ill. May 23, 2017) (“Considering the wide variance in the opt-in plaintiffs’ claims in the instant case, the court sees no way to establish the amount and extent all opt-in plaintiffs worked as a matter of just and reasonable inference through representative plaintiffs.”).</w:t>
      </w:r>
    </w:p>
  </w:footnote>
  <w:footnote w:id="532">
    <w:p w14:paraId="116880D9" w14:textId="77777777" w:rsidR="00721CCF" w:rsidRPr="00AD2F44" w:rsidRDefault="00F42107">
      <w:pPr>
        <w:pStyle w:val="14Footnote"/>
      </w:pPr>
      <w:r w:rsidRPr="00AD2F44">
        <w:rPr>
          <w:vertAlign w:val="superscript"/>
        </w:rPr>
        <w:footnoteRef/>
      </w:r>
      <w:r w:rsidRPr="00AD2F44">
        <w:t xml:space="preserve">Duncan v. Phoenix Supported Living, Inc., 2007 WL 1033360, at *3 (W.D.N.C. Mar. 30, 2007). </w:t>
      </w:r>
      <w:r w:rsidRPr="00AD2F44">
        <w:rPr>
          <w:i/>
          <w:iCs/>
        </w:rPr>
        <w:t>See also</w:t>
      </w:r>
      <w:r w:rsidRPr="00AD2F44">
        <w:t xml:space="preserve"> Moody v. Associated Wholesale Grocers, Inc., 2019 WL 6036707, at *7 (E.D. La. Nov. 14, 2019) (granting decertification, noting prejudice against employer who “cannot be expected to come up with ‘representative’ proof [of exemption] when the plaintiffs cannot reasonably be said to be representative of each other”). </w:t>
      </w:r>
    </w:p>
  </w:footnote>
  <w:footnote w:id="533">
    <w:p w14:paraId="7123C0EC" w14:textId="77777777" w:rsidR="00721CCF" w:rsidRPr="00AD2F44" w:rsidRDefault="00F42107">
      <w:pPr>
        <w:pStyle w:val="14Footnote"/>
      </w:pPr>
      <w:r w:rsidRPr="00AD2F44">
        <w:rPr>
          <w:vertAlign w:val="superscript"/>
        </w:rPr>
        <w:footnoteRef/>
      </w:r>
      <w:r w:rsidRPr="00AD2F44">
        <w:t>Rindfleisch v. Gentiva Servs., Inc., 22 F. Supp. 3d 1295, 1304 (N.D. Ga. 2014).</w:t>
      </w:r>
    </w:p>
  </w:footnote>
  <w:footnote w:id="534">
    <w:p w14:paraId="03AD1181" w14:textId="4FEA0F0B" w:rsidR="00721CCF" w:rsidRPr="00AD2F44" w:rsidRDefault="00F42107">
      <w:pPr>
        <w:pStyle w:val="14Footnote"/>
      </w:pPr>
      <w:r w:rsidRPr="00AD2F44">
        <w:rPr>
          <w:vertAlign w:val="superscript"/>
        </w:rPr>
        <w:footnoteRef/>
      </w:r>
      <w:r w:rsidRPr="00AD2F44">
        <w:rPr>
          <w:i/>
          <w:iCs/>
        </w:rPr>
        <w:t>See, e.g</w:t>
      </w:r>
      <w:r w:rsidRPr="00AD2F44">
        <w:t xml:space="preserve">., Reyes v. Texas </w:t>
      </w:r>
      <w:r w:rsidRPr="00AD2F44">
        <w:t>EZPawn, L.P., 2007 WL 101808, at *6 (S.D. Tex. Jan. 8, 2007) (court should consider whether collective litigation would be particularly burdensome on a jury).</w:t>
      </w:r>
    </w:p>
  </w:footnote>
  <w:footnote w:id="535">
    <w:p w14:paraId="21852768" w14:textId="77777777" w:rsidR="00721CCF" w:rsidRPr="00AD2F44" w:rsidRDefault="00F42107">
      <w:pPr>
        <w:pStyle w:val="14Footnote"/>
      </w:pPr>
      <w:r w:rsidRPr="00AD2F44">
        <w:rPr>
          <w:vertAlign w:val="superscript"/>
        </w:rPr>
        <w:footnoteRef/>
      </w:r>
      <w:r w:rsidRPr="00AD2F44">
        <w:t xml:space="preserve">Blakes v. Illinois Bell Tel. Co., 2013 WL 6662831, at *16 (N.D. Ill. Dec. 17, 2013) (quoting Strait v. Belcan Eng’g Grp., Inc., 911 F. Supp. 2d 709, 731 (N.D. Ill. 2012)); </w:t>
      </w:r>
      <w:r w:rsidRPr="00AD2F44">
        <w:rPr>
          <w:i/>
          <w:iCs/>
        </w:rPr>
        <w:t>see also</w:t>
      </w:r>
      <w:r w:rsidRPr="00AD2F44">
        <w:t xml:space="preserve"> </w:t>
      </w:r>
      <w:r w:rsidRPr="00AD2F44">
        <w:rPr>
          <w:i/>
          <w:iCs/>
        </w:rPr>
        <w:t>Clay</w:t>
      </w:r>
      <w:r w:rsidRPr="00AD2F44">
        <w:t xml:space="preserve">, 2019 WL 1028532; </w:t>
      </w:r>
      <w:r w:rsidRPr="00AD2F44">
        <w:rPr>
          <w:i/>
          <w:iCs/>
        </w:rPr>
        <w:t>Sanders</w:t>
      </w:r>
      <w:r w:rsidRPr="00AD2F44">
        <w:t>, 2019 WL 129769.</w:t>
      </w:r>
    </w:p>
  </w:footnote>
  <w:footnote w:id="536">
    <w:p w14:paraId="0C457456" w14:textId="77777777" w:rsidR="00721CCF" w:rsidRPr="00AD2F44" w:rsidRDefault="00F42107">
      <w:pPr>
        <w:pStyle w:val="14Footnote"/>
      </w:pPr>
      <w:r w:rsidRPr="00AD2F44">
        <w:rPr>
          <w:vertAlign w:val="superscript"/>
        </w:rPr>
        <w:footnoteRef/>
      </w:r>
      <w:r w:rsidRPr="00AD2F44">
        <w:rPr>
          <w:i/>
        </w:rPr>
        <w:t xml:space="preserve">See, e.g., </w:t>
      </w:r>
    </w:p>
    <w:p w14:paraId="5F8CB984" w14:textId="77777777" w:rsidR="00721CCF" w:rsidRPr="00AD2F44" w:rsidRDefault="00F42107">
      <w:pPr>
        <w:pStyle w:val="14Footnote"/>
      </w:pPr>
      <w:r w:rsidRPr="00AD2F44">
        <w:rPr>
          <w:i/>
          <w:iCs/>
        </w:rPr>
        <w:t>Second Circuit:</w:t>
      </w:r>
      <w:r w:rsidRPr="00AD2F44">
        <w:t xml:space="preserve"> Adami v. Cardo Windows, Inc., 2016 WL 1241798, at *11 (D.N.J. Mar. 30, 2016) (“Any minimal savings in time and resources that might be had adjudicating one collective action on Cardo’s practice of classifying window installers as independent contractors rather than employees instead of trying three smaller cases is erased when the Court considers the inevitability of three mini trials in any case.”); </w:t>
      </w:r>
      <w:r w:rsidRPr="00AD2F44">
        <w:t>Zivali v. AT&amp;T Mobility, LLC, 784 F. Supp. 2d 456, 468–69 (S.D.N.Y. 2011) (reasoning that existence of “very few common issues of fact” precluded representative testimony from plaintiffs on behalf of the 4,100 opt-ins, making case unmanageable, as it would devolve into 4,100 mini-trials, which is “‘antithesis of collective action treatment’”) (citation omitted).</w:t>
      </w:r>
    </w:p>
    <w:p w14:paraId="34B5F896" w14:textId="77777777" w:rsidR="00721CCF" w:rsidRPr="00AD2F44" w:rsidRDefault="00F42107">
      <w:pPr>
        <w:pStyle w:val="14Footnote"/>
      </w:pPr>
      <w:r w:rsidRPr="00AD2F44">
        <w:rPr>
          <w:i/>
          <w:iCs/>
        </w:rPr>
        <w:t>Third Circuit:</w:t>
      </w:r>
      <w:r w:rsidRPr="00AD2F44">
        <w:t xml:space="preserve"> Prise v. Alderwoods Grp., Inc., 817 F. Supp. 2d 651, 681 (W.D. Pa. 2011) (granting decertification motion for nationwide collective action, given that individualized inquiries on liability would create hundreds of mini-trials); Morisky v. Public Serv. Elec. &amp; Gas Co., 111 F. Supp. 2d 493, 499 (D.N.J. 2000) (granting motion for decertification in part because litigating the case would be inefficient because “[t]he exempt or non-exempt status of potentially hundreds of employees would need to be determined on a job-by-job, or more likely, an employee-by-employee basis”).</w:t>
      </w:r>
    </w:p>
    <w:p w14:paraId="440E6118" w14:textId="77777777" w:rsidR="00721CCF" w:rsidRPr="00AD2F44" w:rsidRDefault="00F42107">
      <w:pPr>
        <w:pStyle w:val="14Footnote"/>
      </w:pPr>
      <w:r w:rsidRPr="00AD2F44">
        <w:rPr>
          <w:i/>
          <w:iCs/>
        </w:rPr>
        <w:t>Fifth Circuit:</w:t>
      </w:r>
      <w:r w:rsidRPr="00AD2F44">
        <w:t xml:space="preserve"> Johnson v. Big Lots Stores, Inc., 561 F. Supp. 2d 567, 588 (E.D. La. 2008) (explaining “the all or nothing posture of this case makes ruling on the merits fundamentally unfair to both sides”).</w:t>
      </w:r>
    </w:p>
    <w:p w14:paraId="76AF9DF2" w14:textId="77777777" w:rsidR="00721CCF" w:rsidRPr="00AD2F44" w:rsidRDefault="00F42107">
      <w:pPr>
        <w:pStyle w:val="14Footnote"/>
      </w:pPr>
      <w:r w:rsidRPr="00AD2F44">
        <w:rPr>
          <w:i/>
          <w:iCs/>
        </w:rPr>
        <w:t>Sixth Circuit:</w:t>
      </w:r>
      <w:r w:rsidRPr="00AD2F44">
        <w:t xml:space="preserve"> Creely v. HCR Manorcare, Inc., 920 F. Supp. 2d 846, 857 (N.D. Ohio 2013) (“Despite the fact that Defendant’s auto-deduct policy applied to all Plaintiffs, Plaintiffs’ right to compensation hinges on their individual experiences. It is unclear how proceeding collectively and using representative testimony would be fair or useful. For example, this Court does not find that representative testimony from licensed practical nurses in one location would necessarily be representative of individuals who held even the same position in another location. These individuals had different experiences and worked under different managers who may have implemented Defendant’s policy in different ways.”); Oetinger v. First Residential Mortg. Network, 2009 WL 2162963, at *4 (W.D. Ky. July 16, 2009) (reasoning that variations in duties, responsibilities, and amount of work for each class member “probably negate[d]” benefits to be obtained by collective treatment).</w:t>
      </w:r>
    </w:p>
    <w:p w14:paraId="4A4B5103" w14:textId="77777777" w:rsidR="00721CCF" w:rsidRPr="00AD2F44" w:rsidRDefault="00F42107">
      <w:pPr>
        <w:pStyle w:val="14Footnote"/>
      </w:pPr>
      <w:r w:rsidRPr="00AD2F44">
        <w:rPr>
          <w:i/>
          <w:iCs/>
        </w:rPr>
        <w:t>Seventh Circuit:</w:t>
      </w:r>
      <w:r w:rsidRPr="00AD2F44">
        <w:t xml:space="preserve"> Espenscheid v. DirectS</w:t>
      </w:r>
      <w:r w:rsidRPr="00AD2F44">
        <w:rPr>
          <w:caps/>
        </w:rPr>
        <w:t>at</w:t>
      </w:r>
      <w:r w:rsidRPr="00AD2F44">
        <w:t xml:space="preserve"> USA, LLC, 705 F.3d 770, 775–76 (7th Cir. 2013) (affirming decertification of collective action where some plaintiffs did not work overtime and there was a wide disparity of types and amounts of unpaid overtime hours claimed by those who claimed they did); </w:t>
      </w:r>
      <w:r w:rsidRPr="00AD2F44">
        <w:rPr>
          <w:i/>
          <w:iCs/>
        </w:rPr>
        <w:t>Blakes</w:t>
      </w:r>
      <w:r w:rsidRPr="00AD2F44">
        <w:t>, 2013 WL 6662831, at *17–21 (denying decertification as to policy of requiring post-shift working time off the clock, but granting decertification as to claims that plaintiffs worked during lunch to improve efficiency because whether such off-the-clock work occurred and the alleged reasons for performing off-the-clock work varied among class members).</w:t>
      </w:r>
    </w:p>
    <w:p w14:paraId="466FC2EC" w14:textId="77777777" w:rsidR="00721CCF" w:rsidRPr="00AD2F44" w:rsidRDefault="00F42107">
      <w:pPr>
        <w:pStyle w:val="14Footnote"/>
      </w:pPr>
      <w:r w:rsidRPr="00AD2F44">
        <w:rPr>
          <w:i/>
          <w:iCs/>
        </w:rPr>
        <w:t>Eighth Circuit:</w:t>
      </w:r>
      <w:r w:rsidRPr="00AD2F44">
        <w:t xml:space="preserve"> King v. West Corp., 2006 WL 118577, at *15 (D. Neb. Jan. 13, 2006) (granting motion for decertification where “[t]he exempt or non-exempt status of 177 opt-in plaintiffs would need to be determined on a job-by-job, or an employee-by-employee basis, resulting in essentially individual trials, even if a class were certified”).</w:t>
      </w:r>
    </w:p>
    <w:p w14:paraId="4895A19D" w14:textId="77777777" w:rsidR="00721CCF" w:rsidRPr="00AD2F44" w:rsidRDefault="00F42107">
      <w:pPr>
        <w:pStyle w:val="14Footnote"/>
      </w:pPr>
      <w:r w:rsidRPr="00AD2F44">
        <w:rPr>
          <w:i/>
          <w:iCs/>
        </w:rPr>
        <w:t>Ninth Circuit:</w:t>
      </w:r>
      <w:r w:rsidRPr="00AD2F44">
        <w:t xml:space="preserve"> Sargent v. HG Staffing, LLC, 171 F. Supp. 3d 1063, 1083–84 (D. Nev. 2016) (“[Use of representative testimony] would result in some Plaintiffs being prejudiced by underpayment on their claims as well as prejudice to Defendants, who would overpay some Plaintiffs on their claims. … Further, failing to decertify the conditionally-certified class will unfairly and prejudicially require Defendants to prepare for and present hundreds of different trials simultaneously.”); Hernandez v. United Auto Credit Corp., 2010 WL 1337702, at *5 (N.D. Cal. Apr. 2, 2010) (reasoning that collective action could not proceed “fairly and efficiently” given need to examine each plaintiff’s work situation individually; even if classwide ruling on liability could be obtained, court would still have to determine “individualized damages”); Smith v. T-Mobile USA, Inc., 2007 WL 2385131, at *8 (C.D. Cal. Aug. 15, 2007) (finding that proceeding collectively in off-the-clock case would be unmanageable because claims and defenses would have to be made individually as to each plaintiff).</w:t>
      </w:r>
    </w:p>
    <w:p w14:paraId="2F65E19F" w14:textId="411E05AB" w:rsidR="00721CCF" w:rsidRPr="00AD2F44" w:rsidRDefault="00F42107">
      <w:pPr>
        <w:pStyle w:val="14Footnote"/>
      </w:pPr>
      <w:r w:rsidRPr="00AD2F44">
        <w:rPr>
          <w:i/>
          <w:iCs/>
        </w:rPr>
        <w:t>Eleventh Circuit:</w:t>
      </w:r>
      <w:r w:rsidRPr="00AD2F44">
        <w:t xml:space="preserve"> Mathis v. Darden Rests., 2014 WL 4428171, at *5 (S.D. Fla. Sept. 1, 2014) (finding that collective treatment of 20,000 plaintiffs’ claims would be unfair because “representative evidence or damage models would not account for material distinctions between Defendants’ liability to different Opt-In Plaintiffs. Defendants would face all-or-nothing liability for large groups of employees, despite those employees’ dissimilar working conditions. … and [individual opt-in plaintiffs would] receive either windfalls or insufficient recoveries.”); Rindfleisch v. Gentiva Servs., Inc., 22 F. Supp. 3d 1295, 1303 (N.D. Ga. 2014) (decertifying collective action where proceeding collectively could result in recovery by plaintiffs who did not work overtime).</w:t>
      </w:r>
    </w:p>
  </w:footnote>
  <w:footnote w:id="537">
    <w:p w14:paraId="728D6594" w14:textId="77777777" w:rsidR="00721CCF" w:rsidRPr="00AD2F44" w:rsidRDefault="00F42107">
      <w:pPr>
        <w:pStyle w:val="14Footnote"/>
      </w:pPr>
      <w:r w:rsidRPr="00AD2F44">
        <w:rPr>
          <w:vertAlign w:val="superscript"/>
        </w:rPr>
        <w:footnoteRef/>
      </w:r>
      <w:r w:rsidRPr="00AD2F44">
        <w:rPr>
          <w:i/>
          <w:iCs/>
        </w:rPr>
        <w:t>Second Circuit:</w:t>
      </w:r>
      <w:r w:rsidRPr="00AD2F44">
        <w:t xml:space="preserve"> Johnson v. Wave Comm GR LLC, 4 F. Supp. 3d 453, 461 (N.D.N.Y. 2014) (“If this action were to be decertified, adjudication of these claims would require hundreds of mini trials.”).</w:t>
      </w:r>
    </w:p>
    <w:p w14:paraId="357ED048" w14:textId="77777777" w:rsidR="00721CCF" w:rsidRPr="00AD2F44" w:rsidRDefault="00F42107">
      <w:pPr>
        <w:pStyle w:val="14Footnote"/>
      </w:pPr>
      <w:r w:rsidRPr="00AD2F44">
        <w:rPr>
          <w:i/>
          <w:iCs/>
        </w:rPr>
        <w:t>Third Circuit:</w:t>
      </w:r>
      <w:r w:rsidRPr="00AD2F44">
        <w:t xml:space="preserve"> Rivet v. Office Depot, Inc., 207 F. Supp. 3d 417, 428 (D.N.J. 2016) (“Moreover, even if many [assistant store managers] did individually sue, litigating hundreds of individual wage and hour claims arising out of the same corporate policy would place an onerous—and totally unnecessary––burden on this Court.”); Moss v. Crawford &amp; Co., 201 F.R.D. 398, 411 (W.D. Pa. 2000) (denying motion for decertification where it “would require the court to perform the statute of limitations analysis in over seventy separate lawsuits and would be an inefficient use of this court’s limited time”).</w:t>
      </w:r>
    </w:p>
    <w:p w14:paraId="5D093B30" w14:textId="77777777" w:rsidR="00721CCF" w:rsidRPr="00AD2F44" w:rsidRDefault="00F42107">
      <w:pPr>
        <w:pStyle w:val="14Footnote"/>
      </w:pPr>
      <w:r w:rsidRPr="00AD2F44">
        <w:rPr>
          <w:i/>
          <w:iCs/>
        </w:rPr>
        <w:t xml:space="preserve">Fifth Circuit: </w:t>
      </w:r>
      <w:r w:rsidRPr="00AD2F44">
        <w:t>Escobedo v. Dynasty Insulation, Inc., 2009 WL 2382982, at *7–8 (W.D. Tex. July 31, 2009) (reasoning that “little benefit” would obtain from decertification where defendant’s argument was based on statute of limitations; issues of equitable tolling and estoppel on which plaintiffs were relying would be left to be litigated in another case, or several other cases, all relating to one defendant’s pay practices during “a single construction project”).</w:t>
      </w:r>
    </w:p>
    <w:p w14:paraId="463082E5" w14:textId="77777777" w:rsidR="00721CCF" w:rsidRPr="00AD2F44" w:rsidRDefault="00F42107">
      <w:pPr>
        <w:pStyle w:val="14Footnote"/>
      </w:pPr>
      <w:r w:rsidRPr="00AD2F44">
        <w:rPr>
          <w:i/>
          <w:iCs/>
        </w:rPr>
        <w:t>Sixth Circuit:</w:t>
      </w:r>
      <w:r w:rsidRPr="00AD2F44">
        <w:t xml:space="preserve"> Monroe v. FTS USA, LLC, 763 F. Supp. 2d 979 (W.D. Tenn. 2011) (denying decertification because it would result in 300 mini-trials that would run afoul of goals of collective actions in §216(b)); Crawford v. Lexington-Fayette Urban Cnty. Gov’t, 2008 WL 2885230, at *10 (E.D. Ky. July 22, 2008) (denying decertification motion in part because it “would require the same analysis of whether the plaintiff was required to record his time in over 300 separate lawsuits, which would be an inefficient way of resolving this issue”); Wilks v. Pep Boys, 2006 WL 2821700, at *8 (M.D. Tenn. Sept. 26, 2006) (denying decertification motion in part because requiring each plaintiff to provide his claims individually “would waste more judicial time and resources than trying their cases individually would preserve”).</w:t>
      </w:r>
    </w:p>
    <w:p w14:paraId="4E1A5898" w14:textId="0D2A5EEE" w:rsidR="00721CCF" w:rsidRPr="00AD2F44" w:rsidRDefault="00F42107">
      <w:pPr>
        <w:pStyle w:val="14Footnote"/>
      </w:pPr>
      <w:r w:rsidRPr="00AD2F44">
        <w:rPr>
          <w:i/>
          <w:iCs/>
        </w:rPr>
        <w:t>Eighth Circuit:</w:t>
      </w:r>
      <w:r w:rsidRPr="00AD2F44">
        <w:t xml:space="preserve"> Brackett v. St. Louis Bd. of Police Com</w:t>
      </w:r>
      <w:r>
        <w:t>m</w:t>
      </w:r>
      <w:r w:rsidRPr="00AD2F44">
        <w:t>’rs, 2014 WL 1377460, at *3 (E.D. Mo. April 8, 2014) (noting that decertification would require 20 or more individual determinations of essentially the same legal issue); Nerland v. Caribou Coffee Co., 564 F. Supp. 2d 1010, 1025 (D. Minn. 2007) (denying motion for decertification in part because “a requirement that each plaintiff prove his or her claim of misclassification individually would waste more judicial time and resources than trying [approximately 300] plaintiffs’ cases individually would preserve”).</w:t>
      </w:r>
    </w:p>
    <w:p w14:paraId="63C58B0B" w14:textId="77777777" w:rsidR="00721CCF" w:rsidRPr="00AD2F44" w:rsidRDefault="00F42107">
      <w:pPr>
        <w:pStyle w:val="14Footnote"/>
      </w:pPr>
      <w:r w:rsidRPr="00AD2F44">
        <w:rPr>
          <w:i/>
          <w:iCs/>
        </w:rPr>
        <w:t xml:space="preserve">Tenth Circuit: </w:t>
      </w:r>
      <w:r w:rsidRPr="00AD2F44">
        <w:t>Jancich v. Stonegate Mortg. Corp., 2014 WL 1011480, at *4 (D. Kan. Mar. 17, 2014) (allowing plaintiffs to proceed in one action is more efficient than having 12 plaintiffs re-file actions and start all over again with substantially similar issues); Underwood v. NMC Mortg. Corp., 2009 WL 1322588, at *5 (D. Kan. May 11, 2009) (finding that it would be more efficient to have one lawsuit than 32, particularly where individualized fact determinations primarily related to damages, and one lawsuit permitted pooling of resources).</w:t>
      </w:r>
    </w:p>
    <w:p w14:paraId="2C741E4E" w14:textId="1CF72F5E" w:rsidR="00721CCF" w:rsidRPr="00AD2F44" w:rsidRDefault="00F42107">
      <w:pPr>
        <w:pStyle w:val="14Footnote"/>
      </w:pPr>
      <w:r w:rsidRPr="00AD2F44">
        <w:rPr>
          <w:i/>
          <w:iCs/>
        </w:rPr>
        <w:t>Eleventh Circuit:</w:t>
      </w:r>
      <w:r w:rsidRPr="00AD2F44">
        <w:t xml:space="preserve"> Morgan v. Family Dollar Stores, Inc., 551 F.3d 1233, 1265 (11th Cir. 2008) (holding the interests of judicial economy would not be served if the court had to conduct 1,424 individual trials regarding substantially similar overtime claims).</w:t>
      </w:r>
    </w:p>
  </w:footnote>
  <w:footnote w:id="538">
    <w:p w14:paraId="7DBB7318" w14:textId="77777777" w:rsidR="00721CCF" w:rsidRPr="00AD2F44" w:rsidRDefault="00F42107">
      <w:pPr>
        <w:pStyle w:val="14Footnote"/>
      </w:pPr>
      <w:r w:rsidRPr="00AD2F44">
        <w:rPr>
          <w:vertAlign w:val="superscript"/>
        </w:rPr>
        <w:footnoteRef/>
      </w:r>
      <w:r w:rsidRPr="00AD2F44">
        <w:rPr>
          <w:i/>
          <w:iCs/>
        </w:rPr>
        <w:t>See, e.g.,</w:t>
      </w:r>
    </w:p>
    <w:p w14:paraId="1B3B5AFA" w14:textId="77777777" w:rsidR="00721CCF" w:rsidRPr="00AD2F44" w:rsidRDefault="00F42107">
      <w:pPr>
        <w:pStyle w:val="14Footnote"/>
      </w:pPr>
      <w:r w:rsidRPr="00AD2F44">
        <w:rPr>
          <w:i/>
          <w:iCs/>
        </w:rPr>
        <w:t>Second Circuit:</w:t>
      </w:r>
      <w:r w:rsidRPr="00AD2F44">
        <w:t xml:space="preserve"> Ayers v. SGS Control Serv., Inc., 2007 WL 646326, at *5 (S.D.N.Y. Feb. 27, 2007) (noting individual issues arising as a result of the plaintiffs’ fluctuating workweek claims could be resolved by the creation of subclasses by division, claim, or subclaim).</w:t>
      </w:r>
    </w:p>
    <w:p w14:paraId="4F1DFB04" w14:textId="77777777" w:rsidR="00721CCF" w:rsidRPr="00AD2F44" w:rsidRDefault="00F42107">
      <w:pPr>
        <w:pStyle w:val="14Footnote"/>
      </w:pPr>
      <w:r w:rsidRPr="00AD2F44">
        <w:rPr>
          <w:i/>
          <w:iCs/>
        </w:rPr>
        <w:t>Fourth Circuit:</w:t>
      </w:r>
      <w:r w:rsidRPr="00AD2F44">
        <w:t xml:space="preserve"> Rawls v. Augustine Home Health Care, Inc., 244 F.R.D. 298, 302 (D. Md. 2007) (holding nationwide treatment was not appropriate in an exemption case but denying motion for decertification and instead dividing the collective into four separate subgroups, one for each facility).</w:t>
      </w:r>
    </w:p>
    <w:p w14:paraId="4C33AC42" w14:textId="77777777" w:rsidR="00721CCF" w:rsidRPr="00AD2F44" w:rsidRDefault="00F42107">
      <w:pPr>
        <w:pStyle w:val="14Footnote"/>
      </w:pPr>
      <w:r w:rsidRPr="00AD2F44">
        <w:rPr>
          <w:i/>
          <w:iCs/>
        </w:rPr>
        <w:t>Sixth Circuit:</w:t>
      </w:r>
      <w:r w:rsidRPr="00AD2F44">
        <w:t xml:space="preserve"> </w:t>
      </w:r>
      <w:r w:rsidRPr="00AD2F44">
        <w:rPr>
          <w:i/>
          <w:iCs/>
        </w:rPr>
        <w:t>Wilks</w:t>
      </w:r>
      <w:r w:rsidRPr="00AD2F44">
        <w:t>, 2006 WL 2821700, at *7 (noting “factually disparate plaintiffs are often divided into subclasses for the purposes of judicial efficiency at trial”); Jordan v. IBP, Inc., 542 F. Supp. 2d 790, 813 (M.D. Tenn. 2008) (denying defendant’s motion for decertification and concluding any factual distinctions between the plaintiffs could be addressed by dividing collective of meat processing employees into two subclasses: (1) employees who performed only non-production line work during their meal periods and (2) employees who performed both production line work and non-production line work during their meal periods).</w:t>
      </w:r>
    </w:p>
    <w:p w14:paraId="756437B7" w14:textId="15EF4DFB" w:rsidR="00721CCF" w:rsidRPr="00AD2F44" w:rsidRDefault="00F42107">
      <w:pPr>
        <w:pStyle w:val="14Footnote"/>
      </w:pPr>
      <w:r w:rsidRPr="00AD2F44">
        <w:rPr>
          <w:i/>
          <w:iCs/>
        </w:rPr>
        <w:t>Seventh Circuit:</w:t>
      </w:r>
      <w:r w:rsidRPr="00AD2F44">
        <w:t xml:space="preserve"> Alvarez v. City of Chi., 605 F.3d 445, 448–50 (7th Cir. 2010) (recognizing that courts may consider use of subclaims in FLSA collective actions); Mielke v. Laidlaw Transit, Inc., 313 F. Supp. 2d 759 (N.D. Ill. 2004) (decertifying nationwide off-the-clock collective involving employees at 38 terminals in 20 states but allowing collective treatment of two terminals).</w:t>
      </w:r>
    </w:p>
  </w:footnote>
  <w:footnote w:id="539">
    <w:p w14:paraId="20BA5C39" w14:textId="77777777" w:rsidR="00721CCF" w:rsidRPr="00AD2F44" w:rsidRDefault="00F42107">
      <w:pPr>
        <w:pStyle w:val="14Footnote"/>
      </w:pPr>
      <w:r w:rsidRPr="00AD2F44">
        <w:rPr>
          <w:vertAlign w:val="superscript"/>
        </w:rPr>
        <w:footnoteRef/>
      </w:r>
      <w:r w:rsidRPr="00AD2F44">
        <w:t xml:space="preserve">O’Brien v. Ed Donnelly Enters., 575 F.3d 567, 586 (6th Cir. 2009); </w:t>
      </w:r>
      <w:r w:rsidRPr="00AD2F44">
        <w:rPr>
          <w:i/>
          <w:iCs/>
        </w:rPr>
        <w:t>cf</w:t>
      </w:r>
      <w:r w:rsidRPr="00AD2F44">
        <w:t>. Roussell v. Brinker Int’l, Inc., 2009 WL 3149612 (S.D. Tex. Apr. 29, 2009) (describing court’s successive grants of partial decertification, first of all opt-ins other than those who had been deposed or worked in named plaintiffs’ stores, and then of any who had not been deposed).</w:t>
      </w:r>
    </w:p>
  </w:footnote>
  <w:footnote w:id="540">
    <w:p w14:paraId="2870AA2F" w14:textId="77777777" w:rsidR="00721CCF" w:rsidRPr="00AD2F44" w:rsidRDefault="00F42107">
      <w:pPr>
        <w:pStyle w:val="14Footnote"/>
      </w:pPr>
      <w:r w:rsidRPr="00AD2F44">
        <w:rPr>
          <w:vertAlign w:val="superscript"/>
        </w:rPr>
        <w:footnoteRef/>
      </w:r>
      <w:r w:rsidRPr="00AD2F44">
        <w:rPr>
          <w:i/>
          <w:iCs/>
        </w:rPr>
        <w:t>O’Brien</w:t>
      </w:r>
      <w:r w:rsidRPr="00AD2F44">
        <w:t xml:space="preserve">, 575 F.3d at 586. Although the Sixth Circuit criticized the district court, it affirmed the decertification order because many of the opt-in plaintiffs had claims that were either claim precluded or mooted by an offer of judgment. </w:t>
      </w:r>
      <w:r w:rsidRPr="00AD2F44">
        <w:rPr>
          <w:i/>
          <w:iCs/>
        </w:rPr>
        <w:t>Id</w:t>
      </w:r>
      <w:r w:rsidRPr="00AD2F44">
        <w:t xml:space="preserve">.; </w:t>
      </w:r>
      <w:r w:rsidRPr="00AD2F44">
        <w:rPr>
          <w:i/>
          <w:iCs/>
        </w:rPr>
        <w:t>see also</w:t>
      </w:r>
      <w:r w:rsidRPr="00AD2F44">
        <w:t xml:space="preserve"> Smith v. Family Video Movie Club, Inc., 2015 WL 1542649, at *8 (N.D. Ill. Mar. 31, 2015) (partially decertifying collective action; permitting continued certification for claims seeking overtime pay on commission pay and for time spent off the clock making bank deposits, but decertifying all other off-the-clock work claims); Blakes v. Illinois Bell Tel. Co., 2013 WL 6662831, at *17–21 (N.D. Ill. Dec. 17, 2013) (partially decertifying collective action).</w:t>
      </w:r>
    </w:p>
  </w:footnote>
  <w:footnote w:id="541">
    <w:p w14:paraId="053D9EC0" w14:textId="77777777" w:rsidR="00721CCF" w:rsidRPr="00AD2F44" w:rsidRDefault="00F42107">
      <w:pPr>
        <w:pStyle w:val="14Footnote"/>
      </w:pPr>
      <w:r w:rsidRPr="00AD2F44">
        <w:rPr>
          <w:vertAlign w:val="superscript"/>
        </w:rPr>
        <w:footnoteRef/>
      </w:r>
      <w:r w:rsidRPr="00AD2F44">
        <w:t>705 F.3d 770 (7th Cir. 2013).</w:t>
      </w:r>
    </w:p>
  </w:footnote>
  <w:footnote w:id="542">
    <w:p w14:paraId="27FFDEC7" w14:textId="77777777" w:rsidR="00721CCF" w:rsidRPr="00AD2F44" w:rsidRDefault="00F42107">
      <w:pPr>
        <w:pStyle w:val="14Footnote"/>
      </w:pPr>
      <w:r w:rsidRPr="00AD2F44">
        <w:rPr>
          <w:vertAlign w:val="superscript"/>
        </w:rPr>
        <w:footnoteRef/>
      </w:r>
      <w:r w:rsidRPr="00AD2F44">
        <w:rPr>
          <w:i/>
          <w:iCs/>
        </w:rPr>
        <w:t>Id</w:t>
      </w:r>
      <w:r w:rsidRPr="00AD2F44">
        <w:t xml:space="preserve">. at 775; </w:t>
      </w:r>
      <w:r w:rsidRPr="00AD2F44">
        <w:rPr>
          <w:i/>
          <w:iCs/>
        </w:rPr>
        <w:t xml:space="preserve">see also </w:t>
      </w:r>
      <w:r w:rsidRPr="00AD2F44">
        <w:t xml:space="preserve">Arnold v. DirecTV, LLC, 2017 WL 1251033, at *8 (E.D. Mo. Mar. 31, 2017) (“The Court has considered Plaintiffs’ trial plan, and finds that proceeding collectively on the individualized claims of hundreds of technicians would most certainly result in jury confusion as well as prejudice to DirecTV. Based on the evidence presented, Plaintiffs’ claims are dependent upon factors such as site location, work state, supervisor, individual technicians’ practice with respect to recording productive and nonproductive time, and whether they had written agreements regarding their pay. While some evidence will likely overlap between Plaintiffs, ‘each Plaintiff’s claim is, at its core, an individualized one that will be dominated by individualized proof,’ requiring a jury to sort out all of that evidence—Plaintiff by Plaintiff—to make specific, fact-intensive findings.”); DeSilva v. North Shore-Long Island Jewish Health Sys., Inc., 27 F. Supp. 3d 313, 327 (E.D.N.Y. 2014) (“Plaintiffs needed to provide more than bare assurances regarding trial manageability; it was incumbent on them to account for the rampant factual differences discussed </w:t>
      </w:r>
      <w:r w:rsidRPr="00AD2F44">
        <w:rPr>
          <w:i/>
          <w:iCs/>
        </w:rPr>
        <w:t xml:space="preserve">supra </w:t>
      </w:r>
      <w:r w:rsidRPr="00AD2F44">
        <w:t>and to demonstrate how this case could be tried fairly, based on common proof. They have utterly failed to do so.”); Wilson v. Navika Capital Grp., LLC, 2014 WL 2534904, at *2, 5–7 (S.D. Tex. June 4, 2014) (decertifying collective action, despite reduction in class size from 330 plaintiffs to 42 plaintiffs because plaintiffs did not set forth workable trial plan); Camilotes v. Resurrection Health Care Corp., 286 F.R.D. 339, 354 (N.D. Ill. 2012) (decertifying collective action where plaintiffs “fail[ed] to propose any specific trial plan”).</w:t>
      </w:r>
    </w:p>
  </w:footnote>
  <w:footnote w:id="543">
    <w:p w14:paraId="1E124685" w14:textId="77777777" w:rsidR="00721CCF" w:rsidRPr="00AD2F44" w:rsidRDefault="00F42107">
      <w:pPr>
        <w:pStyle w:val="14Footnote"/>
      </w:pPr>
      <w:r w:rsidRPr="00AD2F44">
        <w:rPr>
          <w:vertAlign w:val="superscript"/>
        </w:rPr>
        <w:footnoteRef/>
      </w:r>
      <w:r w:rsidRPr="00AD2F44">
        <w:rPr>
          <w:i/>
          <w:iCs/>
        </w:rPr>
        <w:t>See, e.g.,</w:t>
      </w:r>
    </w:p>
    <w:p w14:paraId="3E282812" w14:textId="77777777" w:rsidR="00721CCF" w:rsidRPr="00AD2F44" w:rsidRDefault="00F42107">
      <w:pPr>
        <w:pStyle w:val="14Footnote"/>
      </w:pPr>
      <w:r w:rsidRPr="00AD2F44">
        <w:rPr>
          <w:i/>
          <w:iCs/>
        </w:rPr>
        <w:t>Second Circuit:</w:t>
      </w:r>
      <w:r w:rsidRPr="00AD2F44">
        <w:t xml:space="preserve"> Griffith v. Fordham Fin. Mgmt., Inc., 2016 WL 354895, at *3 (S.D.N.Y. Jan. 28, 2016) (granting motion to decertify in independent contractor case, opining that “[d]etermining whether Plaintiffs were employees or independent contractors is not capable of resolution by classwide proof, and will instead require highly individualized inquiries” where plaintiffs worked over differing time periods, under various different schedules and varying contracts (or no contract at all), and were subject to different levels of control by company).</w:t>
      </w:r>
    </w:p>
    <w:p w14:paraId="25960685" w14:textId="77777777" w:rsidR="00721CCF" w:rsidRPr="00AD2F44" w:rsidRDefault="00F42107">
      <w:pPr>
        <w:pStyle w:val="14Footnote"/>
      </w:pPr>
      <w:r w:rsidRPr="00AD2F44">
        <w:rPr>
          <w:i/>
          <w:iCs/>
        </w:rPr>
        <w:t>Third Circuit:</w:t>
      </w:r>
      <w:r w:rsidRPr="00AD2F44">
        <w:t xml:space="preserve"> Adami v. Cardo Windows, Inc., 2016 WL 1241798, at *1 (D.N.J. Mar. 30, 2016) (independent contractor classification).</w:t>
      </w:r>
    </w:p>
    <w:p w14:paraId="0784D6D7" w14:textId="77777777" w:rsidR="00721CCF" w:rsidRPr="00AD2F44" w:rsidRDefault="00F42107">
      <w:pPr>
        <w:pStyle w:val="14Footnote"/>
      </w:pPr>
      <w:r w:rsidRPr="00AD2F44">
        <w:rPr>
          <w:i/>
          <w:iCs/>
        </w:rPr>
        <w:t>Fourth Circuit:</w:t>
      </w:r>
      <w:r w:rsidRPr="00AD2F44">
        <w:t xml:space="preserve"> Randolph v. PowerComm Constr., Inc., 309 F.R.D. 349, 368 (D. Md. 2015) (independent contractor classification of traffic controllers); Rehberg v. Flowers Baking Co. of Jamestown, LLC, 2015 WL 1346125, at *15 (W.D.N.C. Mar. 24, 2015) (independent contractor classification).</w:t>
      </w:r>
    </w:p>
    <w:p w14:paraId="0E32A444" w14:textId="77777777" w:rsidR="00721CCF" w:rsidRPr="00AD2F44" w:rsidRDefault="00F42107">
      <w:pPr>
        <w:pStyle w:val="14Footnote"/>
      </w:pPr>
      <w:r w:rsidRPr="00AD2F44">
        <w:rPr>
          <w:i/>
          <w:iCs/>
        </w:rPr>
        <w:t>Fifth Circuit:</w:t>
      </w:r>
      <w:r w:rsidRPr="00AD2F44">
        <w:t xml:space="preserve"> Radford v. Pevator Cos, Ltd., 2019 WL 7282110 (S.D. Tex. Dec. 27, 2019) (granting decertification motion, finding no common work routine among auto service managers on type and frequency of tasks). </w:t>
      </w:r>
    </w:p>
    <w:p w14:paraId="076D95A2" w14:textId="255E1082" w:rsidR="00721CCF" w:rsidRPr="00AD2F44" w:rsidRDefault="00F42107">
      <w:pPr>
        <w:pStyle w:val="14Footnote"/>
      </w:pPr>
      <w:r w:rsidRPr="00AD2F44">
        <w:rPr>
          <w:i/>
          <w:iCs/>
        </w:rPr>
        <w:t>Eighth Circuit:</w:t>
      </w:r>
      <w:r w:rsidRPr="00AD2F44">
        <w:t xml:space="preserve"> Olukayode v. UnitedHealth Grp., 2021 BL 290601, 2021 WL 3293648 (D. Minn. Aug. 2, 2021) (granting decertification motion, finding varying work experiences among clinicians made collective liability cumbersome and would result in unmanageable mini-trials for each plaintiff). </w:t>
      </w:r>
    </w:p>
    <w:p w14:paraId="47D473FC" w14:textId="6588A921" w:rsidR="00721CCF" w:rsidRPr="00AD2F44" w:rsidRDefault="00F42107">
      <w:pPr>
        <w:pStyle w:val="14Footnote"/>
      </w:pPr>
      <w:r w:rsidRPr="00AD2F44">
        <w:rPr>
          <w:i/>
          <w:iCs/>
        </w:rPr>
        <w:t>Ninth Circuit:</w:t>
      </w:r>
      <w:r w:rsidRPr="00AD2F44">
        <w:t xml:space="preserve"> </w:t>
      </w:r>
      <w:r w:rsidR="00893AD9">
        <w:t xml:space="preserve">Ludlow v. Flower Foods, Inc., </w:t>
      </w:r>
      <w:r w:rsidR="001E073D" w:rsidRPr="001E073D">
        <w:t>2023 BL 85277</w:t>
      </w:r>
      <w:r w:rsidR="001E073D">
        <w:t xml:space="preserve">, </w:t>
      </w:r>
      <w:r w:rsidR="002055B0" w:rsidRPr="002055B0">
        <w:t>2023 WL 2534618</w:t>
      </w:r>
      <w:r w:rsidR="002055B0">
        <w:t>, at *4</w:t>
      </w:r>
      <w:r w:rsidR="002055B0" w:rsidRPr="002055B0">
        <w:t xml:space="preserve"> </w:t>
      </w:r>
      <w:r w:rsidR="00893AD9">
        <w:t>(S.D. Cal. Mar. 15, 2023) (denying motion for decertification finding distributors</w:t>
      </w:r>
      <w:r w:rsidR="00893AD9">
        <w:t xml:space="preserve"> agreement, which all class members, signed provided common proof of many of the “economic realities” factors that determined whether an employment relationship existed); </w:t>
      </w:r>
      <w:r w:rsidRPr="00AD2F44">
        <w:t>Collinge v. IntelliQuick Delivery, Inc., 2015 WL 1292444, at *2–8 (D. Ariz. Mar. 23, 2015) (denying decertification motion in case involving the independent contractor classification of delivery drivers).</w:t>
      </w:r>
    </w:p>
    <w:p w14:paraId="3C7255A0" w14:textId="77777777" w:rsidR="00721CCF" w:rsidRPr="00AD2F44" w:rsidRDefault="00F42107">
      <w:pPr>
        <w:pStyle w:val="14Footnote"/>
      </w:pPr>
      <w:r w:rsidRPr="00AD2F44">
        <w:rPr>
          <w:i/>
          <w:iCs/>
        </w:rPr>
        <w:t>Tenth Circuit</w:t>
      </w:r>
      <w:r w:rsidRPr="00AD2F44">
        <w:t xml:space="preserve">: Merrill v. Pathway Leasing LLC, 2019 WL 5078655 (D. Colo. Oct. 9, 2019) (in truck driver case, granting decertification after bench trial, finding variance and individualized evidence on facts and damages). </w:t>
      </w:r>
    </w:p>
    <w:p w14:paraId="094BB51E" w14:textId="77777777" w:rsidR="00721CCF" w:rsidRPr="00AD2F44" w:rsidRDefault="00F42107">
      <w:pPr>
        <w:pStyle w:val="14Footnote"/>
      </w:pPr>
      <w:r w:rsidRPr="00AD2F44">
        <w:rPr>
          <w:i/>
          <w:iCs/>
        </w:rPr>
        <w:t>Eleventh Circuit:</w:t>
      </w:r>
      <w:r w:rsidRPr="00AD2F44">
        <w:t xml:space="preserve"> Geter v. Galardi S. Enters., Inc., 2015 WL 2384068 (S.D. Fla. May 19, 2015) (denying motion to decertify collective of adult entertainers who were allegedly misclassified as independent contractors)</w:t>
      </w:r>
    </w:p>
  </w:footnote>
  <w:footnote w:id="544">
    <w:p w14:paraId="386FF925" w14:textId="4B8497CE" w:rsidR="00721CCF" w:rsidRPr="00AD2F44" w:rsidRDefault="00F42107">
      <w:pPr>
        <w:pStyle w:val="14Footnote"/>
      </w:pPr>
      <w:r w:rsidRPr="00AD2F44">
        <w:rPr>
          <w:vertAlign w:val="superscript"/>
        </w:rPr>
        <w:footnoteRef/>
      </w:r>
      <w:r w:rsidRPr="00AD2F44">
        <w:rPr>
          <w:i/>
          <w:iCs/>
        </w:rPr>
        <w:t>See, e.g</w:t>
      </w:r>
      <w:r w:rsidRPr="00AD2F44">
        <w:t>., Rehberg</w:t>
      </w:r>
      <w:r w:rsidRPr="00AD2F44">
        <w:t xml:space="preserve"> v. Flowers Baking Co. of Jamestown, LLC, 2015 WL 1346125, at *15 (W.D.N.C. Mar. 24, 2015) (denying motion for decertification where all collective members were classified as independent contractors, all had signed essentially the same agreement, and all performed substantially the same duties).</w:t>
      </w:r>
    </w:p>
  </w:footnote>
  <w:footnote w:id="545">
    <w:p w14:paraId="3AB5D197" w14:textId="77777777" w:rsidR="00721CCF" w:rsidRPr="00AD2F44" w:rsidRDefault="00F42107">
      <w:pPr>
        <w:pStyle w:val="14Footnote"/>
      </w:pPr>
      <w:r w:rsidRPr="00AD2F44">
        <w:rPr>
          <w:vertAlign w:val="superscript"/>
        </w:rPr>
        <w:footnoteRef/>
      </w:r>
      <w:r w:rsidRPr="00AD2F44">
        <w:rPr>
          <w:i/>
          <w:iCs/>
        </w:rPr>
        <w:t>Compare</w:t>
      </w:r>
      <w:r w:rsidRPr="00AD2F44">
        <w:t xml:space="preserve"> Moody v. Associated Wholesale Grocers, Inc., 2019 WL 6036707, at *5 (E.D. La. Nov. 14, 2019) (decertifying collective after finding significant differences in job duties, disagreeing with plaintiffs that differences were “mere ‘distinct semantic labels’”), Harris v. Express Courier Int’l, Inc.,</w:t>
      </w:r>
      <w:r w:rsidRPr="00AD2F44">
        <w:rPr>
          <w:b/>
          <w:bCs/>
        </w:rPr>
        <w:t xml:space="preserve"> </w:t>
      </w:r>
      <w:r w:rsidRPr="00AD2F44">
        <w:t xml:space="preserve">2017 WL 5606751, at *6 (W.D. Ark. Nov. 21, 2017) (decertifying collective where employment status “cannot be resolved on a classwide basis without significant individual inquiry” due to varying deposition testimony given by plaintiffs as to economic realities test factors), </w:t>
      </w:r>
      <w:r w:rsidRPr="00AD2F44">
        <w:rPr>
          <w:i/>
          <w:iCs/>
        </w:rPr>
        <w:t>and</w:t>
      </w:r>
      <w:r w:rsidRPr="00AD2F44">
        <w:t xml:space="preserve"> Adami v. Cardo Windows, Inc., 2016 WL 1241798, at *10 (D.N.J. Mar. 30, 2016) (holding that three window installers classified as independent contractors were not similarly situated at “final certification” stage because lead plaintiff’s “relationship with Cardo differed materially from nearly every other window installer”), </w:t>
      </w:r>
      <w:r w:rsidRPr="00AD2F44">
        <w:rPr>
          <w:i/>
          <w:iCs/>
        </w:rPr>
        <w:t xml:space="preserve">with </w:t>
      </w:r>
      <w:r w:rsidRPr="00AD2F44">
        <w:t xml:space="preserve">Geter v. Galardi S. Enters., Inc., 2015 WL 2384068 (S.D. Fla. May 19, 2015) (denying motion for decertification in an independent contractor misclassification case filed by exotic dancers where all plaintiffs worked in same location, performed similar job duties, and were supervised by individuals at one workplace, even though some had written agreements and others did not and earning potential among class members varied), </w:t>
      </w:r>
      <w:r w:rsidRPr="00AD2F44">
        <w:rPr>
          <w:i/>
          <w:iCs/>
        </w:rPr>
        <w:t>and</w:t>
      </w:r>
      <w:r w:rsidRPr="00AD2F44">
        <w:t xml:space="preserve"> Collinge v. IntelliQuick Delivery, Inc., 2015 WL 1292444, at *2–8 (D. Ariz. Mar. 23, 2015) (denying motion for decertification in delivery driver independent contractor misclassification case where class members were under same contract and subject to same policies and procedures).</w:t>
      </w:r>
    </w:p>
  </w:footnote>
  <w:footnote w:id="546">
    <w:p w14:paraId="6C365CD4" w14:textId="77777777" w:rsidR="00721CCF" w:rsidRPr="00AD2F44" w:rsidRDefault="00F42107">
      <w:pPr>
        <w:pStyle w:val="14Footnote"/>
      </w:pPr>
      <w:r w:rsidRPr="00AD2F44">
        <w:rPr>
          <w:vertAlign w:val="superscript"/>
        </w:rPr>
        <w:footnoteRef/>
      </w:r>
      <w:r w:rsidRPr="00AD2F44">
        <w:rPr>
          <w:i/>
          <w:iCs/>
        </w:rPr>
        <w:t>See, e.g.,</w:t>
      </w:r>
    </w:p>
    <w:p w14:paraId="7C941C16" w14:textId="77777777" w:rsidR="00721CCF" w:rsidRPr="00AD2F44" w:rsidRDefault="00F42107">
      <w:pPr>
        <w:pStyle w:val="14Footnote"/>
      </w:pPr>
      <w:r w:rsidRPr="00AD2F44">
        <w:rPr>
          <w:i/>
          <w:iCs/>
        </w:rPr>
        <w:t>Fifth Circuit:</w:t>
      </w:r>
      <w:r w:rsidRPr="00AD2F44">
        <w:t xml:space="preserve"> Clark v. Centene Co. of Tex. LP, 44 F. Supp. 3d 674, 688–90 (W.D. Tex. 2014) (utilization review nurses); Johnson v. Big Lots Stores, Inc., 561 F. Supp. 2d 567, 579–86 (E.D. La. 2008) (decertifying collective action involving assistant store managers); Reyes v. Texas EZPawn, L.P., 2007 WL 101808, at *2–4 (S.D. Tex. Jan. 8, 2007) (granting decertification motion in case involving assistant store managers).</w:t>
      </w:r>
    </w:p>
    <w:p w14:paraId="5906678F" w14:textId="77777777" w:rsidR="00721CCF" w:rsidRPr="00AD2F44" w:rsidRDefault="00F42107">
      <w:pPr>
        <w:pStyle w:val="14Footnote"/>
      </w:pPr>
      <w:r w:rsidRPr="00AD2F44">
        <w:rPr>
          <w:i/>
          <w:iCs/>
        </w:rPr>
        <w:t>Eighth Circuit:</w:t>
      </w:r>
      <w:r w:rsidRPr="00AD2F44">
        <w:t xml:space="preserve"> Nerland v. Caribou Coffee Co., 564 F. Supp. 2d 1010, 1018–24 (D. Minn. 2007) (denying decertification motion in collective action involving the classification of store managers); Smith v. Heartland Auto. Servs., 404 F. Supp. 2d 1144, 1150–54 (D. Minn. 2005) (decertifying collective of allegedly misclassified store managers); King v. West Corp., 2006 WL 118577, at *14–15 (D. Neb. Jan. 13, 2006) (in motion to certify collective after discovery, denying certification for voice service managers), </w:t>
      </w:r>
      <w:r w:rsidRPr="00AD2F44">
        <w:rPr>
          <w:i/>
          <w:iCs/>
        </w:rPr>
        <w:t>report and recommendation adopted</w:t>
      </w:r>
      <w:r w:rsidRPr="00AD2F44">
        <w:t>, 2006 WL 8458270 (D. Neb. Feb. 7, 2006).</w:t>
      </w:r>
    </w:p>
    <w:p w14:paraId="65BFC49F" w14:textId="77777777" w:rsidR="00721CCF" w:rsidRPr="00AD2F44" w:rsidRDefault="00F42107">
      <w:pPr>
        <w:pStyle w:val="14Footnote"/>
      </w:pPr>
      <w:r w:rsidRPr="00AD2F44">
        <w:rPr>
          <w:i/>
          <w:iCs/>
        </w:rPr>
        <w:t>Ninth Circuit:</w:t>
      </w:r>
      <w:r w:rsidRPr="00AD2F44">
        <w:t xml:space="preserve"> Woods v. Vector Mktg. Corp., 2015 WL 5188682, at *6 (N.D. Cal. Sept. 4, 2015) (trainees); Hazelbaker v. Metropolitan Prop. &amp; Cas. Ins. Co., 2014 WL 5304911, at *2–4 (D. Ariz. Oct. 16, 2014) (decertifying a collective action involving certain claims specialists).</w:t>
      </w:r>
    </w:p>
    <w:p w14:paraId="08E6E247" w14:textId="5C8E378D" w:rsidR="00721CCF" w:rsidRPr="00AD2F44" w:rsidRDefault="00F42107">
      <w:pPr>
        <w:pStyle w:val="14Footnote"/>
      </w:pPr>
      <w:r w:rsidRPr="00AD2F44">
        <w:rPr>
          <w:i/>
          <w:iCs/>
        </w:rPr>
        <w:t>Eleventh Circuit:</w:t>
      </w:r>
      <w:r w:rsidRPr="00AD2F44">
        <w:t xml:space="preserve"> Morgan v. Family Dollar Stores, Inc., 551 F.3d 1233, 1262–63 (11th Cir. 2008) (affirming lower court’s denial of decertification motion in a collective action involving store managers); Pendlebury v. Starbucks Coffee Co., 518 F. Supp. 2d 1345, 1350–62 (S.D. Fla. 2008) (denying decertification motion in a collective action challenging the exempt status of store managers); Bradford v. Bed Bath &amp; Beyond, Inc., 184 F. Supp. 2d 1342, 1346–51 (N.D. Ga. 2002) (denying decertification motion in collective action involving retail store department managers).</w:t>
      </w:r>
    </w:p>
  </w:footnote>
  <w:footnote w:id="547">
    <w:p w14:paraId="1C838175" w14:textId="77777777" w:rsidR="00721CCF" w:rsidRPr="00AD2F44" w:rsidRDefault="00F42107">
      <w:pPr>
        <w:pStyle w:val="14Footnote"/>
      </w:pPr>
      <w:r w:rsidRPr="00AD2F44">
        <w:rPr>
          <w:vertAlign w:val="superscript"/>
        </w:rPr>
        <w:footnoteRef/>
      </w:r>
      <w:r w:rsidRPr="00AD2F44">
        <w:rPr>
          <w:i/>
          <w:iCs/>
        </w:rPr>
        <w:t>See, e.g.,</w:t>
      </w:r>
    </w:p>
    <w:p w14:paraId="7C0A19CD" w14:textId="45F46BB2" w:rsidR="00721CCF" w:rsidRPr="00AD2F44" w:rsidRDefault="00F42107">
      <w:pPr>
        <w:pStyle w:val="14Footnote"/>
      </w:pPr>
      <w:r w:rsidRPr="00AD2F44">
        <w:rPr>
          <w:i/>
          <w:iCs/>
        </w:rPr>
        <w:t>Second Circuit:</w:t>
      </w:r>
      <w:r w:rsidRPr="00AD2F44">
        <w:t xml:space="preserve"> Locurto v. AT&amp;T Mobility Servs. LLC, 2018 WL 4519201 (S.D.N.Y. Sept. 20, 2018) (granting final certification of a collective that included two different positions based on a finding that job duties, expectations, schedules, compensation structure, levels of discretion, and experience were substantially similar); Tracy v. NVR, Inc., 293 F.R.D. 395, 400 (W.D.N.Y. 2013) (decertifying FLSA collective action involving the outside sales exemption where plaintiffs with the same job titles and job descriptions had claims that “pertain[ed] to different [plaintiffs] in different locations, under different managers, who performed duties outside of their offices to varying degre</w:t>
      </w:r>
      <w:r>
        <w:t>e</w:t>
      </w:r>
      <w:r w:rsidRPr="00AD2F44">
        <w:t>s and in different ways”).</w:t>
      </w:r>
    </w:p>
    <w:p w14:paraId="2A8CC56F" w14:textId="77777777" w:rsidR="00721CCF" w:rsidRPr="00AD2F44" w:rsidRDefault="00F42107">
      <w:pPr>
        <w:pStyle w:val="14Footnote"/>
      </w:pPr>
      <w:r w:rsidRPr="00AD2F44">
        <w:rPr>
          <w:i/>
          <w:iCs/>
        </w:rPr>
        <w:t>Third Circuit:</w:t>
      </w:r>
      <w:r w:rsidRPr="00AD2F44">
        <w:t xml:space="preserve"> Morisky v. Public Serv. Elec. &amp; Gas Co., 111 F. Supp. 2d 493, 498 (D.N.J. 2000) (explaining “[e]ven employees who hold the same job title do not necessarily perform the same work”).</w:t>
      </w:r>
    </w:p>
    <w:p w14:paraId="757F05D1" w14:textId="77777777" w:rsidR="00721CCF" w:rsidRPr="00AD2F44" w:rsidRDefault="00F42107">
      <w:pPr>
        <w:pStyle w:val="14Footnote"/>
      </w:pPr>
      <w:r w:rsidRPr="00AD2F44">
        <w:rPr>
          <w:i/>
          <w:iCs/>
        </w:rPr>
        <w:t>Fifth Circuit:</w:t>
      </w:r>
      <w:r w:rsidRPr="00AD2F44">
        <w:t xml:space="preserve"> </w:t>
      </w:r>
      <w:r w:rsidRPr="00AD2F44">
        <w:rPr>
          <w:i/>
          <w:iCs/>
        </w:rPr>
        <w:t>Big Lots Stores</w:t>
      </w:r>
      <w:r w:rsidRPr="00AD2F44">
        <w:t xml:space="preserve">, 561 F. Supp. 2d at 578–79 (granting decertification despite uniform job description, corporate policies, and store supervision structure); </w:t>
      </w:r>
      <w:r w:rsidRPr="00AD2F44">
        <w:rPr>
          <w:i/>
          <w:iCs/>
        </w:rPr>
        <w:t>Reyes</w:t>
      </w:r>
      <w:r w:rsidRPr="00AD2F44">
        <w:t>, 2007 WL 101808, at *3–4 (finding numerous differences in duties performed despite uniform job description).</w:t>
      </w:r>
    </w:p>
    <w:p w14:paraId="250F229B" w14:textId="77777777" w:rsidR="00721CCF" w:rsidRPr="00AD2F44" w:rsidRDefault="00F42107">
      <w:pPr>
        <w:pStyle w:val="14Footnote"/>
      </w:pPr>
      <w:r w:rsidRPr="00AD2F44">
        <w:rPr>
          <w:i/>
          <w:iCs/>
        </w:rPr>
        <w:t>Eighth Circuit:</w:t>
      </w:r>
      <w:r w:rsidRPr="00AD2F44">
        <w:t xml:space="preserve"> Nerland v. Caribou Coffee Co., 564 F. Supp. 2d 1010, 1019–20 (D. Minn. 2007) (denying decertification motion and explaining that a detailed inquiry into the daily job duties of each plaintiff was not necessary because their detailed job description “comprehensively described” both the managerial and nonmanagerial tasks all plaintiffs were expected to perform); </w:t>
      </w:r>
      <w:r w:rsidRPr="00AD2F44">
        <w:rPr>
          <w:i/>
          <w:iCs/>
        </w:rPr>
        <w:t>Heartland Automotive Services</w:t>
      </w:r>
      <w:r w:rsidRPr="00AD2F44">
        <w:t xml:space="preserve">, 404 F. Supp. 2d at 1151, 1154 (granting decertification despite common job description); </w:t>
      </w:r>
      <w:r w:rsidRPr="00AD2F44">
        <w:rPr>
          <w:i/>
          <w:iCs/>
        </w:rPr>
        <w:t>King</w:t>
      </w:r>
      <w:r w:rsidRPr="00AD2F44">
        <w:t>, 2006 WL 118577, at *13 (explaining “[m]erely showing that the employer classified a group of employees as exempt is not sufficient to establish that these employees are similarly situated for the purposes of an FLSA collective action”).</w:t>
      </w:r>
    </w:p>
    <w:p w14:paraId="50AF5B91" w14:textId="77777777" w:rsidR="00721CCF" w:rsidRPr="00AD2F44" w:rsidRDefault="00F42107">
      <w:pPr>
        <w:pStyle w:val="14Footnote"/>
      </w:pPr>
      <w:r w:rsidRPr="00AD2F44">
        <w:rPr>
          <w:i/>
          <w:iCs/>
        </w:rPr>
        <w:t>Ninth Circuit:</w:t>
      </w:r>
      <w:r w:rsidRPr="00AD2F44">
        <w:t xml:space="preserve"> Hazelbaker v. Metropolitan Prop. &amp; Cas. Ins. Co., 2014 WL 5304911, at *2–4 (D. Ariz. Oct. 16, 2014) (decertifying collective action involving application of outside sales exemption where plaintiffs conceded that amount of hours each engaged in outside sales activities differed).</w:t>
      </w:r>
    </w:p>
    <w:p w14:paraId="7258998C" w14:textId="7F693653" w:rsidR="00721CCF" w:rsidRPr="00AD2F44" w:rsidRDefault="00F42107">
      <w:pPr>
        <w:pStyle w:val="14Footnote"/>
      </w:pPr>
      <w:r w:rsidRPr="00AD2F44">
        <w:rPr>
          <w:i/>
          <w:iCs/>
        </w:rPr>
        <w:t>Eleventh Circuit: Morgan</w:t>
      </w:r>
      <w:r w:rsidRPr="00AD2F44">
        <w:t>, 551 F.3d at 1263 (affirming denial of decertification and noting that the company “exempted all store managers from overtime pay requirements without regard to store size, volume, region, district, or hiring and firing authority”).</w:t>
      </w:r>
    </w:p>
  </w:footnote>
  <w:footnote w:id="548">
    <w:p w14:paraId="4C0781D3" w14:textId="77777777" w:rsidR="00721CCF" w:rsidRPr="00AD2F44" w:rsidRDefault="00F42107">
      <w:pPr>
        <w:pStyle w:val="14Footnote"/>
      </w:pPr>
      <w:r w:rsidRPr="00AD2F44">
        <w:rPr>
          <w:vertAlign w:val="superscript"/>
        </w:rPr>
        <w:footnoteRef/>
      </w:r>
      <w:r w:rsidRPr="00AD2F44">
        <w:rPr>
          <w:i/>
        </w:rPr>
        <w:t xml:space="preserve">See, e.g., </w:t>
      </w:r>
    </w:p>
    <w:p w14:paraId="570C6021" w14:textId="77777777" w:rsidR="00721CCF" w:rsidRPr="00AD2F44" w:rsidRDefault="00F42107">
      <w:pPr>
        <w:pStyle w:val="14Footnote"/>
      </w:pPr>
      <w:r w:rsidRPr="00AD2F44">
        <w:rPr>
          <w:i/>
          <w:iCs/>
        </w:rPr>
        <w:t>Second Circuit:</w:t>
      </w:r>
      <w:r w:rsidRPr="00AD2F44">
        <w:t xml:space="preserve"> Harper v. Government Emps. Ins. Co., 2015 WL 9673810, at *6 (E.D.N.Y. Nov. 16, 2015) (noting that courts have held that “[a]lthough it can be evidence of similarity, it is well established that ‘blanket classification decisions do not automatically qualify the affected employees as similarly situated, or eliminate the need to make a factual determination as to whether class members are actually performing similar duties’”) (citation omitted); Hernandez v. Fresh Diet, Inc., 2014 WL 5039431, at *4 (S.D.N.Y. Sept. 29, 2014) (stating, in independent contractor misclassification case, that “‘[b]lanket misclassification’ arguments are insufficient [at the decertification stage]”) (citation omitted); Stevens v. HMS Host Corp., 2014 WL 4261410, at *5 (E.D.N.Y. Aug. 24, 2014) </w:t>
      </w:r>
      <w:r w:rsidRPr="00AD2F44">
        <w:br/>
        <w:t>(“[B]lanket classification decisions do not automatically qualify the affected employees as similarly situated, nor eliminate the need to make a factual determination as to whether class members are actually performing similar duties.”).</w:t>
      </w:r>
    </w:p>
    <w:p w14:paraId="10D0C216" w14:textId="77777777" w:rsidR="00721CCF" w:rsidRPr="00AD2F44" w:rsidRDefault="00F42107">
      <w:pPr>
        <w:pStyle w:val="14Footnote"/>
      </w:pPr>
      <w:r w:rsidRPr="00AD2F44">
        <w:t> </w:t>
      </w:r>
      <w:r w:rsidRPr="00AD2F44">
        <w:rPr>
          <w:i/>
          <w:iCs/>
        </w:rPr>
        <w:t>Fifth Circuit:</w:t>
      </w:r>
      <w:r w:rsidRPr="00AD2F44">
        <w:t xml:space="preserve"> Kelly v. Healthcare Servs. Grp., Inc., 106 F. Supp. 3d 808, 813 (E.D. Tex. 2015) (“[T]he decision to uniformly classify all employees as exempt is not, by itself, a sufficient justification to proceed as a class action.”); Lipnicki v. Meritage Homes Corp., 2014 WL 5620603, at *3 (S.D. Tex. Nov. 4, 2014) (“Absent similarity in actual job performance, a uniform classification alone may be insufficient to meet the certification standard.”); </w:t>
      </w:r>
      <w:r w:rsidRPr="00AD2F44">
        <w:rPr>
          <w:i/>
          <w:iCs/>
        </w:rPr>
        <w:t>Reyes</w:t>
      </w:r>
      <w:r w:rsidRPr="00AD2F44">
        <w:t>, 2007 WL 101808 (granting decertification motion where employees with same job description and exempt classification had varying day-to-day job duties).</w:t>
      </w:r>
    </w:p>
    <w:p w14:paraId="33B26F47" w14:textId="77777777" w:rsidR="00721CCF" w:rsidRPr="00AD2F44" w:rsidRDefault="00F42107">
      <w:pPr>
        <w:pStyle w:val="14Footnote"/>
      </w:pPr>
      <w:r w:rsidRPr="00AD2F44">
        <w:rPr>
          <w:i/>
          <w:iCs/>
        </w:rPr>
        <w:t>Sixth Circuit:</w:t>
      </w:r>
      <w:r w:rsidRPr="00AD2F44">
        <w:t xml:space="preserve"> Oetinger v. First Residential Mortg. Network, 2009 WL 2162963, at *3 (W.D. Ky. July 16, 2009) (granting decertification motion where class members’ work varied based on general manager and team with which they worked, and explaining that “the employer’s classification means little compared to the employee’s actual job duties and circumstances”).</w:t>
      </w:r>
    </w:p>
    <w:p w14:paraId="5F63D3DA" w14:textId="77777777" w:rsidR="00721CCF" w:rsidRPr="00AD2F44" w:rsidRDefault="00F42107">
      <w:pPr>
        <w:pStyle w:val="14Footnote"/>
      </w:pPr>
      <w:r w:rsidRPr="00AD2F44">
        <w:rPr>
          <w:i/>
          <w:iCs/>
        </w:rPr>
        <w:t>Eighth Circuit:</w:t>
      </w:r>
      <w:r w:rsidRPr="00AD2F44">
        <w:t xml:space="preserve"> Cruz v. Lawson Software, Inc., 764 F. Supp. 2d 1050, 1058 (D. Minn. 2011) (stating in an administrative exemption case that “[t]he classification process is not strong evidence when evaluating whether employees are similarly situated.”); </w:t>
      </w:r>
      <w:r w:rsidRPr="00AD2F44">
        <w:rPr>
          <w:i/>
          <w:iCs/>
        </w:rPr>
        <w:t>King</w:t>
      </w:r>
      <w:r w:rsidRPr="00AD2F44">
        <w:t>, 2006 WL 118577, at *14 (employees with uniform job titles and similar job descriptions are not similarly situated “if their day-to-day job duties vary substantially”).</w:t>
      </w:r>
    </w:p>
    <w:p w14:paraId="13C342F7" w14:textId="77777777" w:rsidR="00721CCF" w:rsidRPr="00AD2F44" w:rsidRDefault="00F42107">
      <w:pPr>
        <w:pStyle w:val="14Footnote"/>
      </w:pPr>
      <w:r w:rsidRPr="00AD2F44">
        <w:rPr>
          <w:i/>
          <w:iCs/>
        </w:rPr>
        <w:t>Ninth Circuit:</w:t>
      </w:r>
      <w:r w:rsidRPr="00AD2F44">
        <w:t xml:space="preserve"> Benedict v. Hewlett-Packard Co., 2016 WL 3742342, at *9 (N.D. Cal. July 13, 2016) (“The Court finds Plaintiffs’ reliance on the uniform exemption policy equally unpersuasive. ‘The fact that an employer classifies all or most of a particular class of employees as exempt does not eliminate the need to make a factual determination as to whether class members are actually performing similar duties.’”) (citation omitted); Deane v. Fastenal Co., 2013 WL 675462, at *2 (N.D. Cal. Feb. 25, 2013) (“Plaintiffs cannot simply rely on the fact that [the employer] categorized them all as exempt, but must show a ‘substantial level of commonality’ among the duties performed and time spent on them … , [T]he discrepancies between the tasks performed, as well as the proportion of time each of them spent on those tasks, makes collective treatment here impracticable.”); Hernandez v. United Auto Credit Corp., 2010 WL 1337702, at *4–5 (N.D. Cal. Apr. 2, 2010) (granting decertification despite same job descriptions for each branch, which were developed in corporate office, because evidence showed wide variety of managerial responsibilities, and adopting rationale of Ninth Circuit in a Rule 23 state law misclassification case that courts should avoid “placing too much weight on an internal policy of classifying all members of a particular class of employees as exempt”).</w:t>
      </w:r>
      <w:r w:rsidRPr="00AD2F44">
        <w:rPr>
          <w:i/>
          <w:iCs/>
        </w:rPr>
        <w:t xml:space="preserve"> Cf. In re </w:t>
      </w:r>
      <w:r w:rsidRPr="00AD2F44">
        <w:t>Wells Fargo Home Mortg. Overtime Pay Litig., 571 F.3d 953, 958 (9th Cir. 2009) (reversing grant of Rule 23 class certification, which was grounded in large part on fact that employer had uniformly classified putative class members; rejecting as improper the effective “presumption that class certification is proper when an employer’s internal policies are applied uniformly to the employees”).</w:t>
      </w:r>
    </w:p>
    <w:p w14:paraId="44ECBF5E" w14:textId="4B4AE4BF" w:rsidR="00721CCF" w:rsidRPr="00AD2F44" w:rsidRDefault="00F42107">
      <w:pPr>
        <w:pStyle w:val="14Footnote"/>
      </w:pPr>
      <w:r w:rsidRPr="00AD2F44">
        <w:rPr>
          <w:i/>
          <w:iCs/>
        </w:rPr>
        <w:t>Eleventh Circuit:</w:t>
      </w:r>
      <w:r w:rsidRPr="00AD2F44">
        <w:t xml:space="preserve"> Richter v. Dolgencorp, Inc., 2012 WL 5289511, at *2–9 (N.D. Ala. Oct. 22, 2012) (decertifying case challenging the companywide use of executive exemption for store managers because exemption determination required extensive fact-based inquiry as to each plaintiff’s job duties).</w:t>
      </w:r>
    </w:p>
  </w:footnote>
  <w:footnote w:id="549">
    <w:p w14:paraId="4976577C" w14:textId="77777777" w:rsidR="00721CCF" w:rsidRPr="00AD2F44" w:rsidRDefault="00F42107">
      <w:pPr>
        <w:pStyle w:val="14Footnote"/>
      </w:pPr>
      <w:r w:rsidRPr="00AD2F44">
        <w:rPr>
          <w:vertAlign w:val="superscript"/>
        </w:rPr>
        <w:footnoteRef/>
      </w:r>
      <w:r w:rsidRPr="00AD2F44">
        <w:rPr>
          <w:i/>
          <w:iCs/>
        </w:rPr>
        <w:t>See, e.g.,</w:t>
      </w:r>
    </w:p>
    <w:p w14:paraId="5C06FDD2" w14:textId="77777777" w:rsidR="00721CCF" w:rsidRPr="00AD2F44" w:rsidRDefault="00F42107">
      <w:pPr>
        <w:pStyle w:val="14Footnote"/>
      </w:pPr>
      <w:r w:rsidRPr="00AD2F44">
        <w:rPr>
          <w:i/>
          <w:iCs/>
        </w:rPr>
        <w:t>Second Circuit:</w:t>
      </w:r>
      <w:r w:rsidRPr="00AD2F44">
        <w:t xml:space="preserve"> Jacob v. Duane Reade, Inc., 2016 WL 3221148, at *8 (S.D.N.Y. June 9, 2016) (denying decertification motion and noting that “[p]laintiffs have also made a ‘persuasive showing’ that the original and opt-in plaintiffs were subject to ‘a systematically-applied company policy or practice’ … . In particular, the opt-in plaintiffs were subject to a blanket classification as exempt, and their jobs were defined by comprehensive corporate procedures and policies including uniform training, uniform job descriptions, and uniform procedures.”) (citation omitted).</w:t>
      </w:r>
    </w:p>
    <w:p w14:paraId="13444FF6" w14:textId="77777777" w:rsidR="00721CCF" w:rsidRPr="00AD2F44" w:rsidRDefault="00F42107">
      <w:pPr>
        <w:pStyle w:val="14Footnote"/>
      </w:pPr>
      <w:r w:rsidRPr="00AD2F44">
        <w:rPr>
          <w:i/>
          <w:iCs/>
        </w:rPr>
        <w:t xml:space="preserve">Fifth Circuit: </w:t>
      </w:r>
      <w:r w:rsidRPr="00AD2F44">
        <w:t>Clark v. Centene Co. of Tex. LP, 44 F. Supp. 3d 674, 689–90 (W.D. Tex. 2014) (denying decertification motion and noting that employer used third-party management company to make its classification decisions on positionwide basis and reached same conclusion for every case manager nurse).</w:t>
      </w:r>
    </w:p>
    <w:p w14:paraId="3EBC4EB5" w14:textId="77777777" w:rsidR="00721CCF" w:rsidRPr="00AD2F44" w:rsidRDefault="00F42107">
      <w:pPr>
        <w:pStyle w:val="14Footnote"/>
      </w:pPr>
      <w:r w:rsidRPr="00AD2F44">
        <w:rPr>
          <w:i/>
          <w:iCs/>
        </w:rPr>
        <w:t>Eighth Circuit:</w:t>
      </w:r>
      <w:r w:rsidRPr="00AD2F44">
        <w:t xml:space="preserve"> Judkins v. SouthernCare, Inc., 74 F. Supp. 3d 1007, 1014–15 (S.D. Iowa 2015) (holding that fact that employer implemented blanket overtime exemption for all putative class members weighed against decertification). </w:t>
      </w:r>
    </w:p>
    <w:p w14:paraId="59245463" w14:textId="77777777" w:rsidR="00721CCF" w:rsidRPr="00AD2F44" w:rsidRDefault="00F42107">
      <w:pPr>
        <w:pStyle w:val="14Footnote"/>
      </w:pPr>
      <w:r w:rsidRPr="00AD2F44">
        <w:rPr>
          <w:i/>
          <w:iCs/>
        </w:rPr>
        <w:t xml:space="preserve">Eleventh Circuit: </w:t>
      </w:r>
      <w:r w:rsidRPr="00AD2F44">
        <w:t>Morgan v. Family Dollar Stores, Inc., 551 F.3d 1233 (11th Cir. 2008)</w:t>
      </w:r>
      <w:r w:rsidRPr="00AD2F44">
        <w:rPr>
          <w:i/>
          <w:iCs/>
        </w:rPr>
        <w:t xml:space="preserve"> </w:t>
      </w:r>
      <w:r w:rsidRPr="00AD2F44">
        <w:t xml:space="preserve">(permitting collective litigation of exemption in part because of decision to classify all store managers as exempt); Miller v. FleetCor Techs. Operating Co., 118 F. Supp. 3d 1351, 1355 (N.D. Ga. 2015) (“The fact that Defendant classified them collectively as exempt and then again collectively as non-exempt shows that Defendant also views their jobs similarly. Clearly, the issue of whether Defendant improperly classified Plaintiffs’ positions as ‘exempt’ prior to June 2011 is capable of collective determination for the same reason as the court found a collective action proper in </w:t>
      </w:r>
      <w:r w:rsidRPr="00AD2F44">
        <w:rPr>
          <w:i/>
          <w:iCs/>
        </w:rPr>
        <w:t>Morgan</w:t>
      </w:r>
      <w:r w:rsidRPr="00AD2F44">
        <w:t xml:space="preserve">.”); Pendlebury v. Starbucks Coffee Co., 518 F. Supp. 2d 1345, 1353 (S.D. Fla. 2008) (finding that, although group classification as exempt is not sufficient to establish that group members are similarly situated, “practice of blanket classification does carry </w:t>
      </w:r>
      <w:r w:rsidRPr="00AD2F44">
        <w:rPr>
          <w:i/>
          <w:iCs/>
        </w:rPr>
        <w:t>some</w:t>
      </w:r>
      <w:r w:rsidRPr="00AD2F44">
        <w:t xml:space="preserve"> weight in the analysis”) (emphasis in original). </w:t>
      </w:r>
    </w:p>
  </w:footnote>
  <w:footnote w:id="550">
    <w:p w14:paraId="61C6439D" w14:textId="77777777" w:rsidR="00721CCF" w:rsidRPr="00AD2F44" w:rsidRDefault="00F42107">
      <w:pPr>
        <w:pStyle w:val="14Footnote"/>
      </w:pPr>
      <w:r w:rsidRPr="00AD2F44">
        <w:rPr>
          <w:vertAlign w:val="superscript"/>
        </w:rPr>
        <w:footnoteRef/>
      </w:r>
      <w:r w:rsidRPr="00AD2F44">
        <w:rPr>
          <w:i/>
          <w:iCs/>
        </w:rPr>
        <w:t>See, e.g.,</w:t>
      </w:r>
    </w:p>
    <w:p w14:paraId="0E1CBC39" w14:textId="77777777" w:rsidR="00721CCF" w:rsidRPr="00AD2F44" w:rsidRDefault="00F42107">
      <w:pPr>
        <w:pStyle w:val="14Footnote"/>
      </w:pPr>
      <w:r w:rsidRPr="00AD2F44">
        <w:rPr>
          <w:i/>
          <w:iCs/>
        </w:rPr>
        <w:t>Second Circuit:</w:t>
      </w:r>
      <w:r w:rsidRPr="00AD2F44">
        <w:t xml:space="preserve"> </w:t>
      </w:r>
      <w:r w:rsidRPr="00AD2F44">
        <w:rPr>
          <w:i/>
          <w:iCs/>
        </w:rPr>
        <w:t>Harper</w:t>
      </w:r>
      <w:r w:rsidRPr="00AD2F44">
        <w:t xml:space="preserve">, 2015 WL 9673810, at *4 (finding that many discrepancies, including varying accounts of degree to which plaintiffs were supervised, degree to which their supervisors were involved in negotiations, and degree to which their supervisors controlled their interaction, raised questions as to whether plaintiffs were similarly situated regarding application of administrative exemption); </w:t>
      </w:r>
      <w:r w:rsidRPr="00AD2F44">
        <w:rPr>
          <w:i/>
          <w:iCs/>
        </w:rPr>
        <w:t>Stevens</w:t>
      </w:r>
      <w:r w:rsidRPr="00AD2F44">
        <w:t>, 2014 WL 4261410, at *5–8 (decertifying collective action including more than 275 assistant managers where testimony demonstrated differences among class members’ involvement in management duties, including scheduling, disciplining, firing, hiring, and evaluating employees).</w:t>
      </w:r>
    </w:p>
    <w:p w14:paraId="7F6D968B" w14:textId="77777777" w:rsidR="00721CCF" w:rsidRPr="00AD2F44" w:rsidRDefault="00F42107">
      <w:pPr>
        <w:pStyle w:val="14Footnote"/>
      </w:pPr>
      <w:r w:rsidRPr="00AD2F44">
        <w:rPr>
          <w:i/>
          <w:iCs/>
        </w:rPr>
        <w:t>Fifth Circuit:</w:t>
      </w:r>
      <w:r w:rsidRPr="00AD2F44">
        <w:t xml:space="preserve"> </w:t>
      </w:r>
      <w:r w:rsidRPr="00AD2F44">
        <w:rPr>
          <w:i/>
          <w:iCs/>
        </w:rPr>
        <w:t>Reyes</w:t>
      </w:r>
      <w:r w:rsidRPr="00AD2F44">
        <w:t>, 2007 WL 101808, at *4 (noting a wide range of differences in the assistant store managers’ experiences depending on their perceptions of their role in the company, their managers’ individual management styles, and their stores’ geographic locations).</w:t>
      </w:r>
    </w:p>
    <w:p w14:paraId="2A354969" w14:textId="77777777" w:rsidR="00721CCF" w:rsidRPr="00AD2F44" w:rsidRDefault="00F42107">
      <w:pPr>
        <w:pStyle w:val="14Footnote"/>
      </w:pPr>
      <w:r w:rsidRPr="00AD2F44">
        <w:rPr>
          <w:i/>
          <w:iCs/>
        </w:rPr>
        <w:t>Sixth Circuit:</w:t>
      </w:r>
      <w:r w:rsidRPr="00AD2F44">
        <w:t xml:space="preserve"> Lindsey v. Tire Discounters, Inc.,</w:t>
      </w:r>
      <w:r w:rsidRPr="00AD2F44">
        <w:rPr>
          <w:b/>
          <w:bCs/>
        </w:rPr>
        <w:t xml:space="preserve"> </w:t>
      </w:r>
      <w:r w:rsidRPr="00AD2F44">
        <w:t xml:space="preserve">2017 WL 5972104, at *12 (S.D. Ohio Dec. 1, 2017) (decertifying collective on finding that, despite common job description, service managers had “disparate and inconsistent” job duties across locations); </w:t>
      </w:r>
      <w:r w:rsidRPr="00AD2F44">
        <w:rPr>
          <w:i/>
          <w:iCs/>
        </w:rPr>
        <w:t>Oetinger</w:t>
      </w:r>
      <w:r w:rsidRPr="00AD2F44">
        <w:t>, 2009 WL 2162963, at *3 (granting decertification motion where class members’ work varied based on general manager and team with which they worked, and general managers had broad discretion in running those teams).</w:t>
      </w:r>
    </w:p>
    <w:p w14:paraId="594DFECF" w14:textId="77777777" w:rsidR="00721CCF" w:rsidRPr="00AD2F44" w:rsidRDefault="00F42107">
      <w:pPr>
        <w:pStyle w:val="14Footnote"/>
      </w:pPr>
      <w:r w:rsidRPr="00AD2F44">
        <w:rPr>
          <w:i/>
          <w:iCs/>
        </w:rPr>
        <w:t>Eighth Circuit:</w:t>
      </w:r>
      <w:r w:rsidRPr="00AD2F44">
        <w:t xml:space="preserve"> Harris v. Express Courier Int’l, Inc.,</w:t>
      </w:r>
      <w:r w:rsidRPr="00AD2F44">
        <w:rPr>
          <w:b/>
          <w:bCs/>
        </w:rPr>
        <w:t xml:space="preserve"> </w:t>
      </w:r>
      <w:r w:rsidRPr="00AD2F44">
        <w:t xml:space="preserve">2017 WL 5606751, at *6 (W.D. Ark. Nov. 21, 2017) (decertifying collective where employment status “cannot be resolved on a classwide basis without significant individual inquiry” due to varying deposition testimony given by plaintiffs as to economic realities test factors); Keef v. M.A. Mortenson Co., 2009 U.S. Dist. LEXIS 14358, at *7–8 (D. Minn. Feb. 24, 2009); </w:t>
      </w:r>
      <w:r w:rsidRPr="00AD2F44">
        <w:rPr>
          <w:i/>
          <w:iCs/>
        </w:rPr>
        <w:t>King</w:t>
      </w:r>
      <w:r w:rsidRPr="00AD2F44">
        <w:t>, 2006 WL 118577, at *15 (noting differences relating to supervisors, team policies, client interactions, and other factual distinctions will “overwhelmingly predominate over their similarities and will require individualized inquiry at trial”).</w:t>
      </w:r>
    </w:p>
    <w:p w14:paraId="203537D9" w14:textId="77777777" w:rsidR="00721CCF" w:rsidRPr="00AD2F44" w:rsidRDefault="00F42107">
      <w:pPr>
        <w:pStyle w:val="14Footnote"/>
      </w:pPr>
      <w:r w:rsidRPr="00AD2F44">
        <w:rPr>
          <w:i/>
          <w:iCs/>
        </w:rPr>
        <w:t>Ninth Circuit:</w:t>
      </w:r>
      <w:r w:rsidRPr="00AD2F44">
        <w:t xml:space="preserve"> </w:t>
      </w:r>
      <w:r w:rsidRPr="00AD2F44">
        <w:rPr>
          <w:i/>
          <w:iCs/>
        </w:rPr>
        <w:t>Hernandez</w:t>
      </w:r>
      <w:r w:rsidRPr="00AD2F44">
        <w:t>, 2010 WL 1337702, at *4–5 (granting decertification despite same job descriptions for each branch, which were developed in the corporate office, because evidence showed wide variety of managerial responsibilities, and adopting the rationale of the Ninth Circuit in a Rule 23 state law misclassification case that courts should avoid “placing too much weight on an internal policy of classifying all members of a particular class of employees as exempt”).</w:t>
      </w:r>
    </w:p>
    <w:p w14:paraId="34AC41D8" w14:textId="4B4D53FE" w:rsidR="00721CCF" w:rsidRPr="00AD2F44" w:rsidRDefault="00F42107">
      <w:pPr>
        <w:pStyle w:val="14Footnote"/>
      </w:pPr>
      <w:r w:rsidRPr="00AD2F44">
        <w:rPr>
          <w:i/>
          <w:iCs/>
        </w:rPr>
        <w:t>Eleventh Circuit:</w:t>
      </w:r>
      <w:r w:rsidRPr="00AD2F44">
        <w:t xml:space="preserve"> Roberson v. Restaurant Delivery Developers, LLC, 320 F. Supp. 3d 1309 (M.D. Fla. 2018) (granting employer’s decertification because plaintiff’s evidence of similarly situated relied on four declarations all from the same location and failed to establish that a common policy applied nationwide, and because the policies provided did not speak to several aspects of plaintiffs’ work).</w:t>
      </w:r>
    </w:p>
  </w:footnote>
  <w:footnote w:id="551">
    <w:p w14:paraId="4F66D648" w14:textId="77777777" w:rsidR="00721CCF" w:rsidRPr="00AD2F44" w:rsidRDefault="00F42107">
      <w:pPr>
        <w:pStyle w:val="14Footnote"/>
      </w:pPr>
      <w:r w:rsidRPr="00AD2F44">
        <w:rPr>
          <w:vertAlign w:val="superscript"/>
        </w:rPr>
        <w:footnoteRef/>
      </w:r>
      <w:r w:rsidRPr="00AD2F44">
        <w:rPr>
          <w:i/>
          <w:iCs/>
        </w:rPr>
        <w:t>See, e.g.,</w:t>
      </w:r>
    </w:p>
    <w:p w14:paraId="373767B1" w14:textId="77777777" w:rsidR="00721CCF" w:rsidRPr="00AD2F44" w:rsidRDefault="00F42107">
      <w:pPr>
        <w:pStyle w:val="14Footnote"/>
      </w:pPr>
      <w:r w:rsidRPr="00AD2F44">
        <w:rPr>
          <w:i/>
          <w:iCs/>
        </w:rPr>
        <w:t>Second Circuit:</w:t>
      </w:r>
      <w:r w:rsidRPr="00AD2F44">
        <w:t xml:space="preserve"> </w:t>
      </w:r>
      <w:r w:rsidRPr="00AD2F44">
        <w:rPr>
          <w:i/>
          <w:iCs/>
        </w:rPr>
        <w:t>Jacob</w:t>
      </w:r>
      <w:r w:rsidRPr="00AD2F44">
        <w:t>, 2016 WL 3221148, at *8 (denying decertification motion where employer made blanket decision to classify assistant store managers as exempt).</w:t>
      </w:r>
    </w:p>
    <w:p w14:paraId="6391BB7A" w14:textId="3A512C6D" w:rsidR="00721CCF" w:rsidRPr="00AD2F44" w:rsidRDefault="00F42107">
      <w:pPr>
        <w:pStyle w:val="14Footnote"/>
      </w:pPr>
      <w:r w:rsidRPr="00AD2F44">
        <w:rPr>
          <w:i/>
          <w:iCs/>
        </w:rPr>
        <w:t>Fifth Circuit: Clark</w:t>
      </w:r>
      <w:r w:rsidRPr="00AD2F44">
        <w:t>, 44 F. Supp. 3d at 689–90 (denying decertification motion and noting that employer used third-party management company to make its classification decisions on position-wide basis and reached same conclusion for every case manager nurse);</w:t>
      </w:r>
      <w:r w:rsidRPr="00AD2F44">
        <w:rPr>
          <w:i/>
          <w:iCs/>
        </w:rPr>
        <w:t xml:space="preserve"> </w:t>
      </w:r>
      <w:r w:rsidRPr="00AD2F44">
        <w:t>Sanders v. Latshaw Drilling Co., LLC, 2019 WL 129769 (N.D. Tex. Mar. 14, 2018) (decertifying the collective based on a finding that class members’ jobs differed significantly, including that they worked in different positions and in different divisions, performed different tasks, and had different levels of discretion).</w:t>
      </w:r>
    </w:p>
    <w:p w14:paraId="68D230C7" w14:textId="77777777" w:rsidR="00721CCF" w:rsidRPr="00AD2F44" w:rsidRDefault="00F42107">
      <w:pPr>
        <w:pStyle w:val="14Footnote"/>
      </w:pPr>
      <w:r w:rsidRPr="00AD2F44">
        <w:rPr>
          <w:i/>
          <w:iCs/>
        </w:rPr>
        <w:t>Sixth Circuit:</w:t>
      </w:r>
      <w:r w:rsidRPr="00AD2F44">
        <w:t xml:space="preserve"> Fenley v. Wood Grp. Mustang, Inc., 325 F.R.D. 232 (S.D. Ohio 2018) (denying decertification motion, rejecting defendant’s assertion that individualized inquiries were necessary for administrative exemption determination where evidence showed inspectors performed manual work subject to specific guidelines, and argument for application of executive exemption affected less than 6% of total opt-in class). </w:t>
      </w:r>
    </w:p>
    <w:p w14:paraId="0046CEF9" w14:textId="6649A35A" w:rsidR="00721CCF" w:rsidRPr="00AD2F44" w:rsidRDefault="00F42107">
      <w:pPr>
        <w:pStyle w:val="14Footnote"/>
      </w:pPr>
      <w:r w:rsidRPr="00AD2F44">
        <w:rPr>
          <w:i/>
          <w:iCs/>
        </w:rPr>
        <w:t>Seventh Circuit</w:t>
      </w:r>
      <w:r w:rsidRPr="00AD2F44">
        <w:t xml:space="preserve">: O’Leary v. Humana Ins. Co., 2020 BL 464206, 2020 WL 7038820 (E.D. Wis. Nov. 30, 2020) (denying decertification motion, holding that for administrative and learned profession exemptions, defendant’s record evidence supported finding that exemption issues could be determined on collective basis). </w:t>
      </w:r>
      <w:r w:rsidRPr="00AD2F44">
        <w:rPr>
          <w:i/>
          <w:iCs/>
        </w:rPr>
        <w:t xml:space="preserve">Eighth Circuit: </w:t>
      </w:r>
      <w:r w:rsidRPr="00AD2F44">
        <w:t>Nerland v. Caribou Coffee Co., 564 F. Supp. 2d 1010, 1019–20 (D. Minn. 2007) (denying decertification where manager job descriptions were “comprehensive” and described all duties that plaintiffs were expected to perform).</w:t>
      </w:r>
    </w:p>
    <w:p w14:paraId="377ED5E3" w14:textId="443A7601" w:rsidR="00721CCF" w:rsidRPr="00AD2F44" w:rsidRDefault="00F42107">
      <w:pPr>
        <w:pStyle w:val="14Footnote"/>
      </w:pPr>
      <w:r w:rsidRPr="00AD2F44">
        <w:rPr>
          <w:i/>
          <w:iCs/>
        </w:rPr>
        <w:t>Eleventh Circuit: Morgan</w:t>
      </w:r>
      <w:r w:rsidRPr="00AD2F44">
        <w:t>, 551 F.3d at 1263 (“Family Dollar uniformly exempted all Store Managers from overtime pay requirements, and its exemption decision did not turn on any individualized factors. Not one. There is nothing unfair about litigating a single corporate decision in a single collective action.”).</w:t>
      </w:r>
    </w:p>
  </w:footnote>
  <w:footnote w:id="552">
    <w:p w14:paraId="17E03E7C" w14:textId="77777777" w:rsidR="00721CCF" w:rsidRPr="00AD2F44" w:rsidRDefault="00F42107">
      <w:pPr>
        <w:pStyle w:val="14Footnote"/>
      </w:pPr>
      <w:r w:rsidRPr="00AD2F44">
        <w:rPr>
          <w:vertAlign w:val="superscript"/>
        </w:rPr>
        <w:footnoteRef/>
      </w:r>
      <w:r w:rsidRPr="00AD2F44">
        <w:rPr>
          <w:i/>
          <w:iCs/>
        </w:rPr>
        <w:t>See, e.g.,</w:t>
      </w:r>
    </w:p>
    <w:p w14:paraId="10C9D4D2" w14:textId="77777777" w:rsidR="00721CCF" w:rsidRPr="00AD2F44" w:rsidRDefault="00F42107">
      <w:pPr>
        <w:pStyle w:val="14Footnote"/>
      </w:pPr>
      <w:r w:rsidRPr="00AD2F44">
        <w:rPr>
          <w:i/>
          <w:iCs/>
        </w:rPr>
        <w:t>Second Circuit</w:t>
      </w:r>
      <w:r w:rsidRPr="00AD2F44">
        <w:t>: Holick v. Cellular Sales of N.Y., LLC, 2019 WL 1877176, at *1 (N.D.N.Y. Apr. 26, 2018) (granting decertification motion in an independent contractor case because there were significant differences between how members of the collective classified themselves for tax purposes, the amounts that each of them invested into their equipment, their ability to work outside defendant’s stores, and the schedules they worked such that determining whether they were properly classified or not would require a “highly personalized” analysis).</w:t>
      </w:r>
    </w:p>
    <w:p w14:paraId="29F6317D" w14:textId="77777777" w:rsidR="00721CCF" w:rsidRPr="00AD2F44" w:rsidRDefault="00F42107">
      <w:pPr>
        <w:pStyle w:val="14Footnote"/>
      </w:pPr>
      <w:r w:rsidRPr="00AD2F44">
        <w:rPr>
          <w:i/>
          <w:iCs/>
        </w:rPr>
        <w:t>Third Circuit:</w:t>
      </w:r>
      <w:r w:rsidRPr="00AD2F44">
        <w:t xml:space="preserve"> Morisky v. Public Serv. Elec. &amp; Gas Co., 111 F. Supp. 2d 493, 498–99 (D.N.J. 2000).</w:t>
      </w:r>
    </w:p>
    <w:p w14:paraId="64D560E6" w14:textId="515B1532" w:rsidR="00721CCF" w:rsidRPr="00AD2F44" w:rsidRDefault="00F42107">
      <w:pPr>
        <w:pStyle w:val="14Footnote"/>
      </w:pPr>
      <w:r w:rsidRPr="00AD2F44">
        <w:rPr>
          <w:i/>
          <w:iCs/>
        </w:rPr>
        <w:t>Fifth Circuit:</w:t>
      </w:r>
      <w:r w:rsidRPr="00AD2F44">
        <w:t xml:space="preserve"> </w:t>
      </w:r>
      <w:r w:rsidRPr="00045909">
        <w:t xml:space="preserve">Clarke v. Pei Wei Asian Dinner LLC, </w:t>
      </w:r>
      <w:r w:rsidR="00ED051D" w:rsidRPr="00ED051D">
        <w:t>2023 BL 82559</w:t>
      </w:r>
      <w:r w:rsidR="00ED051D">
        <w:t xml:space="preserve">, </w:t>
      </w:r>
      <w:r w:rsidRPr="00045909">
        <w:t>2023 WL 2518805, at *4 (N.D. Tex. Mar. 13, 2023)</w:t>
      </w:r>
      <w:r>
        <w:t xml:space="preserve"> (granting motion to decertify because application of exemption defenses to plaintiffs, who were general managers at defendant’s restaurants, would “</w:t>
      </w:r>
      <w:r w:rsidRPr="00045909">
        <w:t>require individual inquiries into each Plaintiff</w:t>
      </w:r>
      <w:r>
        <w:t>’</w:t>
      </w:r>
      <w:r w:rsidRPr="00045909">
        <w:t>s daily tasks</w:t>
      </w:r>
      <w:r>
        <w:t xml:space="preserve">”); </w:t>
      </w:r>
      <w:r w:rsidRPr="00AD2F44">
        <w:t>Clay v. New Tech Global Ventures, LLC, 2019 WL 1028532 (W.D. La. Mar. 4, 2018) (granting defendant’s decertification motion based on defendant’s showing that individualized proof would be required for each plaintiff to determine whether they had been properly classified as independent contractors); Johnson v. Big Lots Stores, Inc., 561 F. Supp. 2d 567, 586 (E.D. La. 2008) (granting motion for decertification in part because requiring the employer “to pick the class apart, plaintiff by plaintiff, going into the day-to-day job duties of each of the plaintiffs to prove that these [assistant store managers] are properly classified as exempt … is tantamount to conducting multiple individual trials on the merits and is the antithesis of a collective action”).</w:t>
      </w:r>
    </w:p>
    <w:p w14:paraId="68F3453F" w14:textId="77777777" w:rsidR="00721CCF" w:rsidRPr="00AD2F44" w:rsidRDefault="00F42107">
      <w:pPr>
        <w:pStyle w:val="14Footnote"/>
      </w:pPr>
      <w:r w:rsidRPr="00AD2F44">
        <w:rPr>
          <w:i/>
          <w:iCs/>
        </w:rPr>
        <w:t>Seventh Circuit:</w:t>
      </w:r>
      <w:r w:rsidRPr="00AD2F44">
        <w:t xml:space="preserve"> Reich v. Homier Distrib. Co., Inc., 362 F. Supp. 2d 1009, 1015 (N.D. Ind. 2005) (denying certification at conditional stage where application of the loader exemption would require individualized discovery regarding each plaintiff’s specific duties).</w:t>
      </w:r>
    </w:p>
    <w:p w14:paraId="57B47F17" w14:textId="77777777" w:rsidR="00721CCF" w:rsidRPr="00AD2F44" w:rsidRDefault="00F42107">
      <w:pPr>
        <w:pStyle w:val="14Footnote"/>
      </w:pPr>
      <w:r w:rsidRPr="00AD2F44">
        <w:rPr>
          <w:i/>
          <w:iCs/>
        </w:rPr>
        <w:t>Eighth Circuit:</w:t>
      </w:r>
      <w:r w:rsidRPr="00AD2F44">
        <w:t xml:space="preserve"> King v. West Corp., 2006 WL 118577, at *14 (D. Neb. Jan. 13, 2006) (denying certification and explaining “[s]ince the ultimate issue to be determined in this case is whether [the employer] properly classified [the positions] as exempt, deciding whether members of this proposed class are ‘similarly situated’ requires analyzing the nature of the job duties performed by each putative plaintiff”).</w:t>
      </w:r>
    </w:p>
    <w:p w14:paraId="427C8333" w14:textId="669B9BB5" w:rsidR="00721CCF" w:rsidRDefault="00F42107">
      <w:pPr>
        <w:pStyle w:val="14Footnote"/>
      </w:pPr>
      <w:r w:rsidRPr="00AD2F44">
        <w:rPr>
          <w:i/>
          <w:iCs/>
        </w:rPr>
        <w:t>Ninth Circuit:</w:t>
      </w:r>
      <w:r w:rsidRPr="00AD2F44">
        <w:rPr>
          <w:b/>
          <w:bCs/>
          <w:i/>
          <w:iCs/>
        </w:rPr>
        <w:t xml:space="preserve"> </w:t>
      </w:r>
      <w:r w:rsidRPr="00AD2F44">
        <w:t>Santiago v. Amdocs, Inc., 2013 WL 5444324, at *5–8 (N.D. Cal. Sept. 30, 2013) (granting decertification where the FLSA class included employees classified as exempt “with numerous job titles, in three different Job Families and two different Bands, and whose job duties varied”); Wong v. HSBC Mortg. Corp. (USA), 2010 WL 3833952, at *2–4 (N.D. Cal. Sept. 29, 2010) (granting decertification in outside sales exemption misclassification case, given that there was no “centralized rule, policy or practice” that governed how plaintiffs spent their work time, and reasoning that court would have to evaluate “where the individual employees actually spent their time”).</w:t>
      </w:r>
    </w:p>
    <w:p w14:paraId="54F8A4B9" w14:textId="38C09E51" w:rsidR="00721CCF" w:rsidRPr="00D86A46" w:rsidRDefault="00F42107">
      <w:pPr>
        <w:pStyle w:val="14Footnote"/>
      </w:pPr>
      <w:r>
        <w:rPr>
          <w:i/>
          <w:iCs/>
        </w:rPr>
        <w:t xml:space="preserve">Tenth Circuit: </w:t>
      </w:r>
      <w:r w:rsidRPr="00277737">
        <w:t xml:space="preserve">Levine v. Vitamin Cottage Nat. Food Markets, Inc., </w:t>
      </w:r>
      <w:r w:rsidR="00ED051D" w:rsidRPr="00ED051D">
        <w:t>2023 BL 180243</w:t>
      </w:r>
      <w:r w:rsidR="00ED051D">
        <w:t xml:space="preserve">, </w:t>
      </w:r>
      <w:r w:rsidRPr="00277737">
        <w:t>2023 WL 3648684, at *</w:t>
      </w:r>
      <w:r>
        <w:t>6</w:t>
      </w:r>
      <w:r w:rsidR="002055B0">
        <w:t>–</w:t>
      </w:r>
      <w:r w:rsidRPr="00277737">
        <w:t>1</w:t>
      </w:r>
      <w:r>
        <w:t>1</w:t>
      </w:r>
      <w:r w:rsidRPr="00277737">
        <w:t xml:space="preserve"> (D. Colo. May 25, 2023)</w:t>
      </w:r>
      <w:r>
        <w:t xml:space="preserve"> (granting decertification in executive and administrative exemption case based on differences in assistant store managers’ day-to-day work experiences).</w:t>
      </w:r>
    </w:p>
  </w:footnote>
  <w:footnote w:id="553">
    <w:p w14:paraId="3DC2204E" w14:textId="77777777" w:rsidR="00721CCF" w:rsidRPr="00AD2F44" w:rsidRDefault="00F42107">
      <w:pPr>
        <w:pStyle w:val="14Footnote"/>
      </w:pPr>
      <w:r w:rsidRPr="00AD2F44">
        <w:rPr>
          <w:vertAlign w:val="superscript"/>
        </w:rPr>
        <w:footnoteRef/>
      </w:r>
      <w:r w:rsidRPr="00AD2F44">
        <w:rPr>
          <w:i/>
          <w:iCs/>
        </w:rPr>
        <w:t>See, e.g.,</w:t>
      </w:r>
      <w:r w:rsidRPr="00AD2F44">
        <w:t xml:space="preserve"> Morano v. Intercontinental Capital Grp., Inc., 2012 WL2952893, at *8 (S.D.N.Y. July 17, 2012) (decertifying challenge to outside sales exemption; “plaintiffs were paid in at least two different ways, creating another ‘disparate factual and employment setting of the individual plaintiff’”).</w:t>
      </w:r>
    </w:p>
  </w:footnote>
  <w:footnote w:id="554">
    <w:p w14:paraId="5B5E35F0" w14:textId="77777777" w:rsidR="00721CCF" w:rsidRPr="00AD2F44" w:rsidRDefault="00F42107">
      <w:pPr>
        <w:pStyle w:val="14Footnote"/>
      </w:pPr>
      <w:r w:rsidRPr="00AD2F44">
        <w:rPr>
          <w:vertAlign w:val="superscript"/>
        </w:rPr>
        <w:footnoteRef/>
      </w:r>
      <w:r w:rsidRPr="00AD2F44">
        <w:rPr>
          <w:i/>
          <w:iCs/>
        </w:rPr>
        <w:t>Second Circuit:</w:t>
      </w:r>
      <w:r w:rsidRPr="00AD2F44">
        <w:t xml:space="preserve"> Perez v. Allstate Ins. Co., 2014 WL 4635745, at *9 (E.D.N.Y. Sept. 16, 2014) (denying decertification and finding that use of representative testimony is fair and efficient way to resolve plaintiffs’ claims); Scott v. Aetna Servs., Inc., 210 F.R.D. 261, 265 (D. Conn. 2002).</w:t>
      </w:r>
    </w:p>
    <w:p w14:paraId="48481DB7" w14:textId="77777777" w:rsidR="00721CCF" w:rsidRPr="00AD2F44" w:rsidRDefault="00F42107">
      <w:pPr>
        <w:pStyle w:val="14Footnote"/>
      </w:pPr>
      <w:r w:rsidRPr="00AD2F44">
        <w:rPr>
          <w:i/>
          <w:iCs/>
        </w:rPr>
        <w:t>Third Circuit:</w:t>
      </w:r>
      <w:r w:rsidRPr="00AD2F44">
        <w:t xml:space="preserve"> Rivet v. Office Depot, Inc., 207 F. Supp. 3d 417, 422–28 (D.N.J. 2016) (final certification granted, and decertification motion denied, where employer asserted exemption defenses as to plaintiffs classified as nonexempt by employer and paid overtime according to fluctuating workweek method (referred to as “reverse misclassification defense”); court found that job duties of assistant store managers were sufficiently similar such that court could address employer’s exemption defense on collective basis); Ruffin v. Avis Budget Car Rental, LLC, 2014 WL 294675, at *3 (D.N.J. Jan. 27, 2014) (denying decertification motion as to shift managers, finding that disparities among job duties of class members were not material and “any such differences are outweighed by the similarities between those Plaintiffs”); Zanes v. Flagship Resort Dev., LLC, 2012 WL 589556, at *4, 18 WH Cases2d 1605 (D.N.J. Feb. 22, 2012) (denying decertification where job duties, responsibilities, and compensation structures of class members were similar and differences highlighted by defendant were not sufficient to overcome similarities); Moss v. Crawford &amp; Co., 201 F.R.D. 398, 410 (W.D. Pa. 2000) (denying decertification motion in an exemption case).</w:t>
      </w:r>
    </w:p>
    <w:p w14:paraId="11A8D40B" w14:textId="77777777" w:rsidR="00721CCF" w:rsidRPr="00AD2F44" w:rsidRDefault="00F42107">
      <w:pPr>
        <w:pStyle w:val="14Footnote"/>
      </w:pPr>
      <w:r w:rsidRPr="00AD2F44">
        <w:rPr>
          <w:i/>
          <w:iCs/>
        </w:rPr>
        <w:t>Fourth Circuit:</w:t>
      </w:r>
      <w:r w:rsidRPr="00AD2F44">
        <w:t xml:space="preserve"> Randolph v. PowerComm Constr., Inc., 309 F.R.D. 349, 368 (D. Md. 2015) (finding that traffic controllers who worked under different contractors, during different hours, and at different locations had similar employment settings because all had essentially same job and were subject to same policies and procedures).</w:t>
      </w:r>
    </w:p>
    <w:p w14:paraId="14DB6651" w14:textId="77777777" w:rsidR="00721CCF" w:rsidRPr="00AD2F44" w:rsidRDefault="00F42107">
      <w:pPr>
        <w:pStyle w:val="14Footnote"/>
      </w:pPr>
      <w:r w:rsidRPr="00AD2F44">
        <w:rPr>
          <w:i/>
          <w:iCs/>
        </w:rPr>
        <w:t>Fifth Circuit:</w:t>
      </w:r>
      <w:r w:rsidRPr="00AD2F44">
        <w:t xml:space="preserve"> Kelly v. Healthcare Servs. Grp., Inc., 106 F. Supp. 3d 808, 813–33 (E.D. Tex. 2015) (refusing to decertify collective action in which account managers challenged exempt classification because evidence demonstrated that managers at different location had uniform experience of spending 75–100% of their time performing manual labor).</w:t>
      </w:r>
    </w:p>
    <w:p w14:paraId="3FF0ED5E" w14:textId="77777777" w:rsidR="00721CCF" w:rsidRPr="00AD2F44" w:rsidRDefault="00F42107">
      <w:pPr>
        <w:pStyle w:val="14Footnote"/>
      </w:pPr>
      <w:r w:rsidRPr="00AD2F44">
        <w:rPr>
          <w:i/>
          <w:iCs/>
        </w:rPr>
        <w:t>Seventh Circuit:</w:t>
      </w:r>
      <w:r w:rsidRPr="00AD2F44">
        <w:t xml:space="preserve"> Long v. Epic Sys. Corp., 2016 WL 4625497, at *5 (W.D. Wis. Sept. 6, 2016) (denying motion to decertify class of technical writers challenging exempt status because, “although there are individual variances among the opt-in plaintiffs with respect to employment experience, [the court] conclude[d] that common questions are predominant in the exemption issue at the heart of this case”).</w:t>
      </w:r>
    </w:p>
    <w:p w14:paraId="18CF14FB" w14:textId="77777777" w:rsidR="00721CCF" w:rsidRPr="00AD2F44" w:rsidRDefault="00F42107">
      <w:pPr>
        <w:pStyle w:val="14Footnote"/>
      </w:pPr>
      <w:r w:rsidRPr="00AD2F44">
        <w:rPr>
          <w:i/>
          <w:iCs/>
        </w:rPr>
        <w:t>Eighth Circuit:</w:t>
      </w:r>
      <w:r w:rsidRPr="00AD2F44">
        <w:t xml:space="preserve"> Simmons v. Valspar Corp., 2013 WL2147862, at *2–6 (D. Minn. May 16, 2013) (denying decertification of case involving challenge to exempt status by territory managers where employment setting similarities were sufficient to determine exemption status collectively); </w:t>
      </w:r>
      <w:r w:rsidRPr="00AD2F44">
        <w:rPr>
          <w:i/>
          <w:iCs/>
        </w:rPr>
        <w:t>Nerland</w:t>
      </w:r>
      <w:r w:rsidRPr="00AD2F44">
        <w:t>, 564 F. Supp. 2d at 1018.</w:t>
      </w:r>
    </w:p>
    <w:p w14:paraId="5B648EE3" w14:textId="77777777" w:rsidR="00721CCF" w:rsidRPr="00AD2F44" w:rsidRDefault="00F42107">
      <w:pPr>
        <w:pStyle w:val="14Footnote"/>
      </w:pPr>
      <w:r w:rsidRPr="00AD2F44">
        <w:rPr>
          <w:i/>
          <w:iCs/>
        </w:rPr>
        <w:t>Ninth Circuit:</w:t>
      </w:r>
      <w:r w:rsidRPr="00AD2F44">
        <w:t xml:space="preserve"> Woods v. Vector Mktg. Corp., 2015 WL 5188682, at *6 (N.D. Cal. Sept. 4, 2015) (finding that application of </w:t>
      </w:r>
      <w:r w:rsidRPr="00AD2F44">
        <w:rPr>
          <w:i/>
          <w:iCs/>
        </w:rPr>
        <w:t>Walling v. Portland Terminal Co</w:t>
      </w:r>
      <w:r w:rsidRPr="00AD2F44">
        <w:t>., 330 U.S. 148 (1947), factors as to whether plaintiffs were employees or trainees could be adjudicated on classwide basis using uniform proof).</w:t>
      </w:r>
    </w:p>
    <w:p w14:paraId="3BCA9306" w14:textId="4966D4E1" w:rsidR="00721CCF" w:rsidRPr="00AD2F44" w:rsidRDefault="00F42107">
      <w:pPr>
        <w:pStyle w:val="14Footnote"/>
      </w:pPr>
      <w:r w:rsidRPr="00AD2F44">
        <w:rPr>
          <w:i/>
          <w:iCs/>
        </w:rPr>
        <w:t>Eleventh Circuit:</w:t>
      </w:r>
      <w:r w:rsidRPr="00AD2F44">
        <w:t xml:space="preserve"> </w:t>
      </w:r>
      <w:r w:rsidRPr="00AD2F44">
        <w:rPr>
          <w:i/>
          <w:iCs/>
        </w:rPr>
        <w:t>Morgan</w:t>
      </w:r>
      <w:r w:rsidRPr="00AD2F44">
        <w:t xml:space="preserve">, 551 F.3d at 1263 (upholding collective treatment and noting “[j]ust because the inquiry is fact-intensive does not preclude a collective action where plaintiffs share common job traits”); </w:t>
      </w:r>
      <w:r>
        <w:t xml:space="preserve">Rosario v. Progressive Cas. Ins. Co., </w:t>
      </w:r>
      <w:r w:rsidR="00ED051D" w:rsidRPr="00ED051D">
        <w:t>2022 BL 311227</w:t>
      </w:r>
      <w:r w:rsidR="00ED051D">
        <w:t xml:space="preserve">, </w:t>
      </w:r>
      <w:r w:rsidR="002055B0" w:rsidRPr="002055B0">
        <w:t xml:space="preserve">2022 WL 19479010 </w:t>
      </w:r>
      <w:r>
        <w:t>(M.D</w:t>
      </w:r>
      <w:r>
        <w:t xml:space="preserve">. Fla. Sept. 2, 2022) (denying motion to decertify, noting arguments defendant made in support of summary judgment on the administrative exemption undermined the argument the issues were too individualized, the DOL regulations’ reference to individualized analysis was about job titles alone not being a proxy and did not preclude collective analysis, and the evidence in the case distinguished this matter from exemption cases where the individual issues would have overwhelmed collective treatment); </w:t>
      </w:r>
      <w:r w:rsidRPr="00AD2F44">
        <w:t>Schumann v. Collier Anesthesia, P.A., 2017 WL 1361524, at *4 (M.D. Fla. Apr. 14, 2017) (denying decertification of case involving unpaid intern classification of 25 student nurse anesthetists, finding there were not “legally significant” factual differences in their employment settings: “The point is that while the twenty-five plaintiffs in this action had internship experiences that admittedly differed in some respects, few or none of those factual differences are ‘legally significant’ to the question of whether Defendants’ [student registered nurse anesthetist] internship program violated FLSA; they matter––if at all––only when determining who may recover and how much.”); Bradford v. Bed Bath &amp; Beyond, Inc., 184 F. Supp. 2d 1342, 1351 (N.D. Ga. 2002) (exemption defense does not present any difficulties related to the collective action because the court has already determined plaintiffs’ job duties were substantially similar).</w:t>
      </w:r>
    </w:p>
    <w:p w14:paraId="657730FB" w14:textId="77777777" w:rsidR="00721CCF" w:rsidRPr="00AD2F44" w:rsidRDefault="00F42107">
      <w:pPr>
        <w:pStyle w:val="14Footnote"/>
      </w:pPr>
      <w:r w:rsidRPr="00AD2F44">
        <w:t>See the discussion of representative evidence in §VIII.A [Trial; Representative Testimony and Evidence] of this chapter.</w:t>
      </w:r>
    </w:p>
  </w:footnote>
  <w:footnote w:id="555">
    <w:p w14:paraId="289F0B4A" w14:textId="77777777" w:rsidR="00721CCF" w:rsidRPr="00AD2F44" w:rsidRDefault="00F42107">
      <w:pPr>
        <w:pStyle w:val="14Footnote"/>
      </w:pPr>
      <w:r w:rsidRPr="00AD2F44">
        <w:rPr>
          <w:vertAlign w:val="superscript"/>
        </w:rPr>
        <w:footnoteRef/>
      </w:r>
      <w:r w:rsidRPr="00AD2F44">
        <w:t xml:space="preserve">Morgan v. Family Dollar Stores, Inc., 551 F.3d 1233, 1263–64 (11th Cir. 2008); Pendlebury v. Starbucks, 518 F. Supp. 2d 1345, 1352–53 (S.D. Fla. 2008); </w:t>
      </w:r>
      <w:r w:rsidRPr="00AD2F44">
        <w:rPr>
          <w:i/>
          <w:iCs/>
        </w:rPr>
        <w:t>Nerland</w:t>
      </w:r>
      <w:r w:rsidRPr="00AD2F44">
        <w:t xml:space="preserve">, 564 F. Supp. 2d at 1022–24 (finding it is disingenuous for the company to collectively decide all store managers are exempt and then challenge the plaintiffs’ collective lawsuit). </w:t>
      </w:r>
      <w:r w:rsidRPr="00AD2F44">
        <w:rPr>
          <w:i/>
          <w:iCs/>
        </w:rPr>
        <w:t>But cf</w:t>
      </w:r>
      <w:r w:rsidRPr="00AD2F44">
        <w:t>. Holt v. Rite Aid Corp., 333 F. Supp. 2d 1265, 1271 (M.D. Ala. 2004) (rejecting argument, in conditional certification motion, that plaintiffs were similarly situated because defendant had classified them all as exempt where plaintiffs contended they did not perform the managerial tasks in the job description, but spent their time performing other, nonmanagerial tasks).</w:t>
      </w:r>
    </w:p>
  </w:footnote>
  <w:footnote w:id="556">
    <w:p w14:paraId="7880E441" w14:textId="77777777" w:rsidR="00721CCF" w:rsidRPr="00AD2F44" w:rsidRDefault="00F42107">
      <w:pPr>
        <w:pStyle w:val="14Footnote"/>
      </w:pPr>
      <w:r w:rsidRPr="00AD2F44">
        <w:rPr>
          <w:vertAlign w:val="superscript"/>
        </w:rPr>
        <w:footnoteRef/>
      </w:r>
      <w:r w:rsidRPr="00AD2F44">
        <w:rPr>
          <w:i/>
        </w:rPr>
        <w:t xml:space="preserve">See, e.g., </w:t>
      </w:r>
    </w:p>
    <w:p w14:paraId="03C191AB" w14:textId="77777777" w:rsidR="00721CCF" w:rsidRPr="00AD2F44" w:rsidRDefault="00F42107">
      <w:pPr>
        <w:pStyle w:val="14Footnote"/>
      </w:pPr>
      <w:r w:rsidRPr="00AD2F44">
        <w:rPr>
          <w:i/>
          <w:iCs/>
        </w:rPr>
        <w:t xml:space="preserve">Seventh Circuit: </w:t>
      </w:r>
      <w:r w:rsidRPr="00AD2F44">
        <w:t>Reich v. Homier Distribs. Co., Inc., 362 F. Supp. 2d 1009, 1013–14 (N.D. Ind. 2005) (collecting cases).</w:t>
      </w:r>
    </w:p>
    <w:p w14:paraId="33FE10EF" w14:textId="77777777" w:rsidR="00721CCF" w:rsidRPr="00AD2F44" w:rsidRDefault="00F42107">
      <w:pPr>
        <w:pStyle w:val="14Footnote"/>
      </w:pPr>
      <w:r w:rsidRPr="00AD2F44">
        <w:rPr>
          <w:i/>
          <w:iCs/>
        </w:rPr>
        <w:t xml:space="preserve">Ninth Circuit: </w:t>
      </w:r>
      <w:r w:rsidRPr="00AD2F44">
        <w:t xml:space="preserve">Hazelbaker v. Metropolitan Prop. &amp; Cas. Ins. Co., 2014 WL 5304911, at *5 (D. Ariz. Oct. 16, 2014) (“The Court fails to see how it could proceed through the liability stage without making a determination as to whether Plaintiffs actually worked in excess of forty hours a week. Deposition transcripts show that some Plaintiffs worked significantly longer hours than others.”). </w:t>
      </w:r>
    </w:p>
    <w:p w14:paraId="34DC6310" w14:textId="77777777" w:rsidR="00721CCF" w:rsidRPr="00AD2F44" w:rsidRDefault="00F42107">
      <w:pPr>
        <w:pStyle w:val="14Footnote"/>
      </w:pPr>
      <w:r w:rsidRPr="00AD2F44">
        <w:rPr>
          <w:i/>
          <w:iCs/>
        </w:rPr>
        <w:t xml:space="preserve">Eleventh Circuit: </w:t>
      </w:r>
      <w:r w:rsidRPr="00AD2F44">
        <w:t xml:space="preserve">Rindfleisch v. Gentiva Health Servs., Inc., 22 F. Supp. 3d 1295, 1303–05 (N.D. Ga. 2014); </w:t>
      </w:r>
      <w:r w:rsidRPr="00AD2F44">
        <w:rPr>
          <w:i/>
          <w:iCs/>
        </w:rPr>
        <w:t>accord</w:t>
      </w:r>
      <w:r w:rsidRPr="00AD2F44">
        <w:t xml:space="preserve"> Willoughby v. Youth Vills., Inc., 113 F. Supp. 3d 1265, 1275 (N.D. Ga. 2015) (following </w:t>
      </w:r>
      <w:r w:rsidRPr="00AD2F44">
        <w:rPr>
          <w:i/>
          <w:iCs/>
        </w:rPr>
        <w:t>Rindfleisch</w:t>
      </w:r>
      <w:r w:rsidRPr="00AD2F44">
        <w:t>: “‘[E]very plaintiff has to actually be owed compensation in a collective action solely seeking overtime damages.’ … A ‘collective action is improper when actual liability cannot be established on a class-wide basis.’”).</w:t>
      </w:r>
    </w:p>
  </w:footnote>
  <w:footnote w:id="557">
    <w:p w14:paraId="05D1262C" w14:textId="77777777" w:rsidR="00721CCF" w:rsidRPr="00AD2F44" w:rsidRDefault="00F42107">
      <w:pPr>
        <w:pStyle w:val="14Footnote"/>
      </w:pPr>
      <w:r w:rsidRPr="00AD2F44">
        <w:rPr>
          <w:vertAlign w:val="superscript"/>
        </w:rPr>
        <w:footnoteRef/>
      </w:r>
      <w:r w:rsidRPr="00AD2F44">
        <w:t>22 F. Supp. 3d 1295 (N.D. Ga. 2014).</w:t>
      </w:r>
    </w:p>
  </w:footnote>
  <w:footnote w:id="558">
    <w:p w14:paraId="43B212CB" w14:textId="77777777" w:rsidR="00721CCF" w:rsidRPr="00AD2F44" w:rsidRDefault="00F42107">
      <w:pPr>
        <w:pStyle w:val="14Footnote"/>
      </w:pPr>
      <w:r w:rsidRPr="00AD2F44">
        <w:rPr>
          <w:vertAlign w:val="superscript"/>
        </w:rPr>
        <w:footnoteRef/>
      </w:r>
      <w:r w:rsidRPr="00AD2F44">
        <w:rPr>
          <w:i/>
          <w:iCs/>
        </w:rPr>
        <w:t>Id.</w:t>
      </w:r>
      <w:r w:rsidRPr="00AD2F44">
        <w:t xml:space="preserve"> at 1303; </w:t>
      </w:r>
      <w:r w:rsidRPr="00AD2F44">
        <w:rPr>
          <w:i/>
          <w:iCs/>
        </w:rPr>
        <w:t>see also</w:t>
      </w:r>
      <w:r w:rsidRPr="00AD2F44">
        <w:t xml:space="preserve"> </w:t>
      </w:r>
      <w:r w:rsidRPr="00AD2F44">
        <w:rPr>
          <w:i/>
          <w:iCs/>
        </w:rPr>
        <w:t>Hazelbaker</w:t>
      </w:r>
      <w:r w:rsidRPr="00AD2F44">
        <w:t>, 2014 WL 5304911, at *5 (“[T]he Court would need to rely on individual testimony and other means of reconstructing each Plaintiffs’ hours worked in order to determine whether and how often they exceeded 40 hours a week during the relevant period. In other words, the Court would need to conduct additional mini-trials.”).</w:t>
      </w:r>
    </w:p>
  </w:footnote>
  <w:footnote w:id="559">
    <w:p w14:paraId="2187C10D" w14:textId="77777777" w:rsidR="00721CCF" w:rsidRPr="00AD2F44" w:rsidRDefault="00F42107">
      <w:pPr>
        <w:pStyle w:val="14Footnote"/>
      </w:pPr>
      <w:r w:rsidRPr="00AD2F44">
        <w:rPr>
          <w:vertAlign w:val="superscript"/>
        </w:rPr>
        <w:footnoteRef/>
      </w:r>
      <w:r w:rsidRPr="00AD2F44">
        <w:rPr>
          <w:i/>
          <w:iCs/>
        </w:rPr>
        <w:t>See, e.g.,</w:t>
      </w:r>
    </w:p>
    <w:p w14:paraId="7005D840" w14:textId="77777777" w:rsidR="00721CCF" w:rsidRPr="00AD2F44" w:rsidRDefault="00F42107">
      <w:pPr>
        <w:pStyle w:val="14Footnote"/>
      </w:pPr>
      <w:r w:rsidRPr="00AD2F44">
        <w:rPr>
          <w:i/>
          <w:iCs/>
        </w:rPr>
        <w:t>Third Circuit:</w:t>
      </w:r>
      <w:r w:rsidRPr="00AD2F44">
        <w:t xml:space="preserve"> Prise v. Alderwoods Grp., Inc., 817 F. Supp. 2d 651, 681 (W.D. Pa. 2011) (granting decertification of nationwide class of over 720 plaintiffs, reasoning that evidence of unpaid work outside regular work hours, on-call time, non-pre-approved overtime, training time, and working meal breaks showed that implementation of policies varied depending on location, supervisory practices, and individual circumstances, such that there was no single corporate policy or plan that “similarly affected plaintiffs”); Chabrier v. Wilmington Fin. Inc, 2008 WL 938872, at *3 (E.D. Pa. Apr. 4, 2008) (denying motion for decertifications in case where the employer allegedly imposed hard-to-meet quotas that led to a policy of instructing or permitting loan officers to work off the clock).</w:t>
      </w:r>
    </w:p>
    <w:p w14:paraId="2B4608DC" w14:textId="77777777" w:rsidR="00721CCF" w:rsidRPr="00AD2F44" w:rsidRDefault="00F42107">
      <w:pPr>
        <w:pStyle w:val="14Footnote"/>
      </w:pPr>
      <w:r w:rsidRPr="00AD2F44">
        <w:rPr>
          <w:i/>
          <w:iCs/>
        </w:rPr>
        <w:t>Fifth Circuit:</w:t>
      </w:r>
      <w:r w:rsidRPr="00AD2F44">
        <w:t xml:space="preserve"> Proctor v. Allsups Convenience Stores, Inc., 250 F.R.D. 278, 282–83 (N.D. Tex. 2008) (decertifying collective action where employer had policy prohibiting off-the-clock work and many plaintiffs testified that they had not worked off the clock and their claims “var[ied] from store to store and manager to manager”); Johnson v. TGF Precision Haircutters, Inc., 2005 WL 1994286, at *2–5 (S.D. Tex. Aug. 17, 2005) (granting decertification motion because the “conglomerate of diverse evidence indicates that some Plaintiffs may have prima facie claims for FLSA violations at different times, in different places, in different ways, and to differing degrees, but the evidence of varied particular violations is insufficient to show that Defendants implemented a uniform, systematically applied policy of wrongfully denying overtime pay to Plaintiffs”).</w:t>
      </w:r>
    </w:p>
    <w:p w14:paraId="38CEB245" w14:textId="77777777" w:rsidR="00721CCF" w:rsidRPr="00AD2F44" w:rsidRDefault="00F42107">
      <w:pPr>
        <w:pStyle w:val="14Footnote"/>
      </w:pPr>
      <w:r w:rsidRPr="00AD2F44">
        <w:rPr>
          <w:i/>
          <w:iCs/>
        </w:rPr>
        <w:t>Sixth Circuit:</w:t>
      </w:r>
      <w:r w:rsidRPr="00AD2F44">
        <w:t xml:space="preserve"> Monroe v. FTS USA, LLC, 860 F.3d 389 (6th Cir. 2017) (affirming district court’s denial of decertification motion, recognizing that record revealed all plaintiffs worked in same position and performed same job duties regardless of work location and were subject to same timekeeping system and compensation plan, and that record contained ample evidence of companywide policy that originated with defendant’s executives requiring underreporting of hours worked); Jones-Turner v. Yellow Enter. Sys., LLC, 2011 WL 4861882, at *3 (W.D. Ky. Oct. 13, 2011) (decertifying class of ambulance drivers claiming they were forced to work through unpaid meal breaks because evidence, and plaintiffs’ briefing, showed that “multitude of factors” implicated whether plaintiffs were properly paid). </w:t>
      </w:r>
    </w:p>
    <w:p w14:paraId="6C99CC71" w14:textId="77777777" w:rsidR="00721CCF" w:rsidRPr="00AD2F44" w:rsidRDefault="00F42107">
      <w:pPr>
        <w:pStyle w:val="14Footnote"/>
      </w:pPr>
      <w:r w:rsidRPr="00AD2F44">
        <w:rPr>
          <w:i/>
          <w:iCs/>
        </w:rPr>
        <w:t xml:space="preserve">Seventh Circuit: </w:t>
      </w:r>
      <w:r w:rsidRPr="00AD2F44">
        <w:t>Russell v. Illinois Bell Tel. Co., 721 F. Supp. 2d 804, 815–16 (N.D. Ill. 2010) (granting in part and denying in part decertification motion for off-the-clock claims at call center; decertified claims were highly individualized, such as for time spent blowing up balloons; claims that retained certification were based on common policies (1) of being “open and available” resulting in pre-shift work, (2) regarding average call-handling time that did not allow for dealing with customer service issues and led to working during lunch, and (3) regarding rounding and log-out procedures that caused post-shift work).</w:t>
      </w:r>
    </w:p>
    <w:p w14:paraId="634500E9" w14:textId="77777777" w:rsidR="00721CCF" w:rsidRPr="00AD2F44" w:rsidRDefault="00F42107">
      <w:pPr>
        <w:pStyle w:val="14Footnote"/>
      </w:pPr>
      <w:r w:rsidRPr="00AD2F44">
        <w:rPr>
          <w:i/>
          <w:iCs/>
        </w:rPr>
        <w:t>Eighth Circuit:</w:t>
      </w:r>
      <w:r w:rsidRPr="00AD2F44">
        <w:t xml:space="preserve"> Kautsch v. Premier Commc’ns, 2008 WL 294271, at *2–3 (W.D. Mo. Jan. 31, 2008).</w:t>
      </w:r>
    </w:p>
    <w:p w14:paraId="6940E034" w14:textId="77777777" w:rsidR="00721CCF" w:rsidRPr="00AD2F44" w:rsidRDefault="00F42107">
      <w:pPr>
        <w:pStyle w:val="14Footnote"/>
      </w:pPr>
      <w:r w:rsidRPr="00AD2F44">
        <w:rPr>
          <w:i/>
          <w:iCs/>
        </w:rPr>
        <w:t>Ninth Circuit:</w:t>
      </w:r>
      <w:r w:rsidRPr="00AD2F44">
        <w:t xml:space="preserve"> Smith v. Micron Elec., Inc., 2005 WL 5336571, at *2 (D. Idaho Feb. 4, 2005) (denying motion for “final certification” where plaintiff had submitted insufficient evidence that a majority of supervisors had instructed plaintiffs to work off the clock, many plaintiffs had admitted that they worked off the clock without the knowledge of their supervisors, and the employer had a policy prohibiting off-the-clock work).</w:t>
      </w:r>
    </w:p>
    <w:p w14:paraId="78E62ADD" w14:textId="77777777" w:rsidR="00721CCF" w:rsidRPr="00AD2F44" w:rsidRDefault="00F42107">
      <w:pPr>
        <w:pStyle w:val="14Footnote"/>
      </w:pPr>
      <w:r w:rsidRPr="00AD2F44">
        <w:rPr>
          <w:i/>
          <w:iCs/>
        </w:rPr>
        <w:t>Eleventh Circuit:</w:t>
      </w:r>
      <w:r w:rsidRPr="00AD2F44">
        <w:t xml:space="preserve"> Hill v. Muscogee Cnty. Sch. Dist., 2005 WL 3526669, at *2–4 (M.D. Ga. Dec. 20, 2005) (denying decertification motion in case involving teacher’s aides where there was evidence that teachers had told plaintiffs not to work overtime “with a wink and a nod” and then assigned them more work than a teacher’s aide could reasonably complete in 40 hours). </w:t>
      </w:r>
    </w:p>
  </w:footnote>
  <w:footnote w:id="560">
    <w:p w14:paraId="310769C8" w14:textId="77777777" w:rsidR="00721CCF" w:rsidRPr="00AD2F44" w:rsidRDefault="00F42107">
      <w:pPr>
        <w:pStyle w:val="14Footnote"/>
      </w:pPr>
      <w:r w:rsidRPr="00AD2F44">
        <w:rPr>
          <w:vertAlign w:val="superscript"/>
        </w:rPr>
        <w:footnoteRef/>
      </w:r>
      <w:r w:rsidRPr="00AD2F44">
        <w:rPr>
          <w:i/>
          <w:iCs/>
        </w:rPr>
        <w:t>See, e.g.,</w:t>
      </w:r>
    </w:p>
    <w:p w14:paraId="0471DD20" w14:textId="77777777" w:rsidR="00721CCF" w:rsidRPr="00AD2F44" w:rsidRDefault="00F42107">
      <w:pPr>
        <w:pStyle w:val="14Footnote"/>
      </w:pPr>
      <w:r w:rsidRPr="00AD2F44">
        <w:rPr>
          <w:i/>
          <w:iCs/>
        </w:rPr>
        <w:t>First Circuit:</w:t>
      </w:r>
      <w:r w:rsidRPr="00AD2F44">
        <w:t xml:space="preserve"> Norceide v. Cambridge Health Alliance, 2014 WL 775453, at *3 (D. Mass. Feb. 24, 2014) (decertifying class where class members worked in three different hospitals under many different supervisors and were subject to different collective bargaining agreements, and the official company policy was to pay employees time worked).</w:t>
      </w:r>
    </w:p>
    <w:p w14:paraId="1F3CC255" w14:textId="77777777" w:rsidR="00721CCF" w:rsidRPr="00AD2F44" w:rsidRDefault="00F42107">
      <w:pPr>
        <w:pStyle w:val="14Footnote"/>
      </w:pPr>
      <w:r w:rsidRPr="00AD2F44">
        <w:rPr>
          <w:i/>
          <w:iCs/>
        </w:rPr>
        <w:t>Second Circuit:</w:t>
      </w:r>
      <w:r w:rsidRPr="00AD2F44">
        <w:t xml:space="preserve"> DeSilva v. North Shore-Long Island Jewish Health Sys., Inc., 27 F. Supp. 3d 313, 320 (E.D.N.Y. 2014) (decertifying collective action in automatic meal deduction case where alleged violations arose from “a hodgepodge of procedures implemented in varying ways by different managers across numerous departments and locations”).</w:t>
      </w:r>
    </w:p>
    <w:p w14:paraId="78F80912" w14:textId="77777777" w:rsidR="00721CCF" w:rsidRPr="00AD2F44" w:rsidRDefault="00F42107">
      <w:pPr>
        <w:pStyle w:val="14Footnote"/>
      </w:pPr>
      <w:r w:rsidRPr="00AD2F44">
        <w:rPr>
          <w:i/>
          <w:iCs/>
        </w:rPr>
        <w:t>Third Circuit:</w:t>
      </w:r>
      <w:r w:rsidRPr="00AD2F44">
        <w:t xml:space="preserve"> Bell v. Reading Hosp. &amp; Med. Ctr., 2016 WL 3902938, at *11 (E.D. Pa. July 19, 2016) (“The many factual differences with respect to each plaintiff demonstrate that plaintiffs ‘were not uniformly affected by [Reading’s] department-by-department approach to meal deduction cancellations. … The decentralized nature of the application of the manner to cancel an automatic deduction and the independent way that each supervisor implemented the same is contrary to the purposes of collective treatment under the FLSA.’”) (citation omitted).</w:t>
      </w:r>
    </w:p>
    <w:p w14:paraId="5E8101B5" w14:textId="77777777" w:rsidR="00721CCF" w:rsidRPr="00AD2F44" w:rsidRDefault="00F42107">
      <w:pPr>
        <w:pStyle w:val="14Footnote"/>
      </w:pPr>
      <w:r w:rsidRPr="00AD2F44">
        <w:rPr>
          <w:i/>
          <w:iCs/>
        </w:rPr>
        <w:t>Fifth Circuit:</w:t>
      </w:r>
      <w:r w:rsidRPr="00AD2F44">
        <w:t xml:space="preserve"> </w:t>
      </w:r>
      <w:r w:rsidRPr="00AD2F44">
        <w:rPr>
          <w:i/>
          <w:iCs/>
        </w:rPr>
        <w:t>TGF Precision Haircutters</w:t>
      </w:r>
      <w:r w:rsidRPr="00AD2F44">
        <w:t>, 2005 WL 1994286, at *4 (granting decertification motion because the “conglomerate of diverse evidence indicates that some Plaintiffs may have prima facie claims for FLSA violations at different times, in different places, in different ways, and to differing degrees, but the evidence of varied particular violations is insufficient to show that Defendants implemented a uniform, systematically applied policy of wrongfully denying overtime pay to Plaintiffs”).</w:t>
      </w:r>
    </w:p>
    <w:p w14:paraId="162B547F" w14:textId="77777777" w:rsidR="00721CCF" w:rsidRPr="00AD2F44" w:rsidRDefault="00F42107">
      <w:pPr>
        <w:pStyle w:val="14Footnote"/>
      </w:pPr>
      <w:r w:rsidRPr="00AD2F44">
        <w:rPr>
          <w:i/>
          <w:iCs/>
        </w:rPr>
        <w:t>Sixth Circuit:</w:t>
      </w:r>
      <w:r w:rsidRPr="00AD2F44">
        <w:t xml:space="preserve"> Cornell v. World Wide Bus. Servs. Corp., 2015 WL 6662919, at *5, 2015 WH Cases2d 360710 (S.D. Ohio Nov. 2, 2015) (“Plaintiffs have failed to produce substantial evidence that they were compelled to perform off-the-clock work pursuant to a common policy, plan, or scheme. Rather, the evidence shows that Defendants’ policy was to pay its employees for all hours worked. Although Plaintiffs offer substantial evidence that some workers did perform at least occasional off-the-clock work, the evidence indicates that the decision of individual workers and supervisors, not company-wide policy, were the causal factor.”).</w:t>
      </w:r>
    </w:p>
    <w:p w14:paraId="17555A84" w14:textId="77777777" w:rsidR="00721CCF" w:rsidRPr="00AD2F44" w:rsidRDefault="00F42107">
      <w:pPr>
        <w:pStyle w:val="14Footnote"/>
      </w:pPr>
      <w:r w:rsidRPr="00AD2F44">
        <w:rPr>
          <w:i/>
          <w:iCs/>
        </w:rPr>
        <w:t>Eighth Circuit:</w:t>
      </w:r>
      <w:r w:rsidRPr="00AD2F44">
        <w:t xml:space="preserve"> Davenport v. Charter Commc’ns, LLC,</w:t>
      </w:r>
      <w:r w:rsidRPr="00AD2F44">
        <w:rPr>
          <w:i/>
          <w:iCs/>
        </w:rPr>
        <w:t xml:space="preserve"> </w:t>
      </w:r>
      <w:r w:rsidRPr="00AD2F44">
        <w:t>2017 WL 878029, at *8 (E.D. Mo. Mar. 6, 2017) (“After more than two years of discovery, the Court concludes that Plaintiffs have failed to demonstrate that they suffered from a single, FLSA-violating policy that operated to common effect. The only uniform policy established in this case is Charter’s facially compliant written policies to pay agents for all time worked, including for time spent loading and closing tools.”).</w:t>
      </w:r>
    </w:p>
    <w:p w14:paraId="407E2D48" w14:textId="77777777" w:rsidR="00721CCF" w:rsidRPr="00AD2F44" w:rsidRDefault="00F42107">
      <w:pPr>
        <w:pStyle w:val="14Footnote"/>
      </w:pPr>
      <w:r w:rsidRPr="00AD2F44">
        <w:rPr>
          <w:i/>
          <w:iCs/>
        </w:rPr>
        <w:t>Ninth Circuit:</w:t>
      </w:r>
      <w:r w:rsidRPr="00AD2F44">
        <w:t xml:space="preserve"> Brewer v. General Nutrition Corp., 2014 WL 5877695, at *15 (N.D. Cal. Nov. 12, 2014) (granting decertification motion and noting that “[t]he evidence also suggests that whether an employee was subjected to off-the-clock work depended on a variety of individualized factors, paramount among them the identity of the manager under whom they worked”); Smith v. T-Mobile USA, Inc., 2007 WL 2385131, at *5 (C.D. Cal. Aug. 15, 2007); </w:t>
      </w:r>
      <w:r w:rsidRPr="00AD2F44">
        <w:rPr>
          <w:i/>
          <w:iCs/>
        </w:rPr>
        <w:t>Micron Electronics</w:t>
      </w:r>
      <w:r w:rsidRPr="00AD2F44">
        <w:t>, 2005 WL 5336571, at *2 (granting decertification where plaintiffs offered only anecdotal evidence of an off-the-clock requirement).</w:t>
      </w:r>
    </w:p>
    <w:p w14:paraId="439BE6E4" w14:textId="44CDFFBE" w:rsidR="00721CCF" w:rsidRPr="00AD2F44" w:rsidRDefault="00F42107">
      <w:pPr>
        <w:pStyle w:val="14Footnote"/>
      </w:pPr>
      <w:r w:rsidRPr="00AD2F44">
        <w:rPr>
          <w:i/>
          <w:iCs/>
        </w:rPr>
        <w:t>Eleventh Circuit:</w:t>
      </w:r>
      <w:r w:rsidRPr="00AD2F44">
        <w:t xml:space="preserve"> Epps v. Oak St. Mortg. LLC, 2006 WL 1460273 (M.D. Fla. May 22, 2006) (granting motion for decertification for hourly employee subclass but denying motion for decertification for salaried exempt employee subclass).</w:t>
      </w:r>
    </w:p>
  </w:footnote>
  <w:footnote w:id="561">
    <w:p w14:paraId="4EF59A76" w14:textId="77777777" w:rsidR="00721CCF" w:rsidRPr="00AD2F44" w:rsidRDefault="00F42107">
      <w:pPr>
        <w:pStyle w:val="14Footnote"/>
      </w:pPr>
      <w:r w:rsidRPr="00AD2F44">
        <w:rPr>
          <w:vertAlign w:val="superscript"/>
        </w:rPr>
        <w:footnoteRef/>
      </w:r>
      <w:r w:rsidRPr="00AD2F44">
        <w:rPr>
          <w:i/>
          <w:iCs/>
        </w:rPr>
        <w:t>See, e.g.,</w:t>
      </w:r>
    </w:p>
    <w:p w14:paraId="3F336E58" w14:textId="77777777" w:rsidR="00721CCF" w:rsidRPr="00AD2F44" w:rsidRDefault="00F42107">
      <w:pPr>
        <w:pStyle w:val="14Footnote"/>
      </w:pPr>
      <w:r w:rsidRPr="00AD2F44">
        <w:rPr>
          <w:i/>
          <w:iCs/>
        </w:rPr>
        <w:t>Second Circuit:</w:t>
      </w:r>
      <w:r w:rsidRPr="00AD2F44">
        <w:t xml:space="preserve"> Mendez v. U.S. Nonwovens Corp., 2016 WL 1306551, at *4–6 (E.D.N.Y. Mar. 31, 2016) (decertifying collective action, finding that plaintiffs did not offer any evidence of generalized policy or practice depriving them of overtime wages where each plaintiff offered individualized evidence to establish his or her claim: some never complained to supervisor about not being paid for all hours worked; some complained sometimes, but not at other times; some claimed they would be paid for their overtime when they did complain; some testified they would be paid sometimes and not other times; some testified they did not even know if they had worked any overtime hours; and plaintiffs’ testimony differed as to length of pre-shift period worked, who told them to arrive early, what they were told, and if they actually performed any work); Ruiz v. Citibank, N.A., 93 F. Supp. 3d 279, 299–301 (S.D.N.Y. 2015) (decertifying collective action including 436 personal bankers where liability for alleged off-the-clock work claims depended on individual actions of managers at numerous branch locations, not on common policy that operated to common effect).</w:t>
      </w:r>
    </w:p>
    <w:p w14:paraId="331CF8C4" w14:textId="77777777" w:rsidR="00721CCF" w:rsidRPr="00AD2F44" w:rsidRDefault="00F42107">
      <w:pPr>
        <w:pStyle w:val="14Footnote"/>
      </w:pPr>
      <w:r w:rsidRPr="00AD2F44">
        <w:rPr>
          <w:i/>
          <w:iCs/>
        </w:rPr>
        <w:t>Fifth Circuit:</w:t>
      </w:r>
      <w:r w:rsidRPr="00AD2F44">
        <w:t xml:space="preserve"> Proctor v. Allsups Convenience Stores, Inc., 250 F.R.D. 278, 282–83 (N.D. Tex. 2008) (decertifying collective action where employer had policy prohibiting off-the-clock work and many plaintiffs testified that they had not worked off the clock and their claims “var[ied] from store to store and manager to manager”).</w:t>
      </w:r>
    </w:p>
    <w:p w14:paraId="79804606" w14:textId="77777777" w:rsidR="00721CCF" w:rsidRPr="00AD2F44" w:rsidRDefault="00F42107">
      <w:pPr>
        <w:pStyle w:val="14Footnote"/>
      </w:pPr>
      <w:r w:rsidRPr="00AD2F44">
        <w:rPr>
          <w:i/>
          <w:iCs/>
        </w:rPr>
        <w:t>Sixth Circuit:</w:t>
      </w:r>
      <w:r w:rsidRPr="00AD2F44">
        <w:t xml:space="preserve"> Frye v. Baptist Mem. Hosp., Inc., 495 F. App’x 669, 673 (6th Cir. 2012) (affirming decertification of collective action where district court found auto deduction policy did not violate the FLSA and that the unpaid overtime claims depend on the “employees’ unique experiences”).</w:t>
      </w:r>
    </w:p>
    <w:p w14:paraId="490B57AE" w14:textId="77777777" w:rsidR="00721CCF" w:rsidRPr="00AD2F44" w:rsidRDefault="00F42107">
      <w:pPr>
        <w:pStyle w:val="14Footnote"/>
      </w:pPr>
      <w:r w:rsidRPr="00AD2F44">
        <w:rPr>
          <w:i/>
          <w:iCs/>
        </w:rPr>
        <w:t>Seventh Circuit:</w:t>
      </w:r>
      <w:r w:rsidRPr="00AD2F44">
        <w:t xml:space="preserve"> Miller v. ThedaCare, Inc., 2018 WL 472818, at *11 (E.D. Wis. Jan. 18, 2018) (granting decertification, determining that significant differences existed where plaintiffs worked in 33 departments at two different hospitals, reporting to 38 managers and 55 supervisors); Elder v. Comcast Corp., 2015 WL 3475968, at *5, 10 (N.D. Ill. June 1, 2015) (decertifying collective action; “Plaintiffs proffer multiple different explanations as to why they did not report their alleged off-the-clock work, ranging from workload, desire to be a team player, to ‘personal choice.’ Other technicians gave no explanation for failing to report off-the-clock work. Although a few technicians claimed that their supervisors directed them to work off the clock, the majority swore they were never directed to work off the clock or not to record work time outside of their scheduled shift. ‘These differences between the technicians’ experiences and supervisor discretion make it impossible to generate common answers on a classwide basis.’”) (citation omitted).</w:t>
      </w:r>
    </w:p>
    <w:p w14:paraId="532F7FA8" w14:textId="77777777" w:rsidR="00721CCF" w:rsidRPr="00AD2F44" w:rsidRDefault="00F42107">
      <w:pPr>
        <w:pStyle w:val="14Footnote"/>
      </w:pPr>
      <w:r w:rsidRPr="00AD2F44">
        <w:rPr>
          <w:i/>
          <w:iCs/>
        </w:rPr>
        <w:t>Eighth Circuit:</w:t>
      </w:r>
      <w:r w:rsidRPr="00AD2F44">
        <w:t xml:space="preserve"> Lindsay v. Clear Wireless, LLC, 2016 WL 916365, at *5 (D. Minn. Mar. 10, 2016) (decertifying class of 127 retail sales representatives who worked at mall kiosks because record did not demonstrate any evidence of uniform policy that dictated uncompensated work; instead, court found that plaintiffs failed to demonstrate consistency regarding kinds of off-the-clock work performed, circumstances requiring such work, amount of such work performed, and whether they were compensated for such work).</w:t>
      </w:r>
    </w:p>
    <w:p w14:paraId="60413AE1" w14:textId="77777777" w:rsidR="00721CCF" w:rsidRPr="00AD2F44" w:rsidRDefault="00F42107">
      <w:pPr>
        <w:pStyle w:val="14Footnote"/>
      </w:pPr>
      <w:r w:rsidRPr="00AD2F44">
        <w:rPr>
          <w:i/>
          <w:iCs/>
        </w:rPr>
        <w:t>Ninth Circuit:</w:t>
      </w:r>
      <w:r w:rsidRPr="00AD2F44">
        <w:t xml:space="preserve"> </w:t>
      </w:r>
      <w:r w:rsidRPr="00AD2F44">
        <w:rPr>
          <w:i/>
          <w:iCs/>
        </w:rPr>
        <w:t>Brewer</w:t>
      </w:r>
      <w:r w:rsidRPr="00AD2F44">
        <w:t>, 2014 WL 5877695, at *15 (finding certification not appropriate in part because many plaintiffs worked “far short [of 40 hours per week], working, for instance, 20 or 30 hours per week”); Smith v. T-Mobile USA, Inc., 2007 WL 2385131, at *5 (C.D. Cal. Aug. 15, 2007) (granting decertification motion in off-the-clock case where plaintiffs had submitted 33 declarations in support of their claims based on a sampling of 1,500 collective members, which did not demonstrate a common policy or practice).</w:t>
      </w:r>
    </w:p>
    <w:p w14:paraId="417CA454" w14:textId="33D705F5" w:rsidR="00721CCF" w:rsidRPr="00AD2F44" w:rsidRDefault="00F42107">
      <w:pPr>
        <w:pStyle w:val="14Footnote"/>
      </w:pPr>
      <w:r w:rsidRPr="00AD2F44">
        <w:rPr>
          <w:i/>
          <w:iCs/>
        </w:rPr>
        <w:t>Eleventh Circuit:</w:t>
      </w:r>
      <w:r w:rsidRPr="00AD2F44">
        <w:t xml:space="preserve"> Tanner v. TPUSA, Inc., 2015 WL 6940118, at *5–6 (M.D. Ga. Nov. 9, 2015) (decertifying collective action including 478 call center customer service representatives, finding that determination as to liability to plaintiffs required individualized inquiries); Mathis v. Darden Rests., 2014 WL 4428171, at *4 (S.D. Fla. Sept. 1, 2014) (finding disparate factual and employment settings between bartenders and servers where they worked across 1,995 restaurants spread across 50 states and relevant policies differed by job title, state, brand, specific restaurant, and managers).</w:t>
      </w:r>
    </w:p>
  </w:footnote>
  <w:footnote w:id="562">
    <w:p w14:paraId="65B8F524" w14:textId="77777777" w:rsidR="00721CCF" w:rsidRPr="00AD2F44" w:rsidRDefault="00F42107">
      <w:pPr>
        <w:pStyle w:val="14Footnote"/>
      </w:pPr>
      <w:r w:rsidRPr="00AD2F44">
        <w:rPr>
          <w:vertAlign w:val="superscript"/>
        </w:rPr>
        <w:footnoteRef/>
      </w:r>
      <w:r w:rsidRPr="00AD2F44">
        <w:t xml:space="preserve">Laughlin v. Jim Fischer, Inc., 2019 WL 1440406 (E.D. Wis. Mar. 31, 2019) (decertifying class of employees who were allegedly not paid for travel time based on a showing by the company that it had a policy prohibiting off-the-clock work and that it was unaware of the travel time being claimed); Proctor v. Allsups Convenience Stores, Inc., 250 F.R.D. 278, 282–83 (N.D. Tex. 2008) (decertifying collective action where employer had policy prohibiting off-the-clock work and many plaintiffs testified that they had not worked off the clock and their claims “var[ied] from store to store and manager to manager”). </w:t>
      </w:r>
    </w:p>
  </w:footnote>
  <w:footnote w:id="563">
    <w:p w14:paraId="03A162FD" w14:textId="77777777" w:rsidR="00721CCF" w:rsidRPr="00AD2F44" w:rsidRDefault="00F42107">
      <w:pPr>
        <w:pStyle w:val="14Footnote"/>
      </w:pPr>
      <w:r w:rsidRPr="00AD2F44">
        <w:rPr>
          <w:vertAlign w:val="superscript"/>
        </w:rPr>
        <w:footnoteRef/>
      </w:r>
      <w:r w:rsidRPr="00AD2F44">
        <w:rPr>
          <w:i/>
          <w:iCs/>
        </w:rPr>
        <w:t>Compare</w:t>
      </w:r>
      <w:r w:rsidRPr="00AD2F44">
        <w:t xml:space="preserve"> Sargent v. HG Staffing, LLC, 171 F. Supp. 3d 1063, 1080 (D. Nev. 2016) (noting that evidence that all but two of sample plaintiffs were paid overtime “indicates that, if the company had a policy with respect to overtime, the policy was to pay for it”), and </w:t>
      </w:r>
      <w:r w:rsidRPr="00AD2F44">
        <w:rPr>
          <w:i/>
          <w:iCs/>
        </w:rPr>
        <w:t>DeSilva</w:t>
      </w:r>
      <w:r w:rsidRPr="00AD2F44">
        <w:t xml:space="preserve">, 27 F. Supp. 3d at 325 (decertification motion granted where evidence showed employer paid $551 million in overtime compensation over six-year period), </w:t>
      </w:r>
      <w:r w:rsidRPr="00AD2F44">
        <w:rPr>
          <w:i/>
          <w:iCs/>
        </w:rPr>
        <w:t>with</w:t>
      </w:r>
      <w:r w:rsidRPr="00AD2F44">
        <w:t xml:space="preserve"> Chabrier v. Wilmington Fin. Inc, 2008 WL 938872, at *3 (E.D. Pa. Apr. 4, 2008) (holding plaintiffs who had admitted working off the clock against the directions of their supervisors should be excluded from the case “but their exclusion does not stand in the way of certification”).</w:t>
      </w:r>
    </w:p>
  </w:footnote>
  <w:footnote w:id="564">
    <w:p w14:paraId="615F2F84" w14:textId="77777777" w:rsidR="00721CCF" w:rsidRPr="00AD2F44" w:rsidRDefault="00F42107">
      <w:pPr>
        <w:pStyle w:val="14Footnote"/>
      </w:pPr>
      <w:r w:rsidRPr="00AD2F44">
        <w:rPr>
          <w:vertAlign w:val="superscript"/>
        </w:rPr>
        <w:footnoteRef/>
      </w:r>
      <w:r w:rsidRPr="00AD2F44">
        <w:rPr>
          <w:i/>
        </w:rPr>
        <w:t xml:space="preserve">See, e.g., </w:t>
      </w:r>
    </w:p>
    <w:p w14:paraId="1BAED038" w14:textId="77777777" w:rsidR="00721CCF" w:rsidRPr="00AD2F44" w:rsidRDefault="00F42107">
      <w:pPr>
        <w:pStyle w:val="14Footnote"/>
      </w:pPr>
      <w:r w:rsidRPr="00AD2F44">
        <w:rPr>
          <w:i/>
          <w:iCs/>
        </w:rPr>
        <w:t>Second Circuit:</w:t>
      </w:r>
      <w:r w:rsidRPr="00AD2F44">
        <w:t xml:space="preserve"> Campbell v. City of N.Y., 2020 WL 2792978, at *5 (S.D.N.Y. May 29, 2020) (denying decertification motion in peace officer case, finding job distinctions unrelated to liability theory that defendant had “custom or practice” of not paying for all work performed); Adams v. City of N.Y., 2019 WL 5722054 (S.D.N.Y. Aug. 29, 2019) (denying decertification motion, agreeing with plaintiff city fraud investigators that individualized issues were not dispositive where employer subjected plaintiffs to common policy of not paying preapproved overtime even when employer was aware of unpaid work). </w:t>
      </w:r>
    </w:p>
    <w:p w14:paraId="1C76B216" w14:textId="77777777" w:rsidR="00721CCF" w:rsidRPr="00AD2F44" w:rsidRDefault="00F42107">
      <w:pPr>
        <w:pStyle w:val="14Footnote"/>
      </w:pPr>
      <w:r w:rsidRPr="00AD2F44">
        <w:rPr>
          <w:i/>
          <w:iCs/>
        </w:rPr>
        <w:t xml:space="preserve">Eighth Circuit: </w:t>
      </w:r>
      <w:r w:rsidRPr="00AD2F44">
        <w:t xml:space="preserve">Cruz v. TMI Hospitality, Inc., 2015 WL 6671334, at *16–17 (D. Minn. Oct. 30, 2015) (denying decertification motion where evidence showed that all plaintiff housekeepers worked at same location and all were subject to same policy of having to work off the clock before and after their shifts); Petrone v. Werner Enters., Inc., 2015 WL 4772830, at *2 (D. Neb. Aug. 12, 2015) (certifying Rule 23 class and denying motion for decertification of FLSA collective action because defendants’ policy of not compensating certain student drivers for certain activities (breaks fewer than 20 minutes and sleeping periods in excess of eight hours) was common to all class members and common issues predominated over individual issues); Frank v. Gold’n Plump Poultry, Inc., 2007 U.S. Dist. LEXIS 71179 (D. Minn. Sept. 24, 2007) (refusing to decertify class where court found that variance in pay practices resulted from company having policy of delegating decision to pay for donning and doffing to local supervisors). </w:t>
      </w:r>
    </w:p>
    <w:p w14:paraId="109AC33F" w14:textId="77777777" w:rsidR="00721CCF" w:rsidRPr="00AD2F44" w:rsidRDefault="00F42107">
      <w:pPr>
        <w:pStyle w:val="14Footnote"/>
      </w:pPr>
      <w:r w:rsidRPr="00AD2F44">
        <w:rPr>
          <w:i/>
          <w:iCs/>
        </w:rPr>
        <w:t xml:space="preserve">Ninth Circuit: </w:t>
      </w:r>
      <w:r w:rsidRPr="00AD2F44">
        <w:t>Wren v. RGIS Inventory Specialists, 256 F.R.D. 180, 212–13 (N.D. Cal. 2009) (decertification denied where evidence revealed a “variety of experiences” that was the result of a company policy “not to require” that all employees be paid for donning and waiting time).</w:t>
      </w:r>
    </w:p>
    <w:p w14:paraId="1C4105C8" w14:textId="1B999416" w:rsidR="00721CCF" w:rsidRPr="00AD2F44" w:rsidRDefault="00F42107">
      <w:pPr>
        <w:pStyle w:val="14Footnote"/>
      </w:pPr>
      <w:r w:rsidRPr="00AD2F44">
        <w:rPr>
          <w:i/>
          <w:iCs/>
        </w:rPr>
        <w:t xml:space="preserve">Eleventh Circuit: </w:t>
      </w:r>
      <w:r w:rsidRPr="00AD2F44">
        <w:t>Miller v. FleetCor Techs. Operating Co., LLC, 118 F. Supp. 3d 1351, 1355–60 (N.D. Ga. 2015) (denying decertification motion because plaintiffs, inside sales representatives, had similar job duties and compensation, worked on same sales floor, and reported to managers who all reported to same Vice President of Sales, and plaintiffs’ evidence regarding similar conduct and statements by managers rebutted employer’s evidence showing that different managers followed varying policies and practices).</w:t>
      </w:r>
    </w:p>
  </w:footnote>
  <w:footnote w:id="565">
    <w:p w14:paraId="05877E7C" w14:textId="77777777" w:rsidR="00721CCF" w:rsidRPr="00AD2F44" w:rsidRDefault="00F42107">
      <w:pPr>
        <w:pStyle w:val="14Footnote"/>
      </w:pPr>
      <w:r w:rsidRPr="00AD2F44">
        <w:rPr>
          <w:vertAlign w:val="superscript"/>
        </w:rPr>
        <w:footnoteRef/>
      </w:r>
      <w:r w:rsidRPr="00AD2F44">
        <w:rPr>
          <w:i/>
          <w:iCs/>
        </w:rPr>
        <w:t>See, e.g.,</w:t>
      </w:r>
    </w:p>
    <w:p w14:paraId="3A0C10B2" w14:textId="320CB0E7" w:rsidR="00721CCF" w:rsidRPr="00AD2F44" w:rsidRDefault="00F42107">
      <w:pPr>
        <w:pStyle w:val="14Footnote"/>
      </w:pPr>
      <w:r w:rsidRPr="00AD2F44">
        <w:rPr>
          <w:i/>
          <w:iCs/>
        </w:rPr>
        <w:t>Second Circuit:</w:t>
      </w:r>
      <w:r w:rsidRPr="00AD2F44">
        <w:t xml:space="preserve"> Pino v. Harris Water Main &amp; Sewer Contractors Inc., 2020 BL 364493, 2020 WL 5708889 (E.D.N.Y. Sept. 23, 2020) (denying decertification motion upon crew member/field plaintiffs’ deposition testimony that employer maintained unwritten policy of off-the-clock work); Perez v. Isabella Geriatric Ctr., Inc., 2016 WL 5719802, at *2–5 (S.D.N.Y. Sept. 30, 2016) (denying decertification motion and finding that common issues predominated where class of nurse assistants claimed that employer’s policies of paying employees for scheduled work time (instead of actual work time) and its practice of automatically deducting 30 minutes for meal periods––along with its alleged “standard policy” of assigning nurse assistants more work than could be performed within their shifts––had effect of causing class to perform uncompensated work); Briceno v. USI Servs. Grp., Inc., 2015 WL 5719727, at *9 (E.D.N.Y. Sept. 29, 2015) (denying motion for decertification; finding that plaintiffs presented sufficient evidence of centralized common and defective timekeeping system and ineffective complaint procedure utilized by defendants; plaintiffs’ evidence established that employees from multiple locations “routinely encountered problems attempting to record their time” and that because of these problems, defendants “did not record all hours employees worked”).</w:t>
      </w:r>
    </w:p>
    <w:p w14:paraId="7BE95899" w14:textId="77777777" w:rsidR="00721CCF" w:rsidRPr="00AD2F44" w:rsidRDefault="00F42107">
      <w:pPr>
        <w:pStyle w:val="14Footnote"/>
      </w:pPr>
      <w:r w:rsidRPr="00AD2F44">
        <w:rPr>
          <w:i/>
          <w:iCs/>
        </w:rPr>
        <w:t>Fourth Circuit:</w:t>
      </w:r>
      <w:r w:rsidRPr="00AD2F44">
        <w:t xml:space="preserve"> Devine v. City of Hampton, 2015 WL 10765154, at *3 (E.D. Va. Oct. 13, 2015) (denying motion to decertify class of 214 police officers in different ranks who claimed various forms of off-the-clock overtime work performed at different locations and under different supervisors where “broad-based practices … required or permitted unpaid or under-compensated off-the-clock work”; reasoning that it “must determine whether there exists ‘a uniform and pervasive practice or culture’ that affects plaintiffs in a similar manner,” and that “[d]ifferences in application do not obscure a common policy mandating that budgets be met and a uniform practice of using off the clock work to do so”) (citation omitted).</w:t>
      </w:r>
    </w:p>
    <w:p w14:paraId="41F8E0EA" w14:textId="77777777" w:rsidR="00721CCF" w:rsidRPr="00AD2F44" w:rsidRDefault="00F42107">
      <w:pPr>
        <w:pStyle w:val="14Footnote"/>
      </w:pPr>
      <w:r w:rsidRPr="00AD2F44">
        <w:rPr>
          <w:i/>
          <w:iCs/>
        </w:rPr>
        <w:t>Fifth Circuit:</w:t>
      </w:r>
      <w:r w:rsidRPr="00AD2F44">
        <w:t xml:space="preserve"> Falcon v. Starbucks, 580 F. Supp. 2d 528, 536 (S.D. Tex. 2008) (holding collective treatment was appropriate where retail assistant store managers all held the same job title, worked under the same job description and supervision hierarchy, either worked off the clock or had their time shaved by their managers, and worked in an environment that discouraged overtime and encouraged off-the-clock work).</w:t>
      </w:r>
    </w:p>
    <w:p w14:paraId="03D94A40" w14:textId="77777777" w:rsidR="00721CCF" w:rsidRPr="00AD2F44" w:rsidRDefault="00F42107">
      <w:pPr>
        <w:pStyle w:val="14Footnote"/>
      </w:pPr>
      <w:r w:rsidRPr="00AD2F44">
        <w:rPr>
          <w:i/>
          <w:iCs/>
        </w:rPr>
        <w:t>Sixth Circuit:</w:t>
      </w:r>
      <w:r w:rsidRPr="00AD2F44">
        <w:t xml:space="preserve"> Pierce v. Wyndham Vacation Resorts, Inc., 2017 WL 4398656 (E.D. Tenn. Oct. 3, 2017) (denying decertification, holding that plaintiffs’ factual and employment settings continued to support certification because, even though plaintiffs held different job titles and worked at different locations, they all were employed to “make sales,” worked under same management hierarchy, and were subject to same pay method (commissions)); Thompson v. Bruister &amp; Assocs., 967 F. Supp. 2d 1204, 1219 (M.D. Tenn. 2008) (denying decertification motion, finding that plaintiffs were not required to “prove each hour of overtime with unerring accuracy or certainty”). </w:t>
      </w:r>
    </w:p>
    <w:p w14:paraId="4202398A" w14:textId="77777777" w:rsidR="00721CCF" w:rsidRPr="00AD2F44" w:rsidRDefault="00F42107">
      <w:pPr>
        <w:pStyle w:val="14Footnote"/>
      </w:pPr>
      <w:r w:rsidRPr="00AD2F44">
        <w:rPr>
          <w:i/>
          <w:iCs/>
        </w:rPr>
        <w:t>Seventh Circuit:</w:t>
      </w:r>
      <w:r w:rsidRPr="00AD2F44">
        <w:t xml:space="preserve"> Bitner v. Wyndham Vacation Resorts, Inc., 2016 WL 7480428, at *14 (W.D. Wis. Dec. 29, 2017) (denying decertification motion where sales representatives shared same job title and general job responsibilities and alleged that employer had unofficial policy requiring off-the-clock work; common questions predominated over individualized issues); Allen v. City of Chi., 2014 WL 5461856, at *6–7 (N.D. Ill. Oct. 22, 2014) (denying decertification motion where evidence showed that city had “unwritten” common policy of permitting police officers to work off the clock on Blackberry devices; fact that officers worked at different locations, on different teams, and under different supervisors and had different job duties was not “significant” where there was common policy that stretched across different divisions and job duties), </w:t>
      </w:r>
      <w:r w:rsidRPr="00AD2F44">
        <w:rPr>
          <w:i/>
          <w:iCs/>
        </w:rPr>
        <w:t>aff’d</w:t>
      </w:r>
      <w:r w:rsidRPr="00AD2F44">
        <w:t>, 865 F.3d 936 (7th Cir. 2017).</w:t>
      </w:r>
    </w:p>
    <w:p w14:paraId="6A663720" w14:textId="77777777" w:rsidR="00721CCF" w:rsidRPr="00AD2F44" w:rsidRDefault="00F42107">
      <w:pPr>
        <w:pStyle w:val="14Footnote"/>
      </w:pPr>
      <w:r w:rsidRPr="00AD2F44">
        <w:rPr>
          <w:i/>
          <w:iCs/>
        </w:rPr>
        <w:t>Eighth Circuit:</w:t>
      </w:r>
      <w:r w:rsidRPr="00AD2F44">
        <w:t xml:space="preserve"> Harris v. Chipotle Mexican Grill, Inc., 2017 WL 2537228 (D. Minn. June 12, 2017) (denying decertification, holding that individual differences did not overwhelm common questions where all plaintiffs worked at same restaurant location, performed same job duties, and alleged they were not paid for attending meetings off the clock after restaurant closed); Kautsch v. Premier Commc’ns, 2008 WL 294271, at *3 (W.D. Mo. Jan. 31, 2008) (evidence of improper alteration of time sheets and that numerous employees were instructed not to report time created inference of policy).</w:t>
      </w:r>
    </w:p>
    <w:p w14:paraId="6E5DB837" w14:textId="77777777" w:rsidR="00721CCF" w:rsidRPr="00AD2F44" w:rsidRDefault="00F42107">
      <w:pPr>
        <w:pStyle w:val="14Footnote"/>
      </w:pPr>
      <w:r w:rsidRPr="00AD2F44">
        <w:rPr>
          <w:i/>
          <w:iCs/>
        </w:rPr>
        <w:t>Ninth Circuit:</w:t>
      </w:r>
      <w:r w:rsidRPr="00AD2F44">
        <w:t xml:space="preserve"> Lillehagen v. Alorica, Inc., 2014 WL 6989230, at *28 (C.D. Cal. Dec. 10, 2014) (finding that “similar factual and employment settings” element weighed against decertification where plaintiffs’ claims seeking compensation for off-the-clock time during individual computer log-out episodes and unauthorized breaks did not rely on different theories of FLSA violations).</w:t>
      </w:r>
    </w:p>
    <w:p w14:paraId="1C70FDE9" w14:textId="0E99FD27" w:rsidR="00721CCF" w:rsidRPr="00AD2F44" w:rsidRDefault="00F42107">
      <w:pPr>
        <w:pStyle w:val="14Footnote"/>
      </w:pPr>
      <w:r w:rsidRPr="00AD2F44">
        <w:rPr>
          <w:i/>
          <w:iCs/>
        </w:rPr>
        <w:t>Eleventh Circuit:</w:t>
      </w:r>
      <w:r w:rsidRPr="00AD2F44">
        <w:t xml:space="preserve"> Hill v. Muscogee Cnty. Sch. Dist., 2005 WL 3526669, at *3–4 (M.D. Ga. Dec. 20, 2005) (substantial evidence of “same practice” of being assigned work that could not be completed within scheduled hours but being paid only for scheduled hours).</w:t>
      </w:r>
    </w:p>
  </w:footnote>
  <w:footnote w:id="566">
    <w:p w14:paraId="35C984B9" w14:textId="77777777" w:rsidR="00721CCF" w:rsidRPr="00AD2F44" w:rsidRDefault="00F42107">
      <w:pPr>
        <w:pStyle w:val="14Footnote"/>
      </w:pPr>
      <w:r w:rsidRPr="00AD2F44">
        <w:rPr>
          <w:vertAlign w:val="superscript"/>
        </w:rPr>
        <w:footnoteRef/>
      </w:r>
      <w:r w:rsidRPr="00AD2F44">
        <w:t xml:space="preserve">O’Brien v. Ed Donnelly Enters., 575 F.3d 567, 585 (6th Cir. 2009). The Sixth Circuit criticized the district court’s reasoning but affirmed the decision to decertify the collective action in any event because many of the opt-in plaintiffs had claims that were either claim-precluded or mooted by an offer of judgment. </w:t>
      </w:r>
      <w:r w:rsidRPr="00AD2F44">
        <w:rPr>
          <w:i/>
          <w:iCs/>
        </w:rPr>
        <w:t>Id</w:t>
      </w:r>
      <w:r w:rsidRPr="00AD2F44">
        <w:t>. at 586.</w:t>
      </w:r>
    </w:p>
  </w:footnote>
  <w:footnote w:id="567">
    <w:p w14:paraId="0EF58613" w14:textId="77777777" w:rsidR="00721CCF" w:rsidRPr="00AD2F44" w:rsidRDefault="00F42107">
      <w:pPr>
        <w:pStyle w:val="14Footnote"/>
      </w:pPr>
      <w:r w:rsidRPr="00AD2F44">
        <w:rPr>
          <w:vertAlign w:val="superscript"/>
        </w:rPr>
        <w:footnoteRef/>
      </w:r>
      <w:r w:rsidRPr="00AD2F44">
        <w:rPr>
          <w:i/>
          <w:iCs/>
        </w:rPr>
        <w:t>Falcon</w:t>
      </w:r>
      <w:r w:rsidRPr="00AD2F44">
        <w:t xml:space="preserve">, 580 F. Supp. 2d at 536; </w:t>
      </w:r>
      <w:r w:rsidRPr="00AD2F44">
        <w:rPr>
          <w:i/>
          <w:iCs/>
        </w:rPr>
        <w:t>accord</w:t>
      </w:r>
      <w:r w:rsidRPr="00AD2F44">
        <w:t xml:space="preserve"> </w:t>
      </w:r>
      <w:r w:rsidRPr="00AD2F44">
        <w:rPr>
          <w:i/>
          <w:iCs/>
        </w:rPr>
        <w:t>Kautsch</w:t>
      </w:r>
      <w:r w:rsidRPr="00AD2F44">
        <w:t>, 2008 WL 294271, at *3 (denying decertification and noting “a fact-finder could conclude that Premier maintained a policy that technicians were not to claim overtime or travel time, even if not every one of 743 technicians was personally instructed by a manager not to claim overtime”).</w:t>
      </w:r>
    </w:p>
  </w:footnote>
  <w:footnote w:id="568">
    <w:p w14:paraId="7C254AB6" w14:textId="77777777" w:rsidR="00721CCF" w:rsidRPr="00AD2F44" w:rsidRDefault="00F42107">
      <w:pPr>
        <w:pStyle w:val="14Footnote"/>
      </w:pPr>
      <w:r w:rsidRPr="00AD2F44">
        <w:rPr>
          <w:vertAlign w:val="superscript"/>
        </w:rPr>
        <w:footnoteRef/>
      </w:r>
      <w:r w:rsidRPr="00AD2F44">
        <w:rPr>
          <w:i/>
          <w:iCs/>
        </w:rPr>
        <w:t>See, e.g</w:t>
      </w:r>
      <w:r w:rsidRPr="00AD2F44">
        <w:t xml:space="preserve">., Johnson v. Wave Comm GR LLC, 4 F. Supp. 3d 453, 458 (N.D.N.Y. 2014) (denying decertification motion where evidence showed that defendants engaged in a policy of instructing plaintiffs to record a lunch break regardless of whether they had taken one and to perform work filling out billing sheets at home without compensation); </w:t>
      </w:r>
      <w:r w:rsidRPr="00AD2F44">
        <w:rPr>
          <w:i/>
          <w:iCs/>
        </w:rPr>
        <w:t>Falcon</w:t>
      </w:r>
      <w:r w:rsidRPr="00AD2F44">
        <w:t xml:space="preserve">, 580 F. Supp. 2d at 536; </w:t>
      </w:r>
      <w:r w:rsidRPr="00AD2F44">
        <w:rPr>
          <w:i/>
          <w:iCs/>
        </w:rPr>
        <w:t>cf.</w:t>
      </w:r>
      <w:r w:rsidRPr="00AD2F44">
        <w:t xml:space="preserve"> Blakes v. Illinois Bell Tel. Co., 2013 WL 6662831, at *17–21 (N.D. Ill. Dec. 17, 2013) (denying decertification as to policy of requiring post-shift working time off the clock but granting decertification as to claims that plaintiffs worked during lunch to improve efficiency because whether such off-the-clock work occurred and the alleged reasons for performing off-the-clock work varied among class members). </w:t>
      </w:r>
      <w:r w:rsidRPr="00AD2F44">
        <w:rPr>
          <w:i/>
          <w:iCs/>
        </w:rPr>
        <w:t>But see</w:t>
      </w:r>
      <w:r w:rsidRPr="00AD2F44">
        <w:t xml:space="preserve"> Lindsay v. Clear Wireless, LLC, 2016 WL 916365, at *4 (D. Minn. Mar. 10, 2016) (“[A] policy designed to maximize employee performance within budgeted labor hours does not violate the FLSA. And although it would violate the FLSA to require overtime without overtime compensation, the so-called ‘labor efficiency policy’ does not dictate uncompensated overtime.”).</w:t>
      </w:r>
    </w:p>
  </w:footnote>
  <w:footnote w:id="569">
    <w:p w14:paraId="3DB010B8" w14:textId="77777777" w:rsidR="00721CCF" w:rsidRPr="00AD2F44" w:rsidRDefault="00F42107">
      <w:pPr>
        <w:pStyle w:val="14Footnote"/>
      </w:pPr>
      <w:r w:rsidRPr="00AD2F44">
        <w:rPr>
          <w:vertAlign w:val="superscript"/>
        </w:rPr>
        <w:footnoteRef/>
      </w:r>
      <w:r w:rsidRPr="00AD2F44">
        <w:rPr>
          <w:i/>
          <w:iCs/>
        </w:rPr>
        <w:t>See, e.g</w:t>
      </w:r>
      <w:r w:rsidRPr="00AD2F44">
        <w:t>., Mahoney v. Farmers Ins. Exch., 2011 WL 4458513, at *9 (S.D. Tex. Sept. 23, 2011) (denying decertification where despite prohibition on off-the-clock work, there was evidence of “policy-to-violate-the-policy” sufficient to amount to violations “stemming from a common impetus”); Wilks v. Pep Boys, 2006 WL 2821700, at *4–5 (M.D. Tenn. Sept. 26, 2006) (denying decertification motion where the defenses, including evidence of lawful employment policies and practices, can be raised collectively).</w:t>
      </w:r>
    </w:p>
  </w:footnote>
  <w:footnote w:id="570">
    <w:p w14:paraId="267E2C33" w14:textId="77777777" w:rsidR="00721CCF" w:rsidRPr="00AD2F44" w:rsidRDefault="00F42107">
      <w:pPr>
        <w:pStyle w:val="14Footnote"/>
      </w:pPr>
      <w:r w:rsidRPr="00AD2F44">
        <w:rPr>
          <w:vertAlign w:val="superscript"/>
        </w:rPr>
        <w:footnoteRef/>
      </w:r>
      <w:r w:rsidRPr="00AD2F44">
        <w:rPr>
          <w:i/>
          <w:iCs/>
        </w:rPr>
        <w:t>See, e.g</w:t>
      </w:r>
      <w:r w:rsidRPr="00AD2F44">
        <w:t>., Epps v. Oak St. Mortg. LLC, 2006 WL 1460273, at *7 (M.D. Fla. May 22, 2006) (granting decertification as to off-the-clock claims because whether plaintiff loan officers were instructed to record no more than 40 hours of work each week had to be determined on an individual, branch-by-branch basis); Basco v. Wal-Mart Stores, Inc., 2004 WL 1497709, at *7 (E.D. La. July 2, 2004) (denying motion for certification where testimony that employees were required to work off the clock did not “overwhelm” the court, commenting that the evidence appeared “to be extremely anecdotal—one manager requiring it as opposed to all”).</w:t>
      </w:r>
    </w:p>
  </w:footnote>
  <w:footnote w:id="571">
    <w:p w14:paraId="517273B2" w14:textId="77777777" w:rsidR="00721CCF" w:rsidRPr="00AD2F44" w:rsidRDefault="00F42107">
      <w:pPr>
        <w:pStyle w:val="14Footnote"/>
      </w:pPr>
      <w:r w:rsidRPr="00AD2F44">
        <w:rPr>
          <w:vertAlign w:val="superscript"/>
        </w:rPr>
        <w:footnoteRef/>
      </w:r>
      <w:r w:rsidRPr="00AD2F44">
        <w:rPr>
          <w:i/>
          <w:iCs/>
        </w:rPr>
        <w:t>See</w:t>
      </w:r>
      <w:r w:rsidRPr="00AD2F44">
        <w:t xml:space="preserve"> Campbell v. City of L.A., 903 F.3d 1090 (9th Cir. 2018) (affirming decertification order in case where plaintiffs claimed there was an unwritten policy discouraging seeking compensation for certain types of work and submitted over 280 declarations in support of their claims, where City had provided evidence that it had paid over 330,000 overtime claims seeking compensation for less than one hour each, including 64,000 such claims submitted by party plaintiffs).</w:t>
      </w:r>
    </w:p>
  </w:footnote>
  <w:footnote w:id="572">
    <w:p w14:paraId="2ECD6555" w14:textId="77777777" w:rsidR="00721CCF" w:rsidRPr="00AD2F44" w:rsidRDefault="00F42107">
      <w:pPr>
        <w:pStyle w:val="14Footnote"/>
      </w:pPr>
      <w:r w:rsidRPr="00AD2F44">
        <w:rPr>
          <w:vertAlign w:val="superscript"/>
        </w:rPr>
        <w:footnoteRef/>
      </w:r>
      <w:r w:rsidRPr="00AD2F44">
        <w:rPr>
          <w:i/>
          <w:iCs/>
        </w:rPr>
        <w:t>Compare</w:t>
      </w:r>
      <w:r w:rsidRPr="00AD2F44">
        <w:t xml:space="preserve"> Creal v. Group O, Inc., 155 F. Supp. 3d 831 (N.D. Ill. 2016) (decertifying a collective action after determining that the factual inquiry required to determine whether employees had not been compensated for pre- and post-shift work would be too individualized), Mendez v. U.S. Nonwovens Corp., 2016 WL 1306551, at *4–6 (E.D.N.Y. Mar. 31, 2016) (decertifying collective action where plaintiffs’ testimony differed as to length of pre-shift period worked, who told them to arrive early, what they were told, and if they actually performed any work), </w:t>
      </w:r>
      <w:r w:rsidRPr="00AD2F44">
        <w:rPr>
          <w:i/>
          <w:iCs/>
        </w:rPr>
        <w:t>and</w:t>
      </w:r>
      <w:r w:rsidRPr="00AD2F44">
        <w:t xml:space="preserve"> Stiller v. Costco Wholesale Corp., 298 F.R.D. 611, 631–32 (S.D. Cal. 2014) (granting decertification where policy of detaining employees during closing procedures without pay did not “always result in employees being detained without pay”), </w:t>
      </w:r>
      <w:r w:rsidRPr="00AD2F44">
        <w:rPr>
          <w:i/>
          <w:iCs/>
        </w:rPr>
        <w:t>with</w:t>
      </w:r>
      <w:r w:rsidRPr="00AD2F44">
        <w:t xml:space="preserve"> Blakes v. Illinois Bell Telephone Co., 2013 WL 6662831, at *17–21 (N.D. Ill. Dec. 17, 2013) (denying decertification as to policy of requiring post-shift working times off the clock), </w:t>
      </w:r>
      <w:r w:rsidRPr="00AD2F44">
        <w:rPr>
          <w:i/>
          <w:iCs/>
        </w:rPr>
        <w:t>and</w:t>
      </w:r>
      <w:r w:rsidRPr="00AD2F44">
        <w:t xml:space="preserve"> Russell v. Illinois Bell Tel. Co., 721 F. Supp. 2d 804, 815–16 (N.D. Ill. 2010) (denying decertification motion for off-the-clock claims at call center that were based on common policies of being “open and available” resulting in pre-shift work).</w:t>
      </w:r>
    </w:p>
  </w:footnote>
  <w:footnote w:id="573">
    <w:p w14:paraId="18B5366A" w14:textId="09019A14" w:rsidR="00721CCF" w:rsidRPr="00AD2F44" w:rsidRDefault="00F42107" w:rsidP="009A6FD1">
      <w:pPr>
        <w:pStyle w:val="14Footnote"/>
      </w:pPr>
      <w:r w:rsidRPr="00AD2F44">
        <w:rPr>
          <w:vertAlign w:val="superscript"/>
        </w:rPr>
        <w:footnoteRef/>
      </w:r>
      <w:r w:rsidRPr="00AD2F44">
        <w:rPr>
          <w:i/>
          <w:iCs/>
        </w:rPr>
        <w:t>See, e.g.,</w:t>
      </w:r>
      <w:r w:rsidRPr="00AD2F44">
        <w:t xml:space="preserve"> </w:t>
      </w:r>
      <w:r>
        <w:t xml:space="preserve">Dollery v. Post Acute Med., LLC, </w:t>
      </w:r>
      <w:r w:rsidR="00874E49" w:rsidRPr="00874E49">
        <w:t>2023 BL 62153</w:t>
      </w:r>
      <w:r w:rsidR="00874E49">
        <w:t xml:space="preserve">, </w:t>
      </w:r>
      <w:r>
        <w:t>2023 WL 2249157, at *5 (S.D. Tex. Feb. 24, 2023) (denying decertification where defendant had a common policy of automatically deducting for breaks, common policies prohibiting overtime or working through breaks, and common ethical obligations</w:t>
      </w:r>
      <w:r>
        <w:t xml:space="preserve"> led to plaintiffs working through breaks); </w:t>
      </w:r>
      <w:r w:rsidRPr="00AD2F44">
        <w:t xml:space="preserve">Johnson v. Wave Comm GR LLC, 4 F. Supp. 3d 453, 458 (N.D.N.Y. 2014) (denying decertification motion where evidence showed that defendants engaged in a policy of instructing plaintiffs to record a lunch break regardless of whether they had taken one and to perform work filling out billing sheets at home without compensation); Russell v. Illinois Bell Tel. Co., 721 F. Supp. 2d 804 (N.D. Ill. 2010) (denying decertification motion for off-the-clock claim at call center that average call-handling time did not allow for dealing with customer service issues and led to working during lunch). </w:t>
      </w:r>
    </w:p>
  </w:footnote>
  <w:footnote w:id="574">
    <w:p w14:paraId="7AF52D63" w14:textId="77777777" w:rsidR="00721CCF" w:rsidRPr="00AD2F44" w:rsidRDefault="00F42107">
      <w:pPr>
        <w:pStyle w:val="14Footnote"/>
      </w:pPr>
      <w:r w:rsidRPr="00AD2F44">
        <w:rPr>
          <w:vertAlign w:val="superscript"/>
        </w:rPr>
        <w:footnoteRef/>
      </w:r>
      <w:r w:rsidRPr="00AD2F44">
        <w:rPr>
          <w:i/>
          <w:iCs/>
        </w:rPr>
        <w:t>See, e.g.,</w:t>
      </w:r>
    </w:p>
    <w:p w14:paraId="2ADB279A" w14:textId="77777777" w:rsidR="00721CCF" w:rsidRPr="00AD2F44" w:rsidRDefault="00F42107">
      <w:pPr>
        <w:pStyle w:val="14Footnote"/>
      </w:pPr>
      <w:r w:rsidRPr="00AD2F44">
        <w:rPr>
          <w:i/>
          <w:iCs/>
        </w:rPr>
        <w:t>Second Circuit:</w:t>
      </w:r>
      <w:r w:rsidRPr="00AD2F44">
        <w:t xml:space="preserve"> DeSilva v. North Shore-Long Island Jewish Health Sys., Inc., 27 F. Supp. 3d 313, 320 (E.D.N.Y. 2014) (decertifying collective action in automatic meal deduction case where alleged violations arose from “a hodgepodge of procedures implemented in varying ways by different managers across numerous departments and locations”). </w:t>
      </w:r>
    </w:p>
    <w:p w14:paraId="348B0381" w14:textId="77777777" w:rsidR="00721CCF" w:rsidRPr="00AD2F44" w:rsidRDefault="00F42107">
      <w:pPr>
        <w:pStyle w:val="14Footnote"/>
      </w:pPr>
      <w:r w:rsidRPr="00AD2F44">
        <w:rPr>
          <w:i/>
          <w:iCs/>
        </w:rPr>
        <w:t>Third Circuit:</w:t>
      </w:r>
      <w:r w:rsidRPr="00AD2F44">
        <w:t xml:space="preserve"> Bell v. Reading Hosp. &amp; Med. Ctr., 2016 WL 3902938, at *11 (E.D. Pa. July 19, 2016) (“The many factual differences with respect to each plaintiff demonstrate that plaintiffs ‘were not uniformly affected by [Reading’s] department-by-department approach to meal deduction cancellations. … The decentralized nature of the application of the manner to cancel an automatic deduction and the independent way that each supervisor implemented the same is contrary to the purposes of collective treatment under the FLSA.’”) (citation omitted); Prise v. Alderwoods Grp., Inc., 817 F. Supp. 2d 651, 681 (W.D. Pa. 2011) (granting decertification of nationwide class of over 720 plaintiffs, reasoning that evidence of working meal breaks showed that implementation of policies varied depending on location, supervisory practices, and individual circumstances, such that there was no single corporate policy or plan that “similarly affected plaintiffs”).</w:t>
      </w:r>
    </w:p>
    <w:p w14:paraId="54124D6B" w14:textId="7E380ED4" w:rsidR="00721CCF" w:rsidRPr="00AD2F44" w:rsidRDefault="00F42107">
      <w:pPr>
        <w:pStyle w:val="14Footnote"/>
      </w:pPr>
      <w:r w:rsidRPr="00AD2F44">
        <w:rPr>
          <w:i/>
          <w:iCs/>
        </w:rPr>
        <w:t>Sixth Circuit:</w:t>
      </w:r>
      <w:r w:rsidRPr="00AD2F44">
        <w:t xml:space="preserve"> Frye v. Baptist Mem. Hosp., Inc., 495 F. App’x 669, 673 (6th Cir. 2012) (affirming decertification of collective action where district court found auto deduction policy did not violate the FLSA and that the unpaid overtime claims depend on the “employees’ unique experiences”); Lockhart v. D&amp;S Residential Servs. LP, 2020 WL 4717910 (W.D. Tenn. Aug. 13, 2020) (granting decertification where program supervisors plaintiffs’ evidence suggested disparate violations and not common policy of violations of meal break and post-shift uncompensated work); Jones-Turner v. Yellow Enter. Sys., LLC, 2011 WL 4861882, at *3 (W.D. Ky. Oct. 13, 2011) (decertifying class of ambulance drivers claiming they were forced to work through unpaid meal breaks because evidence, and plaintiffs’ briefing, showed that “multitude of factors” implicated whether plaintiffs were properly paid).</w:t>
      </w:r>
    </w:p>
    <w:p w14:paraId="5D30EEBE" w14:textId="77777777" w:rsidR="00721CCF" w:rsidRPr="00AD2F44" w:rsidRDefault="00F42107">
      <w:pPr>
        <w:pStyle w:val="14Footnote"/>
      </w:pPr>
      <w:r w:rsidRPr="00AD2F44">
        <w:rPr>
          <w:i/>
          <w:iCs/>
        </w:rPr>
        <w:t>Seventh Circuit</w:t>
      </w:r>
      <w:r w:rsidRPr="00AD2F44">
        <w:t>: Blakes v. Illinois Bell Tel. Co., 2013 WL 6662831, at *17–21 (N.D. Ill. Dec. 17, 2013) (granting decertification as to claims that plaintiffs worked during lunch to improve efficiency because resolution of such claims required individualized inquiries).</w:t>
      </w:r>
    </w:p>
    <w:p w14:paraId="3943C5F1" w14:textId="77777777" w:rsidR="00721CCF" w:rsidRPr="00AD2F44" w:rsidRDefault="00F42107">
      <w:pPr>
        <w:pStyle w:val="14Footnote"/>
      </w:pPr>
      <w:r w:rsidRPr="00AD2F44">
        <w:rPr>
          <w:i/>
          <w:iCs/>
        </w:rPr>
        <w:t>Eighth Circuit</w:t>
      </w:r>
      <w:r w:rsidRPr="00AD2F44">
        <w:t>: Hamilton v. Diversicare Leasing Corp., 2014 WL 4955799, at *3–5 (W.D. Ark. Oct. 1, 2014) (decertifying automatic deduction meal period case where employer had lawful policy prohibiting off-the-clock work, and plaintiffs failed to show that there was uniform unlawful policy or “policy-to-violate-the-policy”); Watson v. Surf-Frac Wellhead Equip. Co., 2013 WL 5524122, at *6 (E.D. Ark. Oct. 3, 2013) (decertifying collective action where plaintiffs must prove that the application of the automatic meal period deduction policy to the individual plaintiffs, not the policies themselves, was unlawful).</w:t>
      </w:r>
    </w:p>
    <w:p w14:paraId="780D7CFF" w14:textId="33856E56" w:rsidR="00721CCF" w:rsidRPr="00AD2F44" w:rsidRDefault="00F42107">
      <w:pPr>
        <w:pStyle w:val="14Footnote"/>
      </w:pPr>
      <w:r w:rsidRPr="00AD2F44">
        <w:rPr>
          <w:i/>
          <w:iCs/>
        </w:rPr>
        <w:t>Eleventh Circuit</w:t>
      </w:r>
      <w:r w:rsidRPr="00AD2F44">
        <w:t>: Willoughby v. Youth Vills., Inc., 113 F. Supp. 3d 1265, 1276 (N.D. Ga. 2015) (decertifying collective action where individualized inquiries were required to determine whether due to automatically deducted breaks plaintiff ever worked more than 40 hours in one week without proper overtime compensation with employer’s knowledge that plaintiff worked such unpaid overtime hours).</w:t>
      </w:r>
    </w:p>
  </w:footnote>
  <w:footnote w:id="575">
    <w:p w14:paraId="388149A9" w14:textId="77777777" w:rsidR="00721CCF" w:rsidRPr="00AD2F44" w:rsidRDefault="00F42107">
      <w:pPr>
        <w:pStyle w:val="14Footnote"/>
      </w:pPr>
      <w:r w:rsidRPr="00AD2F44">
        <w:rPr>
          <w:vertAlign w:val="superscript"/>
        </w:rPr>
        <w:footnoteRef/>
      </w:r>
      <w:r w:rsidRPr="00AD2F44">
        <w:rPr>
          <w:i/>
          <w:iCs/>
        </w:rPr>
        <w:t>Compare</w:t>
      </w:r>
      <w:r w:rsidRPr="00AD2F44">
        <w:t xml:space="preserve"> Creal v. Group O, Inc., 155 F. Supp. 3d 831, 838 (N.D. Ill. 2016) (decertifying collective action and commenting that a rounding policy—even if it is applied to all employees—is insufficient to retain certification), </w:t>
      </w:r>
      <w:r w:rsidRPr="00AD2F44">
        <w:rPr>
          <w:i/>
          <w:iCs/>
        </w:rPr>
        <w:t>with</w:t>
      </w:r>
      <w:r w:rsidRPr="00AD2F44">
        <w:t xml:space="preserve"> Russell v. Illinois Bell Tel. Co., 721 F. Supp. 2d 804 (N.D. Ill. 2010) (denying decertification motion regarding rounding procedures that, according to plaintiffs, often caused them to work unpaid overtime in increments of under eight minutes).</w:t>
      </w:r>
    </w:p>
  </w:footnote>
  <w:footnote w:id="576">
    <w:p w14:paraId="52F39828" w14:textId="28607D64" w:rsidR="00721CCF" w:rsidRPr="00AD2F44" w:rsidRDefault="00F42107">
      <w:pPr>
        <w:pStyle w:val="14Footnote"/>
      </w:pPr>
      <w:r w:rsidRPr="00AD2F44">
        <w:rPr>
          <w:vertAlign w:val="superscript"/>
        </w:rPr>
        <w:footnoteRef/>
      </w:r>
      <w:r w:rsidRPr="00AD2F44">
        <w:rPr>
          <w:i/>
          <w:iCs/>
        </w:rPr>
        <w:t>See, e.g</w:t>
      </w:r>
      <w:r w:rsidRPr="00AD2F44">
        <w:t>., Falcon v. Starbucks, 580 F. Supp. 2d 528, 536 (S.D. Tex. 2008) (holding collective treatment was appropriate where retail assistant store managers all held the same job title, worked under the same job description and supervision hierarchy, and either worked off the clock or had their time shaved by their managers); Wilks v. Pep Boys, 2006 WL 2821700, at *3–6 (M.D. Tenn. Sept. 26, 2006) (denying decertification motion in light of evidence from multiple plaintiffs that their managers had instructed them to shave their time or otherwise work off the clock because of labor hour budget restrictions).</w:t>
      </w:r>
    </w:p>
  </w:footnote>
  <w:footnote w:id="577">
    <w:p w14:paraId="66212679" w14:textId="77777777" w:rsidR="00721CCF" w:rsidRPr="00AD2F44" w:rsidRDefault="00F42107">
      <w:pPr>
        <w:pStyle w:val="14Footnote"/>
        <w:rPr>
          <w:i/>
          <w:iCs/>
        </w:rPr>
      </w:pPr>
      <w:r w:rsidRPr="00AD2F44">
        <w:rPr>
          <w:vertAlign w:val="superscript"/>
        </w:rPr>
        <w:footnoteRef/>
      </w:r>
      <w:r w:rsidRPr="00AD2F44">
        <w:rPr>
          <w:i/>
          <w:iCs/>
        </w:rPr>
        <w:t>See</w:t>
      </w:r>
    </w:p>
    <w:p w14:paraId="20CDD809" w14:textId="647B7387" w:rsidR="00721CCF" w:rsidRPr="00AD2F44" w:rsidRDefault="00F42107">
      <w:pPr>
        <w:pStyle w:val="14Footnote"/>
      </w:pPr>
      <w:r w:rsidRPr="00AD2F44">
        <w:rPr>
          <w:i/>
          <w:iCs/>
        </w:rPr>
        <w:t>Fifth Circuit:</w:t>
      </w:r>
      <w:r w:rsidRPr="00AD2F44">
        <w:t xml:space="preserve"> Segovia v. Fuelco Energy LLC, 2021 BL 200228, 2021 WL 2187956 (W.D. Tex. May 28, 2021) (denying decertification of driver/technician collective claims, recognizing that variations of particular workday facts go to effect of common decision on individual employees rather than undermining finding of common plan or policy).</w:t>
      </w:r>
    </w:p>
    <w:p w14:paraId="13E59036" w14:textId="77777777" w:rsidR="00721CCF" w:rsidRPr="00AD2F44" w:rsidRDefault="00F42107">
      <w:pPr>
        <w:pStyle w:val="14Footnote"/>
      </w:pPr>
      <w:r w:rsidRPr="00AD2F44">
        <w:rPr>
          <w:i/>
          <w:iCs/>
        </w:rPr>
        <w:t>Eighth Circuit:</w:t>
      </w:r>
      <w:r w:rsidRPr="00AD2F44">
        <w:t xml:space="preserve"> Kautsch v. Premier Commc’ns, 2008 WL 294271, at *3 (W.D. Mo. Jan. 31, 2008) (denying decertification and noting “a fact-finder could conclude that Premier maintained a policy that technicians were not to claim overtime or travel time, even if not every one of 743 technicians was personally instructed by a manager not to claim overtime”).</w:t>
      </w:r>
    </w:p>
    <w:p w14:paraId="41C96E9F" w14:textId="1EA32C45" w:rsidR="00721CCF" w:rsidRPr="00DC6B10" w:rsidRDefault="00F42107" w:rsidP="00893AD9">
      <w:pPr>
        <w:pStyle w:val="14Footnote"/>
      </w:pPr>
      <w:r w:rsidRPr="00AD2F44">
        <w:rPr>
          <w:i/>
          <w:iCs/>
        </w:rPr>
        <w:t xml:space="preserve">Ninth Circuit: </w:t>
      </w:r>
      <w:r w:rsidRPr="00AD2F44">
        <w:t>Gilmer v. Alameda-Contra Costa Transit Dist., 2011 WL 5242977, at *5–8 (N.D. Cal. Nov. 2, 2011) (denying decertification based on claim that some drivers did not work 40 hours, because court had previously found employer’s travel time policy unlawful).</w:t>
      </w:r>
    </w:p>
  </w:footnote>
  <w:footnote w:id="578">
    <w:p w14:paraId="15A1131D" w14:textId="77777777" w:rsidR="00721CCF" w:rsidRPr="00AD2F44" w:rsidRDefault="00F42107">
      <w:pPr>
        <w:pStyle w:val="14Footnote"/>
      </w:pPr>
      <w:r w:rsidRPr="00AD2F44">
        <w:rPr>
          <w:vertAlign w:val="superscript"/>
        </w:rPr>
        <w:footnoteRef/>
      </w:r>
      <w:r w:rsidRPr="00AD2F44">
        <w:t>Laughlin v. Jim Fischer, Inc., 2019 WL 1440406 (E.D. Wis. Mar. 31, 2019) (decertifying class of employees who were allegedly not paid for travel time based on a showing by the company that it had a policy prohibiting off-the-clock work and that it was unaware of the travel time being claimed).</w:t>
      </w:r>
    </w:p>
  </w:footnote>
  <w:footnote w:id="579">
    <w:p w14:paraId="5F66FA5A" w14:textId="77777777" w:rsidR="00721CCF" w:rsidRPr="00AD2F44" w:rsidRDefault="00F42107">
      <w:pPr>
        <w:pStyle w:val="14Footnote"/>
      </w:pPr>
      <w:r w:rsidRPr="00AD2F44">
        <w:rPr>
          <w:vertAlign w:val="superscript"/>
        </w:rPr>
        <w:footnoteRef/>
      </w:r>
      <w:r w:rsidRPr="00AD2F44">
        <w:rPr>
          <w:i/>
          <w:iCs/>
        </w:rPr>
        <w:t>See</w:t>
      </w:r>
    </w:p>
    <w:p w14:paraId="0C9F3F17" w14:textId="77777777" w:rsidR="00721CCF" w:rsidRPr="00AD2F44" w:rsidRDefault="00F42107">
      <w:pPr>
        <w:pStyle w:val="14Footnote"/>
      </w:pPr>
      <w:r w:rsidRPr="00AD2F44">
        <w:rPr>
          <w:i/>
          <w:iCs/>
        </w:rPr>
        <w:t xml:space="preserve">Third Circuit: </w:t>
      </w:r>
      <w:r w:rsidRPr="00AD2F44">
        <w:t>Verma v. 3001 Castor, Inc</w:t>
      </w:r>
      <w:r w:rsidRPr="00AD2F44">
        <w:rPr>
          <w:i/>
          <w:iCs/>
        </w:rPr>
        <w:t>.</w:t>
      </w:r>
      <w:r w:rsidRPr="00AD2F44">
        <w:t>, 2016 U.S. Dist. LEXIS 164026, at *20 (E.D. Pa. Nov. 29, 2016) (refusing to decertify a class of exotic dancers as they were similarly situated because the employer was not eligible for a tip credit based on its failure to pay the dancers any wages, and failure to show that it notified the dancers of the FLSA tip credit provision).</w:t>
      </w:r>
    </w:p>
    <w:p w14:paraId="54441A83" w14:textId="77777777" w:rsidR="00721CCF" w:rsidRPr="00AD2F44" w:rsidRDefault="00F42107">
      <w:pPr>
        <w:pStyle w:val="14Footnote"/>
      </w:pPr>
      <w:r w:rsidRPr="00AD2F44">
        <w:rPr>
          <w:i/>
          <w:iCs/>
        </w:rPr>
        <w:t xml:space="preserve">Fourth Circuit: </w:t>
      </w:r>
      <w:r w:rsidRPr="00AD2F44">
        <w:t>Dorsey v. TGT Consulting, LLC,</w:t>
      </w:r>
      <w:r w:rsidRPr="00AD2F44">
        <w:rPr>
          <w:i/>
          <w:iCs/>
        </w:rPr>
        <w:t xml:space="preserve"> </w:t>
      </w:r>
      <w:r w:rsidRPr="00AD2F44">
        <w:t>888 F. Supp. 2d 670, 688–89 (D. Md. August 20, 2012)</w:t>
      </w:r>
      <w:r w:rsidRPr="00AD2F44">
        <w:rPr>
          <w:i/>
          <w:iCs/>
        </w:rPr>
        <w:t xml:space="preserve"> </w:t>
      </w:r>
      <w:r w:rsidRPr="00AD2F44">
        <w:t xml:space="preserve">(holding that decertification was not appropriate when plaintiff’s tip credit claim was premised on whether a companywide policy existed that required managers to advise employees of the tip credit; “Plaintiffs’ differing levels of awareness of the industry standard does not, therefore suggest the existence of individualized defenses as to each plaintiff”). </w:t>
      </w:r>
    </w:p>
    <w:p w14:paraId="53BA0687" w14:textId="77777777" w:rsidR="00721CCF" w:rsidRPr="00AD2F44" w:rsidRDefault="00F42107">
      <w:pPr>
        <w:pStyle w:val="14Footnote"/>
      </w:pPr>
      <w:r w:rsidRPr="00AD2F44">
        <w:rPr>
          <w:i/>
          <w:iCs/>
        </w:rPr>
        <w:t xml:space="preserve">Eighth Circuit: </w:t>
      </w:r>
      <w:r w:rsidRPr="00AD2F44">
        <w:t>Cope v. Let’s Eat Out, Inc</w:t>
      </w:r>
      <w:r w:rsidRPr="00AD2F44">
        <w:rPr>
          <w:i/>
          <w:iCs/>
        </w:rPr>
        <w:t>.</w:t>
      </w:r>
      <w:r w:rsidRPr="00AD2F44">
        <w:t>, 354 F. Supp. 3d 976, 982 (W.D. Mo. 2019) (refusing to decertify because defendant’s defense hinged on similar conduct as it related to informing employees of tip credit provisions of the FLSA, with the court specifically noting that defendant had failed to put “forth any individualized defenses, which cuts in favor of class treatment.”)</w:t>
      </w:r>
    </w:p>
  </w:footnote>
  <w:footnote w:id="580">
    <w:p w14:paraId="22995B50" w14:textId="2EE2159B" w:rsidR="00721CCF" w:rsidRPr="00AD2F44" w:rsidRDefault="00F42107">
      <w:pPr>
        <w:pStyle w:val="14Footnote"/>
      </w:pPr>
      <w:r w:rsidRPr="00AD2F44">
        <w:rPr>
          <w:vertAlign w:val="superscript"/>
        </w:rPr>
        <w:footnoteRef/>
      </w:r>
      <w:r w:rsidRPr="00AD2F44">
        <w:t xml:space="preserve">Gomez v. Mi Cocina Ltd., 2017 BL 273057, 2017 WL 3334106, at *4 (N.D. Tex. Aug. 4, 2017) (granting decertification upon finding that “tip-credit” claims were not susceptible to collective treatment because servers did not have shared experiences). </w:t>
      </w:r>
    </w:p>
  </w:footnote>
  <w:footnote w:id="581">
    <w:p w14:paraId="7050BF9C" w14:textId="70C7DE6B" w:rsidR="00721CCF" w:rsidRPr="00AD2F44" w:rsidRDefault="00F42107">
      <w:pPr>
        <w:pStyle w:val="14Footnote"/>
      </w:pPr>
      <w:r w:rsidRPr="00AD2F44">
        <w:rPr>
          <w:vertAlign w:val="superscript"/>
        </w:rPr>
        <w:footnoteRef/>
      </w:r>
      <w:r w:rsidRPr="00AD2F44">
        <w:rPr>
          <w:i/>
          <w:iCs/>
        </w:rPr>
        <w:t>See, e.g</w:t>
      </w:r>
      <w:r w:rsidRPr="00AD2F44">
        <w:t>., Tomeo v. W&amp;E Commc’ns, Inc</w:t>
      </w:r>
      <w:r w:rsidRPr="00AD2F44">
        <w:rPr>
          <w:i/>
          <w:iCs/>
        </w:rPr>
        <w:t>.</w:t>
      </w:r>
      <w:r w:rsidRPr="00AD2F44">
        <w:t xml:space="preserve">, 2016 U.S. Dist. LEXIS 136689, at *56 (N.D. Ill. Sep. 30, 2016) (rejecting defendant’s decertification argument that damages could not be proven on a classwide basis where argument was based on, </w:t>
      </w:r>
      <w:r w:rsidRPr="00AD2F44">
        <w:rPr>
          <w:i/>
          <w:iCs/>
        </w:rPr>
        <w:t>inter alia</w:t>
      </w:r>
      <w:r w:rsidRPr="00AD2F44">
        <w:t>, the calculation of regular rate of pay).</w:t>
      </w:r>
    </w:p>
  </w:footnote>
  <w:footnote w:id="582">
    <w:p w14:paraId="501BA2FF" w14:textId="517CF315" w:rsidR="00721CCF" w:rsidRPr="00AD2F44" w:rsidRDefault="00F42107" w:rsidP="00397917">
      <w:pPr>
        <w:pStyle w:val="14Footnote"/>
      </w:pPr>
      <w:r w:rsidRPr="00AD2F44">
        <w:rPr>
          <w:rStyle w:val="FootnoteReference"/>
        </w:rPr>
        <w:footnoteRef/>
      </w:r>
      <w:r w:rsidRPr="00AD2F44">
        <w:rPr>
          <w:i/>
          <w:iCs/>
        </w:rPr>
        <w:t xml:space="preserve">See </w:t>
      </w:r>
      <w:r w:rsidRPr="00AD2F44">
        <w:t xml:space="preserve">Zivali v. AT&amp;T Mobility, LLC, 784 F. Supp. 2d 456, 460 (S.D.N.Y. 2011); Owens v. City of Malden, 568 F. Supp. 3d 77, 111 (D. Mass. 2021); Lee v. ABC Carpet &amp; Home, 236 F.R.D. 193, 197 (S.D.N.Y. 2006). </w:t>
      </w:r>
    </w:p>
  </w:footnote>
  <w:footnote w:id="583">
    <w:p w14:paraId="578AE08B" w14:textId="32434F51" w:rsidR="00721CCF" w:rsidRPr="00AD2F44" w:rsidRDefault="00F42107" w:rsidP="00397917">
      <w:pPr>
        <w:pStyle w:val="14Footnote"/>
      </w:pPr>
      <w:r w:rsidRPr="00AD2F44">
        <w:rPr>
          <w:rStyle w:val="FootnoteReference"/>
        </w:rPr>
        <w:footnoteRef/>
      </w:r>
      <w:r w:rsidRPr="00AD2F44">
        <w:t xml:space="preserve">Espenscheid v. DirectSat USA, LLC, 688 F.3d 872, 877 (7th Cir. 2012) (internal quotations omitted) (quoting Alvarez v. City of Chi., 605 F.3d 445, 450 (7th Cir. 2010)); </w:t>
      </w:r>
      <w:r w:rsidRPr="00AD2F44">
        <w:rPr>
          <w:i/>
          <w:iCs/>
        </w:rPr>
        <w:t>see also</w:t>
      </w:r>
      <w:r w:rsidRPr="00AD2F44">
        <w:t xml:space="preserve"> Roberson v. Restaurant Delivery Devs., LLC, 320 F. Supp. 3d 1309, 1322 (M.D. Fla. 2018) (dismissing all opt-in plaintiffs’ claims without prejudice and proceeding with named plaintiff's individual claims).</w:t>
      </w:r>
    </w:p>
  </w:footnote>
  <w:footnote w:id="584">
    <w:p w14:paraId="51C8ABBE" w14:textId="77777777" w:rsidR="00721CCF" w:rsidRPr="00AD2F44" w:rsidRDefault="00F42107" w:rsidP="003E61AD">
      <w:pPr>
        <w:pStyle w:val="14Footnote"/>
      </w:pPr>
      <w:r w:rsidRPr="00AD2F44">
        <w:rPr>
          <w:vertAlign w:val="superscript"/>
        </w:rPr>
        <w:footnoteRef/>
      </w:r>
      <w:r w:rsidRPr="00AD2F44">
        <w:rPr>
          <w:i/>
          <w:iCs/>
        </w:rPr>
        <w:t>See, e.g.,</w:t>
      </w:r>
    </w:p>
    <w:p w14:paraId="1A718B7E" w14:textId="19B2E8BC" w:rsidR="00721CCF" w:rsidRPr="00AD2F44" w:rsidRDefault="00F42107" w:rsidP="003E61AD">
      <w:pPr>
        <w:pStyle w:val="14Footnote"/>
      </w:pPr>
      <w:r w:rsidRPr="00AD2F44">
        <w:rPr>
          <w:i/>
          <w:iCs/>
        </w:rPr>
        <w:t>Fifth Circuit:</w:t>
      </w:r>
      <w:r w:rsidRPr="00AD2F44">
        <w:t xml:space="preserve"> England v. New Century Fin. Corp., 370 F. Supp. 2d 504, 511–12 (M.D. La. 2005) (withholding entry of decertification order for 30 days to give former opt-in plaintiffs time to file suit); Proctor v. Allsups Convenience Stores, Inc., 250 F.R.D. 278, 284 (N.D. Tex. 2008); (court invoked “equity powers” to toll statute of limitations for 30 days after entry of decertification order); Johnson v. TGF Precision Haircutters, Inc., 2005 BL 77168, 2005 WL 1994286 (S.D. Tex. Aug. 17, 2005) (same). </w:t>
      </w:r>
    </w:p>
    <w:p w14:paraId="110110BB" w14:textId="65782425" w:rsidR="00721CCF" w:rsidRPr="00AD2F44" w:rsidRDefault="00F42107" w:rsidP="003E61AD">
      <w:pPr>
        <w:pStyle w:val="14Footnote"/>
      </w:pPr>
      <w:r w:rsidRPr="00AD2F44">
        <w:rPr>
          <w:i/>
          <w:iCs/>
        </w:rPr>
        <w:t>Eighth Circuit:</w:t>
      </w:r>
      <w:r w:rsidRPr="00AD2F44">
        <w:t xml:space="preserve"> Davenport v. Charter Commc’ns, LLC, 2017 BL 68631, 2017 WL 878029, at *8 (E.D. Mo. Mar. 6, 2017) (tolling statute of limitations for dismissed opt-ins for 60 days following decertification order); Smith v. Heartland Auto. Servs., 404 F. Supp. 2d 1144, 1155 (D. Minn. 2005) (staying decertification order for 60 days to give individual plaintiffs time to refile individual claims).</w:t>
      </w:r>
    </w:p>
    <w:p w14:paraId="70EB92FF" w14:textId="1A1A0AA6" w:rsidR="00721CCF" w:rsidRPr="00AD2F44" w:rsidRDefault="00F42107" w:rsidP="003E61AD">
      <w:pPr>
        <w:pStyle w:val="14Footnote"/>
      </w:pPr>
      <w:r w:rsidRPr="00AD2F44">
        <w:rPr>
          <w:i/>
          <w:iCs/>
        </w:rPr>
        <w:t>Eleventh Circuit:</w:t>
      </w:r>
      <w:r w:rsidRPr="00AD2F44">
        <w:t xml:space="preserve"> Epps v. Oak St. Mortg. LLC, 2006 BL 61882, 2006 WL 1460273, at *10 (M.D. Fla. May 22, 2006) (withholding entry of order for 30 days to provide each opt-in plaintiff time to file suit).</w:t>
      </w:r>
    </w:p>
  </w:footnote>
  <w:footnote w:id="585">
    <w:p w14:paraId="64D3C2AC" w14:textId="77777777" w:rsidR="00721CCF" w:rsidRPr="00AD2F44" w:rsidRDefault="00F42107">
      <w:pPr>
        <w:pStyle w:val="14Footnote"/>
      </w:pPr>
      <w:r w:rsidRPr="00AD2F44">
        <w:rPr>
          <w:vertAlign w:val="superscript"/>
        </w:rPr>
        <w:footnoteRef/>
      </w:r>
      <w:r w:rsidRPr="00AD2F44">
        <w:t xml:space="preserve">Stone v. First Union Corp., 371 F.3d 1305 (11th Cir. 2004). Rule 24(a)(2) of the Federal Rules of Civil Procedure permits intervention as a matter of right. The Eleventh Circuit “has interpreted this rule to require a party seeking intervention of right to demonstrate that: ‘(1) his application to intervene is timely; (2) he has an interest relating to the property or transaction which is the subject of the action; (3) he is so situated that disposition of the action, as a practical matter, may impede or impair his ability to protect that interest; and (4) his interest is represented inadequately by the existing parties to the suit.’” </w:t>
      </w:r>
      <w:r w:rsidRPr="00AD2F44">
        <w:rPr>
          <w:i/>
          <w:iCs/>
        </w:rPr>
        <w:t>Id.</w:t>
      </w:r>
      <w:r w:rsidRPr="00AD2F44">
        <w:t xml:space="preserve"> at 1308–09 (quoting Worlds v. Department of Health and Rehab. Servs., 929 F.2d 591, 593 (11th Cir. 1991)).</w:t>
      </w:r>
    </w:p>
  </w:footnote>
  <w:footnote w:id="586">
    <w:p w14:paraId="2AE03C31" w14:textId="77777777" w:rsidR="00721CCF" w:rsidRPr="00AD2F44" w:rsidRDefault="00F42107">
      <w:pPr>
        <w:pStyle w:val="14Footnote"/>
      </w:pPr>
      <w:r w:rsidRPr="00AD2F44">
        <w:rPr>
          <w:vertAlign w:val="superscript"/>
        </w:rPr>
        <w:footnoteRef/>
      </w:r>
      <w:r w:rsidRPr="00AD2F44">
        <w:t>Randall v. Rolls-Royce Corp., 637 F.3d 818, 826 (7th Cir. 2011) (affirming denial of motion to intervene as untimely because it was filed nearly four years into the case and after denial of class certification, due to, “as should have been obvious from the start, patently inappropriate class representatives”).</w:t>
      </w:r>
    </w:p>
  </w:footnote>
  <w:footnote w:id="587">
    <w:p w14:paraId="7771F95E" w14:textId="77777777" w:rsidR="00721CCF" w:rsidRPr="00AD2F44" w:rsidRDefault="00F42107">
      <w:pPr>
        <w:pStyle w:val="14Footnote"/>
      </w:pPr>
      <w:r w:rsidRPr="00AD2F44">
        <w:rPr>
          <w:vertAlign w:val="superscript"/>
        </w:rPr>
        <w:footnoteRef/>
      </w:r>
      <w:r w:rsidRPr="00AD2F44">
        <w:rPr>
          <w:i/>
          <w:iCs/>
        </w:rPr>
        <w:t>Stone</w:t>
      </w:r>
      <w:r w:rsidRPr="00AD2F44">
        <w:t>, 371 F.3d at 1309–12; Fox v. Tyson Foods, Inc., 519 F.3d 1298, 1303–04 (11th Cir. 2008).</w:t>
      </w:r>
    </w:p>
  </w:footnote>
  <w:footnote w:id="588">
    <w:p w14:paraId="6A78759F" w14:textId="77777777" w:rsidR="00721CCF" w:rsidRPr="00AD2F44" w:rsidRDefault="00F42107">
      <w:pPr>
        <w:pStyle w:val="14Footnote"/>
      </w:pPr>
      <w:r w:rsidRPr="00AD2F44">
        <w:rPr>
          <w:vertAlign w:val="superscript"/>
        </w:rPr>
        <w:footnoteRef/>
      </w:r>
      <w:r w:rsidRPr="00AD2F44">
        <w:t>371 F.3d 1305.</w:t>
      </w:r>
    </w:p>
  </w:footnote>
  <w:footnote w:id="589">
    <w:p w14:paraId="2A4532F3" w14:textId="77777777" w:rsidR="00721CCF" w:rsidRPr="00AD2F44" w:rsidRDefault="00F42107">
      <w:pPr>
        <w:pStyle w:val="14Footnote"/>
      </w:pPr>
      <w:r w:rsidRPr="00AD2F44">
        <w:rPr>
          <w:vertAlign w:val="superscript"/>
        </w:rPr>
        <w:footnoteRef/>
      </w:r>
      <w:r w:rsidRPr="00AD2F44">
        <w:rPr>
          <w:i/>
          <w:iCs/>
        </w:rPr>
        <w:t>Id</w:t>
      </w:r>
      <w:r w:rsidRPr="00AD2F44">
        <w:t>. at 1310.</w:t>
      </w:r>
    </w:p>
  </w:footnote>
  <w:footnote w:id="590">
    <w:p w14:paraId="3BC0541E"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591">
    <w:p w14:paraId="5C67D372" w14:textId="77777777" w:rsidR="00721CCF" w:rsidRPr="00AD2F44" w:rsidRDefault="00F42107">
      <w:pPr>
        <w:pStyle w:val="14Footnote"/>
      </w:pPr>
      <w:r w:rsidRPr="00AD2F44">
        <w:rPr>
          <w:vertAlign w:val="superscript"/>
        </w:rPr>
        <w:footnoteRef/>
      </w:r>
      <w:r w:rsidRPr="00AD2F44">
        <w:t>519 F.3d 1298 (11th Cir. 2008).</w:t>
      </w:r>
    </w:p>
  </w:footnote>
  <w:footnote w:id="592">
    <w:p w14:paraId="1627A05F" w14:textId="77777777" w:rsidR="00721CCF" w:rsidRPr="00AD2F44" w:rsidRDefault="00F42107">
      <w:pPr>
        <w:pStyle w:val="14Footnote"/>
      </w:pPr>
      <w:r w:rsidRPr="00AD2F44">
        <w:rPr>
          <w:vertAlign w:val="superscript"/>
        </w:rPr>
        <w:footnoteRef/>
      </w:r>
      <w:r w:rsidRPr="00AD2F44">
        <w:rPr>
          <w:i/>
          <w:iCs/>
        </w:rPr>
        <w:t xml:space="preserve">Id. </w:t>
      </w:r>
      <w:r w:rsidRPr="00AD2F44">
        <w:t>at 1304.</w:t>
      </w:r>
    </w:p>
  </w:footnote>
  <w:footnote w:id="593">
    <w:p w14:paraId="09401BD4" w14:textId="77777777" w:rsidR="00721CCF" w:rsidRPr="00AD2F44" w:rsidRDefault="00F42107">
      <w:pPr>
        <w:pStyle w:val="14Footnote"/>
      </w:pPr>
      <w:r w:rsidRPr="00AD2F44">
        <w:rPr>
          <w:vertAlign w:val="superscript"/>
        </w:rPr>
        <w:footnoteRef/>
      </w:r>
      <w:r w:rsidRPr="00AD2F44">
        <w:rPr>
          <w:i/>
          <w:iCs/>
        </w:rPr>
        <w:t>Id</w:t>
      </w:r>
      <w:r w:rsidRPr="00AD2F44">
        <w:t xml:space="preserve">.; </w:t>
      </w:r>
      <w:r w:rsidRPr="00AD2F44">
        <w:rPr>
          <w:i/>
          <w:iCs/>
        </w:rPr>
        <w:t>see also</w:t>
      </w:r>
      <w:r w:rsidRPr="00AD2F44">
        <w:t xml:space="preserve"> Stokes v. Westinghouse Savannah River Co., 206 F.3d 420 (4th Cir. 2000) (denying both class certification and intervention in ADEA action challenging layoff payment structure because of important differences between circumstances of named plaintiff and proposed class members and plaintiff’s failure to demonstrate sufficient impairment under Rule 24(a)(2) to require intervention).</w:t>
      </w:r>
    </w:p>
  </w:footnote>
  <w:footnote w:id="594">
    <w:p w14:paraId="7B785A25" w14:textId="77777777" w:rsidR="00721CCF" w:rsidRPr="00AD2F44" w:rsidRDefault="00F42107">
      <w:pPr>
        <w:pStyle w:val="14Footnote"/>
      </w:pPr>
      <w:r w:rsidRPr="00AD2F44">
        <w:rPr>
          <w:vertAlign w:val="superscript"/>
        </w:rPr>
        <w:footnoteRef/>
      </w:r>
      <w:r w:rsidRPr="00AD2F44">
        <w:t xml:space="preserve">Stone v. First Union Corp., 371 F.3d 1305, 1311 (11th Cir. 2004). “There is a presumption of adequate representation where an existing party seeks the same objectives as the interveners.” </w:t>
      </w:r>
      <w:r w:rsidRPr="00AD2F44">
        <w:rPr>
          <w:i/>
          <w:iCs/>
        </w:rPr>
        <w:t>Id</w:t>
      </w:r>
      <w:r w:rsidRPr="00AD2F44">
        <w:t xml:space="preserve">. But this presumption is weak, and “[i]nterveners need only show that the current plaintiff’s representation may be inadequate, however, and the burden for making such a showing is minimal.” </w:t>
      </w:r>
      <w:r w:rsidRPr="00AD2F44">
        <w:rPr>
          <w:i/>
          <w:iCs/>
        </w:rPr>
        <w:t>Id</w:t>
      </w:r>
      <w:r w:rsidRPr="00AD2F44">
        <w:t>. (internal quotation marks omitted).</w:t>
      </w:r>
    </w:p>
  </w:footnote>
  <w:footnote w:id="595">
    <w:p w14:paraId="53273E3E" w14:textId="77777777" w:rsidR="00721CCF" w:rsidRPr="00AD2F44" w:rsidRDefault="00F42107">
      <w:pPr>
        <w:pStyle w:val="14Footnote"/>
      </w:pPr>
      <w:r w:rsidRPr="00AD2F44">
        <w:rPr>
          <w:vertAlign w:val="superscript"/>
        </w:rPr>
        <w:footnoteRef/>
      </w:r>
      <w:r w:rsidRPr="00AD2F44">
        <w:rPr>
          <w:i/>
          <w:iCs/>
        </w:rPr>
        <w:t xml:space="preserve">Id. </w:t>
      </w:r>
      <w:r w:rsidRPr="00AD2F44">
        <w:t xml:space="preserve">at 1312. </w:t>
      </w:r>
    </w:p>
  </w:footnote>
  <w:footnote w:id="596">
    <w:p w14:paraId="238BB3A8"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597">
    <w:p w14:paraId="4177F36C" w14:textId="77777777" w:rsidR="00721CCF" w:rsidRPr="00AD2F44" w:rsidRDefault="00F42107">
      <w:pPr>
        <w:pStyle w:val="14Footnote"/>
      </w:pPr>
      <w:r w:rsidRPr="00AD2F44">
        <w:rPr>
          <w:vertAlign w:val="superscript"/>
        </w:rPr>
        <w:footnoteRef/>
      </w:r>
      <w:r w:rsidRPr="00AD2F44">
        <w:t>Pullen v. McDonald’s Corp., 2015 WL 10529679, at *1</w:t>
      </w:r>
      <w:r w:rsidRPr="00AD2F44">
        <w:rPr>
          <w:b/>
          <w:bCs/>
        </w:rPr>
        <w:t xml:space="preserve"> </w:t>
      </w:r>
      <w:r w:rsidRPr="00AD2F44">
        <w:t>(E.D. Mich. Aug. 17, 2015) (denying intervention under Rule 24(a) but granting permissive intervention because intervenors “filed in a timely fashion; and their claims are sufficiently similar” to the other plaintiffs); Lipnicki v. Meritage Homes Corp., 2014 WL 5620603, at *7 (S.D. Tex. Nov. 4, 2014); Roussell v. Brinker Int’l, Inc., 2009 WL 6496504, at *6 (S.D. Tex. Jan. 26, 2009).</w:t>
      </w:r>
    </w:p>
  </w:footnote>
  <w:footnote w:id="598">
    <w:p w14:paraId="31C24356" w14:textId="77777777" w:rsidR="00721CCF" w:rsidRPr="00AD2F44" w:rsidRDefault="00F42107">
      <w:pPr>
        <w:pStyle w:val="14Footnote"/>
      </w:pPr>
      <w:r w:rsidRPr="00AD2F44">
        <w:rPr>
          <w:vertAlign w:val="superscript"/>
        </w:rPr>
        <w:footnoteRef/>
      </w:r>
      <w:r w:rsidRPr="00AD2F44">
        <w:rPr>
          <w:smallCaps/>
        </w:rPr>
        <w:t>Fed. R. Civ. P</w:t>
      </w:r>
      <w:r w:rsidRPr="00AD2F44">
        <w:t>. 24(b)(1)(B).</w:t>
      </w:r>
    </w:p>
  </w:footnote>
  <w:footnote w:id="599">
    <w:p w14:paraId="049E1090" w14:textId="77777777" w:rsidR="00721CCF" w:rsidRPr="00AD2F44" w:rsidRDefault="00F42107">
      <w:pPr>
        <w:pStyle w:val="14Footnote"/>
      </w:pPr>
      <w:r w:rsidRPr="00AD2F44">
        <w:rPr>
          <w:vertAlign w:val="superscript"/>
        </w:rPr>
        <w:footnoteRef/>
      </w:r>
      <w:r w:rsidRPr="00AD2F44">
        <w:rPr>
          <w:i/>
          <w:iCs/>
        </w:rPr>
        <w:t>Id</w:t>
      </w:r>
      <w:r w:rsidRPr="00AD2F44">
        <w:t>. R. 24(b)(3).</w:t>
      </w:r>
    </w:p>
  </w:footnote>
  <w:footnote w:id="600">
    <w:p w14:paraId="3EEE2161" w14:textId="77777777" w:rsidR="00721CCF" w:rsidRPr="00AD2F44" w:rsidRDefault="00F42107">
      <w:pPr>
        <w:pStyle w:val="14Footnote"/>
      </w:pPr>
      <w:r w:rsidRPr="00AD2F44">
        <w:rPr>
          <w:vertAlign w:val="superscript"/>
        </w:rPr>
        <w:footnoteRef/>
      </w:r>
      <w:r w:rsidRPr="00AD2F44">
        <w:t>2009 WL 6496504.</w:t>
      </w:r>
    </w:p>
  </w:footnote>
  <w:footnote w:id="601">
    <w:p w14:paraId="50836180" w14:textId="77777777" w:rsidR="00721CCF" w:rsidRPr="00AD2F44" w:rsidRDefault="00F42107">
      <w:pPr>
        <w:pStyle w:val="14Footnote"/>
      </w:pPr>
      <w:r w:rsidRPr="00AD2F44">
        <w:rPr>
          <w:vertAlign w:val="superscript"/>
        </w:rPr>
        <w:footnoteRef/>
      </w:r>
      <w:r w:rsidRPr="00AD2F44">
        <w:rPr>
          <w:i/>
          <w:iCs/>
        </w:rPr>
        <w:t>Id</w:t>
      </w:r>
      <w:r w:rsidRPr="00AD2F44">
        <w:t xml:space="preserve">. at *12 (citations omitted). </w:t>
      </w:r>
      <w:r w:rsidRPr="00AD2F44">
        <w:rPr>
          <w:i/>
          <w:iCs/>
        </w:rPr>
        <w:t xml:space="preserve">Cf. </w:t>
      </w:r>
      <w:r w:rsidRPr="00AD2F44">
        <w:t xml:space="preserve">Dixon v. Scott Fetzer Co., 2016 WL 10514834 (D. Conn. May 31, 2016) (granting timely motion for permissive intervention, noting that the intervenors were approximately one-third as many as in </w:t>
      </w:r>
      <w:r w:rsidRPr="00AD2F44">
        <w:rPr>
          <w:i/>
          <w:iCs/>
        </w:rPr>
        <w:t xml:space="preserve">Roussell </w:t>
      </w:r>
      <w:r w:rsidRPr="00AD2F44">
        <w:t>and common issues of fact included defendant’s joint employer status, plaintiffs’ independent contractor status, and the application of the outside sales exemption).</w:t>
      </w:r>
    </w:p>
  </w:footnote>
  <w:footnote w:id="602">
    <w:p w14:paraId="5B404E7B" w14:textId="77777777" w:rsidR="00721CCF" w:rsidRPr="00AD2F44" w:rsidRDefault="00F42107">
      <w:pPr>
        <w:pStyle w:val="14Footnote"/>
      </w:pPr>
      <w:r w:rsidRPr="00AD2F44">
        <w:rPr>
          <w:vertAlign w:val="superscript"/>
        </w:rPr>
        <w:footnoteRef/>
      </w:r>
      <w:r w:rsidRPr="00AD2F44">
        <w:t>2014 WL 5620603 (S.D. Tex. Nov. 4, 2014).</w:t>
      </w:r>
    </w:p>
  </w:footnote>
  <w:footnote w:id="603">
    <w:p w14:paraId="4D0F9C80" w14:textId="77777777" w:rsidR="00721CCF" w:rsidRPr="00AD2F44" w:rsidRDefault="00F42107">
      <w:pPr>
        <w:pStyle w:val="14Footnote"/>
      </w:pPr>
      <w:r w:rsidRPr="00AD2F44">
        <w:rPr>
          <w:vertAlign w:val="superscript"/>
        </w:rPr>
        <w:footnoteRef/>
      </w:r>
      <w:r w:rsidRPr="00AD2F44">
        <w:rPr>
          <w:i/>
          <w:iCs/>
        </w:rPr>
        <w:t>Id</w:t>
      </w:r>
      <w:r w:rsidRPr="00AD2F44">
        <w:t>. at *7.</w:t>
      </w:r>
    </w:p>
  </w:footnote>
  <w:footnote w:id="604">
    <w:p w14:paraId="6AF3AFD7" w14:textId="77777777" w:rsidR="00721CCF" w:rsidRPr="00AD2F44" w:rsidRDefault="00F42107">
      <w:pPr>
        <w:pStyle w:val="14Footnote"/>
      </w:pPr>
      <w:r w:rsidRPr="00AD2F44">
        <w:rPr>
          <w:vertAlign w:val="superscript"/>
        </w:rPr>
        <w:footnoteRef/>
      </w:r>
      <w:r w:rsidRPr="00AD2F44">
        <w:rPr>
          <w:i/>
        </w:rPr>
        <w:t>Id.</w:t>
      </w:r>
    </w:p>
  </w:footnote>
  <w:footnote w:id="605">
    <w:p w14:paraId="21ADC70A" w14:textId="77777777" w:rsidR="00721CCF" w:rsidRPr="00AD2F44" w:rsidRDefault="00F42107">
      <w:pPr>
        <w:pStyle w:val="14Footnote"/>
      </w:pPr>
      <w:r w:rsidRPr="00AD2F44">
        <w:rPr>
          <w:vertAlign w:val="superscript"/>
        </w:rPr>
        <w:footnoteRef/>
      </w:r>
      <w:r w:rsidRPr="00AD2F44">
        <w:rPr>
          <w:i/>
        </w:rPr>
        <w:t>Id.</w:t>
      </w:r>
    </w:p>
  </w:footnote>
  <w:footnote w:id="606">
    <w:p w14:paraId="22B98EE5" w14:textId="77777777" w:rsidR="00721CCF" w:rsidRPr="00AD2F44" w:rsidRDefault="00F42107">
      <w:pPr>
        <w:pStyle w:val="14Footnote"/>
      </w:pPr>
      <w:r w:rsidRPr="00AD2F44">
        <w:rPr>
          <w:vertAlign w:val="superscript"/>
        </w:rPr>
        <w:footnoteRef/>
      </w:r>
      <w:r w:rsidRPr="00AD2F44">
        <w:rPr>
          <w:i/>
          <w:iCs/>
        </w:rPr>
        <w:t xml:space="preserve">Id. </w:t>
      </w:r>
      <w:r w:rsidRPr="00AD2F44">
        <w:t xml:space="preserve">The court reserved ruling on the defendant’s venue objection with respect to intervenors who were from outside the Houston area, finding that “[a] venue determination is not incorporated directly into the Rule 24 analysis.” </w:t>
      </w:r>
      <w:r w:rsidRPr="00AD2F44">
        <w:rPr>
          <w:i/>
          <w:iCs/>
        </w:rPr>
        <w:t xml:space="preserve">Id. </w:t>
      </w:r>
      <w:r w:rsidRPr="00AD2F44">
        <w:t>at *8.</w:t>
      </w:r>
    </w:p>
  </w:footnote>
  <w:footnote w:id="607">
    <w:p w14:paraId="43ABACE0" w14:textId="77777777" w:rsidR="00721CCF" w:rsidRPr="00AD2F44" w:rsidRDefault="00F42107">
      <w:pPr>
        <w:pStyle w:val="14Footnote"/>
      </w:pPr>
      <w:r w:rsidRPr="00AD2F44">
        <w:rPr>
          <w:vertAlign w:val="superscript"/>
        </w:rPr>
        <w:footnoteRef/>
      </w:r>
      <w:r w:rsidRPr="00AD2F44">
        <w:t xml:space="preserve">2017 WL 897338 (N.D. Cal. Mar. 7, 2017), </w:t>
      </w:r>
      <w:r w:rsidRPr="00AD2F44">
        <w:rPr>
          <w:i/>
          <w:iCs/>
        </w:rPr>
        <w:t>aff’d in part, reversed in part on other grounds</w:t>
      </w:r>
      <w:r w:rsidRPr="00AD2F44">
        <w:t>, 934 F.3d 918 (9th Cir. 2019).</w:t>
      </w:r>
    </w:p>
  </w:footnote>
  <w:footnote w:id="608">
    <w:p w14:paraId="2C13E45E" w14:textId="77777777" w:rsidR="00721CCF" w:rsidRPr="00AD2F44" w:rsidRDefault="00F42107">
      <w:pPr>
        <w:pStyle w:val="14Footnote"/>
      </w:pPr>
      <w:r w:rsidRPr="00AD2F44">
        <w:rPr>
          <w:vertAlign w:val="superscript"/>
        </w:rPr>
        <w:footnoteRef/>
      </w:r>
      <w:r w:rsidRPr="00AD2F44">
        <w:rPr>
          <w:i/>
          <w:iCs/>
        </w:rPr>
        <w:t>Id</w:t>
      </w:r>
      <w:r w:rsidRPr="00AD2F44">
        <w:t xml:space="preserve">. at *21–22. </w:t>
      </w:r>
    </w:p>
  </w:footnote>
  <w:footnote w:id="609">
    <w:p w14:paraId="122CBF92" w14:textId="77777777" w:rsidR="00721CCF" w:rsidRPr="00AD2F44" w:rsidRDefault="00F42107">
      <w:pPr>
        <w:pStyle w:val="14Footnote"/>
      </w:pPr>
      <w:r w:rsidRPr="00AD2F44">
        <w:rPr>
          <w:vertAlign w:val="superscript"/>
        </w:rPr>
        <w:footnoteRef/>
      </w:r>
      <w:r w:rsidRPr="00AD2F44">
        <w:rPr>
          <w:i/>
          <w:iCs/>
        </w:rPr>
        <w:t>Id</w:t>
      </w:r>
      <w:r w:rsidRPr="00AD2F44">
        <w:t xml:space="preserve">. </w:t>
      </w:r>
    </w:p>
  </w:footnote>
  <w:footnote w:id="610">
    <w:p w14:paraId="59BDFA36" w14:textId="77777777" w:rsidR="00721CCF" w:rsidRPr="00AD2F44" w:rsidRDefault="00F42107">
      <w:pPr>
        <w:pStyle w:val="14Footnote"/>
      </w:pPr>
      <w:r w:rsidRPr="00AD2F44">
        <w:rPr>
          <w:vertAlign w:val="superscript"/>
        </w:rPr>
        <w:footnoteRef/>
      </w:r>
      <w:r w:rsidRPr="00AD2F44">
        <w:rPr>
          <w:i/>
          <w:iCs/>
        </w:rPr>
        <w:t>Id</w:t>
      </w:r>
      <w:r w:rsidRPr="00AD2F44">
        <w:t xml:space="preserve">. at *22. </w:t>
      </w:r>
    </w:p>
  </w:footnote>
  <w:footnote w:id="611">
    <w:p w14:paraId="6834CFF8" w14:textId="77777777" w:rsidR="00721CCF" w:rsidRPr="00AD2F44" w:rsidRDefault="00F42107">
      <w:pPr>
        <w:pStyle w:val="14Footnote"/>
      </w:pPr>
      <w:r w:rsidRPr="00AD2F44">
        <w:rPr>
          <w:vertAlign w:val="superscript"/>
        </w:rPr>
        <w:footnoteRef/>
      </w:r>
      <w:r w:rsidRPr="00AD2F44">
        <w:rPr>
          <w:smallCaps/>
        </w:rPr>
        <w:t>Fed. R. Civ. P.</w:t>
      </w:r>
      <w:r w:rsidRPr="00AD2F44">
        <w:t xml:space="preserve"> 20(a)(1).</w:t>
      </w:r>
    </w:p>
  </w:footnote>
  <w:footnote w:id="612">
    <w:p w14:paraId="4D1B3B94" w14:textId="77777777" w:rsidR="00721CCF" w:rsidRPr="00AD2F44" w:rsidRDefault="00F42107">
      <w:pPr>
        <w:pStyle w:val="14Footnote"/>
      </w:pPr>
      <w:r w:rsidRPr="00AD2F44">
        <w:rPr>
          <w:vertAlign w:val="superscript"/>
        </w:rPr>
        <w:footnoteRef/>
      </w:r>
      <w:r w:rsidRPr="00AD2F44">
        <w:rPr>
          <w:i/>
          <w:iCs/>
        </w:rPr>
        <w:t xml:space="preserve">Id. </w:t>
      </w:r>
      <w:r w:rsidRPr="00AD2F44">
        <w:t>R. 21.</w:t>
      </w:r>
    </w:p>
  </w:footnote>
  <w:footnote w:id="613">
    <w:p w14:paraId="28C9787B" w14:textId="77777777" w:rsidR="00721CCF" w:rsidRPr="00AD2F44" w:rsidRDefault="00F42107">
      <w:pPr>
        <w:pStyle w:val="14Footnote"/>
      </w:pPr>
      <w:r w:rsidRPr="00AD2F44">
        <w:rPr>
          <w:vertAlign w:val="superscript"/>
        </w:rPr>
        <w:footnoteRef/>
      </w:r>
      <w:r w:rsidRPr="00AD2F44">
        <w:rPr>
          <w:i/>
          <w:iCs/>
        </w:rPr>
        <w:t xml:space="preserve">Id. </w:t>
      </w:r>
      <w:r w:rsidRPr="00AD2F44">
        <w:t>R. 42(b).</w:t>
      </w:r>
    </w:p>
  </w:footnote>
  <w:footnote w:id="614">
    <w:p w14:paraId="541FC6BF" w14:textId="77777777" w:rsidR="00721CCF" w:rsidRPr="00AD2F44" w:rsidRDefault="00F42107">
      <w:pPr>
        <w:pStyle w:val="14Footnote"/>
      </w:pPr>
      <w:r w:rsidRPr="00AD2F44">
        <w:rPr>
          <w:vertAlign w:val="superscript"/>
        </w:rPr>
        <w:footnoteRef/>
      </w:r>
      <w:r w:rsidRPr="00AD2F44">
        <w:t xml:space="preserve">Gregory v. FedEx Ground Package Sys., 2012 U.S. Dist. LEXIS 87798, at *31 (E.D. Va. May 9, 2012) (collecting cases); </w:t>
      </w:r>
      <w:r w:rsidRPr="00AD2F44">
        <w:rPr>
          <w:i/>
          <w:iCs/>
        </w:rPr>
        <w:t>see also</w:t>
      </w:r>
      <w:r w:rsidRPr="00AD2F44">
        <w:t xml:space="preserve"> Acevedo v. Allsup’s Convenience Stores, Inc., 600 F.3d 516, 521 (5th Cir. 2010) (noting that courts possess discretion to refuse joinder “in the interest of avoiding prejudice and delay, ensuring judicial economy, or safeguarding principles of fundamental fairness”) (citations omitted).</w:t>
      </w:r>
    </w:p>
  </w:footnote>
  <w:footnote w:id="615">
    <w:p w14:paraId="621872D6" w14:textId="77777777" w:rsidR="00721CCF" w:rsidRPr="00AD2F44" w:rsidRDefault="00F42107">
      <w:pPr>
        <w:pStyle w:val="14Footnote"/>
      </w:pPr>
      <w:r w:rsidRPr="00AD2F44">
        <w:rPr>
          <w:vertAlign w:val="superscript"/>
        </w:rPr>
        <w:footnoteRef/>
      </w:r>
      <w:r w:rsidRPr="00AD2F44">
        <w:rPr>
          <w:i/>
          <w:iCs/>
        </w:rPr>
        <w:t>See, e.g.,</w:t>
      </w:r>
    </w:p>
    <w:p w14:paraId="5EFA79B2" w14:textId="77777777" w:rsidR="00721CCF" w:rsidRPr="00AD2F44" w:rsidRDefault="00F42107">
      <w:pPr>
        <w:pStyle w:val="14Footnote"/>
      </w:pPr>
      <w:r w:rsidRPr="00AD2F44">
        <w:rPr>
          <w:i/>
          <w:iCs/>
        </w:rPr>
        <w:t>Second Circuit:</w:t>
      </w:r>
      <w:r w:rsidRPr="00AD2F44">
        <w:t xml:space="preserve"> Costello v. Home Depot U.S.A., Inc., 888 F. Supp. 2d 258, 264 (D. Conn. 2012) (finding misjoinder and severing the claims of the 39 plaintiffs into seven separate cases, where plaintiffs were employed at different stores, under different circumstances, and performing different tasks, despite the fact that the plaintiffs were all allegedly misclassified, all held the same job title, and all worked under the same job descriptions). </w:t>
      </w:r>
    </w:p>
    <w:p w14:paraId="4A1B8877" w14:textId="77777777" w:rsidR="00721CCF" w:rsidRPr="00AD2F44" w:rsidRDefault="00F42107">
      <w:pPr>
        <w:pStyle w:val="14Footnote"/>
      </w:pPr>
      <w:r w:rsidRPr="00AD2F44">
        <w:rPr>
          <w:i/>
          <w:iCs/>
        </w:rPr>
        <w:t>Fourth Circuit:</w:t>
      </w:r>
      <w:r w:rsidRPr="00AD2F44">
        <w:t xml:space="preserve"> Meth v. Natus Med. Inc., 2014 U.S. Dist. LEXIS 97355, at *10 (E.D. Va. July 17, 2014) (denying joinder where the plaintiffs—allegedly misclassified as exempt from the FLSA by defendant—held differing job responsibilities and experience that precluded a finding that Rule 20’s requirements were met, noting also that joinder would cause undue delay and risk confusing the jury because of the factual variations between the claims); Gregory v. FedEx Ground Package Sys., 2012 WL 2396873, 2012 U.S. Dist. LEXIS 87798, at *31 (E.D. Va. May 9, 2012) (granting misjoinder where plaintiffs’ claims required individualized proof because, among other things, they worked at different job sites, with different managers, despite signing identical “Operating Agreements” with their employer and allegedly subject to “nationally centralized practices and procedures” including failure to log work hours).</w:t>
      </w:r>
    </w:p>
    <w:p w14:paraId="1D4F1F2A" w14:textId="77777777" w:rsidR="00721CCF" w:rsidRPr="00AD2F44" w:rsidRDefault="00F42107">
      <w:pPr>
        <w:pStyle w:val="14Footnote"/>
      </w:pPr>
      <w:r w:rsidRPr="00AD2F44">
        <w:rPr>
          <w:i/>
          <w:iCs/>
        </w:rPr>
        <w:t>Fifth Circuit:</w:t>
      </w:r>
      <w:r w:rsidRPr="00AD2F44">
        <w:t xml:space="preserve"> Acevedo v. Allsup’s Convenience Stores, Inc., 600 F.3d 516, 521 (5th Cir. 2010) (affirming misjoinder order where plaintiff failed “to cite any cases in which a group of plaintiffs even remotely as numerous as 800 were able to join their claims” under Rule 20 and plaintiffs worked across a network of over 300 stores, each with its own manager, only some of whom asked plaintiffs to work off the clock); Bocage v. M-I, LLC, 2019 U.S. Dist. LEXIS 133437, at *7 (E.D. La. Aug. 8, 2019) (denying motion to sever under rules for misjoinder where 16 plaintiffs had the same title, the same job responsibilities, and had worked more than 40 hours per week but were not paid overtime, noting also a lack of prejudice to defendant and a benefit to judicial economy).</w:t>
      </w:r>
    </w:p>
    <w:p w14:paraId="7F6B513D" w14:textId="77777777" w:rsidR="00721CCF" w:rsidRPr="00AD2F44" w:rsidRDefault="00F42107">
      <w:pPr>
        <w:pStyle w:val="14Footnote"/>
      </w:pPr>
      <w:r w:rsidRPr="00AD2F44">
        <w:rPr>
          <w:i/>
          <w:iCs/>
        </w:rPr>
        <w:t xml:space="preserve">Sixth Circuit: </w:t>
      </w:r>
      <w:r w:rsidRPr="00AD2F44">
        <w:t>Adams v. Diversicare Leasing Corp., 2015 U.S. Dist. LEXIS 89732, at *9 (W.D. Tenn. July 10, 2015) (rejecting misjoinder argument where 47 plaintiffs filed suit following decertification of a lawsuit including 1,592 opt-in plaintiffs across eight states, because the plaintiffs alleged their claims arose from work at Tennessee facilities and the application of “uniform workplace policies” and claimed parallel FLSA violations, noting a lack of prejudice to defendants).</w:t>
      </w:r>
    </w:p>
    <w:p w14:paraId="5318A033" w14:textId="77777777" w:rsidR="00721CCF" w:rsidRPr="00AD2F44" w:rsidRDefault="00F42107">
      <w:pPr>
        <w:pStyle w:val="14Footnote"/>
      </w:pPr>
      <w:r w:rsidRPr="00AD2F44">
        <w:rPr>
          <w:i/>
          <w:iCs/>
        </w:rPr>
        <w:t>Eighth Circuit:</w:t>
      </w:r>
      <w:r w:rsidRPr="00AD2F44">
        <w:t xml:space="preserve"> Reznik v. HMSHost Corp., 2016 U.S. Dist. LEXIS 6407, at *8–9 (E.D. Mo. Jan. 20, 2016) (rejecting defendant’s misjoinder arguments because plaintiffs’ claims were based on companywide policies allegedly misclassifying them under the FLSA, even though plaintiffs worked at different locations, under different managers, and had non-identical—though similar—job duties) (citing Mosley v. General Motors Corp., 497 F.2d 1330, 1332 (8th Cir. 1974) (finding joinder appropriate under similar circumstances for employment discrimination claims)).</w:t>
      </w:r>
    </w:p>
    <w:p w14:paraId="72C694EC" w14:textId="77777777" w:rsidR="00721CCF" w:rsidRPr="00AD2F44" w:rsidRDefault="00F42107">
      <w:pPr>
        <w:pStyle w:val="14Footnote"/>
      </w:pPr>
      <w:r w:rsidRPr="00AD2F44">
        <w:rPr>
          <w:i/>
          <w:iCs/>
        </w:rPr>
        <w:t xml:space="preserve">Ninth Circuit: </w:t>
      </w:r>
      <w:r w:rsidRPr="00AD2F44">
        <w:t>Alvarado v. City of L.A., 720 F. App’x 889, 903–04 (9th Cir. 2018) (unpublished) (finding that claims based on separate City employees violating the FLSA “at various times, and in various different divisions and bureaus” were “too factually disparate” to meet the Rule 20 requirement that the claims arise out of the same transaction or occurrence).</w:t>
      </w:r>
    </w:p>
    <w:p w14:paraId="474C1E1D" w14:textId="0FFA0D97" w:rsidR="00721CCF" w:rsidRPr="00AD2F44" w:rsidRDefault="00F42107">
      <w:pPr>
        <w:pStyle w:val="14Footnote"/>
      </w:pPr>
      <w:r w:rsidRPr="00AD2F44">
        <w:rPr>
          <w:i/>
          <w:iCs/>
        </w:rPr>
        <w:t xml:space="preserve">Eleventh Circuit: </w:t>
      </w:r>
      <w:r w:rsidRPr="00AD2F44">
        <w:t>Blake v. Batmasian, 2016 U.S. Dist. LEXIS 195668, at *11 (S.D. Fla. Sep. 14, 2016) (denying joinder of plaintiffs in amended complaint following decertification where plaintiffs held different job titles, had dissimilar job requirements, and were not subject to the pay policies).</w:t>
      </w:r>
    </w:p>
  </w:footnote>
  <w:footnote w:id="616">
    <w:p w14:paraId="4E2C2C74" w14:textId="77777777" w:rsidR="00721CCF" w:rsidRPr="00AD2F44" w:rsidRDefault="00F42107">
      <w:pPr>
        <w:pStyle w:val="14Footnote"/>
      </w:pPr>
      <w:r w:rsidRPr="00AD2F44">
        <w:rPr>
          <w:vertAlign w:val="superscript"/>
        </w:rPr>
        <w:footnoteRef/>
      </w:r>
      <w:r w:rsidRPr="00AD2F44">
        <w:rPr>
          <w:i/>
          <w:iCs/>
        </w:rPr>
        <w:t>See, e.g.</w:t>
      </w:r>
      <w:r w:rsidRPr="00AD2F44">
        <w:t xml:space="preserve">, </w:t>
      </w:r>
      <w:r w:rsidRPr="00AD2F44">
        <w:rPr>
          <w:i/>
          <w:iCs/>
        </w:rPr>
        <w:t>Acevedo</w:t>
      </w:r>
      <w:r w:rsidRPr="00AD2F44">
        <w:t xml:space="preserve">, 600 F.3d at 522 (noting in rejecting joinder that, although the court had “previously allowed twenty-two security guards who worked at the same petroleum refinery to join their FLSA claims under Rule 20 … Acevedo fails to cite any cases in which a group of plaintiffs even remotely as numerous as 800 were able to join their claims”) (citing Allen v. Atlantic Richfield Co., 724 F.2d 1131, 1132–33, 1135 (5th Cir. 1984)) (internal citation omitted). </w:t>
      </w:r>
    </w:p>
  </w:footnote>
  <w:footnote w:id="617">
    <w:p w14:paraId="0FB249E4" w14:textId="77777777" w:rsidR="00721CCF" w:rsidRPr="00AD2F44" w:rsidRDefault="00F42107">
      <w:pPr>
        <w:pStyle w:val="14Footnote"/>
      </w:pPr>
      <w:r w:rsidRPr="00AD2F44">
        <w:rPr>
          <w:vertAlign w:val="superscript"/>
        </w:rPr>
        <w:footnoteRef/>
      </w:r>
      <w:r w:rsidRPr="00AD2F44">
        <w:rPr>
          <w:i/>
          <w:iCs/>
        </w:rPr>
        <w:t>See, e.g</w:t>
      </w:r>
      <w:r w:rsidRPr="00AD2F44">
        <w:t>., Botero v. Commonwealth Limousine Serv., 302 F.R.D. 285, 287 (D. Mass. 2014) (finding joinder improper under Rule 20 for “substantially the same reasons” that conditional certification was denied, because the “would-be class members ‘have sufficiently particularized experiences’ that require a ‘fact-intensive inquiry’ to be considered on a ‘case-by-case basis’”) (citations omitted); Longlois v. Stratasys, Inc., 2014 U.S. Dist. LEXIS 83690, at *5 (D. Minn. June 18, 2014) (affirming magistrate judge’s order severing the claims of two plaintiffs, who had refiled their claims following decertification, even though the magistrate judge did not analyze the Rule 20 factors and instead reasoned that “‘it would be improper for [them] to proceed in this action together’ for the reasons of judicial economy and efficiency discussed in the [prior case’s] decertification order”).</w:t>
      </w:r>
    </w:p>
  </w:footnote>
  <w:footnote w:id="618">
    <w:p w14:paraId="45C96AF2" w14:textId="77777777" w:rsidR="00721CCF" w:rsidRPr="00AD2F44" w:rsidRDefault="00F42107">
      <w:pPr>
        <w:pStyle w:val="14Footnote"/>
      </w:pPr>
      <w:r w:rsidRPr="00AD2F44">
        <w:rPr>
          <w:vertAlign w:val="superscript"/>
        </w:rPr>
        <w:footnoteRef/>
      </w:r>
      <w:r w:rsidRPr="00AD2F44">
        <w:rPr>
          <w:i/>
          <w:iCs/>
        </w:rPr>
        <w:t>See, e.g.,</w:t>
      </w:r>
      <w:r w:rsidRPr="00AD2F44">
        <w:t xml:space="preserve"> Stone v. First Union Corp., 216 F.R.D. 540, 549 (S.D. Fla. 2003) </w:t>
      </w:r>
      <w:r w:rsidRPr="00AD2F44">
        <w:br/>
        <w:t xml:space="preserve">(“[I]f Plaintiffs cannot meet the applicable standard under §216(b) for class certification, Plaintiffs will necessarily not be able to meet the more stringent standards for joinder under Fed. R. Civ. P. 20 or class action certification under Fed. R. Civ. P. 23.”), </w:t>
      </w:r>
      <w:r w:rsidRPr="00AD2F44">
        <w:rPr>
          <w:i/>
          <w:iCs/>
        </w:rPr>
        <w:t>rev’d on other grounds</w:t>
      </w:r>
      <w:r w:rsidRPr="00AD2F44">
        <w:t xml:space="preserve">, 371 F.3d 1305 (11th Cir. 2004). </w:t>
      </w:r>
      <w:r w:rsidRPr="00AD2F44">
        <w:rPr>
          <w:i/>
          <w:iCs/>
        </w:rPr>
        <w:t>But see</w:t>
      </w:r>
      <w:r w:rsidRPr="00AD2F44">
        <w:t xml:space="preserve"> Reznik v. HMSHost Corp., 2016 U.S. Dist. LEXIS 6407, at *10 (E.D. Mo. Jan. 20, 2016) (rejecting defendant’s reliance on prior decertification decision because the §216(b) analysis rests on whether the “claims and the employer’s defenses were ‘amenable to generalized or representative proof,’” which was not at issue in a Rule 20 analysis).</w:t>
      </w:r>
    </w:p>
  </w:footnote>
  <w:footnote w:id="619">
    <w:p w14:paraId="5B18ABD1" w14:textId="77777777" w:rsidR="00721CCF" w:rsidRPr="00AD2F44" w:rsidRDefault="00F42107">
      <w:pPr>
        <w:pStyle w:val="14Footnote"/>
      </w:pPr>
      <w:r w:rsidRPr="00AD2F44">
        <w:rPr>
          <w:vertAlign w:val="superscript"/>
        </w:rPr>
        <w:footnoteRef/>
      </w:r>
      <w:r w:rsidRPr="00AD2F44">
        <w:t>See §III.A [The Two-Stage Process Used to Determine if a Collective Action May Proceed to Trial; Overview] of this chapter.</w:t>
      </w:r>
    </w:p>
  </w:footnote>
  <w:footnote w:id="620">
    <w:p w14:paraId="5C844BF6" w14:textId="77777777" w:rsidR="00721CCF" w:rsidRPr="00AD2F44" w:rsidRDefault="00F42107">
      <w:pPr>
        <w:pStyle w:val="14Footnote"/>
      </w:pPr>
      <w:r w:rsidRPr="00AD2F44">
        <w:rPr>
          <w:vertAlign w:val="superscript"/>
        </w:rPr>
        <w:footnoteRef/>
      </w:r>
      <w:r w:rsidRPr="00AD2F44">
        <w:t xml:space="preserve">Mooney v. Aramco Servs., Inc., 54 F.3d 1207, 1214 (5th Cir. 1995) </w:t>
      </w:r>
      <w:r w:rsidRPr="00AD2F44">
        <w:rPr>
          <w:b/>
        </w:rPr>
        <w:t xml:space="preserve">[Caution: </w:t>
      </w:r>
      <w:r w:rsidRPr="00AD2F44">
        <w:t xml:space="preserve">The Fifth Circuit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r w:rsidRPr="00AD2F44">
        <w:t>.</w:t>
      </w:r>
    </w:p>
  </w:footnote>
  <w:footnote w:id="621">
    <w:p w14:paraId="5A6310CE" w14:textId="77777777" w:rsidR="00721CCF" w:rsidRPr="00AD2F44" w:rsidRDefault="00F42107">
      <w:pPr>
        <w:pStyle w:val="14Footnote"/>
      </w:pPr>
      <w:r w:rsidRPr="00AD2F44">
        <w:rPr>
          <w:vertAlign w:val="superscript"/>
        </w:rPr>
        <w:footnoteRef/>
      </w:r>
      <w:r w:rsidRPr="00AD2F44">
        <w:rPr>
          <w:i/>
          <w:iCs/>
        </w:rPr>
        <w:t>See, e.g</w:t>
      </w:r>
      <w:r w:rsidRPr="00AD2F44">
        <w:t xml:space="preserve">., Epps v. Oak St. Mortg., LLC, 2006 WL 1460273, at *3 n.5 (M.D. Fla. 2006) (after granting motion to issue notice, magistrate judge adopted a two-phase discovery plan to occur over a seven-month period, with the first phase focused on collective action discovery and the second phase focused on merits discovery); </w:t>
      </w:r>
      <w:r w:rsidRPr="00AD2F44">
        <w:rPr>
          <w:i/>
          <w:iCs/>
        </w:rPr>
        <w:t>see also</w:t>
      </w:r>
      <w:r w:rsidRPr="00AD2F44">
        <w:t xml:space="preserve"> Krueger v. New York Tel. Co., 163 F.R.D. 446, 451–52 (S.D.N.Y. 1995) (in ADEA case, citing the fact that defendants needed to evaluate merits of claims among reasons that it allowed discovery of all opt-ins from whom defendants sought discovery; plaintiffs did not dispute type of discovery, but extent); Rosen v. Reckitt &amp; Colman, Inc., 1994 U.S. Dist. LEXIS 16511, at *6–7 (S.D.N.Y. Nov. 17, 1994) (same).</w:t>
      </w:r>
    </w:p>
  </w:footnote>
  <w:footnote w:id="622">
    <w:p w14:paraId="25889304" w14:textId="77777777" w:rsidR="00721CCF" w:rsidRPr="00AD2F44" w:rsidRDefault="00F42107">
      <w:pPr>
        <w:pStyle w:val="14Footnote"/>
      </w:pPr>
      <w:r w:rsidRPr="00AD2F44">
        <w:rPr>
          <w:vertAlign w:val="superscript"/>
        </w:rPr>
        <w:footnoteRef/>
      </w:r>
      <w:r w:rsidRPr="00AD2F44">
        <w:rPr>
          <w:i/>
          <w:iCs/>
        </w:rPr>
        <w:t xml:space="preserve">See </w:t>
      </w:r>
      <w:r w:rsidRPr="00AD2F44">
        <w:t>Fennell v. First Step Designs, Ltd., 83 F.3d 526, 532 (1st Cir. 1996) (“Discovery matters are for the informed discretion of the district court, and the breadth of that discretion in managing pre-trial mechanics and discovery is very great.”) (citing Fusco v. General Motors Corp., 11 F.3d 259, 267 (1st Cir. 1993)); English v. Texas Farm Bureau Bus. Corp., 2020 U.S. Dist. LEXIS 94805, at *9 (W.D. Tex. May 27, 2020) (noting the variances that exist among district courts on the scope of discovery in collective actions, but concluding that the district court “is afforded wide discretion when determining a discovery plan best suited to meet the needs of the case”).</w:t>
      </w:r>
    </w:p>
  </w:footnote>
  <w:footnote w:id="623">
    <w:p w14:paraId="037CD4AD" w14:textId="77777777" w:rsidR="00721CCF" w:rsidRPr="00AD2F44" w:rsidRDefault="00F42107">
      <w:pPr>
        <w:pStyle w:val="14Footnote"/>
      </w:pPr>
      <w:r w:rsidRPr="00AD2F44">
        <w:rPr>
          <w:vertAlign w:val="superscript"/>
        </w:rPr>
        <w:footnoteRef/>
      </w:r>
      <w:r w:rsidRPr="00AD2F44">
        <w:t>O’Toole v. Sears Roebuck &amp; Co., 2014 WL 138860, at *3 (N.D. Ill. April 10, 2014).</w:t>
      </w:r>
    </w:p>
  </w:footnote>
  <w:footnote w:id="624">
    <w:p w14:paraId="66F7AA9E" w14:textId="77777777" w:rsidR="00721CCF" w:rsidRPr="00AD2F44" w:rsidRDefault="00F42107">
      <w:pPr>
        <w:pStyle w:val="14Footnote"/>
      </w:pPr>
      <w:r w:rsidRPr="00AD2F44">
        <w:rPr>
          <w:vertAlign w:val="superscript"/>
        </w:rPr>
        <w:footnoteRef/>
      </w:r>
      <w:r w:rsidRPr="00AD2F44">
        <w:rPr>
          <w:i/>
          <w:iCs/>
        </w:rPr>
        <w:t>See</w:t>
      </w:r>
    </w:p>
    <w:p w14:paraId="46594AF6" w14:textId="77777777" w:rsidR="00721CCF" w:rsidRPr="00AD2F44" w:rsidRDefault="00F42107">
      <w:pPr>
        <w:pStyle w:val="14Footnote"/>
      </w:pPr>
      <w:r w:rsidRPr="00AD2F44">
        <w:rPr>
          <w:i/>
          <w:iCs/>
        </w:rPr>
        <w:t>First Circuit:</w:t>
      </w:r>
      <w:r w:rsidRPr="00AD2F44">
        <w:t xml:space="preserve"> Roy v. FedEx Ground Package Sys., 2019 U.S. Dist. LEXIS 222312, at *5 (D. Mass. Dec. 30, 2019) (denying written discovery for all opt-ins and finding “that fifty opt-in plaintiffs, or about 10% of the total number, is an adequate representative sample”).</w:t>
      </w:r>
    </w:p>
    <w:p w14:paraId="6A9D97DB" w14:textId="77777777" w:rsidR="00721CCF" w:rsidRPr="00AD2F44" w:rsidRDefault="00F42107">
      <w:pPr>
        <w:pStyle w:val="14Footnote"/>
      </w:pPr>
      <w:r w:rsidRPr="00AD2F44">
        <w:rPr>
          <w:i/>
          <w:iCs/>
        </w:rPr>
        <w:t>Second Circuit:</w:t>
      </w:r>
      <w:r w:rsidRPr="00AD2F44">
        <w:t xml:space="preserve"> Scott v. Chipotle Mexican Grill, Inc., 300 F.R.D. 188 (S.D.N.Y. 2014) (limiting discovery to 10% of class); Barrus v. Dick’s Sporting Goods, Inc., 465 F. Supp. 2d 224, 231–32 (W.D.N.Y. 2006) (limiting discovery to representative sample).</w:t>
      </w:r>
    </w:p>
    <w:p w14:paraId="3AD79A41" w14:textId="77777777" w:rsidR="00721CCF" w:rsidRPr="00AD2F44" w:rsidRDefault="00F42107">
      <w:pPr>
        <w:pStyle w:val="14Footnote"/>
      </w:pPr>
      <w:r w:rsidRPr="00AD2F44">
        <w:rPr>
          <w:i/>
          <w:iCs/>
        </w:rPr>
        <w:t>Third Circuit:</w:t>
      </w:r>
      <w:r w:rsidRPr="00AD2F44">
        <w:t xml:space="preserve"> McGrath v. City of Phila., 1994 WL 45162, at *2–3 (E.D. Pa. Feb. 10, 1994) (finding discovery directed at all FLSA opt-in plaintiffs to be unduly burdensome); Lusardi v. Xerox Corp., 118 F.R.D. 351, 354 (D.N.J. 1987) (parties used 51-person sample of class of more than 1,300 plaintiffs).</w:t>
      </w:r>
    </w:p>
    <w:p w14:paraId="7C458674" w14:textId="77777777" w:rsidR="00721CCF" w:rsidRPr="00AD2F44" w:rsidRDefault="00F42107">
      <w:pPr>
        <w:pStyle w:val="14Footnote"/>
      </w:pPr>
      <w:r w:rsidRPr="00AD2F44">
        <w:rPr>
          <w:i/>
          <w:iCs/>
        </w:rPr>
        <w:t>Fifth Circuit:</w:t>
      </w:r>
      <w:r w:rsidRPr="00AD2F44">
        <w:t xml:space="preserve"> </w:t>
      </w:r>
      <w:r w:rsidRPr="00AD2F44">
        <w:rPr>
          <w:i/>
          <w:iCs/>
        </w:rPr>
        <w:t>English</w:t>
      </w:r>
      <w:r w:rsidRPr="00AD2F44">
        <w:t>, 2020 U.S. Dist. LEXIS 94805, at *11–12 (allowing discovery on 30 out of 140 opt-in plaintiffs and noting “the risk that the 20% is unrepresentative of the opt-in Plaintiffs is low”); Nelson v. American Standard, Inc., 2009 WL 4730166, at *3 (E.D. Tex. Dec. 4, 2009) (limiting written discovery to same sample of 91 opt-in plaintiffs and named plaintiffs out of 1,328 class members parties had agreed on for oral discovery, reasoning that agreed-upon sample was “statistically acceptable representative sample” for defendants to use for purposes of decertification or summary judgment, but leaving open option for defendants to expand discovery if they could show that it was “appropriate and necessary”); Castellanos-Contreras v. Decatur Hotels, LLC, No. 06-4340EEF-SS, slip op. at 18 (E.D. La. Oct. 22, 2007) (protective order on classwide discovery is appropriate because “[i]ndividualized deposition discovery is not required to develop the information relevant to the parties’ claims and defenses”).</w:t>
      </w:r>
    </w:p>
    <w:p w14:paraId="1243FDFD" w14:textId="25822A09" w:rsidR="00721CCF" w:rsidRPr="00AD2F44" w:rsidRDefault="00F42107">
      <w:pPr>
        <w:pStyle w:val="14Footnote"/>
      </w:pPr>
      <w:r w:rsidRPr="00AD2F44">
        <w:rPr>
          <w:i/>
          <w:iCs/>
        </w:rPr>
        <w:t>Sixth Circuit:</w:t>
      </w:r>
      <w:r w:rsidRPr="00AD2F44">
        <w:t xml:space="preserve"> Johnson v. International Steel &amp; Counterweights LLC, 2021 BL 440424, 2021 WL 5359198 (N.D. Ohio Nov. 17, 2021) (allowing written discovery of 34 opt-in plaintiffs, randomly selected, from group of 53 opt-in plaintiffs, and 10 depositions); Sutton v. Diversity at Work Grp. Inc., 2021 BL 212520, 2021 WL 2334488 (S.D. Ohio June 8, 2021) (agreeing with defendant’s argument that discovery of 17 opt-ins from collective of 20 opt-in plaintiffs was necessary for statistically-significant sample and holding that sample should be randomly selected); Kutzback v. LMS Intellibound, Ltd. Liab. Co., 2020 U.S. Dist. LEXIS 50364, at *19 (W.D. Tenn. Mar. 17, 2020) (denying a defendant’s due process objection to representative discovery on damages and observing that “courts in the Sixth Circuit, and courts in other circuits, have repeatedly held that representative discovery does not violate a defendant’s due process rights”); Rosenbohm v. Cellco P’ships, 2019 WL 2141901, at *1–2 (S.D. Ohio. May 16, 2019) (ordering random sampling in a class of 3,875 opt-ins); Wilson v. Guardian Angel Nursing, Inc., 2009 WL 790107, at *5–7 (M.D. Tenn. Mar. 24, 2009) (rejecting defendants’ request for additional discovery to support its decertification motion because court had already determined—based on undisputed facts using representative evidence involving 31 opt-ins—that summary judgment for plaintiffs was appropriate, and so defendants could not take discovery regarding 266 post-summary judgment opt-ins; court noted its sequencing of summary judgment before notice was “unconventional,” but also that defendant did not take discovery of any of 30 opt-ins when discovery was open, only named plaintiff, and defendants’ strategy was geared toward addressing all of plaintiffs uniformly); Smith v. Lowes Home Ctrs., 236 F.R.D. 354, 356 (S.D. Ohio 2006) (denying defendant’s request for individualized discovery of more than 1,500 opt-ins and instead ordering a representative sample); Belcher v. Shoney’s, Inc., 30 F. Supp. 2d 1010, 1024 (M.D. Tenn. 1998) (limiting discovery to a representative sample of opt-in plaintiffs is permissible).</w:t>
      </w:r>
    </w:p>
    <w:p w14:paraId="55739179" w14:textId="77777777" w:rsidR="00721CCF" w:rsidRPr="00AD2F44" w:rsidRDefault="00F42107">
      <w:pPr>
        <w:pStyle w:val="14Footnote"/>
      </w:pPr>
      <w:r w:rsidRPr="00AD2F44">
        <w:rPr>
          <w:i/>
          <w:iCs/>
        </w:rPr>
        <w:t>Seventh Circuit:</w:t>
      </w:r>
      <w:r w:rsidRPr="00AD2F44">
        <w:t xml:space="preserve"> O’Toole v. Sears Roebuck &amp; Co., 2014 U.S. Dist. LEXIS 49408, at *11 (N.D. Ill. Apr. 10, 2014) (limiting written discovery to 33% of 700 opt-ins); Adkins v. Mid-America Growers, 141 F.R.D. 466, 467, 468–69 (N.D. Ill. 1992) (individualized discovery of all opt-in plaintiffs is inappropriate in an FLSA collective action, but representative testimony is permissible).</w:t>
      </w:r>
    </w:p>
    <w:p w14:paraId="4DA0C27F" w14:textId="77777777" w:rsidR="00721CCF" w:rsidRPr="00AD2F44" w:rsidRDefault="00F42107">
      <w:pPr>
        <w:pStyle w:val="14Footnote"/>
      </w:pPr>
      <w:r w:rsidRPr="00AD2F44">
        <w:rPr>
          <w:i/>
          <w:iCs/>
        </w:rPr>
        <w:t>Eighth Circuit:</w:t>
      </w:r>
      <w:r w:rsidRPr="00AD2F44">
        <w:t xml:space="preserve"> Morales v. Farmland Foods, Inc., 2010 WL 3447513, at *2–3 (D. Neb. Aug. 27, 2010) (limiting discovery to random sampling of 15% of opt-in class members, because, although relevant, discovery of all 281 class members was undue burden that outweighed benefit; prohibiting class members who did not respond to discovery from testifying at trial).</w:t>
      </w:r>
    </w:p>
    <w:p w14:paraId="2B525F6D" w14:textId="77777777" w:rsidR="00721CCF" w:rsidRPr="00AD2F44" w:rsidRDefault="00F42107">
      <w:pPr>
        <w:pStyle w:val="14Footnote"/>
      </w:pPr>
      <w:r w:rsidRPr="00AD2F44">
        <w:rPr>
          <w:i/>
          <w:iCs/>
        </w:rPr>
        <w:t>Ninth Circuit:</w:t>
      </w:r>
      <w:r w:rsidRPr="00AD2F44">
        <w:t xml:space="preserve"> Prentice v. Fund for Pub. Interest Rsch., Inc., 2007 WL 2729187, at *5 (N.D. Cal. Sept. 18, 2007) (“Individualized discovery is rarely appropriate in FLSA collective actions.”); Wren v. RGIS Inventory Specialists, No. 3:06-cv-05778 -JCS, Minute Order re Discovery Disputes (N.D. Cal. Mar. 31, 2008) (allowing discovery on 390 out of 5,684 class members, or 6.86%, in a case involving 270,000 potential opt-ins); Cranney v. Carriage Servs., Inc., 2008 WL 2457912, at *3, 5 (D. Nev. June 16, 2008) (limiting individualized discovery to 10% of a relevant combination of workers and worksites).</w:t>
      </w:r>
    </w:p>
    <w:p w14:paraId="1223918C" w14:textId="77777777" w:rsidR="00721CCF" w:rsidRPr="00AD2F44" w:rsidRDefault="00F42107">
      <w:pPr>
        <w:pStyle w:val="14Footnote"/>
      </w:pPr>
      <w:r w:rsidRPr="00AD2F44">
        <w:rPr>
          <w:i/>
          <w:iCs/>
        </w:rPr>
        <w:t>Tenth Circuit:</w:t>
      </w:r>
      <w:r w:rsidRPr="00AD2F44">
        <w:t xml:space="preserve"> Geer v. Challenge Fin. Inv’rs Corp., 2007 U.S. Dist. LEXIS 33499, at *13–15 (D. Kan. May 4, 2007) (refusing to allow defendant to take depositions from all 272 opt-in plaintiffs).</w:t>
      </w:r>
    </w:p>
    <w:p w14:paraId="79935D21" w14:textId="408393AA" w:rsidR="00721CCF" w:rsidRPr="00AD2F44" w:rsidRDefault="00F42107">
      <w:pPr>
        <w:pStyle w:val="14Footnote"/>
      </w:pPr>
      <w:r w:rsidRPr="00AD2F44">
        <w:rPr>
          <w:i/>
          <w:iCs/>
        </w:rPr>
        <w:t>Eleventh Circuit:</w:t>
      </w:r>
      <w:r w:rsidRPr="00AD2F44">
        <w:t xml:space="preserve"> Bradford v. Bed Bath &amp; Beyond, 184 F. Supp. 2d 1342, 1344 (N.D. Ga. 2002) (discovery from 25 of 300 plaintiffs).</w:t>
      </w:r>
    </w:p>
  </w:footnote>
  <w:footnote w:id="625">
    <w:p w14:paraId="2568C0D0" w14:textId="77777777" w:rsidR="00721CCF" w:rsidRPr="00AD2F44" w:rsidRDefault="00F42107">
      <w:pPr>
        <w:pStyle w:val="14Footnote"/>
      </w:pPr>
      <w:r w:rsidRPr="00AD2F44">
        <w:rPr>
          <w:vertAlign w:val="superscript"/>
        </w:rPr>
        <w:footnoteRef/>
      </w:r>
      <w:r w:rsidRPr="00AD2F44">
        <w:rPr>
          <w:i/>
          <w:iCs/>
        </w:rPr>
        <w:t>See</w:t>
      </w:r>
    </w:p>
    <w:p w14:paraId="3EB9AEEC" w14:textId="77777777" w:rsidR="00721CCF" w:rsidRPr="00AD2F44" w:rsidRDefault="00F42107">
      <w:pPr>
        <w:pStyle w:val="14Footnote"/>
      </w:pPr>
      <w:r w:rsidRPr="00AD2F44">
        <w:rPr>
          <w:i/>
          <w:iCs/>
        </w:rPr>
        <w:t>Second Circuit:</w:t>
      </w:r>
      <w:r w:rsidRPr="00AD2F44">
        <w:t xml:space="preserve"> Frisbie v. Feast Am. Diners, LLC, 2020 U.S. Dist. LEXIS 81451, at *9 (W.D.N.Y. May 7, 2020) (allowing individualized discovery for 20 opt-in plaintiffs “given the small size of the collective,” but limiting depositions to 16, which represents one for each worksite); Forauer v. Vermont Country Store, Inc., 2014 WL 2612044, at *2–5 (D. Vt. June 11, 2014) (permitting depositions of all 24 opt-in plaintiffs to determine whether plaintiffs seeking pay for preliminary and postliminary tasks were similarly situated).</w:t>
      </w:r>
    </w:p>
    <w:p w14:paraId="747878E2" w14:textId="77777777" w:rsidR="00721CCF" w:rsidRPr="00AD2F44" w:rsidRDefault="00F42107">
      <w:pPr>
        <w:pStyle w:val="14Footnote"/>
      </w:pPr>
      <w:r w:rsidRPr="00AD2F44">
        <w:rPr>
          <w:i/>
          <w:iCs/>
        </w:rPr>
        <w:t>Fourth Circuit:</w:t>
      </w:r>
      <w:r w:rsidRPr="00AD2F44">
        <w:t xml:space="preserve"> Brooks v. Farm Fresh, Inc., 759 F. Supp. 1185, 1187–88 (E.D. Va. 1991) (in putative collective action alleging off-the-clock violations, court refused to issue notice and held that defendant was “entitled” to take depositions of all 127 opt-in plaintiffs so that it could determine whether plaintiffs’ claims were “similarly situated,” but discovery could end earlier if either party thought record was sufficient to evaluate whether claims were similarly situated), </w:t>
      </w:r>
      <w:r w:rsidRPr="00AD2F44">
        <w:rPr>
          <w:i/>
          <w:iCs/>
        </w:rPr>
        <w:t>rev’d on other grounds sub nom</w:t>
      </w:r>
      <w:r w:rsidRPr="00AD2F44">
        <w:t>. Shaffer v. Farm Fresh, Inc., 966 F.2d 142 (4th Cir. 1992).</w:t>
      </w:r>
    </w:p>
    <w:p w14:paraId="4CC27E8C" w14:textId="77777777" w:rsidR="00721CCF" w:rsidRPr="00AD2F44" w:rsidRDefault="00F42107">
      <w:pPr>
        <w:pStyle w:val="14Footnote"/>
      </w:pPr>
      <w:r w:rsidRPr="00AD2F44">
        <w:rPr>
          <w:i/>
          <w:iCs/>
        </w:rPr>
        <w:t>Sixth Circuit:</w:t>
      </w:r>
      <w:r w:rsidRPr="00AD2F44">
        <w:t xml:space="preserve"> Westley v. CCK Pizza Co., LLC, 2019 U.S. Dist. LEXIS 136177, at *11 (E.D. Mich. Aug. 13, 2019) (denying representative sampling where only 13 individuals comprised collective); Lee v. GAB Telecom, Inc., 2013 WL 4041875, at *2–3 (E.D. Mich. Aug. 8, 2013) (denying plaintiffs’ request to limit representative discovery to 20% of the class because less than 50 plaintiffs opted in to the litigation and individualized discovery would not unnecessarily increase cost of litigation; court agreed to revisit the issue of representative discovery after the opt-in period closed).</w:t>
      </w:r>
    </w:p>
    <w:p w14:paraId="5C7D91DB" w14:textId="696E1384" w:rsidR="00721CCF" w:rsidRPr="00AD2F44" w:rsidRDefault="00F42107">
      <w:pPr>
        <w:pStyle w:val="14Footnote"/>
      </w:pPr>
      <w:r w:rsidRPr="00AD2F44">
        <w:rPr>
          <w:i/>
          <w:iCs/>
        </w:rPr>
        <w:t>Ninth Circuit:</w:t>
      </w:r>
      <w:r w:rsidRPr="00AD2F44">
        <w:t xml:space="preserve"> Slack v. Parball Newco, LLC, </w:t>
      </w:r>
      <w:r w:rsidR="000E7FEF" w:rsidRPr="000E7FEF">
        <w:t>2018 BL 102783</w:t>
      </w:r>
      <w:r w:rsidR="000E7FEF">
        <w:t xml:space="preserve">, </w:t>
      </w:r>
      <w:r w:rsidR="002055B0" w:rsidRPr="002055B0">
        <w:t>2018 WL 1472574</w:t>
      </w:r>
      <w:r w:rsidRPr="00AD2F44">
        <w:t>, at *</w:t>
      </w:r>
      <w:r w:rsidR="002055B0">
        <w:t>2</w:t>
      </w:r>
      <w:r w:rsidRPr="00AD2F44">
        <w:t xml:space="preserve"> (D. Nev. Mar. 26, 2018) (permitting individualized discovery of 3 named plaintiffs and 80 opt-in plaintiffs); Ingersoll v. Royal &amp; Sunalliance USA, Inc., 2006 U.S. Dist. LEXIS 50912, at *3, 7–9 (W.D. Wash. July 25, 2006) (permitting discovery of all 34 opt-in plaintiffs, and 2 named plaintiffs, because (1) employer needed depositions to prepare its motion to decertify, and (2) class size was not large).</w:t>
      </w:r>
    </w:p>
    <w:p w14:paraId="585165F5" w14:textId="77777777" w:rsidR="00721CCF" w:rsidRPr="00AD2F44" w:rsidRDefault="00F42107">
      <w:pPr>
        <w:pStyle w:val="14Footnote"/>
      </w:pPr>
      <w:r w:rsidRPr="00AD2F44">
        <w:rPr>
          <w:i/>
          <w:iCs/>
        </w:rPr>
        <w:t>Tenth Circuit:</w:t>
      </w:r>
      <w:r w:rsidRPr="00AD2F44">
        <w:t xml:space="preserve"> Renfro v. Spartan Comput. Servs., Inc., 2008 U.S. Dist. LEXIS 24269, at *4, 9–12 (D. Kan. Mar. 26, 2008) (permitting individual written discovery to each of 136 opt-in plaintiffs, and 27 depositions (all that were noticed)).</w:t>
      </w:r>
    </w:p>
    <w:p w14:paraId="45C15B52" w14:textId="77777777" w:rsidR="00721CCF" w:rsidRPr="00AD2F44" w:rsidRDefault="00F42107">
      <w:pPr>
        <w:pStyle w:val="14Footnote"/>
      </w:pPr>
      <w:r w:rsidRPr="00AD2F44">
        <w:rPr>
          <w:i/>
          <w:iCs/>
        </w:rPr>
        <w:t>Eleventh Circuit:</w:t>
      </w:r>
      <w:r w:rsidRPr="00AD2F44">
        <w:t xml:space="preserve"> Rodriguez v. Niagara Cleaning Servs., Inc., 2010 WL 2573974, at *2 (S.D. Fla. June 24, 2010) (granting discovery of all 35 opt-in plaintiffs, because it was not unduly burdensome, and individual discovery of locations worked, hours worked, and involvement in other FLSA litigation met relevance standards).</w:t>
      </w:r>
    </w:p>
  </w:footnote>
  <w:footnote w:id="626">
    <w:p w14:paraId="74E68E44" w14:textId="77777777" w:rsidR="00721CCF" w:rsidRDefault="00F42107">
      <w:pPr>
        <w:pStyle w:val="14Footnote"/>
      </w:pPr>
      <w:r w:rsidRPr="00AD2F44">
        <w:rPr>
          <w:vertAlign w:val="superscript"/>
        </w:rPr>
        <w:footnoteRef/>
      </w:r>
      <w:r w:rsidRPr="00AD2F44">
        <w:rPr>
          <w:i/>
          <w:iCs/>
        </w:rPr>
        <w:t>See</w:t>
      </w:r>
    </w:p>
    <w:p w14:paraId="00C66DE6" w14:textId="5543ECF7" w:rsidR="00721CCF" w:rsidRDefault="00F42107">
      <w:pPr>
        <w:pStyle w:val="14Footnote"/>
      </w:pPr>
      <w:r>
        <w:rPr>
          <w:i/>
          <w:iCs/>
        </w:rPr>
        <w:t>Second Circuit</w:t>
      </w:r>
      <w:r>
        <w:t>:</w:t>
      </w:r>
      <w:r w:rsidRPr="00AD2F44">
        <w:t xml:space="preserve"> </w:t>
      </w:r>
      <w:r w:rsidRPr="00AD2F44">
        <w:rPr>
          <w:i/>
          <w:iCs/>
        </w:rPr>
        <w:t>Frisbie</w:t>
      </w:r>
      <w:r w:rsidRPr="00AD2F44">
        <w:t xml:space="preserve">, 2020 U.S. Dist. LEXIS 81451, at *9 (allowing individualized discovery for 20 opt-in plaintiffs but limiting depositions to 16, which represents one for each worksite); </w:t>
      </w:r>
    </w:p>
    <w:p w14:paraId="76FD55DB" w14:textId="29E6A5EF" w:rsidR="00721CCF" w:rsidRPr="002F69CA" w:rsidRDefault="00F42107" w:rsidP="00002C79">
      <w:pPr>
        <w:pStyle w:val="14Footnote"/>
      </w:pPr>
      <w:r>
        <w:rPr>
          <w:i/>
          <w:iCs/>
        </w:rPr>
        <w:t>Sixth Circuit</w:t>
      </w:r>
      <w:r>
        <w:t xml:space="preserve">: </w:t>
      </w:r>
      <w:r w:rsidRPr="00002C79">
        <w:t>Brewer v. All</w:t>
      </w:r>
      <w:r>
        <w:t>iance</w:t>
      </w:r>
      <w:r w:rsidRPr="00002C79">
        <w:t xml:space="preserve"> Coal, LLC</w:t>
      </w:r>
      <w:r>
        <w:t xml:space="preserve">, </w:t>
      </w:r>
      <w:r w:rsidR="000E7FEF" w:rsidRPr="000E7FEF">
        <w:t>2022 BL 357031</w:t>
      </w:r>
      <w:r w:rsidR="000E7FEF">
        <w:t xml:space="preserve">, </w:t>
      </w:r>
      <w:r w:rsidRPr="005427EA">
        <w:t xml:space="preserve">2022 WL 5199868 </w:t>
      </w:r>
      <w:r w:rsidRPr="00002C79">
        <w:t>(E.D. Ky. Oct. 5, 2022)</w:t>
      </w:r>
      <w:r>
        <w:t xml:space="preserve"> (allowing individualized discovery of 31 opt-in plaintiffs as to a portion of requested interrogatories and requests for production of documents and </w:t>
      </w:r>
      <w:r w:rsidRPr="00002C79">
        <w:t>authoriz</w:t>
      </w:r>
      <w:r>
        <w:t>ing</w:t>
      </w:r>
      <w:r w:rsidRPr="00002C79">
        <w:t xml:space="preserve"> 10 depositions limited to three hours</w:t>
      </w:r>
      <w:r>
        <w:t xml:space="preserve"> each). </w:t>
      </w:r>
    </w:p>
    <w:p w14:paraId="6EE2D4FD" w14:textId="5B2DFCE8" w:rsidR="00721CCF" w:rsidRDefault="00F42107" w:rsidP="00002C79">
      <w:pPr>
        <w:pStyle w:val="14Footnote"/>
        <w:rPr>
          <w:i/>
          <w:iCs/>
        </w:rPr>
      </w:pPr>
      <w:r>
        <w:rPr>
          <w:i/>
          <w:iCs/>
        </w:rPr>
        <w:t>Eighth Circuit</w:t>
      </w:r>
      <w:r>
        <w:t xml:space="preserve">: </w:t>
      </w:r>
      <w:r w:rsidRPr="00AD2F44">
        <w:t>Perrin v. Papa John’s Int’l, Inc., 2014 WL 4749547, at *3–5 (E.D. Mo. Sept. 24, 2014) (finding that to obtain individualized discovery, defendant must show that discovery (1) was not being sought to reduce class; (2) was simple enough not to require assistance of counsel; (3) complied with Rule 26; and (4) was not otherwise available).</w:t>
      </w:r>
      <w:r w:rsidRPr="00002C79">
        <w:rPr>
          <w:i/>
          <w:iCs/>
        </w:rPr>
        <w:t xml:space="preserve"> </w:t>
      </w:r>
    </w:p>
    <w:p w14:paraId="335723E3" w14:textId="5F5DD6D5" w:rsidR="00721CCF" w:rsidRDefault="00F42107" w:rsidP="00002C79">
      <w:pPr>
        <w:pStyle w:val="14Footnote"/>
      </w:pPr>
      <w:r>
        <w:rPr>
          <w:i/>
          <w:iCs/>
        </w:rPr>
        <w:t xml:space="preserve">Ninth Circuit: </w:t>
      </w:r>
      <w:r w:rsidRPr="00AD2F44">
        <w:rPr>
          <w:i/>
          <w:iCs/>
        </w:rPr>
        <w:t>Slack</w:t>
      </w:r>
      <w:r w:rsidRPr="00AD2F44">
        <w:t xml:space="preserve">, </w:t>
      </w:r>
      <w:r w:rsidR="000E7FEF" w:rsidRPr="000E7FEF">
        <w:t>2018 BL 102783</w:t>
      </w:r>
      <w:r w:rsidR="000E7FEF">
        <w:t xml:space="preserve">, </w:t>
      </w:r>
      <w:r w:rsidR="002055B0" w:rsidRPr="002055B0">
        <w:t>2018 WL 1472574</w:t>
      </w:r>
      <w:r w:rsidRPr="00AD2F44">
        <w:t>, at *</w:t>
      </w:r>
      <w:r w:rsidR="002055B0">
        <w:t>2</w:t>
      </w:r>
      <w:r w:rsidRPr="00AD2F44">
        <w:t xml:space="preserve"> (“While the decisions on individualized discovery are highly fact-specific, common considerations are the number of opt-in plaintiffs and the type of discovery being requested, with individualized discovery being permitted more frequently in cases with relatively few plaintiffs and targeted written discovery.”) (collecting cases)</w:t>
      </w:r>
      <w:r>
        <w:t>.</w:t>
      </w:r>
    </w:p>
    <w:p w14:paraId="25D9212C" w14:textId="31087828" w:rsidR="00721CCF" w:rsidRPr="00AD2F44" w:rsidRDefault="00721CCF">
      <w:pPr>
        <w:pStyle w:val="14Footnote"/>
      </w:pPr>
    </w:p>
  </w:footnote>
  <w:footnote w:id="627">
    <w:p w14:paraId="15DA5A4C" w14:textId="77777777" w:rsidR="00721CCF" w:rsidRPr="00AD2F44" w:rsidRDefault="00F42107">
      <w:pPr>
        <w:pStyle w:val="14Footnote"/>
      </w:pPr>
      <w:r w:rsidRPr="00AD2F44">
        <w:rPr>
          <w:vertAlign w:val="superscript"/>
        </w:rPr>
        <w:footnoteRef/>
      </w:r>
      <w:r w:rsidRPr="00AD2F44">
        <w:rPr>
          <w:i/>
          <w:iCs/>
        </w:rPr>
        <w:t>Second Circuit:</w:t>
      </w:r>
      <w:r w:rsidRPr="00AD2F44">
        <w:t xml:space="preserve"> Lloyd v. JP Morgan Chase &amp; Co., 2015 U.S. Dist. LEXIS 35161, at *15–16 (S.D.N.Y. Mar. 20, 2015) (permitting individual written discovery from all 100 opt-in plaintiffs and depositions of 20 opt-in plaintiffs); </w:t>
      </w:r>
      <w:r w:rsidRPr="00AD2F44">
        <w:rPr>
          <w:i/>
          <w:iCs/>
        </w:rPr>
        <w:t>Forauer</w:t>
      </w:r>
      <w:r w:rsidRPr="00AD2F44">
        <w:t>, 2014 WL 2612044, at *1–5 (24 opt-ins); Krueger v. New York Tel. Co., 163 F.R.D. 446, 452 (S.D.N.Y. 1995) (162 opt-in plaintiffs).</w:t>
      </w:r>
    </w:p>
    <w:p w14:paraId="74C6C9C2" w14:textId="77777777" w:rsidR="00721CCF" w:rsidRPr="00AD2F44" w:rsidRDefault="00F42107">
      <w:pPr>
        <w:pStyle w:val="14Footnote"/>
      </w:pPr>
      <w:r w:rsidRPr="00AD2F44">
        <w:rPr>
          <w:i/>
          <w:iCs/>
        </w:rPr>
        <w:t>Fourth Circuit:</w:t>
      </w:r>
      <w:r w:rsidRPr="00AD2F44">
        <w:t xml:space="preserve"> </w:t>
      </w:r>
      <w:r w:rsidRPr="00AD2F44">
        <w:rPr>
          <w:i/>
          <w:iCs/>
        </w:rPr>
        <w:t>Brooks</w:t>
      </w:r>
      <w:r w:rsidRPr="00AD2F44">
        <w:t>, 759 F. Supp. at 1187–88 (127 opt-in plaintiffs).</w:t>
      </w:r>
    </w:p>
    <w:p w14:paraId="09370181" w14:textId="77777777" w:rsidR="00721CCF" w:rsidRPr="00AD2F44" w:rsidRDefault="00F42107">
      <w:pPr>
        <w:pStyle w:val="14Footnote"/>
      </w:pPr>
      <w:r w:rsidRPr="00AD2F44">
        <w:rPr>
          <w:i/>
          <w:iCs/>
        </w:rPr>
        <w:t>Sixth Circuit: Lee</w:t>
      </w:r>
      <w:r w:rsidRPr="00AD2F44">
        <w:t>, 2013 WL 4041875, at *2–3 (less than 50 opt-in plaintiffs); O’Brien v. Ed Donnelly Enters., 2006 U.S. Dist. LEXIS 86895, at *4 (S.D. Ohio Nov. 30, 2006) (eight opt-in plaintiffs).</w:t>
      </w:r>
    </w:p>
    <w:p w14:paraId="1E41663E" w14:textId="77777777" w:rsidR="00721CCF" w:rsidRPr="00AD2F44" w:rsidRDefault="00F42107">
      <w:pPr>
        <w:pStyle w:val="14Footnote"/>
      </w:pPr>
      <w:r w:rsidRPr="00AD2F44">
        <w:rPr>
          <w:i/>
          <w:iCs/>
        </w:rPr>
        <w:t>Ninth Circuit:</w:t>
      </w:r>
      <w:r w:rsidRPr="00AD2F44">
        <w:t xml:space="preserve"> </w:t>
      </w:r>
      <w:r w:rsidRPr="00AD2F44">
        <w:rPr>
          <w:i/>
          <w:iCs/>
        </w:rPr>
        <w:t>Slack</w:t>
      </w:r>
      <w:r w:rsidRPr="00AD2F44">
        <w:t xml:space="preserve">, 2018 U.S. Dist. LEXIS 49050, at *8 (80 opt-in plaintiffs); </w:t>
      </w:r>
      <w:r w:rsidRPr="00AD2F44">
        <w:rPr>
          <w:i/>
          <w:iCs/>
        </w:rPr>
        <w:t>Ingersoll</w:t>
      </w:r>
      <w:r w:rsidRPr="00AD2F44">
        <w:t>, 2006 U.S. Dist. LEXIS 50912, at *3 (34 opt-in plaintiffs); Coldiron v. Pizza Hut, Inc. (Coldiron I), 2004 U.S. Dist. LEXIS 23610, at *6 (C.D. Cal. Oct. 25, 2004) (306 opt-in plaintiffs).</w:t>
      </w:r>
    </w:p>
    <w:p w14:paraId="4DFC0ABA" w14:textId="77777777" w:rsidR="00721CCF" w:rsidRPr="00AD2F44" w:rsidRDefault="00F42107">
      <w:pPr>
        <w:pStyle w:val="14Footnote"/>
      </w:pPr>
      <w:r w:rsidRPr="00AD2F44">
        <w:rPr>
          <w:i/>
          <w:iCs/>
        </w:rPr>
        <w:t>Tenth Circuit:</w:t>
      </w:r>
      <w:r w:rsidRPr="00AD2F44">
        <w:t xml:space="preserve"> </w:t>
      </w:r>
      <w:r w:rsidRPr="00AD2F44">
        <w:rPr>
          <w:i/>
          <w:iCs/>
        </w:rPr>
        <w:t>Renfro</w:t>
      </w:r>
      <w:r w:rsidRPr="00AD2F44">
        <w:t>, 2008 U.S. Dist. LEXIS 24269, at *4, 9–12 (136 opt-in plaintiffs).</w:t>
      </w:r>
    </w:p>
    <w:p w14:paraId="59344FDF" w14:textId="77777777" w:rsidR="00721CCF" w:rsidRPr="00AD2F44" w:rsidRDefault="00F42107">
      <w:pPr>
        <w:pStyle w:val="14Footnote"/>
      </w:pPr>
      <w:r w:rsidRPr="00AD2F44">
        <w:rPr>
          <w:i/>
          <w:iCs/>
        </w:rPr>
        <w:t>Eleventh Circuit:</w:t>
      </w:r>
      <w:r w:rsidRPr="00AD2F44">
        <w:t xml:space="preserve"> </w:t>
      </w:r>
      <w:r w:rsidRPr="00AD2F44">
        <w:rPr>
          <w:i/>
          <w:iCs/>
        </w:rPr>
        <w:t>Rodriguez</w:t>
      </w:r>
      <w:r w:rsidRPr="00AD2F44">
        <w:t>, 2010 WL 2573974, at *2 (35 opt-in plaintiffs); Kaas v. Pratt &amp; Whitney, 1991 WL 158943 (S.D. Fla. 1991) (100 opt-in plaintiffs).</w:t>
      </w:r>
    </w:p>
    <w:p w14:paraId="46E8F0BC" w14:textId="15F2DC36" w:rsidR="00721CCF" w:rsidRPr="00AD2F44" w:rsidRDefault="00F42107">
      <w:pPr>
        <w:pStyle w:val="14Footnote"/>
      </w:pPr>
      <w:r w:rsidRPr="00AD2F44">
        <w:rPr>
          <w:i/>
          <w:iCs/>
        </w:rPr>
        <w:t>But cf</w:t>
      </w:r>
      <w:r w:rsidRPr="00AD2F44">
        <w:t xml:space="preserve">. </w:t>
      </w:r>
      <w:r w:rsidRPr="00AD2F44">
        <w:rPr>
          <w:i/>
          <w:iCs/>
        </w:rPr>
        <w:t>Geer</w:t>
      </w:r>
      <w:r w:rsidRPr="00AD2F44">
        <w:t>, 2007 WL 1341774, at *11–15 (rejecting depositions for 250 opt-in plaintiffs based on Rule 30 of the Federal Rules of Civil Procedure and court’s orders limiting depositions, where defendant had not made an adequate showing of why it needed to take depositions of all opt-in plaintiffs; however, court left open option if defendant could make required showing).</w:t>
      </w:r>
    </w:p>
  </w:footnote>
  <w:footnote w:id="628">
    <w:p w14:paraId="71682427" w14:textId="77777777" w:rsidR="00721CCF" w:rsidRPr="00AD2F44" w:rsidRDefault="00F42107">
      <w:pPr>
        <w:pStyle w:val="14Footnote"/>
      </w:pPr>
      <w:r w:rsidRPr="00AD2F44">
        <w:rPr>
          <w:vertAlign w:val="superscript"/>
        </w:rPr>
        <w:footnoteRef/>
      </w:r>
      <w:r w:rsidRPr="00AD2F44">
        <w:rPr>
          <w:i/>
          <w:iCs/>
        </w:rPr>
        <w:t>Second Circuit:</w:t>
      </w:r>
      <w:r w:rsidRPr="00AD2F44">
        <w:t xml:space="preserve"> Barrus v. Dick’s Sporting Goods, Inc., 465 F. Supp. 2d 224, 231–32 (W.D.N.Y. 2006) (ordering that post-notice discovery be limited to a “reasonable sampling of defendants’ stores or to a limited number of regions”).</w:t>
      </w:r>
    </w:p>
    <w:p w14:paraId="433FCD6D" w14:textId="77777777" w:rsidR="00721CCF" w:rsidRPr="00AD2F44" w:rsidRDefault="00F42107">
      <w:pPr>
        <w:pStyle w:val="14Footnote"/>
      </w:pPr>
      <w:r w:rsidRPr="00AD2F44">
        <w:rPr>
          <w:i/>
          <w:iCs/>
        </w:rPr>
        <w:t>Third Circuit:</w:t>
      </w:r>
      <w:r w:rsidRPr="00AD2F44">
        <w:t xml:space="preserve"> McGrath v. City of Phila., 1994 U.S. Dist. LEXIS 1495, at *2, 7, 1 WH Cases2d 1500 (E.D. Pa. Feb. 14, 1994) (denying motion to compel response to interrogatory directed to all 4,100 opt-in plaintiffs).</w:t>
      </w:r>
    </w:p>
    <w:p w14:paraId="01B89FC0" w14:textId="77777777" w:rsidR="00721CCF" w:rsidRPr="00AD2F44" w:rsidRDefault="00F42107">
      <w:pPr>
        <w:pStyle w:val="14Footnote"/>
      </w:pPr>
      <w:r w:rsidRPr="00AD2F44">
        <w:rPr>
          <w:i/>
          <w:iCs/>
        </w:rPr>
        <w:t>Sixth Circuit:</w:t>
      </w:r>
      <w:r w:rsidRPr="00AD2F44">
        <w:t xml:space="preserve"> </w:t>
      </w:r>
      <w:r w:rsidRPr="00AD2F44">
        <w:rPr>
          <w:i/>
          <w:iCs/>
        </w:rPr>
        <w:t>Rosenbohm</w:t>
      </w:r>
      <w:r w:rsidRPr="00AD2F44">
        <w:t>, 2019 WL 2141901 at *1–2 (ordering random sampling in a class of 3,875 opt-ins); Smith v. Lowe’s Home Ctrs., Inc., 236 F.R.D. 354, 357–58 (S.D. Ohio 2006) (limiting discovery to a statistically significant representative sample of 1,500 opt-in plaintiffs).</w:t>
      </w:r>
    </w:p>
    <w:p w14:paraId="22D5315D" w14:textId="77777777" w:rsidR="00721CCF" w:rsidRPr="00AD2F44" w:rsidRDefault="00F42107">
      <w:pPr>
        <w:pStyle w:val="14Footnote"/>
      </w:pPr>
      <w:r w:rsidRPr="00AD2F44">
        <w:rPr>
          <w:i/>
          <w:iCs/>
        </w:rPr>
        <w:t>Seventh Circuit:</w:t>
      </w:r>
      <w:r w:rsidRPr="00AD2F44">
        <w:t xml:space="preserve"> </w:t>
      </w:r>
      <w:r w:rsidRPr="00AD2F44">
        <w:rPr>
          <w:i/>
          <w:iCs/>
        </w:rPr>
        <w:t>O’Toole</w:t>
      </w:r>
      <w:r w:rsidRPr="00AD2F44">
        <w:t>, 2014 U.S. Dist. LEXIS 49408, at *11 (limiting written discovery to 33% of 700 opt-ins).</w:t>
      </w:r>
    </w:p>
    <w:p w14:paraId="67D3817F" w14:textId="77777777" w:rsidR="00721CCF" w:rsidRPr="00AD2F44" w:rsidRDefault="00F42107">
      <w:pPr>
        <w:pStyle w:val="14Footnote"/>
      </w:pPr>
      <w:r w:rsidRPr="00AD2F44">
        <w:rPr>
          <w:i/>
          <w:iCs/>
        </w:rPr>
        <w:t>Eighth Circuit:</w:t>
      </w:r>
      <w:r w:rsidRPr="00AD2F44">
        <w:t xml:space="preserve"> </w:t>
      </w:r>
      <w:r w:rsidRPr="00AD2F44">
        <w:rPr>
          <w:i/>
          <w:iCs/>
        </w:rPr>
        <w:t>Perrin</w:t>
      </w:r>
      <w:r w:rsidRPr="00AD2F44">
        <w:t>, 2014 WL 4749547, at *3–5 (finding that defendant’s receipt of discovery responses from 20% of class of 3,840 opt-in plaintiffs would likely serve defendant’s articulated purposes for discovery and that discovery from every opt-in would be “unduly burdensome, unnecessary, and likely to undermine efficiency interests”).</w:t>
      </w:r>
    </w:p>
    <w:p w14:paraId="381BC545" w14:textId="32AE2C92" w:rsidR="00721CCF" w:rsidRPr="00AD2F44" w:rsidRDefault="00F42107">
      <w:pPr>
        <w:pStyle w:val="14Footnote"/>
      </w:pPr>
      <w:r w:rsidRPr="00AD2F44">
        <w:rPr>
          <w:i/>
          <w:iCs/>
        </w:rPr>
        <w:t xml:space="preserve">Eleventh Circuit: </w:t>
      </w:r>
      <w:r w:rsidRPr="00AD2F44">
        <w:t xml:space="preserve">Martins v. Flowers Foods, Inc., 2020 BL 553826, 2020 WL 11423022 (M.D. Fla. Aug. 1, 2020) (limiting written discovery in collective of approximately 300 distributors of baked goods, recognizing that individualized discovery is generally unduly burdensome where number of opt-in plaintiffs approaches 200). </w:t>
      </w:r>
    </w:p>
    <w:p w14:paraId="1C6BC3A2" w14:textId="77777777" w:rsidR="00721CCF" w:rsidRPr="00AD2F44" w:rsidRDefault="00F42107">
      <w:pPr>
        <w:pStyle w:val="14Footnote"/>
      </w:pPr>
      <w:r w:rsidRPr="00AD2F44">
        <w:rPr>
          <w:i/>
        </w:rPr>
        <w:t>See also</w:t>
      </w:r>
    </w:p>
    <w:p w14:paraId="6D3CCFFA" w14:textId="77777777" w:rsidR="00721CCF" w:rsidRPr="00AD2F44" w:rsidRDefault="00F42107">
      <w:pPr>
        <w:pStyle w:val="14Footnote"/>
      </w:pPr>
      <w:r w:rsidRPr="00AD2F44">
        <w:rPr>
          <w:i/>
          <w:iCs/>
        </w:rPr>
        <w:t>Third Circuit:</w:t>
      </w:r>
      <w:r w:rsidRPr="00AD2F44">
        <w:t xml:space="preserve"> Lusardi v. Xerox Corp., 118 F.R.D. 351, 354 (D.N.J. 1987) (involving parties who used 51-person sample of class of over 1,300 opt-in plaintiffs).</w:t>
      </w:r>
    </w:p>
    <w:p w14:paraId="51039784" w14:textId="77777777" w:rsidR="00721CCF" w:rsidRPr="00AD2F44" w:rsidRDefault="00F42107">
      <w:pPr>
        <w:pStyle w:val="14Footnote"/>
      </w:pPr>
      <w:r w:rsidRPr="00AD2F44">
        <w:rPr>
          <w:i/>
          <w:iCs/>
        </w:rPr>
        <w:t>Fifth Circuit:</w:t>
      </w:r>
      <w:r w:rsidRPr="00AD2F44">
        <w:t xml:space="preserve"> Johnson v. Big Lots Stores, Inc., 561 F. Supp. 2d 567, 569–70 (E.D. La. 2008) (permitting representative discovery on 80 of 936-member opt-in class, or 4.3%).</w:t>
      </w:r>
    </w:p>
    <w:p w14:paraId="11D879CC" w14:textId="5722A61A" w:rsidR="00721CCF" w:rsidRPr="00AD2F44" w:rsidRDefault="00F42107">
      <w:pPr>
        <w:pStyle w:val="14Footnote"/>
      </w:pPr>
      <w:r w:rsidRPr="00AD2F44">
        <w:rPr>
          <w:i/>
          <w:iCs/>
        </w:rPr>
        <w:t>Eleventh Circuit:</w:t>
      </w:r>
      <w:r w:rsidRPr="00AD2F44">
        <w:t xml:space="preserve"> </w:t>
      </w:r>
      <w:r w:rsidRPr="00AD2F44">
        <w:rPr>
          <w:i/>
          <w:iCs/>
        </w:rPr>
        <w:t>Bradford</w:t>
      </w:r>
      <w:r w:rsidRPr="00AD2F44">
        <w:t>, 184 F. Supp. 2d at 1344 (“[T]he parties were allowed to conduct discovery from 25 of the [more than 300] opt-in plaintiffs, including the named plaintiffs and six other opt-in plaintiffs chosen by defendant.”).</w:t>
      </w:r>
    </w:p>
  </w:footnote>
  <w:footnote w:id="629">
    <w:p w14:paraId="38C54E97" w14:textId="77777777" w:rsidR="00721CCF" w:rsidRPr="00AD2F44" w:rsidRDefault="00F42107">
      <w:pPr>
        <w:pStyle w:val="14Footnote"/>
      </w:pPr>
      <w:r w:rsidRPr="00AD2F44">
        <w:rPr>
          <w:vertAlign w:val="superscript"/>
        </w:rPr>
        <w:footnoteRef/>
      </w:r>
      <w:r w:rsidRPr="00AD2F44">
        <w:t xml:space="preserve">1994 U.S. Dist. LEXIS 1495 (E.D. Pa. 1994). </w:t>
      </w:r>
    </w:p>
  </w:footnote>
  <w:footnote w:id="630">
    <w:p w14:paraId="0464DBA3" w14:textId="4D0951C0" w:rsidR="00721CCF" w:rsidRPr="00940A4B" w:rsidRDefault="00F42107">
      <w:pPr>
        <w:pStyle w:val="14Footnote"/>
      </w:pPr>
      <w:r w:rsidRPr="00AD2F44">
        <w:rPr>
          <w:vertAlign w:val="superscript"/>
        </w:rPr>
        <w:footnoteRef/>
      </w:r>
      <w:r w:rsidRPr="00AD2F44">
        <w:rPr>
          <w:i/>
          <w:iCs/>
        </w:rPr>
        <w:t>Id.</w:t>
      </w:r>
      <w:r w:rsidRPr="00AD2F44">
        <w:t xml:space="preserve"> at *8; </w:t>
      </w:r>
      <w:r w:rsidRPr="00AD2F44">
        <w:rPr>
          <w:i/>
          <w:iCs/>
        </w:rPr>
        <w:t>see also</w:t>
      </w:r>
      <w:r w:rsidRPr="00AD2F44">
        <w:t xml:space="preserve"> Prentice v. Fund for Pub. Interest Rsch., 2007 WL 2729187, at *5 (N.D. Cal. Sept. 18, 2007) (“[I]individualized discovery is rarely appropriate in FLSA collective actions.”).</w:t>
      </w:r>
      <w:r>
        <w:t xml:space="preserve"> </w:t>
      </w:r>
    </w:p>
  </w:footnote>
  <w:footnote w:id="631">
    <w:p w14:paraId="2C4ABB75" w14:textId="77777777" w:rsidR="00721CCF" w:rsidRPr="00AD2F44" w:rsidRDefault="00F42107">
      <w:pPr>
        <w:pStyle w:val="14Footnote"/>
      </w:pPr>
      <w:r w:rsidRPr="00AD2F44">
        <w:rPr>
          <w:vertAlign w:val="superscript"/>
        </w:rPr>
        <w:footnoteRef/>
      </w:r>
      <w:r w:rsidRPr="00AD2F44">
        <w:rPr>
          <w:i/>
        </w:rPr>
        <w:t>See</w:t>
      </w:r>
    </w:p>
    <w:p w14:paraId="4A0636AB" w14:textId="77777777" w:rsidR="00721CCF" w:rsidRPr="00AD2F44" w:rsidRDefault="00F42107">
      <w:pPr>
        <w:pStyle w:val="14Footnote"/>
      </w:pPr>
      <w:r w:rsidRPr="00AD2F44">
        <w:rPr>
          <w:i/>
          <w:iCs/>
        </w:rPr>
        <w:t xml:space="preserve">Fourth Circuit: </w:t>
      </w:r>
      <w:r w:rsidRPr="00AD2F44">
        <w:t>Jones v. Hoffberger Moving Servs. LLC, 2014 U.S. Dist. LEXIS 23788, at *7 (D. Md. Feb. 24, 2014) (allowing for representative discovery despite small collective size because, in part, one of the primary objectives of §216(b) is to allow plaintiffs to lower costs by pooling resources).</w:t>
      </w:r>
    </w:p>
    <w:p w14:paraId="6B6C1CAE" w14:textId="77777777" w:rsidR="00721CCF" w:rsidRPr="00AD2F44" w:rsidRDefault="00F42107">
      <w:pPr>
        <w:pStyle w:val="14Footnote"/>
      </w:pPr>
      <w:r w:rsidRPr="00AD2F44">
        <w:rPr>
          <w:i/>
          <w:iCs/>
        </w:rPr>
        <w:t>Fifth Circuit:</w:t>
      </w:r>
      <w:r w:rsidRPr="00AD2F44">
        <w:t xml:space="preserve"> Nelson v. American Standard, Inc., 2009 WL 4730166, at *3 (E.D. Tex. Dec. 4, 2009) (explaining that, in limiting written discovery to same sample of 91 opt-in plaintiffs and named plaintiffs out of 1,328 class members parties had agreed on for oral discovery, court would “minimize[] the burden imposed on the plaintiffs”).</w:t>
      </w:r>
    </w:p>
    <w:p w14:paraId="2D9521E5" w14:textId="77777777" w:rsidR="00721CCF" w:rsidRPr="00AD2F44" w:rsidRDefault="00F42107">
      <w:pPr>
        <w:pStyle w:val="14Footnote"/>
      </w:pPr>
      <w:r w:rsidRPr="00AD2F44">
        <w:rPr>
          <w:i/>
          <w:iCs/>
        </w:rPr>
        <w:t>Eighth Circuit:</w:t>
      </w:r>
      <w:r w:rsidRPr="00AD2F44">
        <w:t xml:space="preserve"> </w:t>
      </w:r>
      <w:r w:rsidRPr="00AD2F44">
        <w:rPr>
          <w:i/>
          <w:iCs/>
        </w:rPr>
        <w:t>Perrin</w:t>
      </w:r>
      <w:r w:rsidRPr="00AD2F44">
        <w:t>, 2014 WL 4749547, at *3–5 (stating that discovery from every opt-in would be “unduly burdensome, unnecessary, and likely to undermine efficiency interests”).</w:t>
      </w:r>
    </w:p>
    <w:p w14:paraId="4D420A35" w14:textId="77777777" w:rsidR="00721CCF" w:rsidRPr="00AD2F44" w:rsidRDefault="00F42107">
      <w:pPr>
        <w:pStyle w:val="14Footnote"/>
      </w:pPr>
      <w:r w:rsidRPr="00AD2F44">
        <w:rPr>
          <w:i/>
          <w:iCs/>
        </w:rPr>
        <w:t>Ninth Circuit:</w:t>
      </w:r>
      <w:r w:rsidRPr="00AD2F44">
        <w:t xml:space="preserve"> Cranney v. Carriage Servs., Inc., 2008 WL 2457912, at *15 (D. Nev. June 16, 2008) (“Permitting the full scope of discovery authorized by the Federal Rules of Civil Procedure would undermine the purpose of conditionally certifying a collective action and would be unreasonably burdensome and wasteful of the parties’ and the court’s resources.”).</w:t>
      </w:r>
    </w:p>
    <w:p w14:paraId="798E800C" w14:textId="439C299B" w:rsidR="00721CCF" w:rsidRPr="00AD2F44" w:rsidRDefault="00F42107">
      <w:pPr>
        <w:pStyle w:val="14Footnote"/>
      </w:pPr>
      <w:r w:rsidRPr="00AD2F44">
        <w:rPr>
          <w:i/>
          <w:iCs/>
        </w:rPr>
        <w:t>Tenth Circuit:</w:t>
      </w:r>
      <w:r w:rsidRPr="00AD2F44">
        <w:t xml:space="preserve"> Geer v. Challenge Fin. Investors Corp., 2007 WL 1341774, at *13 (D. Kan. May 4, 2007) (“[T]he Court finds that the burden and expense the requested discovery (depositions of [all 272] opt-in plaintiff[s]) would impose on Plaintiffs clearly outweighs the likely benefit of such discovery.”); </w:t>
      </w:r>
      <w:r w:rsidRPr="00AD2F44">
        <w:rPr>
          <w:i/>
          <w:iCs/>
        </w:rPr>
        <w:t>In re</w:t>
      </w:r>
      <w:r w:rsidRPr="00AD2F44">
        <w:t xml:space="preserve"> American Family Mut. Ins. Co. Overtime Pay Litig., 2009 WL 1120293, at *4 (D. Colo. Apr. 27, 2009) (holding that defendant was “not entitled to individualized discovery from each and every opt-in [p]laintiff, but rather discovery from a certain number of [p]laintiffs”).</w:t>
      </w:r>
    </w:p>
    <w:p w14:paraId="6AD342AB" w14:textId="6B7FCEA9" w:rsidR="00721CCF" w:rsidRPr="00AD2F44" w:rsidRDefault="00F42107">
      <w:pPr>
        <w:pStyle w:val="14Footnote"/>
      </w:pPr>
      <w:r w:rsidRPr="00AD2F44">
        <w:rPr>
          <w:i/>
          <w:iCs/>
        </w:rPr>
        <w:t xml:space="preserve">But see </w:t>
      </w:r>
      <w:r w:rsidRPr="00AD2F44">
        <w:t>Renfro v. Spartan Comput. Servs., Inc., 2008 U.S. Dist. LEXIS 24269, at *4 (D. Kan. Mar. 26, 2008) (explaining that burden on each individual opt-in plaintiff is not significant).</w:t>
      </w:r>
    </w:p>
  </w:footnote>
  <w:footnote w:id="632">
    <w:p w14:paraId="45B19321" w14:textId="77777777" w:rsidR="00721CCF" w:rsidRPr="00AD2F44" w:rsidRDefault="00F42107">
      <w:pPr>
        <w:pStyle w:val="14Footnote"/>
      </w:pPr>
      <w:r w:rsidRPr="00AD2F44">
        <w:rPr>
          <w:vertAlign w:val="superscript"/>
        </w:rPr>
        <w:footnoteRef/>
      </w:r>
      <w:r w:rsidRPr="00AD2F44">
        <w:rPr>
          <w:i/>
          <w:iCs/>
        </w:rPr>
        <w:t>See</w:t>
      </w:r>
      <w:r w:rsidRPr="00AD2F44">
        <w:t xml:space="preserve"> Dernovish v. AT&amp;T Operations, Inc., 720 F. Supp. 2d 1085, 1087–88 (W.D. Mo. 2010) (allowing limited interrogatories to all class members in greater-than-1,000 member class, but, analogizing to Rule 23, finding that full discovery was inconsistent with “efficiencies” of “collective/class action,” and that much of information—relating to defendant’s policies on logging in and time spent doing so—could be found in defendant’s policies and records, not plaintiffs’ memories); Adkins v. Mid-America Growers, Inc., 141 F.R.D. 466, 468 (N.D. Ill. 1992) (holding that individual discovery should not have been allowed in a certified collective action of agricultural workers seeking overtime, relying on Rule 23 reasoning that such discovery undermines the class action device, “whether prior to class certification or after”). In a later decision in the same case, the court acknowledged that differences exist between Rule 23 and FLSA §216(b) actions, but nonetheless rejected individualized discovery of opt-in plaintiffs, and held that representative depositions and written discovery were more appropriate. </w:t>
      </w:r>
      <w:r w:rsidRPr="00AD2F44">
        <w:rPr>
          <w:i/>
          <w:iCs/>
        </w:rPr>
        <w:t>See</w:t>
      </w:r>
      <w:r w:rsidRPr="00AD2F44">
        <w:t xml:space="preserve"> Adkins v. Mid-America Growers, Inc., 143 F.R.D. 171, 174 (N.D. Ill. 1992) (</w:t>
      </w:r>
      <w:r w:rsidRPr="00AD2F44">
        <w:rPr>
          <w:i/>
          <w:iCs/>
        </w:rPr>
        <w:t>Adkins II</w:t>
      </w:r>
      <w:r w:rsidRPr="00AD2F44">
        <w:t>).</w:t>
      </w:r>
    </w:p>
  </w:footnote>
  <w:footnote w:id="633">
    <w:p w14:paraId="48664050" w14:textId="77777777" w:rsidR="00721CCF" w:rsidRPr="00AD2F44" w:rsidRDefault="00F42107">
      <w:pPr>
        <w:pStyle w:val="14Footnote"/>
      </w:pPr>
      <w:r w:rsidRPr="00AD2F44">
        <w:rPr>
          <w:vertAlign w:val="superscript"/>
        </w:rPr>
        <w:footnoteRef/>
      </w:r>
      <w:r w:rsidRPr="00AD2F44">
        <w:rPr>
          <w:i/>
          <w:iCs/>
        </w:rPr>
        <w:t xml:space="preserve">Third Circuit: </w:t>
      </w:r>
      <w:r w:rsidRPr="00AD2F44">
        <w:t>Goodman v. Burlington Coat Factory Warehouse Corp., 292 F.R.D. 230, 231–34 (D.N.J. 2013) (in 567-person collective action, ordering that defendant could depose four lead plaintiffs, an additional 30 opt-ins, and any plaintiff who would testify at trial, and that defendant could serve interrogatories on all plaintiffs it sought to depose plus an additional 25 plaintiffs; parties directed to meet and confer about remaining written discovery).</w:t>
      </w:r>
    </w:p>
    <w:p w14:paraId="15BE2969" w14:textId="77777777" w:rsidR="00721CCF" w:rsidRPr="00AD2F44" w:rsidRDefault="00F42107">
      <w:pPr>
        <w:pStyle w:val="14Footnote"/>
      </w:pPr>
      <w:r w:rsidRPr="00AD2F44">
        <w:rPr>
          <w:i/>
          <w:iCs/>
        </w:rPr>
        <w:t>Fifth Circuit:</w:t>
      </w:r>
      <w:r w:rsidRPr="00AD2F44">
        <w:t xml:space="preserve"> </w:t>
      </w:r>
      <w:r w:rsidRPr="00AD2F44">
        <w:rPr>
          <w:i/>
          <w:iCs/>
        </w:rPr>
        <w:t>Nelson</w:t>
      </w:r>
      <w:r w:rsidRPr="00AD2F44">
        <w:t>, 2009 WL 4730166, at *3 (holding that representative sample would give defendants “reasonable opportunity” to develop evidence for their defenses) (quoting Smith v. Lowe’s Home Ctrs., 236 F.R.D. 354, 357–58 (S.D. Ohio 2006)).</w:t>
      </w:r>
    </w:p>
    <w:p w14:paraId="3B476DA6" w14:textId="77777777" w:rsidR="00721CCF" w:rsidRPr="00AD2F44" w:rsidRDefault="00F42107">
      <w:pPr>
        <w:pStyle w:val="14Footnote"/>
      </w:pPr>
      <w:r w:rsidRPr="00AD2F44">
        <w:rPr>
          <w:i/>
          <w:iCs/>
        </w:rPr>
        <w:t>Sixth Circuit:</w:t>
      </w:r>
      <w:r w:rsidRPr="00AD2F44">
        <w:t xml:space="preserve"> </w:t>
      </w:r>
      <w:r w:rsidRPr="00AD2F44">
        <w:rPr>
          <w:i/>
          <w:iCs/>
        </w:rPr>
        <w:t>Smith</w:t>
      </w:r>
      <w:r w:rsidRPr="00AD2F44">
        <w:t>, 236 F.R.D. at 357–58.</w:t>
      </w:r>
    </w:p>
    <w:p w14:paraId="3E463E3D" w14:textId="2BF64622" w:rsidR="00721CCF" w:rsidRPr="00AD2F44" w:rsidRDefault="00F42107">
      <w:pPr>
        <w:pStyle w:val="14Footnote"/>
      </w:pPr>
      <w:r w:rsidRPr="00AD2F44">
        <w:rPr>
          <w:i/>
          <w:iCs/>
        </w:rPr>
        <w:t>Seventh Circuit:</w:t>
      </w:r>
      <w:r w:rsidRPr="00AD2F44">
        <w:t xml:space="preserve"> O’Toole v. Sears Roebuck &amp; Co., 2014 U.S. Dist. LEXIS 49408, at *13–14 (N.D. Ill. Apr. 10, 2014) (in 700-plaintiff collective action, ordering that defendant may serve written discovery on 33% of the class and take depositions of 10% of the class, and that defendant may select those in the representative groups subject to discovery).</w:t>
      </w:r>
    </w:p>
  </w:footnote>
  <w:footnote w:id="634">
    <w:p w14:paraId="27CE8832" w14:textId="77777777" w:rsidR="00721CCF" w:rsidRPr="00AD2F44" w:rsidRDefault="00F42107">
      <w:pPr>
        <w:pStyle w:val="14Footnote"/>
      </w:pPr>
      <w:r w:rsidRPr="00AD2F44">
        <w:rPr>
          <w:vertAlign w:val="superscript"/>
        </w:rPr>
        <w:footnoteRef/>
      </w:r>
      <w:r w:rsidRPr="00AD2F44">
        <w:rPr>
          <w:i/>
          <w:iCs/>
        </w:rPr>
        <w:t>Fifth Circuit:</w:t>
      </w:r>
      <w:r w:rsidRPr="00AD2F44">
        <w:t xml:space="preserve"> </w:t>
      </w:r>
      <w:r w:rsidRPr="00AD2F44">
        <w:rPr>
          <w:i/>
          <w:iCs/>
        </w:rPr>
        <w:t>Nelson</w:t>
      </w:r>
      <w:r w:rsidRPr="00AD2F44">
        <w:t>, 2009 WL 4730166, at *3 (limiting written discovery to same sample of 91 opt-in plaintiffs and named plaintiffs out of 1,328 class members parties had agreed on for oral discovery, but allowing defendants to later move to expand discovery upon showing it was “appropriate and necessary”).</w:t>
      </w:r>
    </w:p>
    <w:p w14:paraId="394BBE6E" w14:textId="79922144" w:rsidR="00721CCF" w:rsidRPr="00AD2F44" w:rsidRDefault="00F42107">
      <w:pPr>
        <w:pStyle w:val="14Footnote"/>
      </w:pPr>
      <w:r w:rsidRPr="00AD2F44">
        <w:rPr>
          <w:i/>
          <w:iCs/>
        </w:rPr>
        <w:t>Sixth Circuit:</w:t>
      </w:r>
      <w:r w:rsidRPr="00AD2F44">
        <w:t xml:space="preserve"> </w:t>
      </w:r>
      <w:r w:rsidRPr="002F69CA">
        <w:t>Branson v. All</w:t>
      </w:r>
      <w:r w:rsidR="000E7FEF">
        <w:t>iance</w:t>
      </w:r>
      <w:r w:rsidRPr="002F69CA">
        <w:t xml:space="preserve"> Coal, LLC</w:t>
      </w:r>
      <w:r w:rsidRPr="000B3E9D">
        <w:t xml:space="preserve">, </w:t>
      </w:r>
      <w:r w:rsidR="000E7FEF" w:rsidRPr="000E7FEF">
        <w:t>2022 BL 242650</w:t>
      </w:r>
      <w:r w:rsidR="000E7FEF">
        <w:t xml:space="preserve">, </w:t>
      </w:r>
      <w:r w:rsidRPr="000B3E9D">
        <w:t>2022 WL 2717625, at *9 (W.D. Ky. July 13, 2022)</w:t>
      </w:r>
      <w:r>
        <w:t xml:space="preserve"> (limiting both parties to representative discovery</w:t>
      </w:r>
      <w:r w:rsidR="000E7FEF">
        <w:t>,</w:t>
      </w:r>
      <w:r>
        <w:t xml:space="preserve"> but permitting either party to seek broader discovery by motion if circumstances warrant); </w:t>
      </w:r>
      <w:r w:rsidRPr="00AD2F44">
        <w:rPr>
          <w:i/>
          <w:iCs/>
        </w:rPr>
        <w:t>Smith</w:t>
      </w:r>
      <w:r w:rsidRPr="00AD2F44">
        <w:t>, 236 F.R.D. at 357–58.</w:t>
      </w:r>
    </w:p>
    <w:p w14:paraId="29D55AC1" w14:textId="77777777" w:rsidR="00721CCF" w:rsidRPr="00AD2F44" w:rsidRDefault="00F42107">
      <w:pPr>
        <w:pStyle w:val="14Footnote"/>
      </w:pPr>
      <w:r w:rsidRPr="00AD2F44">
        <w:rPr>
          <w:i/>
          <w:iCs/>
        </w:rPr>
        <w:t>Seventh Circuit: Adkins II,</w:t>
      </w:r>
      <w:r w:rsidRPr="00AD2F44">
        <w:t xml:space="preserve"> 143 F.R.D. at 175.</w:t>
      </w:r>
    </w:p>
    <w:p w14:paraId="79075AF4" w14:textId="70C35530" w:rsidR="00721CCF" w:rsidRPr="00AD2F44" w:rsidRDefault="00F42107">
      <w:pPr>
        <w:pStyle w:val="14Footnote"/>
      </w:pPr>
      <w:r w:rsidRPr="00AD2F44">
        <w:rPr>
          <w:i/>
          <w:iCs/>
        </w:rPr>
        <w:t>Tenth Circuit:</w:t>
      </w:r>
      <w:r w:rsidRPr="00AD2F44">
        <w:t xml:space="preserve"> </w:t>
      </w:r>
      <w:r w:rsidRPr="00AD2F44">
        <w:rPr>
          <w:i/>
          <w:iCs/>
        </w:rPr>
        <w:t>Geer</w:t>
      </w:r>
      <w:r w:rsidRPr="00AD2F44">
        <w:t>, 2007 WL 1341774, at *2.</w:t>
      </w:r>
    </w:p>
  </w:footnote>
  <w:footnote w:id="635">
    <w:p w14:paraId="2A392F5D" w14:textId="77777777" w:rsidR="00721CCF" w:rsidRPr="00AD2F44" w:rsidRDefault="00F42107">
      <w:pPr>
        <w:pStyle w:val="14Footnote"/>
      </w:pPr>
      <w:r w:rsidRPr="00AD2F44">
        <w:rPr>
          <w:vertAlign w:val="superscript"/>
        </w:rPr>
        <w:footnoteRef/>
      </w:r>
      <w:r w:rsidRPr="00AD2F44">
        <w:rPr>
          <w:i/>
          <w:iCs/>
        </w:rPr>
        <w:t>Geer</w:t>
      </w:r>
      <w:r w:rsidRPr="00AD2F44">
        <w:t xml:space="preserve">, 2007 WL 1341774, at *2; </w:t>
      </w:r>
      <w:r w:rsidRPr="00AD2F44">
        <w:rPr>
          <w:i/>
          <w:iCs/>
        </w:rPr>
        <w:t>Smith</w:t>
      </w:r>
      <w:r w:rsidRPr="00AD2F44">
        <w:t xml:space="preserve">, 236 F.R.D. at 357–58; </w:t>
      </w:r>
      <w:r w:rsidRPr="00AD2F44">
        <w:rPr>
          <w:i/>
          <w:iCs/>
        </w:rPr>
        <w:t>cf</w:t>
      </w:r>
      <w:r w:rsidRPr="00AD2F44">
        <w:t>. Falcon v. Starbucks Corp., 580 F. Supp. 2d 528 (S.D. Tex. 2008) (parties agreed to conduct sample discovery of 18 opt-in plaintiffs).</w:t>
      </w:r>
    </w:p>
  </w:footnote>
  <w:footnote w:id="636">
    <w:p w14:paraId="6EDACBD6" w14:textId="77777777" w:rsidR="00721CCF" w:rsidRPr="00AD2F44" w:rsidRDefault="00F42107">
      <w:pPr>
        <w:pStyle w:val="14Footnote"/>
      </w:pPr>
      <w:r w:rsidRPr="00AD2F44">
        <w:rPr>
          <w:vertAlign w:val="superscript"/>
        </w:rPr>
        <w:footnoteRef/>
      </w:r>
      <w:r w:rsidRPr="00AD2F44">
        <w:rPr>
          <w:i/>
        </w:rPr>
        <w:t>See</w:t>
      </w:r>
    </w:p>
    <w:p w14:paraId="5ACAD4C4" w14:textId="77777777" w:rsidR="00721CCF" w:rsidRPr="00AD2F44" w:rsidRDefault="00F42107">
      <w:pPr>
        <w:pStyle w:val="14Footnote"/>
      </w:pPr>
      <w:r w:rsidRPr="00AD2F44">
        <w:rPr>
          <w:i/>
          <w:iCs/>
        </w:rPr>
        <w:t>Sixth Circuit:</w:t>
      </w:r>
      <w:r w:rsidRPr="00AD2F44">
        <w:t xml:space="preserve"> </w:t>
      </w:r>
      <w:r w:rsidRPr="00AD2F44">
        <w:rPr>
          <w:i/>
          <w:iCs/>
        </w:rPr>
        <w:t>Smith</w:t>
      </w:r>
      <w:r w:rsidRPr="00AD2F44">
        <w:t>, 236 F.R.D. at 356 (citing Rule 26 in setting forth “standard” for deciding motion for protective order limiting discovery to representative sample of opt-ins).</w:t>
      </w:r>
    </w:p>
    <w:p w14:paraId="32513F24" w14:textId="77777777" w:rsidR="00721CCF" w:rsidRPr="00AD2F44" w:rsidRDefault="00F42107">
      <w:pPr>
        <w:pStyle w:val="14Footnote"/>
      </w:pPr>
      <w:r w:rsidRPr="00AD2F44">
        <w:rPr>
          <w:i/>
          <w:iCs/>
        </w:rPr>
        <w:t>Seventh Circuit:</w:t>
      </w:r>
      <w:r w:rsidRPr="00AD2F44">
        <w:t xml:space="preserve"> Russell v. Illinois Bell Tel. Co., 2009 WL 1209025, at *3 (N.D. Ill. Apr. 30, 2009).</w:t>
      </w:r>
    </w:p>
    <w:p w14:paraId="71F01D0B" w14:textId="77777777" w:rsidR="00721CCF" w:rsidRPr="00AD2F44" w:rsidRDefault="00F42107">
      <w:pPr>
        <w:pStyle w:val="14Footnote"/>
      </w:pPr>
      <w:r w:rsidRPr="00AD2F44">
        <w:rPr>
          <w:i/>
          <w:iCs/>
        </w:rPr>
        <w:t>Eighth Circuit:</w:t>
      </w:r>
      <w:r w:rsidRPr="00AD2F44">
        <w:t xml:space="preserve"> Fast v. Applebee’s Int’l, Inc., 2008 WL 5432288, at *1–2 (W.D. Mo. Dec. 31, 2008) (denying motion to compel discovery responses of unduly burdensome interrogatories where, among other reasons, “the detailed information requested [was] impossible for any normal person to answer, much less the average hourly employee”); Casas v. Conseco Fin. Corp., 2002 U.S. Dist. LEXIS 3097, at *5–8 (D. Minn. Feb. 15, 2002).</w:t>
      </w:r>
    </w:p>
    <w:p w14:paraId="23972E74" w14:textId="77777777" w:rsidR="00721CCF" w:rsidRPr="00AD2F44" w:rsidRDefault="00F42107">
      <w:pPr>
        <w:pStyle w:val="14Footnote"/>
      </w:pPr>
      <w:r w:rsidRPr="00AD2F44">
        <w:rPr>
          <w:i/>
          <w:iCs/>
        </w:rPr>
        <w:t>Ninth Circuit:</w:t>
      </w:r>
      <w:r w:rsidRPr="00AD2F44">
        <w:t xml:space="preserve"> Cranney v. Carriage Servs., Inc., 2008 WL 2457912, at *3 (D. Nev. June 16, 2008).</w:t>
      </w:r>
    </w:p>
    <w:p w14:paraId="79DDCA90" w14:textId="238A2595" w:rsidR="00721CCF" w:rsidRPr="00AD2F44" w:rsidRDefault="00F42107">
      <w:pPr>
        <w:pStyle w:val="14Footnote"/>
      </w:pPr>
      <w:r w:rsidRPr="00AD2F44">
        <w:rPr>
          <w:i/>
          <w:iCs/>
        </w:rPr>
        <w:t>Tenth Circuit:</w:t>
      </w:r>
      <w:r w:rsidRPr="00AD2F44">
        <w:t xml:space="preserve"> </w:t>
      </w:r>
      <w:r w:rsidRPr="00AD2F44">
        <w:rPr>
          <w:i/>
          <w:iCs/>
        </w:rPr>
        <w:t>Geer</w:t>
      </w:r>
      <w:r w:rsidRPr="00AD2F44">
        <w:t>, 2007 WL 1341774, at *3–5.</w:t>
      </w:r>
    </w:p>
  </w:footnote>
  <w:footnote w:id="637">
    <w:p w14:paraId="4CB0FFE1" w14:textId="77777777" w:rsidR="00721CCF" w:rsidRPr="00AD2F44" w:rsidRDefault="00F42107">
      <w:pPr>
        <w:pStyle w:val="14Footnote"/>
      </w:pPr>
      <w:r w:rsidRPr="00AD2F44">
        <w:rPr>
          <w:vertAlign w:val="superscript"/>
        </w:rPr>
        <w:footnoteRef/>
      </w:r>
      <w:r w:rsidRPr="00AD2F44">
        <w:t>2007 WL 1341774 (D. Kan. May 4, 2007).</w:t>
      </w:r>
    </w:p>
  </w:footnote>
  <w:footnote w:id="638">
    <w:p w14:paraId="3D554776" w14:textId="77777777" w:rsidR="00721CCF" w:rsidRPr="00AD2F44" w:rsidRDefault="00F42107">
      <w:pPr>
        <w:pStyle w:val="14Footnote"/>
      </w:pPr>
      <w:r w:rsidRPr="00AD2F44">
        <w:rPr>
          <w:vertAlign w:val="superscript"/>
        </w:rPr>
        <w:footnoteRef/>
      </w:r>
      <w:r w:rsidRPr="00AD2F44">
        <w:rPr>
          <w:i/>
          <w:iCs/>
        </w:rPr>
        <w:t xml:space="preserve">Id. </w:t>
      </w:r>
      <w:r w:rsidRPr="00AD2F44">
        <w:t>at *2.</w:t>
      </w:r>
    </w:p>
  </w:footnote>
  <w:footnote w:id="639">
    <w:p w14:paraId="0BA342DA" w14:textId="77777777" w:rsidR="00721CCF" w:rsidRPr="00AD2F44" w:rsidRDefault="00F42107">
      <w:pPr>
        <w:pStyle w:val="14Footnote"/>
      </w:pPr>
      <w:r w:rsidRPr="00AD2F44">
        <w:rPr>
          <w:vertAlign w:val="superscript"/>
        </w:rPr>
        <w:footnoteRef/>
      </w:r>
      <w:r w:rsidRPr="00AD2F44">
        <w:rPr>
          <w:i/>
        </w:rPr>
        <w:t>Id.</w:t>
      </w:r>
    </w:p>
  </w:footnote>
  <w:footnote w:id="640">
    <w:p w14:paraId="11485587" w14:textId="77777777" w:rsidR="00721CCF" w:rsidRPr="00AD2F44" w:rsidRDefault="00F42107">
      <w:pPr>
        <w:pStyle w:val="14Footnote"/>
      </w:pPr>
      <w:r w:rsidRPr="00AD2F44">
        <w:rPr>
          <w:vertAlign w:val="superscript"/>
        </w:rPr>
        <w:footnoteRef/>
      </w:r>
      <w:r w:rsidRPr="00AD2F44">
        <w:t>2006 WL 1867471 (D. Kan. June 30, 2006).</w:t>
      </w:r>
    </w:p>
  </w:footnote>
  <w:footnote w:id="641">
    <w:p w14:paraId="1F05D597" w14:textId="77777777" w:rsidR="00721CCF" w:rsidRPr="00AD2F44" w:rsidRDefault="00F42107">
      <w:pPr>
        <w:pStyle w:val="14Footnote"/>
      </w:pPr>
      <w:r w:rsidRPr="00AD2F44">
        <w:rPr>
          <w:vertAlign w:val="superscript"/>
        </w:rPr>
        <w:footnoteRef/>
      </w:r>
      <w:r w:rsidRPr="00AD2F44">
        <w:rPr>
          <w:i/>
          <w:iCs/>
        </w:rPr>
        <w:t>Geer</w:t>
      </w:r>
      <w:r w:rsidRPr="00AD2F44">
        <w:t xml:space="preserve">, 2007 WL 1341774, at *2 (citing </w:t>
      </w:r>
      <w:r w:rsidRPr="00AD2F44">
        <w:rPr>
          <w:i/>
          <w:iCs/>
        </w:rPr>
        <w:t>Williams</w:t>
      </w:r>
      <w:r w:rsidRPr="00AD2F44">
        <w:t>, 2006 WL 1867471).</w:t>
      </w:r>
    </w:p>
  </w:footnote>
  <w:footnote w:id="642">
    <w:p w14:paraId="3DDFC883" w14:textId="77777777" w:rsidR="00721CCF" w:rsidRPr="00AD2F44" w:rsidRDefault="00F42107">
      <w:pPr>
        <w:pStyle w:val="14Footnote"/>
      </w:pPr>
      <w:r w:rsidRPr="00AD2F44">
        <w:rPr>
          <w:vertAlign w:val="superscript"/>
        </w:rPr>
        <w:footnoteRef/>
      </w:r>
      <w:r w:rsidRPr="00AD2F44">
        <w:rPr>
          <w:i/>
          <w:iCs/>
        </w:rPr>
        <w:t xml:space="preserve">Id. </w:t>
      </w:r>
      <w:r w:rsidRPr="00AD2F44">
        <w:t xml:space="preserve">(citing </w:t>
      </w:r>
      <w:r w:rsidRPr="00AD2F44">
        <w:rPr>
          <w:smallCaps/>
        </w:rPr>
        <w:t>Federal Judicial Center, Manual for Complex Litigation, §11.45</w:t>
      </w:r>
      <w:r w:rsidRPr="00AD2F44">
        <w:t xml:space="preserve"> (4th ed. 2004) (“The judge should manage the litigation so as to avoid unnecessary depositions, limit the number and length of those that are taken, and ensure that the process of taking depositions is as fair and efficient as possible.”)).</w:t>
      </w:r>
    </w:p>
  </w:footnote>
  <w:footnote w:id="643">
    <w:p w14:paraId="4D1C2E71" w14:textId="77777777" w:rsidR="00721CCF" w:rsidRPr="00AD2F44" w:rsidRDefault="00F42107">
      <w:pPr>
        <w:pStyle w:val="14Footnote"/>
      </w:pPr>
      <w:r w:rsidRPr="00AD2F44">
        <w:rPr>
          <w:vertAlign w:val="superscript"/>
        </w:rPr>
        <w:footnoteRef/>
      </w:r>
      <w:r w:rsidRPr="00AD2F44">
        <w:t xml:space="preserve">2008 U.S. Dist. LEXIS 24269 (D. Kan. Mar. 26, 2008). </w:t>
      </w:r>
    </w:p>
  </w:footnote>
  <w:footnote w:id="644">
    <w:p w14:paraId="4D2E919F" w14:textId="77777777" w:rsidR="00721CCF" w:rsidRPr="00AD2F44" w:rsidRDefault="00F42107">
      <w:pPr>
        <w:pStyle w:val="14Footnote"/>
      </w:pPr>
      <w:r w:rsidRPr="00AD2F44">
        <w:rPr>
          <w:vertAlign w:val="superscript"/>
        </w:rPr>
        <w:footnoteRef/>
      </w:r>
      <w:r w:rsidRPr="00AD2F44">
        <w:rPr>
          <w:i/>
          <w:iCs/>
        </w:rPr>
        <w:t>Id.</w:t>
      </w:r>
      <w:r w:rsidRPr="00AD2F44">
        <w:t xml:space="preserve"> at *8 (denying plaintiffs’ request for a “blanket rule against individualized discovery” and noting that plaintiffs had provided no authority for the proposition “that conditional certification of a collective action mandates representative discovery”).</w:t>
      </w:r>
    </w:p>
  </w:footnote>
  <w:footnote w:id="645">
    <w:p w14:paraId="0E95622C" w14:textId="77777777" w:rsidR="00721CCF" w:rsidRPr="00AD2F44" w:rsidRDefault="00F42107">
      <w:pPr>
        <w:pStyle w:val="14Footnote"/>
      </w:pPr>
      <w:r w:rsidRPr="00AD2F44">
        <w:rPr>
          <w:vertAlign w:val="superscript"/>
        </w:rPr>
        <w:footnoteRef/>
      </w:r>
      <w:r w:rsidRPr="00AD2F44">
        <w:t xml:space="preserve">1994 WL 45162 (E.D. Pa. Feb. 10, 1994). </w:t>
      </w:r>
    </w:p>
  </w:footnote>
  <w:footnote w:id="646">
    <w:p w14:paraId="13E3EA8F" w14:textId="77777777" w:rsidR="00721CCF" w:rsidRPr="00AD2F44" w:rsidRDefault="00F42107">
      <w:pPr>
        <w:pStyle w:val="14Footnote"/>
      </w:pPr>
      <w:r w:rsidRPr="00AD2F44">
        <w:rPr>
          <w:vertAlign w:val="superscript"/>
        </w:rPr>
        <w:footnoteRef/>
      </w:r>
      <w:r w:rsidRPr="00AD2F44">
        <w:rPr>
          <w:i/>
          <w:iCs/>
        </w:rPr>
        <w:t>Renfro</w:t>
      </w:r>
      <w:r w:rsidRPr="00AD2F44">
        <w:t xml:space="preserve">, 2008 U.S. Dist. LEXIS 24269, at *11–12. The </w:t>
      </w:r>
      <w:r w:rsidRPr="00AD2F44">
        <w:rPr>
          <w:i/>
          <w:iCs/>
        </w:rPr>
        <w:t>Renfro</w:t>
      </w:r>
      <w:r w:rsidRPr="00AD2F44">
        <w:t xml:space="preserve"> court also distinguished </w:t>
      </w:r>
      <w:r w:rsidRPr="00AD2F44">
        <w:rPr>
          <w:i/>
          <w:iCs/>
        </w:rPr>
        <w:t>Geer</w:t>
      </w:r>
      <w:r w:rsidRPr="00AD2F44">
        <w:t xml:space="preserve">, 2007 WL 1341774, citing the much larger number of depositions at issue in </w:t>
      </w:r>
      <w:r w:rsidRPr="00AD2F44">
        <w:rPr>
          <w:i/>
          <w:iCs/>
        </w:rPr>
        <w:t>Geer</w:t>
      </w:r>
      <w:r w:rsidRPr="00AD2F44">
        <w:t xml:space="preserve"> (270 versus 27), the lack of any argument by plaintiffs that the 27 depositions would create efficiency problems, and the fact that </w:t>
      </w:r>
      <w:r w:rsidRPr="00AD2F44">
        <w:rPr>
          <w:i/>
          <w:iCs/>
        </w:rPr>
        <w:t>Geer</w:t>
      </w:r>
      <w:r w:rsidRPr="00AD2F44">
        <w:t xml:space="preserve"> dealt only with depositions and not written discovery, which did not present the same management problems as depositions. </w:t>
      </w:r>
      <w:r w:rsidRPr="00AD2F44">
        <w:rPr>
          <w:i/>
          <w:iCs/>
        </w:rPr>
        <w:t>Id</w:t>
      </w:r>
      <w:r w:rsidRPr="00AD2F44">
        <w:t>. at 10–11.</w:t>
      </w:r>
    </w:p>
  </w:footnote>
  <w:footnote w:id="647">
    <w:p w14:paraId="29AA28BF" w14:textId="77777777" w:rsidR="00721CCF" w:rsidRPr="00AD2F44" w:rsidRDefault="00F42107">
      <w:pPr>
        <w:pStyle w:val="14Footnote"/>
      </w:pPr>
      <w:r w:rsidRPr="00AD2F44">
        <w:rPr>
          <w:vertAlign w:val="superscript"/>
        </w:rPr>
        <w:footnoteRef/>
      </w:r>
      <w:r w:rsidRPr="00AD2F44">
        <w:rPr>
          <w:i/>
          <w:iCs/>
        </w:rPr>
        <w:t>Coldiron I</w:t>
      </w:r>
      <w:r w:rsidRPr="00AD2F44">
        <w:t>, 2004 U.S. Dist. LEXIS 23610 (C.D. Cal. Oct. 25, 2004).</w:t>
      </w:r>
    </w:p>
  </w:footnote>
  <w:footnote w:id="648">
    <w:p w14:paraId="7FE9F515" w14:textId="77777777" w:rsidR="00721CCF" w:rsidRPr="00AD2F44" w:rsidRDefault="00F42107">
      <w:pPr>
        <w:pStyle w:val="14Footnote"/>
      </w:pPr>
      <w:r w:rsidRPr="00AD2F44">
        <w:rPr>
          <w:vertAlign w:val="superscript"/>
        </w:rPr>
        <w:footnoteRef/>
      </w:r>
      <w:r w:rsidRPr="00AD2F44">
        <w:rPr>
          <w:i/>
          <w:iCs/>
        </w:rPr>
        <w:t>Id</w:t>
      </w:r>
      <w:r w:rsidRPr="00AD2F44">
        <w:t>. at *5–6 (collecting cases).</w:t>
      </w:r>
    </w:p>
  </w:footnote>
  <w:footnote w:id="649">
    <w:p w14:paraId="4D6C34B1" w14:textId="77777777" w:rsidR="00721CCF" w:rsidRPr="00AD2F44" w:rsidRDefault="00F42107">
      <w:pPr>
        <w:pStyle w:val="14Footnote"/>
      </w:pPr>
      <w:r w:rsidRPr="00AD2F44">
        <w:rPr>
          <w:vertAlign w:val="superscript"/>
        </w:rPr>
        <w:footnoteRef/>
      </w:r>
      <w:r w:rsidRPr="00AD2F44">
        <w:t>1991 WL 158943, at *3 (S.D. Fla. 1991) (ADEA collective action).</w:t>
      </w:r>
    </w:p>
  </w:footnote>
  <w:footnote w:id="650">
    <w:p w14:paraId="4B2E5320"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651">
    <w:p w14:paraId="4B37D0E2" w14:textId="77777777" w:rsidR="00721CCF" w:rsidRPr="00AD2F44" w:rsidRDefault="00F42107">
      <w:pPr>
        <w:pStyle w:val="14Footnote"/>
      </w:pPr>
      <w:r w:rsidRPr="00AD2F44">
        <w:rPr>
          <w:vertAlign w:val="superscript"/>
        </w:rPr>
        <w:footnoteRef/>
      </w:r>
      <w:r w:rsidRPr="00AD2F44">
        <w:t>Coldiron v. Pizza Hut, Inc. (</w:t>
      </w:r>
      <w:r w:rsidRPr="00AD2F44">
        <w:rPr>
          <w:i/>
          <w:iCs/>
        </w:rPr>
        <w:t>Coldiron II</w:t>
      </w:r>
      <w:r w:rsidRPr="00AD2F44">
        <w:t>), 2004 U.S. Dist. LEXIS 23607, at *2 (C.D. Cal. Oct. 25, 2004).</w:t>
      </w:r>
    </w:p>
  </w:footnote>
  <w:footnote w:id="652">
    <w:p w14:paraId="37555B46" w14:textId="77777777" w:rsidR="00721CCF" w:rsidRPr="00AD2F44" w:rsidRDefault="00F42107">
      <w:pPr>
        <w:pStyle w:val="14Footnote"/>
      </w:pPr>
      <w:r w:rsidRPr="00AD2F44">
        <w:rPr>
          <w:vertAlign w:val="superscript"/>
        </w:rPr>
        <w:footnoteRef/>
      </w:r>
      <w:r w:rsidRPr="00AD2F44">
        <w:rPr>
          <w:i/>
          <w:iCs/>
        </w:rPr>
        <w:t>Id.</w:t>
      </w:r>
      <w:r w:rsidRPr="00AD2F44">
        <w:t xml:space="preserve"> at *2–3.</w:t>
      </w:r>
    </w:p>
  </w:footnote>
  <w:footnote w:id="653">
    <w:p w14:paraId="609B58DB" w14:textId="77777777" w:rsidR="00721CCF" w:rsidRPr="00AD2F44" w:rsidRDefault="00F42107">
      <w:pPr>
        <w:pStyle w:val="14Footnote"/>
      </w:pPr>
      <w:r w:rsidRPr="00AD2F44">
        <w:rPr>
          <w:vertAlign w:val="superscript"/>
        </w:rPr>
        <w:footnoteRef/>
      </w:r>
      <w:r w:rsidRPr="00AD2F44">
        <w:t xml:space="preserve">163 F.R.D. 446 (S.D.N.Y. 1995). </w:t>
      </w:r>
    </w:p>
  </w:footnote>
  <w:footnote w:id="654">
    <w:p w14:paraId="42ACADE3" w14:textId="77777777" w:rsidR="00721CCF" w:rsidRPr="00AD2F44" w:rsidRDefault="00F42107">
      <w:pPr>
        <w:pStyle w:val="14Footnote"/>
      </w:pPr>
      <w:r w:rsidRPr="00AD2F44">
        <w:rPr>
          <w:vertAlign w:val="superscript"/>
        </w:rPr>
        <w:footnoteRef/>
      </w:r>
      <w:r w:rsidRPr="00AD2F44">
        <w:rPr>
          <w:i/>
          <w:iCs/>
        </w:rPr>
        <w:t xml:space="preserve">Id. </w:t>
      </w:r>
      <w:r w:rsidRPr="00AD2F44">
        <w:t>at 452.</w:t>
      </w:r>
    </w:p>
  </w:footnote>
  <w:footnote w:id="655">
    <w:p w14:paraId="7597BF9E" w14:textId="77777777" w:rsidR="00721CCF" w:rsidRPr="00AD2F44" w:rsidRDefault="00F42107">
      <w:pPr>
        <w:pStyle w:val="14Footnote"/>
      </w:pPr>
      <w:r w:rsidRPr="00AD2F44">
        <w:rPr>
          <w:vertAlign w:val="superscript"/>
        </w:rPr>
        <w:footnoteRef/>
      </w:r>
      <w:r w:rsidRPr="00AD2F44">
        <w:rPr>
          <w:i/>
        </w:rPr>
        <w:t>Id.</w:t>
      </w:r>
    </w:p>
  </w:footnote>
  <w:footnote w:id="656">
    <w:p w14:paraId="599F0EA7" w14:textId="77777777" w:rsidR="00721CCF" w:rsidRPr="00AD2F44" w:rsidRDefault="00F42107">
      <w:pPr>
        <w:pStyle w:val="14Footnote"/>
      </w:pPr>
      <w:r w:rsidRPr="00AD2F44">
        <w:rPr>
          <w:vertAlign w:val="superscript"/>
        </w:rPr>
        <w:footnoteRef/>
      </w:r>
      <w:r w:rsidRPr="00AD2F44">
        <w:t>2019 U.S. Dist. LEXIS 222312 (D. Mass. Dec. 30, 2019).</w:t>
      </w:r>
    </w:p>
  </w:footnote>
  <w:footnote w:id="657">
    <w:p w14:paraId="4601F90E" w14:textId="77777777" w:rsidR="00721CCF" w:rsidRPr="00AD2F44" w:rsidRDefault="00F42107">
      <w:pPr>
        <w:pStyle w:val="14Footnote"/>
      </w:pPr>
      <w:r w:rsidRPr="00AD2F44">
        <w:rPr>
          <w:vertAlign w:val="superscript"/>
        </w:rPr>
        <w:footnoteRef/>
      </w:r>
      <w:r w:rsidRPr="00AD2F44">
        <w:rPr>
          <w:i/>
          <w:iCs/>
        </w:rPr>
        <w:t xml:space="preserve">Id. </w:t>
      </w:r>
      <w:r w:rsidRPr="00AD2F44">
        <w:t>at *4–5.</w:t>
      </w:r>
    </w:p>
  </w:footnote>
  <w:footnote w:id="658">
    <w:p w14:paraId="54BC6680" w14:textId="529EAA54" w:rsidR="00721CCF" w:rsidRPr="000B3E9D" w:rsidRDefault="00F42107" w:rsidP="000B3E9D">
      <w:pPr>
        <w:pStyle w:val="14Footnote"/>
        <w:rPr>
          <w:iCs/>
        </w:rPr>
      </w:pPr>
      <w:r w:rsidRPr="00AD2F44">
        <w:rPr>
          <w:vertAlign w:val="superscript"/>
        </w:rPr>
        <w:footnoteRef/>
      </w:r>
      <w:r w:rsidRPr="00AD2F44">
        <w:rPr>
          <w:i/>
        </w:rPr>
        <w:t>Id.</w:t>
      </w:r>
      <w:r>
        <w:rPr>
          <w:iCs/>
        </w:rPr>
        <w:t xml:space="preserve">; </w:t>
      </w:r>
      <w:r>
        <w:rPr>
          <w:i/>
        </w:rPr>
        <w:t xml:space="preserve">see also </w:t>
      </w:r>
      <w:r w:rsidRPr="002F69CA">
        <w:rPr>
          <w:iCs/>
        </w:rPr>
        <w:t>Branson v. All</w:t>
      </w:r>
      <w:r w:rsidR="000E7FEF">
        <w:rPr>
          <w:iCs/>
        </w:rPr>
        <w:t>iance</w:t>
      </w:r>
      <w:r w:rsidRPr="002F69CA">
        <w:rPr>
          <w:iCs/>
        </w:rPr>
        <w:t xml:space="preserve"> Coal, LLC,</w:t>
      </w:r>
      <w:r w:rsidR="000E7FEF" w:rsidRPr="000E7FEF">
        <w:t xml:space="preserve"> 2022 BL 242650</w:t>
      </w:r>
      <w:r w:rsidR="000E7FEF">
        <w:t xml:space="preserve">, </w:t>
      </w:r>
      <w:r w:rsidRPr="002F69CA">
        <w:rPr>
          <w:iCs/>
        </w:rPr>
        <w:t>2022 WL 2717625, at *10 (W.D. Ky. July 13, 2022)</w:t>
      </w:r>
      <w:r>
        <w:rPr>
          <w:iCs/>
        </w:rPr>
        <w:t xml:space="preserve"> (determining defendant’s proposed questionnaire was too detailed, and ordering the parties to meet and confer regarding a simpler questionnaire that could be answered with little or no assistance from counsel).</w:t>
      </w:r>
    </w:p>
  </w:footnote>
  <w:footnote w:id="659">
    <w:p w14:paraId="5AB5233A" w14:textId="77777777" w:rsidR="00721CCF" w:rsidRPr="00AD2F44" w:rsidRDefault="00F42107">
      <w:pPr>
        <w:pStyle w:val="14Footnote"/>
      </w:pPr>
      <w:r w:rsidRPr="00AD2F44">
        <w:rPr>
          <w:vertAlign w:val="superscript"/>
        </w:rPr>
        <w:footnoteRef/>
      </w:r>
      <w:r w:rsidRPr="00AD2F44">
        <w:t>2014 WL 37662 (E.D. Va. Jan. 3, 2014).</w:t>
      </w:r>
    </w:p>
  </w:footnote>
  <w:footnote w:id="660">
    <w:p w14:paraId="72154308" w14:textId="77777777" w:rsidR="00721CCF" w:rsidRPr="00AD2F44" w:rsidRDefault="00F42107">
      <w:pPr>
        <w:pStyle w:val="14Footnote"/>
      </w:pPr>
      <w:r w:rsidRPr="00AD2F44">
        <w:rPr>
          <w:vertAlign w:val="superscript"/>
        </w:rPr>
        <w:footnoteRef/>
      </w:r>
      <w:r w:rsidRPr="00AD2F44">
        <w:rPr>
          <w:i/>
          <w:iCs/>
        </w:rPr>
        <w:t xml:space="preserve">Id. </w:t>
      </w:r>
      <w:r w:rsidRPr="00AD2F44">
        <w:t xml:space="preserve">at *9–12. </w:t>
      </w:r>
    </w:p>
  </w:footnote>
  <w:footnote w:id="661">
    <w:p w14:paraId="34B97761" w14:textId="77777777" w:rsidR="00721CCF" w:rsidRPr="00AD2F44" w:rsidRDefault="00F42107">
      <w:pPr>
        <w:pStyle w:val="14Footnote"/>
      </w:pPr>
      <w:r w:rsidRPr="00AD2F44">
        <w:rPr>
          <w:vertAlign w:val="superscript"/>
        </w:rPr>
        <w:footnoteRef/>
      </w:r>
      <w:r w:rsidRPr="00AD2F44">
        <w:rPr>
          <w:i/>
          <w:iCs/>
        </w:rPr>
        <w:t>Id.</w:t>
      </w:r>
      <w:r w:rsidRPr="00AD2F44">
        <w:t xml:space="preserve"> at *10–12; </w:t>
      </w:r>
      <w:r w:rsidRPr="00AD2F44">
        <w:rPr>
          <w:i/>
          <w:iCs/>
        </w:rPr>
        <w:t>see</w:t>
      </w:r>
      <w:r w:rsidRPr="00AD2F44">
        <w:t xml:space="preserve"> Colella v. New York City Transit Auth., 2014 WL 7967835, at *4–5 (S.D.N.Y. Dec. 2, 2014) (dismissing claims of opt-ins who were unresponsive to discovery requests and previously admonished by court that failure to respond could result in dismissal).</w:t>
      </w:r>
    </w:p>
  </w:footnote>
  <w:footnote w:id="662">
    <w:p w14:paraId="4A258640" w14:textId="77777777" w:rsidR="00721CCF" w:rsidRPr="00AD2F44" w:rsidRDefault="00F42107">
      <w:pPr>
        <w:pStyle w:val="14Footnote"/>
      </w:pPr>
      <w:r w:rsidRPr="00AD2F44">
        <w:rPr>
          <w:vertAlign w:val="superscript"/>
        </w:rPr>
        <w:footnoteRef/>
      </w:r>
      <w:r w:rsidRPr="00AD2F44">
        <w:rPr>
          <w:i/>
          <w:iCs/>
        </w:rPr>
        <w:t>Second Circuit:</w:t>
      </w:r>
      <w:r w:rsidRPr="00AD2F44">
        <w:t xml:space="preserve"> Roach v. T.L. Cannon Corp., 2017 U.S. Dist. LEXIS 229549, at *26 (N.D.N.Y. Sep. 27, 2017); Reich v. New York City Transit Auth., 839 F. Supp. 171, 173, 1 WH Cases2d 1297 (E.D.N.Y. Dec. 13, 1993).</w:t>
      </w:r>
    </w:p>
    <w:p w14:paraId="1C9C2011" w14:textId="77777777" w:rsidR="00721CCF" w:rsidRPr="00AD2F44" w:rsidRDefault="00F42107">
      <w:pPr>
        <w:pStyle w:val="14Footnote"/>
      </w:pPr>
      <w:r w:rsidRPr="00AD2F44">
        <w:rPr>
          <w:i/>
          <w:iCs/>
        </w:rPr>
        <w:t>Third Circuit:</w:t>
      </w:r>
      <w:r w:rsidRPr="00AD2F44">
        <w:t xml:space="preserve"> Maldonado v. Lucca, 629 F. Supp. 483, 485, 27 WH Cases 997 (D.N.J. 1986).</w:t>
      </w:r>
    </w:p>
    <w:p w14:paraId="2C86E559" w14:textId="77777777" w:rsidR="00721CCF" w:rsidRPr="00AD2F44" w:rsidRDefault="00F42107">
      <w:pPr>
        <w:pStyle w:val="14Footnote"/>
      </w:pPr>
      <w:r w:rsidRPr="00AD2F44">
        <w:rPr>
          <w:i/>
          <w:iCs/>
        </w:rPr>
        <w:t>Fourth Circuit:</w:t>
      </w:r>
      <w:r w:rsidRPr="00AD2F44">
        <w:t xml:space="preserve"> Perez v. Mountaire Farms, Inc., 2009 WL 1119671, at *23 (D. Md. Apr. 17, 2009); Masters v. City of Huntington, 800 F. Supp. 355, 357 (S.D. W. Va. 1992); International Ass’n of Fire Fighters v. City of Alexandria, 720 F. Supp. 1230, 1231 n.1, 29 WH Cases 782 (E.D. Va. 1989).</w:t>
      </w:r>
    </w:p>
    <w:p w14:paraId="4E195183" w14:textId="77777777" w:rsidR="00721CCF" w:rsidRPr="00AD2F44" w:rsidRDefault="00F42107">
      <w:pPr>
        <w:pStyle w:val="14Footnote"/>
      </w:pPr>
      <w:r w:rsidRPr="00AD2F44">
        <w:rPr>
          <w:i/>
          <w:iCs/>
        </w:rPr>
        <w:t>Fifth Circuit:</w:t>
      </w:r>
      <w:r w:rsidRPr="00AD2F44">
        <w:t xml:space="preserve"> Barfield v. Madison Cnty., 212 F.3d 269, 271, 6 WH Cases2d 1 (5th Cir. 2000); Murillo v. Coryell Cnty. Tradesmen, LLC, 2017 U.S. Dist. LEXIS 98067, at *14–15 (E.D. La. June 26, 2017) (“With regard to Plaintiffs’ FLSA claims, bifurcating trial into liability and damages phases would expedite and economize the trial by allowing the jury to first consider the parties’ evidence on the liability portion of Plaintiffs’ collective FLSA action against the eight Defendants and, if the jury determines that any or all Defendants are liable to Plaintiffs under FLSA, only then consider the individual evidence of damages for each Plaintiff as to those Defendants found liable.”); Alexander v. Wackenhut Corp., 2008 WL 2697163, at *7 (E.D. La. July 1, 2008); Bryson v. City of DeRidder, 707 F. Supp. 245, 246, 29 WH Cases 44 (W.D. La. 1987). </w:t>
      </w:r>
    </w:p>
    <w:p w14:paraId="3C58E1B0" w14:textId="77777777" w:rsidR="00721CCF" w:rsidRPr="00AD2F44" w:rsidRDefault="00F42107">
      <w:pPr>
        <w:pStyle w:val="14Footnote"/>
      </w:pPr>
      <w:r w:rsidRPr="00AD2F44">
        <w:rPr>
          <w:i/>
          <w:iCs/>
        </w:rPr>
        <w:t>Sixth Circuit:</w:t>
      </w:r>
      <w:r w:rsidRPr="00AD2F44">
        <w:t xml:space="preserve"> Beck v. City of Cleveland, 542 F. Supp. 2d 739, 741 (N.D. Ohio 2008).</w:t>
      </w:r>
    </w:p>
    <w:p w14:paraId="38D6E146" w14:textId="77777777" w:rsidR="00721CCF" w:rsidRPr="00AD2F44" w:rsidRDefault="00F42107">
      <w:pPr>
        <w:pStyle w:val="14Footnote"/>
      </w:pPr>
      <w:r w:rsidRPr="00AD2F44">
        <w:rPr>
          <w:i/>
          <w:iCs/>
        </w:rPr>
        <w:t>Seventh Circuit:</w:t>
      </w:r>
      <w:r w:rsidRPr="00AD2F44">
        <w:t xml:space="preserve"> </w:t>
      </w:r>
      <w:r w:rsidRPr="00AD2F44">
        <w:rPr>
          <w:i/>
          <w:iCs/>
        </w:rPr>
        <w:t>In re</w:t>
      </w:r>
      <w:r w:rsidRPr="00AD2F44">
        <w:t xml:space="preserve"> FedEx Ground Package Sys., Inc., 2006 WL 3755311, at *2 (N.D. Ind. Dec. 14, 2006).</w:t>
      </w:r>
    </w:p>
    <w:p w14:paraId="268D0715" w14:textId="77777777" w:rsidR="00721CCF" w:rsidRPr="00AD2F44" w:rsidRDefault="00F42107">
      <w:pPr>
        <w:pStyle w:val="14Footnote"/>
      </w:pPr>
      <w:r w:rsidRPr="00AD2F44">
        <w:rPr>
          <w:i/>
          <w:iCs/>
        </w:rPr>
        <w:t>Ninth Circuit:</w:t>
      </w:r>
      <w:r w:rsidRPr="00AD2F44">
        <w:t xml:space="preserve"> Ingersoll v. Royal &amp; Sunalliance USA, Inc., 2006 WL 2091097, at *2 (W.D. Wash. July 25, 2006); Thiebes v. Wal-Mart Stores, Inc., 2004 WL 1688544, at *1 (D. Or. July 26, 2004) (bifurcated by court over defendant’s objection); Stewart v. City &amp; Cnty. of S.F., 834 F. Supp. 1233, 1234, 1 WH Cases2d 1110 (N.D. Cal. 1993). </w:t>
      </w:r>
    </w:p>
    <w:p w14:paraId="0B558381" w14:textId="77777777" w:rsidR="00721CCF" w:rsidRPr="00AD2F44" w:rsidRDefault="00F42107">
      <w:pPr>
        <w:pStyle w:val="14Footnote"/>
      </w:pPr>
      <w:r w:rsidRPr="00AD2F44">
        <w:rPr>
          <w:i/>
          <w:iCs/>
        </w:rPr>
        <w:t>Tenth Circuit:</w:t>
      </w:r>
      <w:r w:rsidRPr="00AD2F44">
        <w:t xml:space="preserve"> Metzler v. IBP, Inc., 127 F.3d 959, 961–62, 4 WH Cases2d 229 (10th Cir. 1997); Reich v. IBP, Inc., 1996 WL 137817, at *1, 3 WH Cases 2 (D. Kan. May 16, 1996); Nixon v. City of Junction City, 707 F. Supp. 473, 480, 2 WH Cases2d 1763 (D. Kan. 1988).</w:t>
      </w:r>
    </w:p>
    <w:p w14:paraId="6AA29B4A" w14:textId="77777777" w:rsidR="00721CCF" w:rsidRPr="00AD2F44" w:rsidRDefault="00F42107">
      <w:pPr>
        <w:pStyle w:val="14Footnote"/>
      </w:pPr>
      <w:r w:rsidRPr="00AD2F44">
        <w:rPr>
          <w:i/>
          <w:iCs/>
        </w:rPr>
        <w:t>Eleventh Circuit:</w:t>
      </w:r>
      <w:r w:rsidRPr="00AD2F44">
        <w:t xml:space="preserve"> Reich v. Department of Conservation and Nat’l Res., 28 F.3d 1076, 1078, 2 WH Cases2d 385 (11th Cir. 1994); Wales v. Jack M. Berry, Inc., 192 F. Supp. 2d 1269, 1272 (M.D. Fla. 1999).</w:t>
      </w:r>
    </w:p>
    <w:p w14:paraId="7B2C6542" w14:textId="7D6256FA" w:rsidR="00721CCF" w:rsidRPr="00AD2F44" w:rsidRDefault="00F42107">
      <w:pPr>
        <w:pStyle w:val="14Footnote"/>
      </w:pPr>
      <w:r w:rsidRPr="00AD2F44">
        <w:rPr>
          <w:i/>
          <w:iCs/>
        </w:rPr>
        <w:t>Federal Circuit:</w:t>
      </w:r>
      <w:r w:rsidRPr="00AD2F44">
        <w:t xml:space="preserve"> Federal Air Marshals v. United States, 84 Fed. Cl. 585, 588, 14 WH Cases2d 442 (2008).</w:t>
      </w:r>
    </w:p>
  </w:footnote>
  <w:footnote w:id="663">
    <w:p w14:paraId="71358D15" w14:textId="77777777" w:rsidR="00721CCF" w:rsidRPr="00AD2F44" w:rsidRDefault="00F42107">
      <w:pPr>
        <w:pStyle w:val="14Footnote"/>
      </w:pPr>
      <w:r w:rsidRPr="00AD2F44">
        <w:rPr>
          <w:vertAlign w:val="superscript"/>
        </w:rPr>
        <w:footnoteRef/>
      </w:r>
      <w:r w:rsidRPr="00AD2F44">
        <w:rPr>
          <w:smallCaps/>
        </w:rPr>
        <w:t>Fed. R. Civ. P.</w:t>
      </w:r>
      <w:r w:rsidRPr="00AD2F44">
        <w:t xml:space="preserve"> 42(b).</w:t>
      </w:r>
    </w:p>
  </w:footnote>
  <w:footnote w:id="664">
    <w:p w14:paraId="2E72656D" w14:textId="77777777" w:rsidR="00721CCF" w:rsidRPr="00AD2F44" w:rsidRDefault="00F42107">
      <w:pPr>
        <w:pStyle w:val="14Footnote"/>
      </w:pPr>
      <w:r w:rsidRPr="00AD2F44">
        <w:rPr>
          <w:vertAlign w:val="superscript"/>
        </w:rPr>
        <w:footnoteRef/>
      </w:r>
      <w:r w:rsidRPr="00AD2F44">
        <w:rPr>
          <w:i/>
        </w:rPr>
        <w:t>See</w:t>
      </w:r>
    </w:p>
    <w:p w14:paraId="75A9D7BE" w14:textId="77777777" w:rsidR="00721CCF" w:rsidRPr="00AD2F44" w:rsidRDefault="00F42107">
      <w:pPr>
        <w:pStyle w:val="14Footnote"/>
      </w:pPr>
      <w:r w:rsidRPr="00AD2F44">
        <w:rPr>
          <w:i/>
          <w:iCs/>
        </w:rPr>
        <w:t>Third Circuit:</w:t>
      </w:r>
      <w:r w:rsidRPr="00AD2F44">
        <w:t xml:space="preserve"> Goldman v. RadioShack Corp., 2005 WL 1155751, at *1, 10 WH Cases2d 1237 (E.D. Pa. May 13, 2005).</w:t>
      </w:r>
    </w:p>
    <w:p w14:paraId="0FC6895D" w14:textId="77777777" w:rsidR="00721CCF" w:rsidRPr="00AD2F44" w:rsidRDefault="00F42107">
      <w:pPr>
        <w:pStyle w:val="14Footnote"/>
      </w:pPr>
      <w:r w:rsidRPr="00AD2F44">
        <w:rPr>
          <w:i/>
          <w:iCs/>
        </w:rPr>
        <w:t>Tenth Circuit:</w:t>
      </w:r>
      <w:r w:rsidRPr="00AD2F44">
        <w:t xml:space="preserve"> Lamon v. City of Shawnee, 1990 WL 120831, at *1, 29 WH Cases 1599 (D. Kan. July 10, 1990).</w:t>
      </w:r>
    </w:p>
    <w:p w14:paraId="4E9079A5" w14:textId="31193DAF" w:rsidR="00721CCF" w:rsidRPr="00AD2F44" w:rsidRDefault="00F42107">
      <w:pPr>
        <w:pStyle w:val="14Footnote"/>
      </w:pPr>
      <w:r w:rsidRPr="00AD2F44">
        <w:rPr>
          <w:i/>
          <w:iCs/>
        </w:rPr>
        <w:t>Eleventh Circuit:</w:t>
      </w:r>
      <w:r w:rsidRPr="00AD2F44">
        <w:t xml:space="preserve"> Davis v. City of Loganville, 2006 WL 1312411, at *4 (M.D. Ga. May 11, 2006).</w:t>
      </w:r>
    </w:p>
  </w:footnote>
  <w:footnote w:id="665">
    <w:p w14:paraId="17978603" w14:textId="77777777" w:rsidR="00721CCF" w:rsidRPr="00AD2F44" w:rsidRDefault="00F42107">
      <w:pPr>
        <w:pStyle w:val="14Footnote"/>
      </w:pPr>
      <w:r w:rsidRPr="00AD2F44">
        <w:rPr>
          <w:vertAlign w:val="superscript"/>
        </w:rPr>
        <w:footnoteRef/>
      </w:r>
      <w:r w:rsidRPr="00AD2F44">
        <w:rPr>
          <w:i/>
          <w:iCs/>
        </w:rPr>
        <w:t>First Circuit:</w:t>
      </w:r>
      <w:r w:rsidRPr="00AD2F44">
        <w:t xml:space="preserve"> Parolin v. City of Boston, 327 F. Supp. 2d 101, 104, 9 WH Cases2d 1461 (D. Mass. 2004).</w:t>
      </w:r>
    </w:p>
    <w:p w14:paraId="2AFCD71D" w14:textId="77777777" w:rsidR="00721CCF" w:rsidRPr="00AD2F44" w:rsidRDefault="00F42107">
      <w:pPr>
        <w:pStyle w:val="14Footnote"/>
      </w:pPr>
      <w:r w:rsidRPr="00AD2F44">
        <w:rPr>
          <w:i/>
          <w:iCs/>
        </w:rPr>
        <w:t>Third Circuit:</w:t>
      </w:r>
      <w:r w:rsidRPr="00AD2F44">
        <w:t xml:space="preserve"> De Asencio v. Tyson Foods, Inc., 500 F.3d 361, 375, 12 WH Cases2d 1865 (3d Cir. 2007); Minizza v. Stone Container Corp., 842 F.2d 1456, 1459, 28 WH Cases 849 (3d Cir. 1988); McGrath v. City of Philadelphia, 864 F. Supp. 466, 490, 2 WH Cases2d 551 (E.D. Pa. 1994); Brock v. DialAmerica Mktg., Inc., 1987 US Dist. LEXIS 15845, at *2 (D.N.J. Oct. 30, 1987).</w:t>
      </w:r>
    </w:p>
    <w:p w14:paraId="40D54BF3" w14:textId="77777777" w:rsidR="00721CCF" w:rsidRPr="00AD2F44" w:rsidRDefault="00F42107">
      <w:pPr>
        <w:pStyle w:val="14Footnote"/>
      </w:pPr>
      <w:r w:rsidRPr="00AD2F44">
        <w:rPr>
          <w:i/>
          <w:iCs/>
        </w:rPr>
        <w:t>Fourth Circuit:</w:t>
      </w:r>
      <w:r w:rsidRPr="00AD2F44">
        <w:t xml:space="preserve"> Fraternal Order of Police, Lodge 3 v. Baltimore City Police Dep’t, 1996 WL 1187049, at *1, 5 WH Cases2d 1383 (D. Md. Oct. 30, 1996).</w:t>
      </w:r>
    </w:p>
    <w:p w14:paraId="51CF9001" w14:textId="77777777" w:rsidR="00721CCF" w:rsidRPr="00AD2F44" w:rsidRDefault="00F42107">
      <w:pPr>
        <w:pStyle w:val="14Footnote"/>
      </w:pPr>
      <w:r w:rsidRPr="00AD2F44">
        <w:rPr>
          <w:i/>
          <w:iCs/>
        </w:rPr>
        <w:t>Fifth Circuit:</w:t>
      </w:r>
      <w:r w:rsidRPr="00AD2F44">
        <w:t xml:space="preserve"> Bond v. City of Jackson, 939 F.2d 285, 287, 30 WH Cases 808 (5th Cir. 1991); Dalheim v. KDFW-TV, 706 F. Supp. 493, 511, 29 WH Cases 1 (N.D. Tex. 1988).</w:t>
      </w:r>
    </w:p>
    <w:p w14:paraId="22D45154" w14:textId="77777777" w:rsidR="00721CCF" w:rsidRPr="00AD2F44" w:rsidRDefault="00F42107">
      <w:pPr>
        <w:pStyle w:val="14Footnote"/>
      </w:pPr>
      <w:r w:rsidRPr="00AD2F44">
        <w:rPr>
          <w:i/>
          <w:iCs/>
        </w:rPr>
        <w:t>Sixth Circuit:</w:t>
      </w:r>
      <w:r w:rsidRPr="00AD2F44">
        <w:t xml:space="preserve"> Beck v. City of Cleveland, 542 F. Supp. 2d 739, 741 (N.D. Ohio 2008).</w:t>
      </w:r>
    </w:p>
    <w:p w14:paraId="4640CA9F" w14:textId="77777777" w:rsidR="00721CCF" w:rsidRPr="00AD2F44" w:rsidRDefault="00F42107">
      <w:pPr>
        <w:pStyle w:val="14Footnote"/>
      </w:pPr>
      <w:r w:rsidRPr="00AD2F44">
        <w:rPr>
          <w:i/>
          <w:iCs/>
        </w:rPr>
        <w:t>Eighth Circuit:</w:t>
      </w:r>
      <w:r w:rsidRPr="00AD2F44">
        <w:t xml:space="preserve"> Saunders v. Ace Mortg. Funding, Inc., 2007 WL 1190985, at *4 n.2, 12 WH Cases2d 937 (D. Minn. Apr. 16, 2007).</w:t>
      </w:r>
    </w:p>
    <w:p w14:paraId="3EAA1E10" w14:textId="77777777" w:rsidR="00721CCF" w:rsidRPr="00AD2F44" w:rsidRDefault="00F42107">
      <w:pPr>
        <w:pStyle w:val="14Footnote"/>
      </w:pPr>
      <w:r w:rsidRPr="00AD2F44">
        <w:rPr>
          <w:i/>
          <w:iCs/>
        </w:rPr>
        <w:t>Ninth Circuit: In re</w:t>
      </w:r>
      <w:r w:rsidRPr="00AD2F44">
        <w:t xml:space="preserve"> Farmers Ins. Exch. Claims Reps. Overtime Pay Litig., 466 F.3d 853, 858, 11 WH Cases2d 1729 (9th Cir. 2006); Cleveland v. City of L.A., 420 F.3d 981, 987, 10 WH Cases2d 1409 (9th Cir. 2005).</w:t>
      </w:r>
    </w:p>
    <w:p w14:paraId="1F501FA9" w14:textId="230DEEDD" w:rsidR="00721CCF" w:rsidRPr="00AD2F44" w:rsidRDefault="00F42107">
      <w:pPr>
        <w:pStyle w:val="14Footnote"/>
      </w:pPr>
      <w:r w:rsidRPr="00AD2F44">
        <w:rPr>
          <w:i/>
          <w:iCs/>
        </w:rPr>
        <w:t>Eleventh Circuit:</w:t>
      </w:r>
      <w:r w:rsidRPr="00AD2F44">
        <w:t xml:space="preserve"> Dade Cnty. v. Alvarez, 124 F.3d 1380, 1383 n.12, 4 WH Cases2d 225 (11th Cir. 1997).</w:t>
      </w:r>
    </w:p>
  </w:footnote>
  <w:footnote w:id="666">
    <w:p w14:paraId="5FDB53AF" w14:textId="77777777" w:rsidR="00721CCF" w:rsidRPr="00AD2F44" w:rsidRDefault="00F42107">
      <w:pPr>
        <w:pStyle w:val="14Footnote"/>
      </w:pPr>
      <w:r w:rsidRPr="00AD2F44">
        <w:rPr>
          <w:vertAlign w:val="superscript"/>
        </w:rPr>
        <w:footnoteRef/>
      </w:r>
      <w:r w:rsidRPr="00AD2F44">
        <w:rPr>
          <w:i/>
        </w:rPr>
        <w:t>See</w:t>
      </w:r>
    </w:p>
    <w:p w14:paraId="7C2650BD" w14:textId="77777777" w:rsidR="00721CCF" w:rsidRPr="00AD2F44" w:rsidRDefault="00F42107">
      <w:pPr>
        <w:pStyle w:val="14Footnote"/>
      </w:pPr>
      <w:r w:rsidRPr="00AD2F44">
        <w:rPr>
          <w:i/>
          <w:iCs/>
        </w:rPr>
        <w:t>First Circuit:</w:t>
      </w:r>
      <w:r w:rsidRPr="00AD2F44">
        <w:t xml:space="preserve"> O’Hara v. Menino, 253 F. Supp. 2d 147, 149, 8 WH Cases2d 1017 (D. Mass. 2003) (joint motion); Harris v. City of Boston, 253 F. Supp. 2d 136, 138, 8 WH Cases2d 1009 (D. Mass. 2003) (joint motion).</w:t>
      </w:r>
    </w:p>
    <w:p w14:paraId="64F45FA3" w14:textId="77777777" w:rsidR="00721CCF" w:rsidRPr="00AD2F44" w:rsidRDefault="00F42107">
      <w:pPr>
        <w:pStyle w:val="14Footnote"/>
      </w:pPr>
      <w:r w:rsidRPr="00AD2F44">
        <w:rPr>
          <w:i/>
          <w:iCs/>
        </w:rPr>
        <w:t>Third Circuit:</w:t>
      </w:r>
      <w:r w:rsidRPr="00AD2F44">
        <w:t xml:space="preserve"> </w:t>
      </w:r>
      <w:r w:rsidRPr="00AD2F44">
        <w:rPr>
          <w:i/>
          <w:iCs/>
        </w:rPr>
        <w:t>Goldman</w:t>
      </w:r>
      <w:r w:rsidRPr="00AD2F44">
        <w:t>, 2005 WL 1155751, at *1 (granting defendant’s motion).</w:t>
      </w:r>
    </w:p>
    <w:p w14:paraId="0E05EF85" w14:textId="77777777" w:rsidR="00721CCF" w:rsidRPr="00AD2F44" w:rsidRDefault="00F42107">
      <w:pPr>
        <w:pStyle w:val="14Footnote"/>
      </w:pPr>
      <w:r w:rsidRPr="00AD2F44">
        <w:rPr>
          <w:i/>
          <w:iCs/>
        </w:rPr>
        <w:t>Fifth Circuit:</w:t>
      </w:r>
      <w:r w:rsidRPr="00AD2F44">
        <w:t xml:space="preserve"> Singer v. City of Waco, 2001 WL 34773879, at *1 (W.D. Tex. Sept. 14, 2001) (joint motion).</w:t>
      </w:r>
    </w:p>
    <w:p w14:paraId="14C28C19" w14:textId="77777777" w:rsidR="00721CCF" w:rsidRPr="00AD2F44" w:rsidRDefault="00F42107">
      <w:pPr>
        <w:pStyle w:val="14Footnote"/>
      </w:pPr>
      <w:r w:rsidRPr="00AD2F44">
        <w:rPr>
          <w:i/>
          <w:iCs/>
        </w:rPr>
        <w:t>Eighth Circuit:</w:t>
      </w:r>
      <w:r w:rsidRPr="00AD2F44">
        <w:t xml:space="preserve"> Rickard v. U.S. Auto Prot., LLC, 2013 WL 5538726, at *2 (E.D. Mo. Oct. 8, 2013) (granting defendant’s motion where court found common evidence existed as to alleged policy of requiring plaintiffs to work overtime to meet sales goals but that evidence as to damages would be significantly more individualized).</w:t>
      </w:r>
    </w:p>
    <w:p w14:paraId="06855934" w14:textId="77777777" w:rsidR="00721CCF" w:rsidRPr="00AD2F44" w:rsidRDefault="00F42107">
      <w:pPr>
        <w:pStyle w:val="14Footnote"/>
      </w:pPr>
      <w:r w:rsidRPr="00AD2F44">
        <w:rPr>
          <w:i/>
          <w:iCs/>
        </w:rPr>
        <w:t>Tenth Circuit:</w:t>
      </w:r>
      <w:r w:rsidRPr="00AD2F44">
        <w:t xml:space="preserve"> </w:t>
      </w:r>
      <w:r w:rsidRPr="00AD2F44">
        <w:rPr>
          <w:i/>
          <w:iCs/>
        </w:rPr>
        <w:t>Lamon</w:t>
      </w:r>
      <w:r w:rsidRPr="00AD2F44">
        <w:t>, 1990 WL 120831, at *1 (separate motions).</w:t>
      </w:r>
    </w:p>
    <w:p w14:paraId="44BBC342" w14:textId="1734EA27" w:rsidR="00721CCF" w:rsidRPr="00AD2F44" w:rsidRDefault="00F42107">
      <w:pPr>
        <w:pStyle w:val="14Footnote"/>
      </w:pPr>
      <w:r w:rsidRPr="00AD2F44">
        <w:rPr>
          <w:i/>
          <w:iCs/>
        </w:rPr>
        <w:t>Eleventh Circuit:</w:t>
      </w:r>
      <w:r w:rsidRPr="00AD2F44">
        <w:t xml:space="preserve"> </w:t>
      </w:r>
      <w:r w:rsidRPr="00AD2F44">
        <w:rPr>
          <w:i/>
          <w:iCs/>
        </w:rPr>
        <w:t>City of Loganville</w:t>
      </w:r>
      <w:r w:rsidRPr="00AD2F44">
        <w:t>, 2006 WL 1312411, at *4 (granting defendant’s motion).</w:t>
      </w:r>
    </w:p>
  </w:footnote>
  <w:footnote w:id="667">
    <w:p w14:paraId="723E8A9F" w14:textId="77777777" w:rsidR="00721CCF" w:rsidRPr="00AD2F44" w:rsidRDefault="00F42107">
      <w:pPr>
        <w:pStyle w:val="14Footnote"/>
      </w:pPr>
      <w:r w:rsidRPr="00AD2F44">
        <w:rPr>
          <w:vertAlign w:val="superscript"/>
        </w:rPr>
        <w:footnoteRef/>
      </w:r>
      <w:r w:rsidRPr="00AD2F44">
        <w:rPr>
          <w:i/>
          <w:iCs/>
        </w:rPr>
        <w:t>See</w:t>
      </w:r>
      <w:r w:rsidRPr="00AD2F44">
        <w:t xml:space="preserve"> Stewart v. Project Consulting Servs., 2000 WL 1880321, at *3 (E.D. La. Dec. 27, 2000) (bifurcation motion brought before defendant answered complaint denied as premature); Wren v. RGIS Inventory Specialists, 256 F.R.D. 180, 213 (N.D. Cal. 2009) (bifurcation motion brought simultaneously with motion for class certification under Rule 23 for state law claims after conditional certification had already been granted as to FLSA claims denied as premature).</w:t>
      </w:r>
    </w:p>
  </w:footnote>
  <w:footnote w:id="668">
    <w:p w14:paraId="6458F92F" w14:textId="77777777" w:rsidR="00721CCF" w:rsidRPr="00AD2F44" w:rsidRDefault="00F42107">
      <w:pPr>
        <w:pStyle w:val="14Footnote"/>
      </w:pPr>
      <w:r w:rsidRPr="00AD2F44">
        <w:rPr>
          <w:vertAlign w:val="superscript"/>
        </w:rPr>
        <w:footnoteRef/>
      </w:r>
      <w:r w:rsidRPr="00AD2F44">
        <w:rPr>
          <w:i/>
        </w:rPr>
        <w:t>See</w:t>
      </w:r>
    </w:p>
    <w:p w14:paraId="445C70FE" w14:textId="77777777" w:rsidR="00721CCF" w:rsidRPr="00AD2F44" w:rsidRDefault="00F42107">
      <w:pPr>
        <w:pStyle w:val="14Footnote"/>
      </w:pPr>
      <w:r w:rsidRPr="00AD2F44">
        <w:rPr>
          <w:i/>
          <w:iCs/>
        </w:rPr>
        <w:t>Second Circuit:</w:t>
      </w:r>
      <w:r w:rsidRPr="00AD2F44">
        <w:t xml:space="preserve"> Indergit v. Rite Aid Corp., 52 F. Supp. 3d 522, 524 (S.D.N.Y. 2014) (“[T]he issue of damages does not preclude collective action, and the case can be bifurcated into liability and damages phases if and when that becomes necessary.”); Mendez v. Radec Corp., 232 F.R.D. 78, 93–94, 11 WH Cases2d 172 (W.D.N.Y. 2005) (discussing bifurcation of liability and damages at trial as a class action management tool).</w:t>
      </w:r>
    </w:p>
    <w:p w14:paraId="29678FD9" w14:textId="77777777" w:rsidR="00721CCF" w:rsidRPr="00AD2F44" w:rsidRDefault="00F42107">
      <w:pPr>
        <w:pStyle w:val="14Footnote"/>
      </w:pPr>
      <w:r w:rsidRPr="00AD2F44">
        <w:rPr>
          <w:i/>
          <w:iCs/>
        </w:rPr>
        <w:t>Third Circuit:</w:t>
      </w:r>
      <w:r w:rsidRPr="00AD2F44">
        <w:t xml:space="preserve"> Chabrier v. Wilmington Fin., Inc., 2008 WL 938872, at *3 (E.D. Pa. Apr. 4, 2008) (same).</w:t>
      </w:r>
    </w:p>
    <w:p w14:paraId="05064DEE" w14:textId="77777777" w:rsidR="00721CCF" w:rsidRPr="00AD2F44" w:rsidRDefault="00F42107">
      <w:pPr>
        <w:pStyle w:val="14Footnote"/>
      </w:pPr>
      <w:r w:rsidRPr="00AD2F44">
        <w:rPr>
          <w:i/>
          <w:iCs/>
        </w:rPr>
        <w:t>Fifth Circuit:</w:t>
      </w:r>
      <w:r w:rsidRPr="00AD2F44">
        <w:t xml:space="preserve"> Maynor v. Dow Chem. Co., 2008 WL 2220394, at *9 (S.D. Tex. May 28, 2008) (citing bifurcation as a mechanism to handle damages determinations).</w:t>
      </w:r>
    </w:p>
    <w:p w14:paraId="5DE84B9F" w14:textId="46897A73" w:rsidR="00721CCF" w:rsidRPr="00AD2F44" w:rsidRDefault="00F42107">
      <w:pPr>
        <w:pStyle w:val="14Footnote"/>
      </w:pPr>
      <w:r w:rsidRPr="00AD2F44">
        <w:rPr>
          <w:i/>
          <w:iCs/>
        </w:rPr>
        <w:t>Sixth Circuit:</w:t>
      </w:r>
      <w:r w:rsidRPr="00AD2F44">
        <w:t xml:space="preserve"> Berger v. Cleveland Clinic Found., 2007 WL 2902907, at *22 (N.D. Ohio Sept. 29, 2007) (same).</w:t>
      </w:r>
    </w:p>
  </w:footnote>
  <w:footnote w:id="669">
    <w:p w14:paraId="33A9FA63" w14:textId="77777777" w:rsidR="00721CCF" w:rsidRPr="00AD2F44" w:rsidRDefault="00F42107">
      <w:pPr>
        <w:pStyle w:val="14Footnote"/>
      </w:pPr>
      <w:r w:rsidRPr="00AD2F44">
        <w:rPr>
          <w:vertAlign w:val="superscript"/>
        </w:rPr>
        <w:footnoteRef/>
      </w:r>
      <w:r w:rsidRPr="00AD2F44">
        <w:rPr>
          <w:i/>
        </w:rPr>
        <w:t>See</w:t>
      </w:r>
    </w:p>
    <w:p w14:paraId="1AF789D3" w14:textId="77777777" w:rsidR="00721CCF" w:rsidRPr="00AD2F44" w:rsidRDefault="00F42107">
      <w:pPr>
        <w:pStyle w:val="14Footnote"/>
      </w:pPr>
      <w:r w:rsidRPr="00AD2F44">
        <w:rPr>
          <w:i/>
          <w:iCs/>
        </w:rPr>
        <w:t>Third Circuit:</w:t>
      </w:r>
      <w:r w:rsidRPr="00AD2F44">
        <w:t xml:space="preserve"> </w:t>
      </w:r>
      <w:r w:rsidRPr="00AD2F44">
        <w:rPr>
          <w:i/>
          <w:iCs/>
        </w:rPr>
        <w:t>Chabrier, Inc.</w:t>
      </w:r>
      <w:r w:rsidRPr="00AD2F44">
        <w:t>, 2008 WL 938872, at *3 (denying motion to decertify and citing bifurcation as one means to aid in making individualized fact determinations).</w:t>
      </w:r>
    </w:p>
    <w:p w14:paraId="256F1FAC" w14:textId="77777777" w:rsidR="00721CCF" w:rsidRPr="00AD2F44" w:rsidRDefault="00F42107">
      <w:pPr>
        <w:pStyle w:val="14Footnote"/>
      </w:pPr>
      <w:r w:rsidRPr="00AD2F44">
        <w:rPr>
          <w:i/>
          <w:iCs/>
        </w:rPr>
        <w:t>Fifth Circuit:</w:t>
      </w:r>
      <w:r w:rsidRPr="00AD2F44">
        <w:t xml:space="preserve"> </w:t>
      </w:r>
      <w:r w:rsidRPr="00AD2F44">
        <w:rPr>
          <w:i/>
          <w:iCs/>
        </w:rPr>
        <w:t>Maynor</w:t>
      </w:r>
      <w:r w:rsidRPr="00AD2F44">
        <w:t>, 2008 WL 2220394, at *9 (same).</w:t>
      </w:r>
    </w:p>
    <w:p w14:paraId="331ECFEB" w14:textId="77777777" w:rsidR="00721CCF" w:rsidRPr="00AD2F44" w:rsidRDefault="00F42107">
      <w:pPr>
        <w:pStyle w:val="14Footnote"/>
      </w:pPr>
      <w:r w:rsidRPr="00AD2F44">
        <w:rPr>
          <w:i/>
          <w:iCs/>
        </w:rPr>
        <w:t>Sixth Circuit:</w:t>
      </w:r>
      <w:r w:rsidRPr="00AD2F44">
        <w:t xml:space="preserve"> Crawford v. Lexington-Fayette Urban Cnty. Gov’t, 2008 WL 2885230, at *11 (E.D. Ky. July 22, 2008) (stating that, while denying motion to decertify, bifurcation can allow individualized determination of damages and “should not preclude collective adjudication of the central issue of whether there was a[n] [unlawful] policy”); </w:t>
      </w:r>
      <w:r w:rsidRPr="00AD2F44">
        <w:rPr>
          <w:i/>
          <w:iCs/>
        </w:rPr>
        <w:t>Berger</w:t>
      </w:r>
      <w:r w:rsidRPr="00AD2F44">
        <w:t>, 2007 WL 2902907, at *22 (granting motion to conditionally certify action while noting that bifurcation is one procedural option available to the court to “efficiently handle the issue of damages”); Wilks v. Peps Boys, 2006 WL 2821700, at *7, 11 WH Cases2d 1554 (M.D. Tenn. Sept. 26, 2006) (denying motion to decertify and stating that, to allow defendant’s individualized defenses, the court “will consider bifurcation of the case into a liability stage, where the parties could address the alleged existence of an impermissible policy or practice, and a damages one, where they could, if necessary, debate the impact of that policy or practice on individual plaintiffs”).</w:t>
      </w:r>
    </w:p>
    <w:p w14:paraId="401B3A52" w14:textId="77777777" w:rsidR="00721CCF" w:rsidRPr="00AD2F44" w:rsidRDefault="00F42107">
      <w:pPr>
        <w:pStyle w:val="14Footnote"/>
      </w:pPr>
      <w:r w:rsidRPr="00AD2F44">
        <w:rPr>
          <w:i/>
          <w:iCs/>
        </w:rPr>
        <w:t>Seventh Circuit:</w:t>
      </w:r>
      <w:r w:rsidRPr="00AD2F44">
        <w:t xml:space="preserve"> Russell v. Illinois Bell Tel. Co., 721 F. Supp. 2d 804, 823–24 (N.D. Ill. 2010) (explaining that bifurcation of individual damages issues, along with subclassing cases into challenges to discrete policies, satisfied defendant’s due process rights, when balanced against plaintiffs’ rights, given court’s determination that many plaintiffs “would be unable to bear the costs of an individual trial”) (quotation and citation omitted).</w:t>
      </w:r>
    </w:p>
    <w:p w14:paraId="6F992E5C" w14:textId="77777777" w:rsidR="00721CCF" w:rsidRPr="00AD2F44" w:rsidRDefault="00F42107">
      <w:pPr>
        <w:pStyle w:val="14Footnote"/>
      </w:pPr>
      <w:r w:rsidRPr="00AD2F44">
        <w:rPr>
          <w:i/>
          <w:iCs/>
        </w:rPr>
        <w:t>Eighth Circuit:</w:t>
      </w:r>
      <w:r w:rsidRPr="00AD2F44">
        <w:t xml:space="preserve"> Rikard v. U.S. Auto Prot., LLC, 2013 WL 5532688, at *3 (E.D. Mo. Oct. 4, 2013) (denying decertification motion, finding that the court will consider bifurcation into liability and damages phases, using the damages phase to debate the impact of any unlawful policy on plaintiffs); Nerland v. Caribou Coffee Co., Inc., 564 F. Supp. 2d 1010, 1025 (D. Minn. 2007) (denying motion to decertify while recommending bifurcation to promote manageability of the collective action due to the fact that individualized defenses that defendant purported to assert chiefly related to issues of damages).</w:t>
      </w:r>
    </w:p>
    <w:p w14:paraId="62945FB4" w14:textId="109C40BC" w:rsidR="00721CCF" w:rsidRPr="00AD2F44" w:rsidRDefault="00F42107">
      <w:pPr>
        <w:pStyle w:val="14Footnote"/>
      </w:pPr>
      <w:r w:rsidRPr="00AD2F44">
        <w:rPr>
          <w:i/>
          <w:iCs/>
        </w:rPr>
        <w:t>Eleventh Circuit:</w:t>
      </w:r>
      <w:r w:rsidRPr="00AD2F44">
        <w:t xml:space="preserve"> Bobbit v. Broadband Interactive, Inc., 2013 WL 5720329, at *17 (M.D. Fla. Oct. 17, 2013) (denying decertification motion and agreeing that the number of overtime hours and extent of damages need to be determined on an individualized basis but can be handled in a separate damages phase).</w:t>
      </w:r>
    </w:p>
  </w:footnote>
  <w:footnote w:id="670">
    <w:p w14:paraId="712865F6" w14:textId="77777777" w:rsidR="00721CCF" w:rsidRPr="00AD2F44" w:rsidRDefault="00F42107">
      <w:pPr>
        <w:pStyle w:val="14Footnote"/>
      </w:pPr>
      <w:r w:rsidRPr="00AD2F44">
        <w:rPr>
          <w:vertAlign w:val="superscript"/>
        </w:rPr>
        <w:footnoteRef/>
      </w:r>
      <w:r w:rsidRPr="00AD2F44">
        <w:rPr>
          <w:i/>
          <w:iCs/>
        </w:rPr>
        <w:t>See</w:t>
      </w:r>
      <w:r w:rsidRPr="00AD2F44">
        <w:t xml:space="preserve"> Rousell v. Brinker Int’l, Inc., 2008 WL 2714079, at *14 (S.D. Tex. July 9, 2008) (requiring plaintiff to offer a revised trial plan that would address the individualized inquiries raised by defendant).</w:t>
      </w:r>
    </w:p>
  </w:footnote>
  <w:footnote w:id="671">
    <w:p w14:paraId="35DC8BF3" w14:textId="77777777" w:rsidR="00721CCF" w:rsidRPr="00AD2F44" w:rsidRDefault="00F42107">
      <w:pPr>
        <w:pStyle w:val="14Footnote"/>
      </w:pPr>
      <w:r w:rsidRPr="00AD2F44">
        <w:rPr>
          <w:vertAlign w:val="superscript"/>
        </w:rPr>
        <w:footnoteRef/>
      </w:r>
      <w:r w:rsidRPr="00AD2F44">
        <w:rPr>
          <w:i/>
        </w:rPr>
        <w:t>See</w:t>
      </w:r>
    </w:p>
    <w:p w14:paraId="68F1AD3C" w14:textId="77777777" w:rsidR="00721CCF" w:rsidRPr="00AD2F44" w:rsidRDefault="00F42107">
      <w:pPr>
        <w:pStyle w:val="14Footnote"/>
      </w:pPr>
      <w:r w:rsidRPr="00AD2F44">
        <w:rPr>
          <w:i/>
          <w:iCs/>
        </w:rPr>
        <w:t>Sixth Circuit:</w:t>
      </w:r>
      <w:r w:rsidRPr="00AD2F44">
        <w:t xml:space="preserve"> Myers v. Copper Cellar Corp., 1996 WL 766505, at *3–4, 3 WH Cases2d 1081 (E.D. Tenn. Sept. 27, 1996) (denying defendant’s motion because, given that the motion was filed before discovery was conducted, there was insufficient evidence at that time to demonstrate that bifurcation would promote the goals of bifurcation, but leaving open that it would entertain a new motion at a later time if needed).</w:t>
      </w:r>
    </w:p>
    <w:p w14:paraId="1A8FCD56" w14:textId="77777777" w:rsidR="00721CCF" w:rsidRPr="00AD2F44" w:rsidRDefault="00F42107">
      <w:pPr>
        <w:pStyle w:val="14Footnote"/>
      </w:pPr>
      <w:r w:rsidRPr="00AD2F44">
        <w:rPr>
          <w:i/>
          <w:iCs/>
        </w:rPr>
        <w:t>Tenth Circuit:</w:t>
      </w:r>
      <w:r w:rsidRPr="00AD2F44">
        <w:t xml:space="preserve"> Lamon v. City of Shawnee, 1990 WL 120831, at *1, 29 WH Cases 1599 (D. Kan. July 10, 1990) (granting separate motions in favor of bifurcation, because it would promote “convenience, expedition, and economy”).</w:t>
      </w:r>
    </w:p>
    <w:p w14:paraId="19C51D5C" w14:textId="09AD7FF6" w:rsidR="00721CCF" w:rsidRPr="00AD2F44" w:rsidRDefault="00F42107">
      <w:pPr>
        <w:pStyle w:val="14Footnote"/>
      </w:pPr>
      <w:r w:rsidRPr="00AD2F44">
        <w:rPr>
          <w:i/>
          <w:iCs/>
        </w:rPr>
        <w:t>Eleventh Circuit:</w:t>
      </w:r>
      <w:r w:rsidRPr="00AD2F44">
        <w:t xml:space="preserve"> Davis v. City of Loganville, 2006 WL 1312411, at *4 (M.D. Ga. May 11, 2006) (granting unopposed motion to bifurcate because the court found that the issues of liability were complex, the issues to be tried were discrete, and there was likely to be jury confusion absent bifurcation).</w:t>
      </w:r>
    </w:p>
  </w:footnote>
  <w:footnote w:id="672">
    <w:p w14:paraId="3A03FFFB" w14:textId="77777777" w:rsidR="00721CCF" w:rsidRPr="00AD2F44" w:rsidRDefault="00F42107">
      <w:pPr>
        <w:pStyle w:val="14Footnote"/>
      </w:pPr>
      <w:r w:rsidRPr="00AD2F44">
        <w:rPr>
          <w:vertAlign w:val="superscript"/>
        </w:rPr>
        <w:footnoteRef/>
      </w:r>
      <w:r w:rsidRPr="00AD2F44">
        <w:rPr>
          <w:i/>
        </w:rPr>
        <w:t>See</w:t>
      </w:r>
    </w:p>
    <w:p w14:paraId="46800471" w14:textId="77777777" w:rsidR="00721CCF" w:rsidRPr="00AD2F44" w:rsidRDefault="00F42107">
      <w:pPr>
        <w:pStyle w:val="14Footnote"/>
      </w:pPr>
      <w:r w:rsidRPr="00AD2F44">
        <w:rPr>
          <w:i/>
          <w:iCs/>
        </w:rPr>
        <w:t>Third Circuit:</w:t>
      </w:r>
      <w:r w:rsidRPr="00AD2F44">
        <w:t xml:space="preserve"> Goldman v. RadioShack Corp., 2005 WL 1155751, at *1, 10 WH Cases2d 1237 (E.D. Pa. May 13, 2005) (citing judicial economy as a reason for granting bifurcation motion).</w:t>
      </w:r>
    </w:p>
    <w:p w14:paraId="38374F19" w14:textId="77777777" w:rsidR="00721CCF" w:rsidRPr="00AD2F44" w:rsidRDefault="00F42107">
      <w:pPr>
        <w:pStyle w:val="14Footnote"/>
      </w:pPr>
      <w:r w:rsidRPr="00AD2F44">
        <w:rPr>
          <w:i/>
          <w:iCs/>
        </w:rPr>
        <w:t>Fifth Circuit:</w:t>
      </w:r>
      <w:r w:rsidRPr="00AD2F44">
        <w:t xml:space="preserve"> Falcon v. Starbucks Corp., 580 F. Supp. 2d 528, 541 (S.D. Tex. 2008) (court willing to consider bifurcation if “it will be in the interest of judicial economy”).</w:t>
      </w:r>
    </w:p>
    <w:p w14:paraId="3CE24913" w14:textId="77777777" w:rsidR="00721CCF" w:rsidRPr="00AD2F44" w:rsidRDefault="00F42107">
      <w:pPr>
        <w:pStyle w:val="14Footnote"/>
      </w:pPr>
      <w:r w:rsidRPr="00AD2F44">
        <w:rPr>
          <w:i/>
          <w:iCs/>
        </w:rPr>
        <w:t>Sixth Circuit:</w:t>
      </w:r>
      <w:r w:rsidRPr="00AD2F44">
        <w:t xml:space="preserve"> </w:t>
      </w:r>
      <w:r w:rsidRPr="00AD2F44">
        <w:rPr>
          <w:i/>
          <w:iCs/>
        </w:rPr>
        <w:t>Myers</w:t>
      </w:r>
      <w:r w:rsidRPr="00AD2F44">
        <w:t>, 1996 WL 766505, at *3–4 (denying bifurcation motion in part because court did not conclude that “separate trials would be conducive to expedition and economy”).</w:t>
      </w:r>
    </w:p>
    <w:p w14:paraId="501A3352" w14:textId="77777777" w:rsidR="00721CCF" w:rsidRPr="00AD2F44" w:rsidRDefault="00F42107">
      <w:pPr>
        <w:pStyle w:val="14Footnote"/>
      </w:pPr>
      <w:r w:rsidRPr="00AD2F44">
        <w:rPr>
          <w:i/>
          <w:iCs/>
        </w:rPr>
        <w:t>Tenth Circuit:</w:t>
      </w:r>
      <w:r w:rsidRPr="00AD2F44">
        <w:t xml:space="preserve"> </w:t>
      </w:r>
      <w:r w:rsidRPr="00AD2F44">
        <w:rPr>
          <w:i/>
          <w:iCs/>
        </w:rPr>
        <w:t>Lamon</w:t>
      </w:r>
      <w:r w:rsidRPr="00AD2F44">
        <w:t>, 1990 WL 120831, at *1 (granting motion).</w:t>
      </w:r>
    </w:p>
    <w:p w14:paraId="182FAD54" w14:textId="230810A8" w:rsidR="00721CCF" w:rsidRPr="00AD2F44" w:rsidRDefault="00F42107">
      <w:pPr>
        <w:pStyle w:val="14Footnote"/>
      </w:pPr>
      <w:r w:rsidRPr="00A674E3">
        <w:rPr>
          <w:i/>
          <w:iCs/>
        </w:rPr>
        <w:t>Eleventh Circuit: City of Loganville,</w:t>
      </w:r>
      <w:r w:rsidRPr="00AD2F44">
        <w:t xml:space="preserve"> 2006 WL 1312411, at *4 (same).</w:t>
      </w:r>
    </w:p>
  </w:footnote>
  <w:footnote w:id="673">
    <w:p w14:paraId="78192F80" w14:textId="77777777" w:rsidR="00721CCF" w:rsidRPr="00AD2F44" w:rsidRDefault="00F42107">
      <w:pPr>
        <w:pStyle w:val="14Footnote"/>
      </w:pPr>
      <w:r w:rsidRPr="00AD2F44">
        <w:rPr>
          <w:vertAlign w:val="superscript"/>
        </w:rPr>
        <w:footnoteRef/>
      </w:r>
      <w:r w:rsidRPr="00AD2F44">
        <w:rPr>
          <w:i/>
          <w:iCs/>
        </w:rPr>
        <w:t>See</w:t>
      </w:r>
      <w:r w:rsidRPr="00AD2F44">
        <w:t xml:space="preserve"> </w:t>
      </w:r>
      <w:r w:rsidRPr="00AD2F44">
        <w:rPr>
          <w:i/>
          <w:iCs/>
        </w:rPr>
        <w:t>Goldman</w:t>
      </w:r>
      <w:r w:rsidRPr="00AD2F44">
        <w:t>, 2005 WL 1155751, at *1.</w:t>
      </w:r>
    </w:p>
  </w:footnote>
  <w:footnote w:id="674">
    <w:p w14:paraId="79404658" w14:textId="77777777" w:rsidR="00721CCF" w:rsidRPr="00AD2F44" w:rsidRDefault="00F42107">
      <w:pPr>
        <w:pStyle w:val="14Footnote"/>
      </w:pPr>
      <w:r w:rsidRPr="00AD2F44">
        <w:rPr>
          <w:vertAlign w:val="superscript"/>
        </w:rPr>
        <w:footnoteRef/>
      </w:r>
      <w:r w:rsidRPr="00AD2F44">
        <w:rPr>
          <w:i/>
          <w:iCs/>
        </w:rPr>
        <w:t>See City of Loganville</w:t>
      </w:r>
      <w:r w:rsidRPr="00AD2F44">
        <w:t>, 2006 WL 1312411, at *4.</w:t>
      </w:r>
    </w:p>
  </w:footnote>
  <w:footnote w:id="675">
    <w:p w14:paraId="31D7A01F" w14:textId="77777777" w:rsidR="00721CCF" w:rsidRPr="00AD2F44" w:rsidRDefault="00F42107">
      <w:pPr>
        <w:pStyle w:val="14Footnote"/>
      </w:pPr>
      <w:r w:rsidRPr="00AD2F44">
        <w:rPr>
          <w:vertAlign w:val="superscript"/>
        </w:rPr>
        <w:footnoteRef/>
      </w:r>
      <w:r w:rsidRPr="00AD2F44">
        <w:rPr>
          <w:i/>
        </w:rPr>
        <w:t>See</w:t>
      </w:r>
    </w:p>
    <w:p w14:paraId="38268C5F" w14:textId="77777777" w:rsidR="00721CCF" w:rsidRPr="00AD2F44" w:rsidRDefault="00F42107">
      <w:pPr>
        <w:pStyle w:val="14Footnote"/>
      </w:pPr>
      <w:r w:rsidRPr="00AD2F44">
        <w:rPr>
          <w:i/>
          <w:iCs/>
        </w:rPr>
        <w:t>Third Circuit:</w:t>
      </w:r>
      <w:r w:rsidRPr="00AD2F44">
        <w:t xml:space="preserve"> </w:t>
      </w:r>
      <w:r w:rsidRPr="00AD2F44">
        <w:rPr>
          <w:i/>
          <w:iCs/>
        </w:rPr>
        <w:t>Goldman</w:t>
      </w:r>
      <w:r w:rsidRPr="00AD2F44">
        <w:t>, 2005 WL 1155751, at *1 (weighing potential prejudice to each party).</w:t>
      </w:r>
    </w:p>
    <w:p w14:paraId="39E3DA73" w14:textId="77777777" w:rsidR="00721CCF" w:rsidRPr="00AD2F44" w:rsidRDefault="00F42107">
      <w:pPr>
        <w:pStyle w:val="14Footnote"/>
      </w:pPr>
      <w:r w:rsidRPr="00AD2F44">
        <w:rPr>
          <w:i/>
          <w:iCs/>
        </w:rPr>
        <w:t>Fifth Circuit:</w:t>
      </w:r>
      <w:r w:rsidRPr="00AD2F44">
        <w:t xml:space="preserve"> Murillo v. Coryell Cnty. Tradesmen, LLC, 2017 U.S. Dist. LEXIS 98067, at *19–20 (E.D. La. June 26, 2017).</w:t>
      </w:r>
    </w:p>
    <w:p w14:paraId="7540419F" w14:textId="77777777" w:rsidR="00721CCF" w:rsidRPr="00AD2F44" w:rsidRDefault="00F42107">
      <w:pPr>
        <w:pStyle w:val="14Footnote"/>
      </w:pPr>
      <w:r w:rsidRPr="00AD2F44">
        <w:rPr>
          <w:i/>
          <w:iCs/>
        </w:rPr>
        <w:t>Sixth Circuit:</w:t>
      </w:r>
      <w:r w:rsidRPr="00AD2F44">
        <w:t xml:space="preserve"> </w:t>
      </w:r>
      <w:r w:rsidRPr="00AD2F44">
        <w:rPr>
          <w:i/>
          <w:iCs/>
        </w:rPr>
        <w:t>Myers</w:t>
      </w:r>
      <w:r w:rsidRPr="00AD2F44">
        <w:t>, 1996 WL 766505, at *3–4.</w:t>
      </w:r>
    </w:p>
    <w:p w14:paraId="3D22546B" w14:textId="276C7B56" w:rsidR="00721CCF" w:rsidRPr="00AD2F44" w:rsidRDefault="00F42107">
      <w:pPr>
        <w:pStyle w:val="14Footnote"/>
      </w:pPr>
      <w:r w:rsidRPr="00AD2F44">
        <w:rPr>
          <w:i/>
          <w:iCs/>
        </w:rPr>
        <w:t>Eleventh Circuit: City of Loganville,</w:t>
      </w:r>
      <w:r w:rsidRPr="00AD2F44">
        <w:t xml:space="preserve"> 2006 WL 1312411, at *4.</w:t>
      </w:r>
    </w:p>
  </w:footnote>
  <w:footnote w:id="676">
    <w:p w14:paraId="690D56D3" w14:textId="77777777" w:rsidR="00721CCF" w:rsidRPr="00AD2F44" w:rsidRDefault="00F42107">
      <w:pPr>
        <w:pStyle w:val="14Footnote"/>
      </w:pPr>
      <w:r w:rsidRPr="00AD2F44">
        <w:rPr>
          <w:vertAlign w:val="superscript"/>
        </w:rPr>
        <w:footnoteRef/>
      </w:r>
      <w:r w:rsidRPr="00AD2F44">
        <w:rPr>
          <w:i/>
          <w:iCs/>
        </w:rPr>
        <w:t>Compare Lamon</w:t>
      </w:r>
      <w:r w:rsidRPr="00AD2F44">
        <w:t xml:space="preserve">, 1990 WL 120831, at *1 (bifurcation granted but plaintiff’s request to stay discovery on damages denied), </w:t>
      </w:r>
      <w:r w:rsidRPr="00AD2F44">
        <w:rPr>
          <w:i/>
          <w:iCs/>
        </w:rPr>
        <w:t>with</w:t>
      </w:r>
      <w:r w:rsidRPr="00AD2F44">
        <w:t xml:space="preserve"> Harris v. Sims Registry, 2001 WL 78448, at *1 n.2, 7 WH Cases2d 1116 (N.D. Ill. Jan. 29, 2001) (court bifurcated proceeding and limited discovery to the exemption issue as to 10 sample plaintiffs).</w:t>
      </w:r>
    </w:p>
  </w:footnote>
  <w:footnote w:id="677">
    <w:p w14:paraId="3FC8C135" w14:textId="77777777" w:rsidR="00721CCF" w:rsidRPr="00AD2F44" w:rsidRDefault="00F42107">
      <w:pPr>
        <w:pStyle w:val="14Footnote"/>
      </w:pPr>
      <w:r w:rsidRPr="00AD2F44">
        <w:rPr>
          <w:vertAlign w:val="superscript"/>
        </w:rPr>
        <w:footnoteRef/>
      </w:r>
      <w:r w:rsidRPr="00AD2F44">
        <w:rPr>
          <w:i/>
          <w:iCs/>
        </w:rPr>
        <w:t>See</w:t>
      </w:r>
      <w:r w:rsidRPr="00AD2F44">
        <w:t xml:space="preserve"> Moreau v. Klevenhagen, 956 F.2d 516, 522–23, 30 WH Cases 1438 (5th Cir. 1992) (overturning district court’s grant of summary judgment to defendant after finding that district court had “jumped the gun” by addressing the issue of damages during the liability stage).</w:t>
      </w:r>
    </w:p>
  </w:footnote>
  <w:footnote w:id="678">
    <w:p w14:paraId="13A8DEF4" w14:textId="77777777" w:rsidR="00721CCF" w:rsidRPr="00AD2F44" w:rsidRDefault="00F42107">
      <w:pPr>
        <w:pStyle w:val="14Footnote"/>
      </w:pPr>
      <w:r w:rsidRPr="00AD2F44">
        <w:rPr>
          <w:vertAlign w:val="superscript"/>
        </w:rPr>
        <w:footnoteRef/>
      </w:r>
      <w:r w:rsidRPr="00AD2F44">
        <w:rPr>
          <w:i/>
          <w:iCs/>
        </w:rPr>
        <w:t>See, e.g.,</w:t>
      </w:r>
    </w:p>
    <w:p w14:paraId="507E022B" w14:textId="77777777" w:rsidR="00721CCF" w:rsidRPr="00AD2F44" w:rsidRDefault="00F42107">
      <w:pPr>
        <w:pStyle w:val="14Footnote"/>
      </w:pPr>
      <w:r w:rsidRPr="00AD2F44">
        <w:rPr>
          <w:i/>
          <w:iCs/>
        </w:rPr>
        <w:t>Second Circuit:</w:t>
      </w:r>
      <w:r w:rsidRPr="00AD2F44">
        <w:t xml:space="preserve"> Parker v. City of N.Y., 2008 U.S. Dist. LEXIS 38769, at *28–29, 13 WH Cases2d 1122 (S.D.N.Y. May 13, 2008); Davis v. J.P. Morgan Chase &amp; Co., 2007 WL 142110, at *1 (W.D.N.Y. Jan. 16, 2007); Freeman v. National Broad. Co., Inc., 1993 WL 524858, at *1 (S.D.N.Y. Dec. 15, 1993).</w:t>
      </w:r>
    </w:p>
    <w:p w14:paraId="0D26090F" w14:textId="77777777" w:rsidR="00721CCF" w:rsidRPr="00AD2F44" w:rsidRDefault="00F42107">
      <w:pPr>
        <w:pStyle w:val="14Footnote"/>
      </w:pPr>
      <w:r w:rsidRPr="00AD2F44">
        <w:rPr>
          <w:i/>
          <w:iCs/>
        </w:rPr>
        <w:t>Third Circuit:</w:t>
      </w:r>
      <w:r w:rsidRPr="00AD2F44">
        <w:t xml:space="preserve"> Lusardi v. Xerox Corp., 118 F.R.D. 351, 354 (D.N.J. 1987) (ADEA case relying on FLSA statutory framework).</w:t>
      </w:r>
    </w:p>
    <w:p w14:paraId="07364B56" w14:textId="77777777" w:rsidR="00721CCF" w:rsidRPr="00AD2F44" w:rsidRDefault="00F42107">
      <w:pPr>
        <w:pStyle w:val="14Footnote"/>
      </w:pPr>
      <w:r w:rsidRPr="00AD2F44">
        <w:rPr>
          <w:i/>
          <w:iCs/>
        </w:rPr>
        <w:t>Eleventh Circuit:</w:t>
      </w:r>
      <w:r w:rsidRPr="00AD2F44">
        <w:t xml:space="preserve"> Hogan v. Allstate Ins. Co., 210 F. Supp. 2d 1312, 1313–14 (M.D. Fla. 2002), </w:t>
      </w:r>
      <w:r w:rsidRPr="00AD2F44">
        <w:rPr>
          <w:i/>
          <w:iCs/>
        </w:rPr>
        <w:t>aff’d in part, vacated &amp; remanded in part</w:t>
      </w:r>
      <w:r w:rsidRPr="00AD2F44">
        <w:t>, 361 F.3d 621, 9 WH Cases2d 720 (11th Cir. 2004).</w:t>
      </w:r>
    </w:p>
    <w:p w14:paraId="48F4CF46" w14:textId="0C65ACBC" w:rsidR="00721CCF" w:rsidRPr="00AD2F44" w:rsidRDefault="00F42107">
      <w:pPr>
        <w:pStyle w:val="14Footnote"/>
      </w:pPr>
      <w:r w:rsidRPr="00AD2F44">
        <w:rPr>
          <w:i/>
          <w:iCs/>
        </w:rPr>
        <w:t>Federal Circuit:</w:t>
      </w:r>
      <w:r w:rsidRPr="00AD2F44">
        <w:t xml:space="preserve"> Federal Air Marshals v. United States, 84 Fed. Cl. 585, 586, 14 WH Cases2d 442 (2008).</w:t>
      </w:r>
    </w:p>
  </w:footnote>
  <w:footnote w:id="679">
    <w:p w14:paraId="72C090A3" w14:textId="77777777" w:rsidR="00721CCF" w:rsidRPr="00AD2F44" w:rsidRDefault="00F42107">
      <w:pPr>
        <w:pStyle w:val="14Footnote"/>
      </w:pPr>
      <w:r w:rsidRPr="00AD2F44">
        <w:rPr>
          <w:vertAlign w:val="superscript"/>
        </w:rPr>
        <w:footnoteRef/>
      </w:r>
      <w:r w:rsidRPr="00AD2F44">
        <w:rPr>
          <w:i/>
        </w:rPr>
        <w:t>See</w:t>
      </w:r>
    </w:p>
    <w:p w14:paraId="60799FBE" w14:textId="77777777" w:rsidR="00721CCF" w:rsidRPr="00AD2F44" w:rsidRDefault="00F42107">
      <w:pPr>
        <w:pStyle w:val="14Footnote"/>
      </w:pPr>
      <w:r w:rsidRPr="00AD2F44">
        <w:rPr>
          <w:i/>
          <w:iCs/>
        </w:rPr>
        <w:t>Second Circuit:</w:t>
      </w:r>
      <w:r w:rsidRPr="00AD2F44">
        <w:t xml:space="preserve"> Mullins v. City of N.Y., 554 F. Supp. 2d 483, 486 (S.D.N.Y. 2008).</w:t>
      </w:r>
    </w:p>
    <w:p w14:paraId="34F236D5" w14:textId="77777777" w:rsidR="00721CCF" w:rsidRPr="00AD2F44" w:rsidRDefault="00F42107">
      <w:pPr>
        <w:pStyle w:val="14Footnote"/>
      </w:pPr>
      <w:r w:rsidRPr="00AD2F44">
        <w:rPr>
          <w:i/>
          <w:iCs/>
        </w:rPr>
        <w:t>Third Circuit:</w:t>
      </w:r>
      <w:r w:rsidRPr="00AD2F44">
        <w:t xml:space="preserve"> </w:t>
      </w:r>
      <w:r w:rsidRPr="00AD2F44">
        <w:rPr>
          <w:i/>
          <w:iCs/>
        </w:rPr>
        <w:t>Lusardi</w:t>
      </w:r>
      <w:r w:rsidRPr="00AD2F44">
        <w:t>, 118 F.R.D. at 354 (ADEA case relying on FLSA statutory framework where parties randomly selected 51 sample class members to conduct discovery along with named plaintiffs).</w:t>
      </w:r>
    </w:p>
    <w:p w14:paraId="4B2E580E" w14:textId="77777777" w:rsidR="00721CCF" w:rsidRPr="00AD2F44" w:rsidRDefault="00F42107">
      <w:pPr>
        <w:pStyle w:val="14Footnote"/>
      </w:pPr>
      <w:r w:rsidRPr="00AD2F44">
        <w:rPr>
          <w:i/>
          <w:iCs/>
        </w:rPr>
        <w:t>Eleventh Circuit: Hogan,</w:t>
      </w:r>
      <w:r w:rsidRPr="00AD2F44">
        <w:t xml:space="preserve"> 361 F.3d at 624.</w:t>
      </w:r>
    </w:p>
  </w:footnote>
  <w:footnote w:id="680">
    <w:p w14:paraId="4BF4E049" w14:textId="77777777" w:rsidR="00721CCF" w:rsidRPr="00AD2F44" w:rsidRDefault="00F42107">
      <w:pPr>
        <w:pStyle w:val="14Footnote"/>
      </w:pPr>
      <w:r w:rsidRPr="00AD2F44">
        <w:rPr>
          <w:vertAlign w:val="superscript"/>
        </w:rPr>
        <w:footnoteRef/>
      </w:r>
      <w:r w:rsidRPr="00AD2F44">
        <w:rPr>
          <w:i/>
        </w:rPr>
        <w:t>See</w:t>
      </w:r>
    </w:p>
    <w:p w14:paraId="0C4D2A23" w14:textId="77777777" w:rsidR="00721CCF" w:rsidRPr="00AD2F44" w:rsidRDefault="00F42107">
      <w:pPr>
        <w:pStyle w:val="14Footnote"/>
      </w:pPr>
      <w:r w:rsidRPr="00AD2F44">
        <w:rPr>
          <w:i/>
          <w:iCs/>
        </w:rPr>
        <w:t>Second Circuit: Davis</w:t>
      </w:r>
      <w:r w:rsidRPr="00AD2F44">
        <w:t xml:space="preserve">, 2007 WL 142110, at *1; </w:t>
      </w:r>
      <w:r w:rsidRPr="00AD2F44">
        <w:rPr>
          <w:i/>
          <w:iCs/>
        </w:rPr>
        <w:t>Freeman</w:t>
      </w:r>
      <w:r w:rsidRPr="00AD2F44">
        <w:t>, 1993 WL 524858, at *1.</w:t>
      </w:r>
    </w:p>
    <w:p w14:paraId="07563D7C" w14:textId="77777777" w:rsidR="00721CCF" w:rsidRPr="00AD2F44" w:rsidRDefault="00F42107">
      <w:pPr>
        <w:pStyle w:val="14Footnote"/>
      </w:pPr>
      <w:r w:rsidRPr="00AD2F44">
        <w:rPr>
          <w:i/>
          <w:iCs/>
        </w:rPr>
        <w:t>Fifth Circuit:</w:t>
      </w:r>
      <w:r w:rsidRPr="00AD2F44">
        <w:t xml:space="preserve"> Lindsley v. Bellsouth Telecomms., 2009 WL 537159, at *1 (E.D. La. Feb. 27, 2009).</w:t>
      </w:r>
    </w:p>
    <w:p w14:paraId="12817D70" w14:textId="6E608514" w:rsidR="00721CCF" w:rsidRPr="00AD2F44" w:rsidRDefault="00F42107">
      <w:pPr>
        <w:pStyle w:val="14Footnote"/>
      </w:pPr>
      <w:r w:rsidRPr="00AD2F44">
        <w:rPr>
          <w:i/>
          <w:iCs/>
        </w:rPr>
        <w:t>Federal Circuit: Federal Air Marshals,</w:t>
      </w:r>
      <w:r w:rsidRPr="00AD2F44">
        <w:t xml:space="preserve"> 84 Fed. Cl. at 586.</w:t>
      </w:r>
    </w:p>
  </w:footnote>
  <w:footnote w:id="681">
    <w:p w14:paraId="0CB5FECB" w14:textId="77777777" w:rsidR="00721CCF" w:rsidRPr="00AD2F44" w:rsidRDefault="00F42107">
      <w:pPr>
        <w:pStyle w:val="14Footnote"/>
      </w:pPr>
      <w:r w:rsidRPr="00AD2F44">
        <w:rPr>
          <w:vertAlign w:val="superscript"/>
        </w:rPr>
        <w:footnoteRef/>
      </w:r>
      <w:r w:rsidRPr="00AD2F44">
        <w:rPr>
          <w:i/>
          <w:iCs/>
        </w:rPr>
        <w:t>See</w:t>
      </w:r>
      <w:r w:rsidRPr="00AD2F44">
        <w:t xml:space="preserve"> </w:t>
      </w:r>
      <w:r w:rsidRPr="00AD2F44">
        <w:rPr>
          <w:i/>
          <w:iCs/>
        </w:rPr>
        <w:t>Davis</w:t>
      </w:r>
      <w:r w:rsidRPr="00AD2F44">
        <w:t xml:space="preserve">, 2007 WL 142110, at *1; </w:t>
      </w:r>
      <w:r w:rsidRPr="00AD2F44">
        <w:rPr>
          <w:i/>
          <w:iCs/>
        </w:rPr>
        <w:t>Federal Air Marshals</w:t>
      </w:r>
      <w:r w:rsidRPr="00AD2F44">
        <w:t xml:space="preserve">, 84 Fed. Cl. at 586; </w:t>
      </w:r>
      <w:r w:rsidRPr="00AD2F44">
        <w:rPr>
          <w:i/>
          <w:iCs/>
        </w:rPr>
        <w:t>Freeman</w:t>
      </w:r>
      <w:r w:rsidRPr="00AD2F44">
        <w:t xml:space="preserve">, 1993 WL 524858, at *1. </w:t>
      </w:r>
      <w:r w:rsidRPr="00AD2F44">
        <w:rPr>
          <w:i/>
          <w:iCs/>
        </w:rPr>
        <w:t xml:space="preserve">But see </w:t>
      </w:r>
      <w:r w:rsidRPr="00AD2F44">
        <w:t>Lindsley</w:t>
      </w:r>
      <w:r w:rsidRPr="00AD2F44">
        <w:rPr>
          <w:i/>
          <w:iCs/>
        </w:rPr>
        <w:t xml:space="preserve"> </w:t>
      </w:r>
      <w:r w:rsidRPr="00AD2F44">
        <w:t>v. Bellsouth Telecomms., 2009 WL 322144 (E.D. La. Feb. 9, 2009) (denying plaintiffs’ motion to strike defendants’ summary judgment motion and selecting one of the named plaintiffs as a test plaintiff to resolve the question of employee or independent contractor status).</w:t>
      </w:r>
    </w:p>
  </w:footnote>
  <w:footnote w:id="682">
    <w:p w14:paraId="3CFC61B3" w14:textId="77777777" w:rsidR="00721CCF" w:rsidRPr="00AD2F44" w:rsidRDefault="00F42107">
      <w:pPr>
        <w:pStyle w:val="14Footnote"/>
      </w:pPr>
      <w:r w:rsidRPr="00AD2F44">
        <w:rPr>
          <w:vertAlign w:val="superscript"/>
        </w:rPr>
        <w:footnoteRef/>
      </w:r>
      <w:r w:rsidRPr="00AD2F44">
        <w:t xml:space="preserve">210 F. Supp. 2d 1312 (M.D. Fla. 2002), </w:t>
      </w:r>
      <w:r w:rsidRPr="00AD2F44">
        <w:rPr>
          <w:i/>
          <w:iCs/>
        </w:rPr>
        <w:t>aff’d in part, vacated &amp; remanded in part</w:t>
      </w:r>
      <w:r w:rsidRPr="00AD2F44">
        <w:t xml:space="preserve">, 361 F.3d 621, 9 WH Cases2d 720 (11th Cir. 2004). </w:t>
      </w:r>
    </w:p>
  </w:footnote>
  <w:footnote w:id="683">
    <w:p w14:paraId="393CF375" w14:textId="77777777" w:rsidR="00721CCF" w:rsidRPr="00AD2F44" w:rsidRDefault="00F42107">
      <w:pPr>
        <w:pStyle w:val="14Footnote"/>
      </w:pPr>
      <w:r w:rsidRPr="00AD2F44">
        <w:rPr>
          <w:vertAlign w:val="superscript"/>
        </w:rPr>
        <w:footnoteRef/>
      </w:r>
      <w:r w:rsidRPr="00AD2F44">
        <w:t>210 F. Supp. 2d at 1313.</w:t>
      </w:r>
    </w:p>
  </w:footnote>
  <w:footnote w:id="684">
    <w:p w14:paraId="7254AAC4" w14:textId="77777777" w:rsidR="00721CCF" w:rsidRPr="00AD2F44" w:rsidRDefault="00F42107">
      <w:pPr>
        <w:pStyle w:val="14Footnote"/>
      </w:pPr>
      <w:r w:rsidRPr="00AD2F44">
        <w:rPr>
          <w:vertAlign w:val="superscript"/>
        </w:rPr>
        <w:footnoteRef/>
      </w:r>
      <w:r w:rsidRPr="00AD2F44">
        <w:rPr>
          <w:i/>
          <w:iCs/>
        </w:rPr>
        <w:t>Id</w:t>
      </w:r>
      <w:r w:rsidRPr="00AD2F44">
        <w:t>. at 1324.</w:t>
      </w:r>
    </w:p>
  </w:footnote>
  <w:footnote w:id="685">
    <w:p w14:paraId="3528042F" w14:textId="77777777" w:rsidR="00721CCF" w:rsidRPr="00AD2F44" w:rsidRDefault="00F42107">
      <w:pPr>
        <w:pStyle w:val="14Footnote"/>
      </w:pPr>
      <w:r w:rsidRPr="00AD2F44">
        <w:rPr>
          <w:vertAlign w:val="superscript"/>
        </w:rPr>
        <w:footnoteRef/>
      </w:r>
      <w:r w:rsidRPr="00AD2F44">
        <w:rPr>
          <w:i/>
          <w:iCs/>
        </w:rPr>
        <w:t>Hogan</w:t>
      </w:r>
      <w:r w:rsidRPr="00AD2F44">
        <w:t>, 361 F.3d at 628.</w:t>
      </w:r>
    </w:p>
  </w:footnote>
  <w:footnote w:id="686">
    <w:p w14:paraId="5B3556F7" w14:textId="77777777" w:rsidR="00721CCF" w:rsidRPr="00AD2F44" w:rsidRDefault="00F42107">
      <w:pPr>
        <w:pStyle w:val="14Footnote"/>
      </w:pPr>
      <w:r w:rsidRPr="00AD2F44">
        <w:rPr>
          <w:vertAlign w:val="superscript"/>
        </w:rPr>
        <w:footnoteRef/>
      </w:r>
      <w:r w:rsidRPr="00AD2F44">
        <w:rPr>
          <w:i/>
          <w:iCs/>
        </w:rPr>
        <w:t>Id</w:t>
      </w:r>
      <w:r w:rsidRPr="00AD2F44">
        <w:t>. at 628–29.</w:t>
      </w:r>
    </w:p>
  </w:footnote>
  <w:footnote w:id="687">
    <w:p w14:paraId="28561E0B" w14:textId="77777777" w:rsidR="00721CCF" w:rsidRPr="00AD2F44" w:rsidRDefault="00F42107">
      <w:pPr>
        <w:pStyle w:val="14Footnote"/>
      </w:pPr>
      <w:r w:rsidRPr="00AD2F44">
        <w:rPr>
          <w:vertAlign w:val="superscript"/>
        </w:rPr>
        <w:footnoteRef/>
      </w:r>
      <w:r w:rsidRPr="00AD2F44">
        <w:rPr>
          <w:i/>
          <w:iCs/>
        </w:rPr>
        <w:t>Id</w:t>
      </w:r>
      <w:r w:rsidRPr="00AD2F44">
        <w:t>. at 629.</w:t>
      </w:r>
    </w:p>
  </w:footnote>
  <w:footnote w:id="688">
    <w:p w14:paraId="0ACB5D72" w14:textId="77777777" w:rsidR="00721CCF" w:rsidRPr="00AD2F44" w:rsidRDefault="00F42107">
      <w:pPr>
        <w:pStyle w:val="14Footnote"/>
      </w:pPr>
      <w:r w:rsidRPr="00AD2F44">
        <w:rPr>
          <w:vertAlign w:val="superscript"/>
        </w:rPr>
        <w:footnoteRef/>
      </w:r>
      <w:r w:rsidRPr="00AD2F44">
        <w:t xml:space="preserve">Hogan v. Allstate Ins. Co., No. 8:00-cv-02562-JSM-TWG, slip op. at 4 (M.D. Fla. Apr. 26, 2004). </w:t>
      </w:r>
    </w:p>
  </w:footnote>
  <w:footnote w:id="689">
    <w:p w14:paraId="36CCA2E6" w14:textId="77777777" w:rsidR="00721CCF" w:rsidRPr="00AD2F44" w:rsidRDefault="00F42107">
      <w:pPr>
        <w:pStyle w:val="14Footnote"/>
      </w:pPr>
      <w:r w:rsidRPr="00AD2F44">
        <w:rPr>
          <w:vertAlign w:val="superscript"/>
        </w:rPr>
        <w:footnoteRef/>
      </w:r>
      <w:r w:rsidRPr="00AD2F44">
        <w:rPr>
          <w:i/>
          <w:iCs/>
        </w:rPr>
        <w:t>See</w:t>
      </w:r>
      <w:r w:rsidRPr="00AD2F44">
        <w:t xml:space="preserve"> Pendlebury v. Starbucks Coffee Co., 2008 WL 113667, at *1 n.1 (S.D. Fla. Jan. 8, 2008).</w:t>
      </w:r>
    </w:p>
  </w:footnote>
  <w:footnote w:id="690">
    <w:p w14:paraId="63922C24" w14:textId="77777777" w:rsidR="00721CCF" w:rsidRPr="00AD2F44" w:rsidRDefault="00F42107">
      <w:pPr>
        <w:pStyle w:val="14Footnote"/>
      </w:pPr>
      <w:r w:rsidRPr="00AD2F44">
        <w:rPr>
          <w:vertAlign w:val="superscript"/>
        </w:rPr>
        <w:footnoteRef/>
      </w:r>
      <w:r w:rsidRPr="00AD2F44">
        <w:rPr>
          <w:i/>
          <w:iCs/>
        </w:rPr>
        <w:t>See</w:t>
      </w:r>
      <w:r w:rsidRPr="00AD2F44">
        <w:t xml:space="preserve"> Lindsley v. Bellsouth Telecomms., 2009 WL 322144, at *2 (E.D. La. Feb. 9, 2009) (denying plaintiffs’ motion to strike and selecting one of the named plaintiffs as a test plaintiff to resolve the question of employee or independent contractor status).</w:t>
      </w:r>
    </w:p>
  </w:footnote>
  <w:footnote w:id="691">
    <w:p w14:paraId="79B45211" w14:textId="77777777" w:rsidR="00721CCF" w:rsidRPr="00AD2F44" w:rsidRDefault="00F42107">
      <w:pPr>
        <w:pStyle w:val="14Footnote"/>
      </w:pPr>
      <w:r w:rsidRPr="00AD2F44">
        <w:rPr>
          <w:vertAlign w:val="superscript"/>
        </w:rPr>
        <w:footnoteRef/>
      </w:r>
      <w:r w:rsidRPr="00AD2F44">
        <w:rPr>
          <w:smallCaps/>
        </w:rPr>
        <w:t>Federal Judicial Center, Manual for Complex Litigation</w:t>
      </w:r>
      <w:r w:rsidRPr="00AD2F44">
        <w:t xml:space="preserve"> (4th ed. 2004).</w:t>
      </w:r>
    </w:p>
  </w:footnote>
  <w:footnote w:id="692">
    <w:p w14:paraId="15BD5316" w14:textId="77777777" w:rsidR="00721CCF" w:rsidRPr="00AD2F44" w:rsidRDefault="00F42107">
      <w:pPr>
        <w:pStyle w:val="14Footnote"/>
      </w:pPr>
      <w:r w:rsidRPr="00AD2F44">
        <w:rPr>
          <w:vertAlign w:val="superscript"/>
        </w:rPr>
        <w:footnoteRef/>
      </w:r>
      <w:r w:rsidRPr="00AD2F44">
        <w:t xml:space="preserve">28 U.S.C. §1407(a). </w:t>
      </w:r>
      <w:r w:rsidRPr="00AD2F44">
        <w:rPr>
          <w:i/>
          <w:iCs/>
        </w:rPr>
        <w:t>See, e</w:t>
      </w:r>
      <w:r w:rsidRPr="00AD2F44">
        <w:t>.</w:t>
      </w:r>
      <w:r w:rsidRPr="00AD2F44">
        <w:rPr>
          <w:i/>
          <w:iCs/>
        </w:rPr>
        <w:t>g</w:t>
      </w:r>
      <w:r w:rsidRPr="00AD2F44">
        <w:t xml:space="preserve">., </w:t>
      </w:r>
      <w:r w:rsidRPr="00AD2F44">
        <w:rPr>
          <w:i/>
          <w:iCs/>
        </w:rPr>
        <w:t>In re</w:t>
      </w:r>
      <w:r w:rsidRPr="00AD2F44">
        <w:rPr>
          <w:b/>
          <w:bCs/>
        </w:rPr>
        <w:t xml:space="preserve"> </w:t>
      </w:r>
      <w:r w:rsidRPr="00AD2F44">
        <w:t>Enterprise Rent-A-Car Wage &amp; Hour Emp. Practices Litig., 626 F. Supp. 2d 1325, 1325 (J.P.M.L. 2009) (transferring six collective actions challenging exempt status of defendant’s assistant managers).</w:t>
      </w:r>
    </w:p>
  </w:footnote>
  <w:footnote w:id="693">
    <w:p w14:paraId="1B291EAE" w14:textId="77777777" w:rsidR="00721CCF" w:rsidRPr="00AD2F44" w:rsidRDefault="00F42107">
      <w:pPr>
        <w:pStyle w:val="14Footnote"/>
      </w:pPr>
      <w:r w:rsidRPr="00AD2F44">
        <w:rPr>
          <w:vertAlign w:val="superscript"/>
        </w:rPr>
        <w:footnoteRef/>
      </w:r>
      <w:r w:rsidRPr="00AD2F44">
        <w:t>29 U.S.C. §1407(c).</w:t>
      </w:r>
    </w:p>
  </w:footnote>
  <w:footnote w:id="694">
    <w:p w14:paraId="138AA8B8" w14:textId="77777777" w:rsidR="00721CCF" w:rsidRPr="00AD2F44" w:rsidRDefault="00F42107">
      <w:pPr>
        <w:pStyle w:val="14Footnote"/>
      </w:pPr>
      <w:r w:rsidRPr="00AD2F44">
        <w:rPr>
          <w:vertAlign w:val="superscript"/>
        </w:rPr>
        <w:footnoteRef/>
      </w:r>
      <w:r w:rsidRPr="00AD2F44">
        <w:rPr>
          <w:smallCaps/>
        </w:rPr>
        <w:t>Manual for Complex Litigation</w:t>
      </w:r>
      <w:r w:rsidRPr="00AD2F44">
        <w:t xml:space="preserve"> §20.133.</w:t>
      </w:r>
    </w:p>
  </w:footnote>
  <w:footnote w:id="695">
    <w:p w14:paraId="49775477" w14:textId="77777777" w:rsidR="00721CCF" w:rsidRPr="00AD2F44" w:rsidRDefault="00F42107">
      <w:pPr>
        <w:pStyle w:val="14Footnote"/>
      </w:pPr>
      <w:r w:rsidRPr="00AD2F44">
        <w:rPr>
          <w:vertAlign w:val="superscript"/>
        </w:rPr>
        <w:footnoteRef/>
      </w:r>
      <w:r w:rsidRPr="00AD2F44">
        <w:rPr>
          <w:i/>
          <w:iCs/>
        </w:rPr>
        <w:t>In re</w:t>
      </w:r>
      <w:r w:rsidRPr="00AD2F44">
        <w:t xml:space="preserve"> Food Lion, Inc., Fair Labor Standards Act, “Effective Scheduling” Litig., 73 F.3d 528, 532 (4th Cir. 1996); </w:t>
      </w:r>
      <w:r w:rsidRPr="00AD2F44">
        <w:rPr>
          <w:smallCaps/>
        </w:rPr>
        <w:t>Manual for Complex Litigation</w:t>
      </w:r>
      <w:r w:rsidRPr="00AD2F44">
        <w:t xml:space="preserve"> §20.132.</w:t>
      </w:r>
    </w:p>
  </w:footnote>
  <w:footnote w:id="696">
    <w:p w14:paraId="01F026DC" w14:textId="77777777" w:rsidR="00721CCF" w:rsidRPr="00AD2F44" w:rsidRDefault="00F42107">
      <w:pPr>
        <w:pStyle w:val="14Footnote"/>
      </w:pPr>
      <w:r w:rsidRPr="00AD2F44">
        <w:rPr>
          <w:vertAlign w:val="superscript"/>
        </w:rPr>
        <w:footnoteRef/>
      </w:r>
      <w:r w:rsidRPr="00AD2F44">
        <w:rPr>
          <w:i/>
          <w:iCs/>
        </w:rPr>
        <w:t xml:space="preserve">In re </w:t>
      </w:r>
      <w:r w:rsidRPr="00AD2F44">
        <w:t xml:space="preserve">Comcast Corp. Emp. Wage &amp; Hour Emp. Practices Litig., 190 F. Supp. 3d 1344, 1345 (J.P.M.L. 2016) (quoting </w:t>
      </w:r>
      <w:r w:rsidRPr="00AD2F44">
        <w:rPr>
          <w:i/>
          <w:iCs/>
        </w:rPr>
        <w:t xml:space="preserve">In re </w:t>
      </w:r>
      <w:r w:rsidRPr="00AD2F44">
        <w:t>Best Buy Co., Inc., Cal. Song-Beverly Credit Card Act Litig., 804 F. Supp. 2d 1376, 1378 (J.P.M.L. 2011)).</w:t>
      </w:r>
    </w:p>
  </w:footnote>
  <w:footnote w:id="697">
    <w:p w14:paraId="750F804A" w14:textId="77777777" w:rsidR="00721CCF" w:rsidRPr="00AD2F44" w:rsidRDefault="00F42107">
      <w:pPr>
        <w:pStyle w:val="14Footnote"/>
      </w:pPr>
      <w:r w:rsidRPr="00AD2F44">
        <w:rPr>
          <w:vertAlign w:val="superscript"/>
        </w:rPr>
        <w:footnoteRef/>
      </w:r>
      <w:r w:rsidRPr="00AD2F44">
        <w:rPr>
          <w:i/>
          <w:iCs/>
        </w:rPr>
        <w:t>In re Food Lion</w:t>
      </w:r>
      <w:r w:rsidRPr="00AD2F44">
        <w:t>, 73 F.3d 528.</w:t>
      </w:r>
    </w:p>
  </w:footnote>
  <w:footnote w:id="698">
    <w:p w14:paraId="6EB983D4" w14:textId="77777777" w:rsidR="00721CCF" w:rsidRPr="00AD2F44" w:rsidRDefault="00F42107">
      <w:pPr>
        <w:pStyle w:val="14Footnote"/>
      </w:pPr>
      <w:r w:rsidRPr="00AD2F44">
        <w:rPr>
          <w:vertAlign w:val="superscript"/>
        </w:rPr>
        <w:footnoteRef/>
      </w:r>
      <w:r w:rsidRPr="00AD2F44">
        <w:rPr>
          <w:i/>
          <w:iCs/>
        </w:rPr>
        <w:t>Id.</w:t>
      </w:r>
      <w:r w:rsidRPr="00AD2F44">
        <w:t xml:space="preserve"> at 533.</w:t>
      </w:r>
    </w:p>
  </w:footnote>
  <w:footnote w:id="699">
    <w:p w14:paraId="5E0350FA" w14:textId="77777777" w:rsidR="00721CCF" w:rsidRPr="00AD2F44" w:rsidRDefault="00F42107">
      <w:pPr>
        <w:pStyle w:val="14Footnote"/>
      </w:pPr>
      <w:r w:rsidRPr="00AD2F44">
        <w:rPr>
          <w:vertAlign w:val="superscript"/>
        </w:rPr>
        <w:footnoteRef/>
      </w:r>
      <w:r w:rsidRPr="00AD2F44">
        <w:rPr>
          <w:i/>
          <w:iCs/>
        </w:rPr>
        <w:t xml:space="preserve">Id. </w:t>
      </w:r>
      <w:r w:rsidRPr="00AD2F44">
        <w:t>at 532.</w:t>
      </w:r>
    </w:p>
  </w:footnote>
  <w:footnote w:id="700">
    <w:p w14:paraId="4046757D" w14:textId="77777777" w:rsidR="00721CCF" w:rsidRPr="00AD2F44" w:rsidRDefault="00F42107">
      <w:pPr>
        <w:pStyle w:val="14Footnote"/>
      </w:pPr>
      <w:r w:rsidRPr="00AD2F44">
        <w:rPr>
          <w:vertAlign w:val="superscript"/>
        </w:rPr>
        <w:footnoteRef/>
      </w:r>
      <w:r w:rsidRPr="00AD2F44">
        <w:rPr>
          <w:i/>
          <w:iCs/>
        </w:rPr>
        <w:t>Id.</w:t>
      </w:r>
      <w:r w:rsidRPr="00AD2F44">
        <w:t xml:space="preserve"> at 533.</w:t>
      </w:r>
    </w:p>
  </w:footnote>
  <w:footnote w:id="701">
    <w:p w14:paraId="6A16211D" w14:textId="77777777" w:rsidR="00721CCF" w:rsidRPr="00AD2F44" w:rsidRDefault="00F42107">
      <w:pPr>
        <w:pStyle w:val="14Footnote"/>
      </w:pPr>
      <w:r w:rsidRPr="00AD2F44">
        <w:rPr>
          <w:vertAlign w:val="superscript"/>
        </w:rPr>
        <w:footnoteRef/>
      </w:r>
      <w:r w:rsidRPr="00AD2F44">
        <w:rPr>
          <w:i/>
          <w:iCs/>
        </w:rPr>
        <w:t>See In re</w:t>
      </w:r>
      <w:r w:rsidRPr="00AD2F44">
        <w:t xml:space="preserve"> Wells Fargo Wage &amp; Hour Emp. Practices Litig.,</w:t>
      </w:r>
      <w:r w:rsidRPr="00AD2F44">
        <w:rPr>
          <w:i/>
          <w:iCs/>
        </w:rPr>
        <w:t xml:space="preserve"> </w:t>
      </w:r>
      <w:r w:rsidRPr="00AD2F44">
        <w:t xml:space="preserve">804 F. Supp. 2d 1382, 1384–85 (J.P.M.L. 2011) (selecting Southern District of Texas as transferee court where two of four actions were pending); </w:t>
      </w:r>
      <w:r w:rsidRPr="00AD2F44">
        <w:rPr>
          <w:i/>
          <w:iCs/>
        </w:rPr>
        <w:t>In re</w:t>
      </w:r>
      <w:r w:rsidRPr="00AD2F44">
        <w:rPr>
          <w:b/>
          <w:bCs/>
        </w:rPr>
        <w:t xml:space="preserve"> </w:t>
      </w:r>
      <w:r w:rsidRPr="00AD2F44">
        <w:t xml:space="preserve">Enterprise Rent-A-Car Wage &amp; Hour Emp. Practices Litig., 626 F. Supp. 2d 1325, 1326 (J.P.M.L. 2009) (selecting Western District of Pennsylvania as transferee court in part because it was where first-filed action was pending); </w:t>
      </w:r>
      <w:r w:rsidRPr="00AD2F44">
        <w:rPr>
          <w:i/>
          <w:iCs/>
        </w:rPr>
        <w:t>In re</w:t>
      </w:r>
      <w:r w:rsidRPr="00AD2F44">
        <w:t xml:space="preserve"> DirecTech Sw., Inc., FLSA Litig., 581 F. Supp. 2d 1370 (J.P.M.L. 2008) (consolidating three overtime actions into the Eastern District of Louisiana, the forum with the first-filed and most-advanced case; the plaintiffs all either supported or did not oppose the motion to consolidate and transfer); </w:t>
      </w:r>
      <w:r w:rsidRPr="00AD2F44">
        <w:rPr>
          <w:i/>
          <w:iCs/>
        </w:rPr>
        <w:t>In re</w:t>
      </w:r>
      <w:r w:rsidRPr="00AD2F44">
        <w:t xml:space="preserve"> Cintas Corp. Overtime Pay Arb. Litig., 444 F. Supp. 2d 1353, 1355 (J.P.M.L. 2006) (consolidating 71 separate actions before the Northern District of California court “because i) the district is where the first filed and significantly more advanced action is pending before a judge already well versed in the issues presented by the litigation; and ii) all parties are in agreement that if the litigation is centralized, the California district should be selected as transferee forum”).</w:t>
      </w:r>
    </w:p>
  </w:footnote>
  <w:footnote w:id="702">
    <w:p w14:paraId="6E01342B" w14:textId="5C292D6E" w:rsidR="00721CCF" w:rsidRPr="00AD2F44" w:rsidRDefault="00F42107">
      <w:pPr>
        <w:pStyle w:val="14Footnote"/>
      </w:pPr>
      <w:r w:rsidRPr="00AD2F44">
        <w:rPr>
          <w:vertAlign w:val="superscript"/>
        </w:rPr>
        <w:footnoteRef/>
      </w:r>
      <w:r w:rsidRPr="00AD2F44">
        <w:rPr>
          <w:i/>
          <w:iCs/>
        </w:rPr>
        <w:t>In re</w:t>
      </w:r>
      <w:r w:rsidRPr="00AD2F44">
        <w:t xml:space="preserve"> Wells Fargo Wage &amp; Hour Emp. Practices Litig.,</w:t>
      </w:r>
      <w:r w:rsidRPr="00AD2F44">
        <w:rPr>
          <w:i/>
          <w:iCs/>
        </w:rPr>
        <w:t xml:space="preserve"> </w:t>
      </w:r>
      <w:r w:rsidRPr="00AD2F44">
        <w:t xml:space="preserve">804 F. Supp. 2d 1382, 1384–85 (J.P.M.L. 2011) (selecting Southern District of Texas as transferee court where discovery had already commenced); </w:t>
      </w:r>
      <w:r w:rsidRPr="00AD2F44">
        <w:rPr>
          <w:i/>
          <w:iCs/>
        </w:rPr>
        <w:t xml:space="preserve">In re </w:t>
      </w:r>
      <w:r w:rsidRPr="00AD2F44">
        <w:t xml:space="preserve">Foot Locker, Inc., FLSA &amp; Wage &amp; Hour Litig., 787 F. Supp. 2d 1364, 1365 (J.P.M.L. 2011) (selecting Eastern District of Pennsylvania because action had been pending since May 2007 and judge was familiar with issues in litigation); </w:t>
      </w:r>
      <w:r w:rsidRPr="00AD2F44">
        <w:rPr>
          <w:i/>
          <w:iCs/>
        </w:rPr>
        <w:t>In re</w:t>
      </w:r>
      <w:r w:rsidRPr="00AD2F44">
        <w:rPr>
          <w:b/>
          <w:bCs/>
        </w:rPr>
        <w:t xml:space="preserve"> </w:t>
      </w:r>
      <w:r w:rsidRPr="00AD2F44">
        <w:t xml:space="preserve">Enterprise Rent-A-Car Wage &amp; Hour Emp. Practices Litig., 626 F. Supp. 2d 1325, 1326 (J.P.M.L. 2009) (selecting Western District of Pennsylvania as transferee court in part because that venue was where case was most procedurally advanced); </w:t>
      </w:r>
      <w:r w:rsidRPr="00AD2F44">
        <w:rPr>
          <w:i/>
          <w:iCs/>
        </w:rPr>
        <w:t>In re</w:t>
      </w:r>
      <w:r w:rsidRPr="00AD2F44">
        <w:t xml:space="preserve"> Family Dollar Stores, Inc., Wage &amp; Hour Emp. Practices Litig., 545 F. Supp. 2d 1363 (J.P.M.L. 2008) (consolidating nine overtime actions against Family Dollar Stores in the Western District of North Carolina because allegations were factually similar, defendant’s headquarters was located in that district, and six of the actions were already underway there); </w:t>
      </w:r>
      <w:r w:rsidRPr="00AD2F44">
        <w:rPr>
          <w:i/>
          <w:iCs/>
        </w:rPr>
        <w:t>In re</w:t>
      </w:r>
      <w:r w:rsidRPr="00AD2F44">
        <w:t xml:space="preserve"> American Family Mut. Ins. Co., 416 F. Supp. 2d 1346, 1347 (J.P.M.L. 2006) (consolidating two FLSA misclassification actions in District of Colorado where motion requested and over 120 plaintiffs had opted in to litigation “in order to eliminate duplicative discovery; prevent inconsistent pretrial rulings, particularly with respect to class certification; and conserve the resources of the parties, their counsel and the judiciary”); </w:t>
      </w:r>
      <w:r w:rsidRPr="00AD2F44">
        <w:rPr>
          <w:i/>
          <w:iCs/>
        </w:rPr>
        <w:t>In re</w:t>
      </w:r>
      <w:r w:rsidRPr="00AD2F44">
        <w:t xml:space="preserve"> Dollar Gen. Corp. FLSA Litig., 346 F. Supp. 2d 1368 (J.P.M.L. 2004).(consolidating four FLSA overtime actions in Northern District of Alabama where most procedurally advanced action was pending and where some of the plaintiffs supported centralization). </w:t>
      </w:r>
    </w:p>
  </w:footnote>
  <w:footnote w:id="703">
    <w:p w14:paraId="3F3B3F45" w14:textId="77777777" w:rsidR="00721CCF" w:rsidRPr="00AD2F44" w:rsidRDefault="00F42107">
      <w:pPr>
        <w:pStyle w:val="14Footnote"/>
      </w:pPr>
      <w:r w:rsidRPr="00AD2F44">
        <w:rPr>
          <w:vertAlign w:val="superscript"/>
        </w:rPr>
        <w:footnoteRef/>
      </w:r>
      <w:r w:rsidRPr="00AD2F44">
        <w:rPr>
          <w:i/>
          <w:iCs/>
        </w:rPr>
        <w:t>In re</w:t>
      </w:r>
      <w:r w:rsidRPr="00AD2F44">
        <w:t xml:space="preserve"> Wells Fargo Wage &amp; Hour Emp. Practices Litig.,</w:t>
      </w:r>
      <w:r w:rsidRPr="00AD2F44">
        <w:rPr>
          <w:i/>
          <w:iCs/>
        </w:rPr>
        <w:t xml:space="preserve"> </w:t>
      </w:r>
      <w:r w:rsidRPr="00AD2F44">
        <w:t xml:space="preserve">804 F. Supp. 2d 1382, 1384–85 (J.P.M.L. 2011) (selecting Southern District of Texas as transferee court because it was centrally located and most accessible to all parties and witnesses); </w:t>
      </w:r>
      <w:r w:rsidRPr="00AD2F44">
        <w:rPr>
          <w:i/>
          <w:iCs/>
        </w:rPr>
        <w:t>In re</w:t>
      </w:r>
      <w:r w:rsidRPr="00AD2F44">
        <w:t xml:space="preserve"> Aon Corp. Wage &amp; Hour Emp. Practices Litig., 581 F. Supp. 2d 1376 (J.P.M.L. 2008) (consolidating two collective actions after finding that actions shared factual allegations and acceptance of defendant’s assertion that all employees were managed by one corporation in Illinois); </w:t>
      </w:r>
      <w:r w:rsidRPr="00AD2F44">
        <w:rPr>
          <w:i/>
          <w:iCs/>
        </w:rPr>
        <w:t>In re</w:t>
      </w:r>
      <w:r w:rsidRPr="00AD2F44">
        <w:t xml:space="preserve"> KFC Corp. FLSA Litig., 530 F. Supp. 2d 1356 (J.P.M.L. 2008) (consolidating 28 actions against KFC alleging that assistant managers were entitled to overtime under FLSA even though some discovery had already taken place, based on court’s finding that actions shared common issues of fact and that discovery and motion practice regarding employment practices and legal compliance remained).</w:t>
      </w:r>
    </w:p>
  </w:footnote>
  <w:footnote w:id="704">
    <w:p w14:paraId="5EF71866" w14:textId="77777777" w:rsidR="00721CCF" w:rsidRPr="00AD2F44" w:rsidRDefault="00F42107">
      <w:pPr>
        <w:pStyle w:val="14Footnote"/>
      </w:pPr>
      <w:r w:rsidRPr="00AD2F44">
        <w:rPr>
          <w:vertAlign w:val="superscript"/>
        </w:rPr>
        <w:footnoteRef/>
      </w:r>
      <w:r w:rsidRPr="00AD2F44">
        <w:rPr>
          <w:i/>
          <w:iCs/>
        </w:rPr>
        <w:t>In re</w:t>
      </w:r>
      <w:r w:rsidRPr="00AD2F44">
        <w:t xml:space="preserve"> Amazon.com, Inc., Fulfillment Ctr. FLSA &amp; Wage &amp; Hour Litig.</w:t>
      </w:r>
      <w:r w:rsidRPr="00AD2F44">
        <w:rPr>
          <w:i/>
          <w:iCs/>
        </w:rPr>
        <w:t xml:space="preserve">, </w:t>
      </w:r>
      <w:r w:rsidRPr="00AD2F44">
        <w:t xml:space="preserve">2014 WL 690289, at *1 (J.P.M.L. Feb. 19, 2014) (centralizing actions involving claims by employees from 54 Amazon.com facilities to a district court in Kentucky, reasoning that (1) the actions shared factual questions arising out of anti-theft security screening practices at Amazon.com warehouses; (2) 10 of the 54 facilities at issue in the case were in Kentucky and many others were located in nearby states; and (3) the actions were being transferred to an experienced transferee judge with a willingness and ability to efficiently manage the litigation); </w:t>
      </w:r>
      <w:r w:rsidRPr="00AD2F44">
        <w:rPr>
          <w:i/>
          <w:iCs/>
        </w:rPr>
        <w:t>In re</w:t>
      </w:r>
      <w:r w:rsidRPr="00AD2F44">
        <w:t xml:space="preserve"> C.H. Robinson Worldwide, Inc., Overtime Pay Litig., 502 F. Supp. 2d 1347 (J.P.M.L. 2007) (consolidating 100 FLSA cases in District of Minnesota where 25% of cases were pending and where court had familiarity with issues based on request to consolidate cases solely for purpose of obtaining settlement approval); </w:t>
      </w:r>
      <w:r w:rsidRPr="00AD2F44">
        <w:rPr>
          <w:i/>
          <w:iCs/>
        </w:rPr>
        <w:t>In re</w:t>
      </w:r>
      <w:r w:rsidRPr="00AD2F44">
        <w:t xml:space="preserve"> Pilgrim’s Pride FLSA Litig., 489 F. Supp. 2d 1381, 1381–82 (J.P.M.L. 2007) (consolidating five actions against Pilgrim’s Pride that “share[d] questions of fact arising out of similar allegations that certain employees of Pilgrim’s Pride are entitled to compensation” under the FLSA in a district where only one case was pending, because it “d[id] not have any other multidistrict litigation dockets,” it was supported by plaintiffs, and “plaintiffs in the action pending there s[ought] collective action status under the FLSA for all current and former employees of Pilgrim’s Pride who worked on a chicken-processing line during the relevant time period”); </w:t>
      </w:r>
      <w:r w:rsidRPr="00AD2F44">
        <w:rPr>
          <w:i/>
          <w:iCs/>
        </w:rPr>
        <w:t>In re</w:t>
      </w:r>
      <w:r w:rsidRPr="00AD2F44">
        <w:t xml:space="preserve"> Allstate Ins. Co. FLSA Litig., 283 F. Supp. 2d 1358 (J.P.M.L. 2003) (consolidating three FLSA actions where one action was pending, despite fact that none of parties appeared to ask for action to be consolidated in that district, motion to consolidate sought consolidation in another district (where another action was pending), and other parties asked for consolidation in a third district (where other actions were pending)); </w:t>
      </w:r>
      <w:r w:rsidRPr="00AD2F44">
        <w:rPr>
          <w:i/>
          <w:iCs/>
        </w:rPr>
        <w:t>In re</w:t>
      </w:r>
      <w:r w:rsidRPr="00AD2F44">
        <w:t xml:space="preserve"> Farmers Ins. Exch. Claims Reps. Overtime Pay Litig., 196 F. Supp. 2d 1373, 1375 (J.P.M.L. 2002) (approving consolidation and transfer and choosing a district over plaintiffs’ suggestions of other districts because “i) an action is pending there, ii) the Oregon district is relatively convenient for most parties and witnesses who are located in the Western United States, and iii) this tribunal has the resources available to manage this litigation”).</w:t>
      </w:r>
    </w:p>
  </w:footnote>
  <w:footnote w:id="705">
    <w:p w14:paraId="486FF531" w14:textId="77777777" w:rsidR="00721CCF" w:rsidRPr="00AD2F44" w:rsidRDefault="00F42107">
      <w:pPr>
        <w:pStyle w:val="14Footnote"/>
      </w:pPr>
      <w:r w:rsidRPr="00AD2F44">
        <w:rPr>
          <w:vertAlign w:val="superscript"/>
        </w:rPr>
        <w:footnoteRef/>
      </w:r>
      <w:r w:rsidRPr="00AD2F44">
        <w:rPr>
          <w:i/>
          <w:iCs/>
        </w:rPr>
        <w:t xml:space="preserve">In re </w:t>
      </w:r>
      <w:r w:rsidRPr="00AD2F44">
        <w:t xml:space="preserve">Wireless Lifestyle Inc., FLSA &amp; Wage &amp; Hour Litig., 842 F. Supp. 2d 1382, 1383 (J.P.M.L. 2012) (denying transfer where allegations concerning employer’s unlawful compensation practices “differ significantly from action to action” and where “the differences among them appear to predominate”); </w:t>
      </w:r>
      <w:r w:rsidRPr="00AD2F44">
        <w:rPr>
          <w:i/>
          <w:iCs/>
        </w:rPr>
        <w:t>In re</w:t>
      </w:r>
      <w:r w:rsidRPr="00AD2F44">
        <w:rPr>
          <w:b/>
          <w:bCs/>
        </w:rPr>
        <w:t xml:space="preserve"> </w:t>
      </w:r>
      <w:r w:rsidRPr="00AD2F44">
        <w:t xml:space="preserve">Rite Aid Corp. Wage &amp; Hour Emp. Practices Litig., 655 F. Supp. 2d 1376, 1377 (J.P.M.L. 2009) (denying transfer where discovery was “likely to require an individualized, factual inquiry into the job duties performed by each employee,” and various state laws allegedly violated in actions had differing provisions); </w:t>
      </w:r>
      <w:r w:rsidRPr="00AD2F44">
        <w:rPr>
          <w:i/>
          <w:iCs/>
        </w:rPr>
        <w:t>In re</w:t>
      </w:r>
      <w:r w:rsidRPr="00AD2F44">
        <w:t xml:space="preserve"> Tyson Foods, Inc., Meat Processing Facilities FLSA Litig., 581 F. Supp. 2d 1374 (J.P.M.L. 2008) (denying Tyson’s motion to consolidate for pretrial proceedings 10 actions from six states involving off-the-clock claims for slaughterhouse workers; finding that convenience and efficiency would not be served by consolidation because discovery was likely to be plant-specific, classes were not overlapping, and cases were at different procedural stages). </w:t>
      </w:r>
      <w:r w:rsidRPr="00AD2F44">
        <w:rPr>
          <w:i/>
          <w:iCs/>
        </w:rPr>
        <w:t>See also</w:t>
      </w:r>
      <w:r w:rsidRPr="00AD2F44">
        <w:t xml:space="preserve"> Hirst v. SkyWest, Inc., 405 F. Supp. 3d 771 (N.D. Ill. 2019) (denying motion to transfer where original case brought in Illinois federal court could not have been brought to California federal court and relevant factors favored venue in Illinois). </w:t>
      </w:r>
    </w:p>
  </w:footnote>
  <w:footnote w:id="706">
    <w:p w14:paraId="0A1E4779" w14:textId="77777777" w:rsidR="00721CCF" w:rsidRPr="00AD2F44" w:rsidRDefault="00F42107">
      <w:pPr>
        <w:pStyle w:val="14Footnote"/>
      </w:pPr>
      <w:r w:rsidRPr="00AD2F44">
        <w:rPr>
          <w:vertAlign w:val="superscript"/>
        </w:rPr>
        <w:footnoteRef/>
      </w:r>
      <w:r w:rsidRPr="00AD2F44">
        <w:rPr>
          <w:i/>
          <w:iCs/>
        </w:rPr>
        <w:t xml:space="preserve">In re </w:t>
      </w:r>
      <w:r w:rsidRPr="00AD2F44">
        <w:t xml:space="preserve">Skywest Airlines, Inc., 396 F. Supp. 3d 1363, 1363 (J.P.M.L. 2019) (denying transfer where, despite sharing factual questions, the “three actions before us are not complex, and there are few counsel involved”); </w:t>
      </w:r>
      <w:r w:rsidRPr="00AD2F44">
        <w:rPr>
          <w:i/>
          <w:iCs/>
        </w:rPr>
        <w:t>In re</w:t>
      </w:r>
      <w:r w:rsidRPr="00AD2F44">
        <w:t xml:space="preserve"> Urban Outfitters FLSA &amp; Wage &amp; Hour Litig., 987 F. Supp. 2d 1381, 1381–82 (J.P.M.L. 2013) (declining to consolidate five actions in California, Florida, and New York: “we ultimately conclude that §1407 centralization will not serve the convenience of the parties and witnesses or further the just and efficient conduct of this litigation. We have previously observed that the case for centralization is less convincing where ‘(1) the duties of the subject employees appeared to be subject to significant local variances, (2) the defendants and/or some of the plaintiffs opposed centralization, or (3) only a few or procedurally dissimilar cases were involved.’”) (quoting </w:t>
      </w:r>
      <w:r w:rsidRPr="00AD2F44">
        <w:rPr>
          <w:i/>
          <w:iCs/>
        </w:rPr>
        <w:t>In re</w:t>
      </w:r>
      <w:r w:rsidRPr="00AD2F44">
        <w:t xml:space="preserve"> CVS Caremark Corp. Wage &amp; Hour Emp. Practices Litig., 684 F. Supp. 2d 1377, 1379 (J.P.M.L.2010)); </w:t>
      </w:r>
      <w:r w:rsidRPr="00AD2F44">
        <w:rPr>
          <w:i/>
          <w:iCs/>
        </w:rPr>
        <w:t>In re</w:t>
      </w:r>
      <w:r w:rsidRPr="00AD2F44">
        <w:t xml:space="preserve"> Prospect Mortg. FLSA &amp; Wage &amp; Hour Litig., 987 F. Supp. 2d 1383 (J.P.M.L. 2013) (declining to centralize 37 separate actions pending in 37 different district courts because determination of exempt status as outside sales employee required highly individualized inquiry);</w:t>
      </w:r>
      <w:r w:rsidRPr="00AD2F44">
        <w:rPr>
          <w:i/>
          <w:iCs/>
        </w:rPr>
        <w:t xml:space="preserve"> In re</w:t>
      </w:r>
      <w:r w:rsidRPr="00AD2F44">
        <w:t xml:space="preserve"> U.S.A. Exterminators, Inc., FLSA Litig., 588 F. Supp. 2d 1378, 1379 (J.P.M.L. 2008) (declining to consolidate two actions from adjacent districts where common questions were not sufficiently complex or numerous to justify transfer and “[t]he proximity of these two actions ma[d]e coordination by the parties and the courts feasible”).</w:t>
      </w:r>
    </w:p>
  </w:footnote>
  <w:footnote w:id="707">
    <w:p w14:paraId="46A8AB4C" w14:textId="3D406062" w:rsidR="00721CCF" w:rsidRPr="00AD2F44" w:rsidRDefault="00F42107">
      <w:pPr>
        <w:pStyle w:val="14Footnote"/>
      </w:pPr>
      <w:r w:rsidRPr="00AD2F44">
        <w:rPr>
          <w:vertAlign w:val="superscript"/>
        </w:rPr>
        <w:footnoteRef/>
      </w:r>
      <w:r w:rsidRPr="00AD2F44">
        <w:rPr>
          <w:i/>
          <w:iCs/>
        </w:rPr>
        <w:t>In re</w:t>
      </w:r>
      <w:r w:rsidRPr="00AD2F44">
        <w:t xml:space="preserve"> Harvest Entities Fair Lab. Standards Act &amp; Wage &amp; Hour Litig., 584 F. Supp. 3d 1380 (J.P.M.L. 2022) (denying motion for centralization, reasoning that four actions were not complex, record showed informal coordination practicable, and plaintiffs’ counsel showed willingness to work collaboratively with defendants); </w:t>
      </w:r>
      <w:r w:rsidRPr="00AD2F44">
        <w:rPr>
          <w:i/>
          <w:iCs/>
        </w:rPr>
        <w:t xml:space="preserve">In re Skywest Airlines, </w:t>
      </w:r>
      <w:r w:rsidRPr="00AD2F44">
        <w:t xml:space="preserve">396 F. Supp. 3d at 1363 (denying transfer where, despite sharing factual questions, the “three actions before us are not complex, and there are few counsel involved”); </w:t>
      </w:r>
      <w:r w:rsidRPr="00AD2F44">
        <w:rPr>
          <w:i/>
          <w:iCs/>
        </w:rPr>
        <w:t xml:space="preserve">In re </w:t>
      </w:r>
      <w:r w:rsidRPr="00AD2F44">
        <w:t xml:space="preserve">Giant Eagle, Inc., 330 F. Supp. 3d 1376, 1377 (J.P.M.L. 2018) (denying transfer where there were only two actions, and both plaintiffs and defendants were represented by the same counsel in both actions); </w:t>
      </w:r>
      <w:r w:rsidRPr="00AD2F44">
        <w:rPr>
          <w:i/>
          <w:iCs/>
        </w:rPr>
        <w:t xml:space="preserve">In re </w:t>
      </w:r>
      <w:r w:rsidRPr="00AD2F44">
        <w:t xml:space="preserve">Uber Techs., Inc., 2016 WL 439976, at *1–2 (J.P.M.L. Feb. 3, 2016) (denying §1407 transfer where, among other things, plaintiffs’ counsel was same in 7 of 17 cases sought to be centralized and limited number of counsel involved could coordinate to avoid duplicative discovery and pretrial motions); </w:t>
      </w:r>
      <w:r w:rsidRPr="00AD2F44">
        <w:rPr>
          <w:i/>
          <w:iCs/>
        </w:rPr>
        <w:t xml:space="preserve">In re </w:t>
      </w:r>
      <w:r w:rsidRPr="00AD2F44">
        <w:t>Schneider Nat’l Carriers, Inc., Wage &amp; Hour Emp. Practices Litig., 763 F. Supp. 2d 1373 (J.P.M.L. 2011) (denying centralization where there were only two actions pending in adjacent districts and one defendant, all responding parties opposed centralization, and one coordinated action was at more advanced stage of proceeding); Thill v. Edward D. Jones &amp; Co., L.P., 2006 WL 2669004, at *2 (N.D. Cal. Sept. 18, 2006) (denying §1407 transfer where there were only three actions and any common questions of fact and law were not sufficiently complex and/or numerous).</w:t>
      </w:r>
    </w:p>
  </w:footnote>
  <w:footnote w:id="708">
    <w:p w14:paraId="4FC0613E" w14:textId="77777777" w:rsidR="00721CCF" w:rsidRPr="00AD2F44" w:rsidRDefault="00F42107">
      <w:pPr>
        <w:pStyle w:val="14Footnote"/>
      </w:pPr>
      <w:r w:rsidRPr="00AD2F44">
        <w:rPr>
          <w:vertAlign w:val="superscript"/>
        </w:rPr>
        <w:footnoteRef/>
      </w:r>
      <w:r w:rsidRPr="00AD2F44">
        <w:rPr>
          <w:i/>
          <w:iCs/>
        </w:rPr>
        <w:t xml:space="preserve">In re </w:t>
      </w:r>
      <w:r w:rsidRPr="00AD2F44">
        <w:t xml:space="preserve">Chase Inv. Servs. Corp., 908 F. Supp. 2d 1372, 1373 (J.P.M.L. 2012) (denying transfer where two of four actions are stayed pending appeal to the Ninth Circuit, “suggest[ing] that there would be little benefit to centralization, as the two California cases and the two New York cases would not proceed on the same time line.”); </w:t>
      </w:r>
      <w:r w:rsidRPr="00AD2F44">
        <w:rPr>
          <w:i/>
          <w:iCs/>
        </w:rPr>
        <w:t xml:space="preserve">In re </w:t>
      </w:r>
      <w:r w:rsidRPr="00AD2F44">
        <w:t>CVS Caremark Corp. Wage &amp; Hour Emp. Practices Litig., 684 F. Supp. 2d 1377, 1379 (J.P.M.L. 2010) (denying transfer where a significant amount of discovery had already occurred in one action, a motion for conditional certification was still pending in another action, and little to no pretrial activity had occurred in the other two actions).</w:t>
      </w:r>
    </w:p>
  </w:footnote>
  <w:footnote w:id="709">
    <w:p w14:paraId="225F712D" w14:textId="77777777" w:rsidR="00721CCF" w:rsidRPr="00AD2F44" w:rsidRDefault="00F42107">
      <w:pPr>
        <w:pStyle w:val="14Footnote"/>
      </w:pPr>
      <w:r w:rsidRPr="00AD2F44">
        <w:rPr>
          <w:vertAlign w:val="superscript"/>
        </w:rPr>
        <w:footnoteRef/>
      </w:r>
      <w:r w:rsidRPr="00AD2F44">
        <w:rPr>
          <w:i/>
          <w:iCs/>
        </w:rPr>
        <w:t>See</w:t>
      </w:r>
      <w:r w:rsidRPr="00AD2F44">
        <w:t xml:space="preserve"> </w:t>
      </w:r>
      <w:r w:rsidRPr="00AD2F44">
        <w:rPr>
          <w:smallCaps/>
        </w:rPr>
        <w:t>Federal Judicial Center, Manual for Complex Litigation</w:t>
      </w:r>
      <w:r w:rsidRPr="00AD2F44">
        <w:t xml:space="preserve"> §20.14 (4th ed. 2004).</w:t>
      </w:r>
    </w:p>
  </w:footnote>
  <w:footnote w:id="710">
    <w:p w14:paraId="4285832B" w14:textId="77777777" w:rsidR="00721CCF" w:rsidRPr="00AD2F44" w:rsidRDefault="00F42107">
      <w:pPr>
        <w:pStyle w:val="14Footnote"/>
      </w:pPr>
      <w:r w:rsidRPr="00AD2F44">
        <w:rPr>
          <w:vertAlign w:val="superscript"/>
        </w:rPr>
        <w:footnoteRef/>
      </w:r>
      <w:r w:rsidRPr="00AD2F44">
        <w:rPr>
          <w:i/>
          <w:iCs/>
        </w:rPr>
        <w:t>See</w:t>
      </w:r>
      <w:r w:rsidRPr="00AD2F44">
        <w:t xml:space="preserve"> </w:t>
      </w:r>
      <w:r w:rsidRPr="00AD2F44">
        <w:rPr>
          <w:i/>
          <w:iCs/>
        </w:rPr>
        <w:t xml:space="preserve">In re Giant Eagle, </w:t>
      </w:r>
      <w:r w:rsidRPr="00AD2F44">
        <w:t>330 F. Supp. 3d at 1378 (denying transfer where a §1404(a) motion was pending, holding that a resolution of the motion could eliminate the multidistrict character of the actions); Amorose v. C.H. Robinson Worldwide, Inc., 521 F. Supp. 2d 731 (N. D. Ill. 2007) (granting defendant’s motion to transfer pursuant to 28 U.S.C. §1404(a) individual suits to the individual’s branch locations after a misclassification case filed in Illinois was decertified, where plaintiffs claimed that they would be filing a motion to consolidate the cases in Illinois with the JPML and the court held that even if such a motion was pending, the rules did not suggest that courts should delay proceedings to await the panel’s decision).</w:t>
      </w:r>
    </w:p>
  </w:footnote>
  <w:footnote w:id="711">
    <w:p w14:paraId="1705EED3" w14:textId="77777777" w:rsidR="00721CCF" w:rsidRPr="00AD2F44" w:rsidRDefault="00F42107">
      <w:pPr>
        <w:pStyle w:val="14Footnote"/>
      </w:pPr>
      <w:r w:rsidRPr="00AD2F44">
        <w:rPr>
          <w:vertAlign w:val="superscript"/>
        </w:rPr>
        <w:footnoteRef/>
      </w:r>
      <w:r w:rsidRPr="00AD2F44">
        <w:rPr>
          <w:i/>
          <w:iCs/>
        </w:rPr>
        <w:t>See</w:t>
      </w:r>
      <w:r w:rsidRPr="00AD2F44">
        <w:t xml:space="preserve"> Campbell v. Pricewaterhouse Coopers, 2008 WL 3836972, at *2 (E.D. Cal. Aug. 14, 2008) (denying consolidation under Rule 42(a) of the Federal Rules of Civil Procedure for “similar, but not identical,” classes where one class of unlicensed accounting consultants had already been certified and scope of classes (multiple lines of service, divisions, and job levels) was too different to warrant consolidation, and noting that it was inconsistent for the employer to now argue that narrow class should be consolidated with other classes, after it had argued successfully that its plaintiffs were too different from others to warrant certification of whole class, finding instead that consolidation of discovery and hearing dates would better serve as a tool to promote efficiency); </w:t>
      </w:r>
      <w:r w:rsidRPr="00AD2F44">
        <w:rPr>
          <w:i/>
          <w:iCs/>
        </w:rPr>
        <w:t>Thill</w:t>
      </w:r>
      <w:r w:rsidRPr="00AD2F44">
        <w:t>, 2006 WL 2669004 (denying motion for transfer and consolidation, but granting request for coordination of discovery where defendant argued in part that California case involved opt-out class, whereas the Pennsylvania case involved opt-in nationwide classes, including California class members, and there was a risk of confusion for putative class members receiving both opt-in and opt-out notices for different cases based on court’s finding that California case had no connection to Pennsylvania case).</w:t>
      </w:r>
    </w:p>
  </w:footnote>
  <w:footnote w:id="712">
    <w:p w14:paraId="59A7E533" w14:textId="77777777" w:rsidR="00721CCF" w:rsidRPr="00AD2F44" w:rsidRDefault="00F42107">
      <w:pPr>
        <w:pStyle w:val="14Footnote"/>
      </w:pPr>
      <w:r w:rsidRPr="00AD2F44">
        <w:rPr>
          <w:vertAlign w:val="superscript"/>
        </w:rPr>
        <w:footnoteRef/>
      </w:r>
      <w:r w:rsidRPr="00AD2F44">
        <w:t xml:space="preserve">Medina v. Happy’s Pizza Franchise, LLC, 2012 WL 379751, at *3–7 (N.D. Ill. Feb. 3, 2012) (granting plaintiffs’ motion of partial decertification and transfer of non-Illinois opt-in plaintiffs from Michigan and Ohio into cases in those districts, as counter-strategy to defendant filing motion to dismiss for failure to join necessary parties, given that some but not all franchisors were in case in Illinois); Ross v. United States Bank Nat’l Ass’n, 2008 WL 4447713 (N.D. Cal. 2008) (granting motion to sever and transfer Oregon plaintiffs’ claims to District of Oregon, where a similar case against defendant was tried and another was pending, because it would simplify the case by reducing the number of subclasses and state laws to be applied and those plaintiffs’ issues, including the application of (or joining with) the other cases, would be best resolved by the Oregon court). </w:t>
      </w:r>
      <w:r w:rsidRPr="00AD2F44">
        <w:rPr>
          <w:i/>
          <w:iCs/>
        </w:rPr>
        <w:t>Cf</w:t>
      </w:r>
      <w:r w:rsidRPr="00AD2F44">
        <w:t>.</w:t>
      </w:r>
      <w:r w:rsidRPr="00AD2F44">
        <w:rPr>
          <w:i/>
          <w:iCs/>
        </w:rPr>
        <w:t xml:space="preserve"> </w:t>
      </w:r>
      <w:r w:rsidRPr="00AD2F44">
        <w:t>Dekeyser v. Thyssenkrupp Waupaca, Inc., 860 F.3d 918 (7th Cir. 2017) (affirming Rule 23 certification of Wisconsin plaintiffs and partial decertification of FLSA claims of plaintiffs who reside outside of Wisconsin; Seventh Circuit noted that district court’s severing of claims of plaintiffs from Indiana and Tennessee who had opted in to Wisconsin action and transferring claims to their respective home districts was not subject to appeal under Rule 23(f), but suggested that such action by district court was permissible under 28 U.S.C. §1404(a) (which permits transfer of action to any other district where it might have been brought “for the convenience of the parties and witnesses, [and] in the interest of justice”)).</w:t>
      </w:r>
    </w:p>
  </w:footnote>
  <w:footnote w:id="713">
    <w:p w14:paraId="1910B97C" w14:textId="77777777" w:rsidR="00721CCF" w:rsidRPr="00AD2F44" w:rsidRDefault="00F42107">
      <w:pPr>
        <w:pStyle w:val="14Footnote"/>
      </w:pPr>
      <w:r w:rsidRPr="00AD2F44">
        <w:rPr>
          <w:vertAlign w:val="superscript"/>
        </w:rPr>
        <w:footnoteRef/>
      </w:r>
      <w:r w:rsidRPr="00AD2F44">
        <w:rPr>
          <w:i/>
          <w:iCs/>
        </w:rPr>
        <w:t xml:space="preserve">In re </w:t>
      </w:r>
      <w:r w:rsidRPr="00AD2F44">
        <w:t xml:space="preserve">Skywest Airlines, Inc., 396 F. Supp. 3d 1363, 1363–64 (J.P.M.L. 2019) (denying transfer where counsel represented that they were willing to informally coordinate for purposes of discovery and pretrial proceedings, so “[i]n these circumstances, informal coordination is a practical alternative to centralization” and is preferable given significant differences in the asserted state law claims); </w:t>
      </w:r>
      <w:r w:rsidRPr="00AD2F44">
        <w:rPr>
          <w:i/>
          <w:iCs/>
        </w:rPr>
        <w:t xml:space="preserve">In re </w:t>
      </w:r>
      <w:r w:rsidRPr="00AD2F44">
        <w:t xml:space="preserve">Comcast Corp. Emp. Wage &amp; Hour Emp. Practices Litig., 190 F. Supp. 3d 1344, 1345 (J.P.M.L. 2016) (denying transfer, noting that “voluntary cooperation and coordination among the parties and the involved courts to avoid duplicative discovery or inconsistent pretrial rulings” is an alternative “preferable to centralization”); </w:t>
      </w:r>
      <w:r w:rsidRPr="00AD2F44">
        <w:rPr>
          <w:i/>
          <w:iCs/>
        </w:rPr>
        <w:t xml:space="preserve">In re </w:t>
      </w:r>
      <w:r w:rsidRPr="00AD2F44">
        <w:t xml:space="preserve">Uber Techs. Inc., 158 F. Supp. 3d 1372, 1373 (J.P.M.L. 2016) (voluntary coordination is preferable to centralization where six of seven actions, and two related actions, are represented by the same counsel and defendants’ counsel, who is the same in all actions, represented that they are amenable to informal coordination to the extent pretrial proceedings overlap). </w:t>
      </w:r>
    </w:p>
  </w:footnote>
  <w:footnote w:id="714">
    <w:p w14:paraId="31A8895D" w14:textId="77777777" w:rsidR="00721CCF" w:rsidRPr="00AD2F44" w:rsidRDefault="00F42107">
      <w:pPr>
        <w:pStyle w:val="14Footnote"/>
      </w:pPr>
      <w:r w:rsidRPr="00AD2F44">
        <w:rPr>
          <w:vertAlign w:val="superscript"/>
        </w:rPr>
        <w:footnoteRef/>
      </w:r>
      <w:r w:rsidRPr="00AD2F44">
        <w:rPr>
          <w:i/>
          <w:iCs/>
        </w:rPr>
        <w:t>See</w:t>
      </w:r>
      <w:r w:rsidRPr="00AD2F44">
        <w:t xml:space="preserve"> Johnson v. KFC Corp., 2007 WL 3376750 (W.D. Mo. Nov. 7, 2007).</w:t>
      </w:r>
    </w:p>
  </w:footnote>
  <w:footnote w:id="715">
    <w:p w14:paraId="29AA7AEB" w14:textId="77777777" w:rsidR="00721CCF" w:rsidRPr="00AD2F44" w:rsidRDefault="00F42107">
      <w:pPr>
        <w:pStyle w:val="14Footnote"/>
      </w:pPr>
      <w:r w:rsidRPr="00AD2F44">
        <w:rPr>
          <w:vertAlign w:val="superscript"/>
        </w:rPr>
        <w:footnoteRef/>
      </w:r>
      <w:r w:rsidRPr="00AD2F44">
        <w:t>502 F. Supp. 2d 1358 (J.P.M.L. Aug. 17, 2007).</w:t>
      </w:r>
    </w:p>
  </w:footnote>
  <w:footnote w:id="716">
    <w:p w14:paraId="0C3A63D0" w14:textId="77777777" w:rsidR="00721CCF" w:rsidRPr="00AD2F44" w:rsidRDefault="00F42107">
      <w:pPr>
        <w:pStyle w:val="14Footnote"/>
      </w:pPr>
      <w:r w:rsidRPr="00AD2F44">
        <w:rPr>
          <w:vertAlign w:val="superscript"/>
        </w:rPr>
        <w:footnoteRef/>
      </w:r>
      <w:r w:rsidRPr="00AD2F44">
        <w:rPr>
          <w:i/>
          <w:iCs/>
        </w:rPr>
        <w:t>Id.</w:t>
      </w:r>
      <w:r w:rsidRPr="00AD2F44">
        <w:t xml:space="preserve"> at 1360. </w:t>
      </w:r>
    </w:p>
  </w:footnote>
  <w:footnote w:id="717">
    <w:p w14:paraId="3713DF41" w14:textId="77777777" w:rsidR="00721CCF" w:rsidRPr="00AD2F44" w:rsidRDefault="00F42107">
      <w:pPr>
        <w:pStyle w:val="14Footnote"/>
      </w:pPr>
      <w:r w:rsidRPr="00AD2F44">
        <w:rPr>
          <w:vertAlign w:val="superscript"/>
        </w:rPr>
        <w:footnoteRef/>
      </w:r>
      <w:r w:rsidRPr="00AD2F44">
        <w:rPr>
          <w:i/>
          <w:iCs/>
        </w:rPr>
        <w:t>See</w:t>
      </w:r>
      <w:r w:rsidRPr="00AD2F44">
        <w:t xml:space="preserve"> </w:t>
      </w:r>
      <w:r w:rsidRPr="00AD2F44">
        <w:rPr>
          <w:i/>
          <w:iCs/>
        </w:rPr>
        <w:t xml:space="preserve">In re </w:t>
      </w:r>
      <w:r w:rsidRPr="00AD2F44">
        <w:t xml:space="preserve">Express Courier Int’l, 326 F. Supp. 3d 1376, 1378 (J.P.M.L. 2018) (decertification order persuaded the court that centralization was not necessary, particularly given the advanced stage of one action and because “it does not appear that much further discovery is necessary, aside from plaintiff-specific discovery”); </w:t>
      </w:r>
      <w:r w:rsidRPr="00AD2F44">
        <w:rPr>
          <w:i/>
          <w:iCs/>
        </w:rPr>
        <w:t>In re</w:t>
      </w:r>
      <w:r w:rsidRPr="00AD2F44">
        <w:t xml:space="preserve"> AIMCO, Inc., FLSA Litig., 560 F. Supp. 2d 1345 (J.P.M.L. 2008) (centralization of 26 separate actions pending in 22 districts denied where they had originally been filed as one putative collective action, discovery had already taken place in the original action, and the JPML found that there were no other remaining or unresolved common questions of fact that were sufficiently complex and/or numerous to justify §1407 transfer). </w:t>
      </w:r>
    </w:p>
  </w:footnote>
  <w:footnote w:id="718">
    <w:p w14:paraId="10689F67" w14:textId="77777777" w:rsidR="00721CCF" w:rsidRPr="00AD2F44" w:rsidRDefault="00F42107">
      <w:pPr>
        <w:pStyle w:val="14Footnote"/>
      </w:pPr>
      <w:r w:rsidRPr="00AD2F44">
        <w:rPr>
          <w:vertAlign w:val="superscript"/>
        </w:rPr>
        <w:footnoteRef/>
      </w:r>
      <w:r w:rsidRPr="00AD2F44">
        <w:rPr>
          <w:i/>
          <w:iCs/>
        </w:rPr>
        <w:t>See</w:t>
      </w:r>
      <w:r w:rsidRPr="00AD2F44">
        <w:t xml:space="preserve"> </w:t>
      </w:r>
      <w:r w:rsidRPr="00AD2F44">
        <w:rPr>
          <w:i/>
          <w:iCs/>
        </w:rPr>
        <w:t>In re</w:t>
      </w:r>
      <w:r w:rsidRPr="00AD2F44">
        <w:t xml:space="preserve"> Wells Fargo Loan Processor Overtime Pay Litig., 2008 WL 2397424 (N.D. Cal. 2008) (directing plaintiffs from consolidated cases to file a consolidated complaint, but when that complaint made material amendments such as merging the cases into a single opt-in action and dropping plaintiffs, rejecting it and specifically ordering that the filing of a consolidated complaint be done to promote docket management and not supersede and render moot the pending separate actions; however, amendments were allowed that did not supersede or combine the actions and that the court considered not to be made in bad faith and where any prejudice could be mitigated, such as by adding a new defendant entity, expanding the class definition, and adding new claims).</w:t>
      </w:r>
    </w:p>
  </w:footnote>
  <w:footnote w:id="719">
    <w:p w14:paraId="18B7DD48" w14:textId="77777777" w:rsidR="00721CCF" w:rsidRPr="00AD2F44" w:rsidRDefault="00F42107">
      <w:pPr>
        <w:pStyle w:val="14Footnote"/>
      </w:pPr>
      <w:r w:rsidRPr="00AD2F44">
        <w:rPr>
          <w:vertAlign w:val="superscript"/>
        </w:rPr>
        <w:footnoteRef/>
      </w:r>
      <w:r w:rsidRPr="00AD2F44">
        <w:rPr>
          <w:i/>
          <w:iCs/>
        </w:rPr>
        <w:t>See</w:t>
      </w:r>
      <w:r w:rsidRPr="00AD2F44">
        <w:t xml:space="preserve"> </w:t>
      </w:r>
      <w:r w:rsidRPr="00AD2F44">
        <w:rPr>
          <w:smallCaps/>
        </w:rPr>
        <w:t>Federal Judicial Center,</w:t>
      </w:r>
      <w:r w:rsidRPr="00AD2F44">
        <w:t xml:space="preserve"> </w:t>
      </w:r>
      <w:r w:rsidRPr="00AD2F44">
        <w:rPr>
          <w:smallCaps/>
        </w:rPr>
        <w:t>Manual for Complex Litigation</w:t>
      </w:r>
      <w:r w:rsidRPr="00AD2F44">
        <w:t xml:space="preserve"> 224 n.668 (4th ed. 2004) (noting that the filing of a single consolidated complaint in the transferee district may be intended to “constitute[] the inception of a new ‘case or controversy’ in that district, thereby superseding and rendering moot the pending separate actions that had been transferred to that district for pretrial proceedings,” and urging the court and parties to “take care to ensure a common understanding” about whether or not this is their intent); </w:t>
      </w:r>
      <w:r w:rsidRPr="00AD2F44">
        <w:rPr>
          <w:smallCaps/>
        </w:rPr>
        <w:t>Wright, Miller, &amp; Cooper</w:t>
      </w:r>
      <w:r w:rsidRPr="00AD2F44">
        <w:t xml:space="preserve">, 15 </w:t>
      </w:r>
      <w:r w:rsidRPr="00AD2F44">
        <w:rPr>
          <w:smallCaps/>
        </w:rPr>
        <w:t>Fed. Prac. and Proc. Juris. 3d</w:t>
      </w:r>
      <w:r w:rsidRPr="00AD2F44">
        <w:t xml:space="preserve"> §3866.2 (“There can be little objection to the transferee judge retaining a case or cases for trial when all of the parties consent to that judge’s doing so. This is true even after the </w:t>
      </w:r>
      <w:r w:rsidRPr="00AD2F44">
        <w:rPr>
          <w:i/>
          <w:iCs/>
        </w:rPr>
        <w:t>Lexecon</w:t>
      </w:r>
      <w:r w:rsidRPr="00AD2F44">
        <w:t xml:space="preserve"> decision or if the Section 1407 forum would not have been a proper court for venue purposes had the actions been commenced there, since venue rests on considerations of convenience and the parties traditionally have been permitted to waive the protections provided by the federal venue scheme.”) (footnote omitted).</w:t>
      </w:r>
    </w:p>
  </w:footnote>
  <w:footnote w:id="720">
    <w:p w14:paraId="60B0C2BC" w14:textId="77777777" w:rsidR="00721CCF" w:rsidRPr="00AD2F44" w:rsidRDefault="00F42107">
      <w:pPr>
        <w:pStyle w:val="14Footnote"/>
      </w:pPr>
      <w:r w:rsidRPr="00AD2F44">
        <w:rPr>
          <w:vertAlign w:val="superscript"/>
        </w:rPr>
        <w:footnoteRef/>
      </w:r>
      <w:r w:rsidRPr="00AD2F44">
        <w:rPr>
          <w:i/>
          <w:iCs/>
        </w:rPr>
        <w:t>In re</w:t>
      </w:r>
      <w:r w:rsidRPr="00AD2F44">
        <w:t xml:space="preserve"> American Family Mut. Ins. Co. Overtime Pay Litig., 2009 WL 248677, at *3 (D. Colo. Feb. 3, 2009) (allowing for the distribution of a single supplemental notice for two consolidated cases covering different time periods, which “explain[ed] the scope of the two consolidated cases and permit[ted] potential opt-ins to choose which case, if any, to join”).</w:t>
      </w:r>
    </w:p>
  </w:footnote>
  <w:footnote w:id="721">
    <w:p w14:paraId="782B8D3F" w14:textId="77777777" w:rsidR="00721CCF" w:rsidRPr="00AD2F44" w:rsidRDefault="00F42107">
      <w:pPr>
        <w:pStyle w:val="14Footnote"/>
      </w:pPr>
      <w:r w:rsidRPr="00AD2F44">
        <w:rPr>
          <w:vertAlign w:val="superscript"/>
        </w:rPr>
        <w:footnoteRef/>
      </w:r>
      <w:r w:rsidRPr="00AD2F44">
        <w:rPr>
          <w:i/>
          <w:iCs/>
        </w:rPr>
        <w:t>In re</w:t>
      </w:r>
      <w:r w:rsidRPr="00AD2F44">
        <w:t xml:space="preserve"> Wells Fargo Home Mortg. Overtime Pay Litig., 2008 WL 4712769 (N.D. Cal. Oct. 23, 2008) (allowing putative plaintiffs who filed consents to join within a month of the deadline to be included, after having considered, among other factors, the fact that the case was a multidistrict litigation in which any subsequent class actions (presumably filed by the late-filers) were likely to be centralized in the court anyway, and also allowing those filing more than a month late to join if presented with a signed declaration showing good cause for the delay).</w:t>
      </w:r>
    </w:p>
  </w:footnote>
  <w:footnote w:id="722">
    <w:p w14:paraId="39D699C1" w14:textId="77777777" w:rsidR="00721CCF" w:rsidRPr="00AD2F44" w:rsidRDefault="00F42107">
      <w:pPr>
        <w:pStyle w:val="14Footnote"/>
      </w:pPr>
      <w:r w:rsidRPr="00AD2F44">
        <w:rPr>
          <w:vertAlign w:val="superscript"/>
        </w:rPr>
        <w:footnoteRef/>
      </w:r>
      <w:r w:rsidRPr="00AD2F44">
        <w:rPr>
          <w:i/>
          <w:iCs/>
        </w:rPr>
        <w:t>See In re</w:t>
      </w:r>
      <w:r w:rsidRPr="00AD2F44">
        <w:t xml:space="preserve"> Amazon, Inc</w:t>
      </w:r>
      <w:r w:rsidRPr="00AD2F44">
        <w:rPr>
          <w:i/>
          <w:iCs/>
        </w:rPr>
        <w:t xml:space="preserve">., </w:t>
      </w:r>
      <w:r w:rsidRPr="00AD2F44">
        <w:t>2014 U.S. Dist. LEXIS 100716, at *22–23 (W.D. Ky. Jul. 23, 2014) (denying plaintiffs’ request for blanket equitable tolling of all claims of putative opt-in plaintiffs in MDL action, as the court cannot preemptively determine whether each plaintiff has diligently pursued their claims);</w:t>
      </w:r>
      <w:r w:rsidRPr="00AD2F44">
        <w:rPr>
          <w:i/>
          <w:iCs/>
        </w:rPr>
        <w:t xml:space="preserve"> In re</w:t>
      </w:r>
      <w:r w:rsidRPr="00AD2F44">
        <w:t xml:space="preserve"> Tyson Foods, Inc., 2008 WL 4613654 (M.D. Ga. 2008) (court that was assigned the MDL cases denied plaintiffs’ motion to equitably toll the claims of employees who were outside the statute of limitations but had never received notice during the seven-year pendency in the district court, holding that the employees could have found out about the case since many other employees had opted in, even though no formal notice was issued).</w:t>
      </w:r>
    </w:p>
  </w:footnote>
  <w:footnote w:id="723">
    <w:p w14:paraId="78D5624B" w14:textId="77777777" w:rsidR="00721CCF" w:rsidRPr="00AD2F44" w:rsidRDefault="00F42107">
      <w:pPr>
        <w:pStyle w:val="14Footnote"/>
      </w:pPr>
      <w:r w:rsidRPr="00AD2F44">
        <w:rPr>
          <w:vertAlign w:val="superscript"/>
        </w:rPr>
        <w:footnoteRef/>
      </w:r>
      <w:r w:rsidRPr="00AD2F44">
        <w:rPr>
          <w:i/>
          <w:iCs/>
        </w:rPr>
        <w:t>In re</w:t>
      </w:r>
      <w:r w:rsidRPr="00AD2F44">
        <w:t xml:space="preserve"> Allstate Ins. Co. FLSA Litig., 2008 WL 2783280 (D. Ariz. July 15, 2008).</w:t>
      </w:r>
    </w:p>
  </w:footnote>
  <w:footnote w:id="724">
    <w:p w14:paraId="2D28C7A4" w14:textId="77777777" w:rsidR="00721CCF" w:rsidRPr="00AD2F44" w:rsidRDefault="00F42107">
      <w:pPr>
        <w:pStyle w:val="14Footnote"/>
      </w:pPr>
      <w:r w:rsidRPr="00AD2F44">
        <w:rPr>
          <w:vertAlign w:val="superscript"/>
        </w:rPr>
        <w:footnoteRef/>
      </w:r>
      <w:r w:rsidRPr="00AD2F44">
        <w:rPr>
          <w:i/>
          <w:iCs/>
        </w:rPr>
        <w:t xml:space="preserve">First Circuit: </w:t>
      </w:r>
      <w:r w:rsidRPr="00AD2F44">
        <w:t>Waithaka v. Amazon.com, Inc., 404 F. Supp. 3d 335, 350 (D. Mass. 2019).</w:t>
      </w:r>
    </w:p>
    <w:p w14:paraId="107FA3BD" w14:textId="77777777" w:rsidR="00721CCF" w:rsidRPr="00AD2F44" w:rsidRDefault="00F42107">
      <w:pPr>
        <w:pStyle w:val="14Footnote"/>
      </w:pPr>
      <w:r w:rsidRPr="00AD2F44">
        <w:rPr>
          <w:i/>
          <w:iCs/>
        </w:rPr>
        <w:t xml:space="preserve">Second Circuit: </w:t>
      </w:r>
      <w:r w:rsidRPr="00AD2F44">
        <w:t>Baduria v. Sealift Holdings, Inc., 2020 U.S. Dist. LEXIS 58273, at *17 (E.D.N.Y. Ap. 2, 2020).</w:t>
      </w:r>
    </w:p>
    <w:p w14:paraId="0BB9563E" w14:textId="77777777" w:rsidR="00721CCF" w:rsidRPr="00AD2F44" w:rsidRDefault="00F42107">
      <w:pPr>
        <w:pStyle w:val="14Footnote"/>
      </w:pPr>
      <w:r w:rsidRPr="00AD2F44">
        <w:rPr>
          <w:i/>
          <w:iCs/>
        </w:rPr>
        <w:t xml:space="preserve">Third Circuit: </w:t>
      </w:r>
      <w:r w:rsidRPr="00AD2F44">
        <w:t>Mahmoud v. Rite Aid Corp., 2012 U.S. Dist. LEXIS 115726, at *10–11 (D.N.J. Aug. 16, 2012).</w:t>
      </w:r>
    </w:p>
    <w:p w14:paraId="602E2E10" w14:textId="77777777" w:rsidR="00721CCF" w:rsidRPr="00AD2F44" w:rsidRDefault="00F42107">
      <w:pPr>
        <w:pStyle w:val="14Footnote"/>
      </w:pPr>
      <w:r w:rsidRPr="00AD2F44">
        <w:rPr>
          <w:i/>
          <w:iCs/>
        </w:rPr>
        <w:t xml:space="preserve">Fourth Circuit: </w:t>
      </w:r>
      <w:r w:rsidRPr="00AD2F44">
        <w:t>Ortiz v. Panera Bread Co., 2011 U.S. Dist. LEXIS 85463, at *5 (E.D. Va. Aug. 2, 2011); Fisher v. Rite Aid Corp., 2020 U.S. Dist. LEXIS 56383, at *6–7 (D. Md. Jun. 8, 2010).</w:t>
      </w:r>
    </w:p>
    <w:p w14:paraId="66A9F5B9" w14:textId="77777777" w:rsidR="00721CCF" w:rsidRPr="00AD2F44" w:rsidRDefault="00F42107">
      <w:pPr>
        <w:pStyle w:val="14Footnote"/>
      </w:pPr>
      <w:r w:rsidRPr="00AD2F44">
        <w:rPr>
          <w:i/>
          <w:iCs/>
        </w:rPr>
        <w:t>Fifth Circuit:</w:t>
      </w:r>
      <w:r w:rsidRPr="00AD2F44">
        <w:t xml:space="preserve"> White v. Peco Foods, Inc., 546 F. Supp. 2d 339, 341 (S.D. Miss. 2008); Benavides v. Home Depot USA, Inc., 2006 WL 1406722, at *1 (S.D. Tex. May 19, 2006); Buckalew v. Celanese, Ltd., 2005 WL 2266619, at *2 (S.D. Tex. Sept. 16, 2005); Young v. Lefleur Transp. of Tupelo, 2002 WL 31992189, at *1 (N.D. Miss. Nov. 18, 2002).</w:t>
      </w:r>
    </w:p>
    <w:p w14:paraId="2144B936" w14:textId="77777777" w:rsidR="00721CCF" w:rsidRPr="00AD2F44" w:rsidRDefault="00F42107">
      <w:pPr>
        <w:pStyle w:val="14Footnote"/>
      </w:pPr>
      <w:r w:rsidRPr="00AD2F44">
        <w:rPr>
          <w:i/>
          <w:iCs/>
        </w:rPr>
        <w:t>Sixth Circuit:</w:t>
      </w:r>
      <w:r w:rsidRPr="00AD2F44">
        <w:t xml:space="preserve"> Steavens v. Electronic Data Sys. Corp., 2008 WL 5062847, at *1 (E.D. Mich. Nov. 25, 2008); Fuller v. Abercrombie &amp; Fitch Stores, Inc., 370 F. Supp. 2d 686, 688 (E.D. Tenn. 2005).</w:t>
      </w:r>
    </w:p>
    <w:p w14:paraId="648221E2" w14:textId="77777777" w:rsidR="00721CCF" w:rsidRPr="00AD2F44" w:rsidRDefault="00F42107">
      <w:pPr>
        <w:pStyle w:val="14Footnote"/>
      </w:pPr>
      <w:r w:rsidRPr="00AD2F44">
        <w:rPr>
          <w:i/>
          <w:iCs/>
        </w:rPr>
        <w:t>Seventh Circuit:</w:t>
      </w:r>
      <w:r w:rsidRPr="00AD2F44">
        <w:t xml:space="preserve"> Somasekharan v. Lawrence &amp; Assoc., Inc., 2007 WL 2680954 (C.D. Ill. Jul. 13, 2007).</w:t>
      </w:r>
    </w:p>
    <w:p w14:paraId="6F5AD010" w14:textId="77777777" w:rsidR="00721CCF" w:rsidRPr="00AD2F44" w:rsidRDefault="00F42107">
      <w:pPr>
        <w:pStyle w:val="14Footnote"/>
      </w:pPr>
      <w:r w:rsidRPr="00AD2F44">
        <w:rPr>
          <w:i/>
          <w:iCs/>
        </w:rPr>
        <w:t xml:space="preserve">Eighth Circuit: </w:t>
      </w:r>
      <w:r w:rsidRPr="00AD2F44">
        <w:t>Morgan v. Sundance, Inc., 2019 U.S. Dist. LEXIS 177824, at *7 (S.D. Iowa Mar. 5, 2019).</w:t>
      </w:r>
    </w:p>
    <w:p w14:paraId="09ECE469" w14:textId="77777777" w:rsidR="00721CCF" w:rsidRPr="00AD2F44" w:rsidRDefault="00F42107">
      <w:pPr>
        <w:pStyle w:val="14Footnote"/>
      </w:pPr>
      <w:r w:rsidRPr="00AD2F44">
        <w:rPr>
          <w:i/>
          <w:iCs/>
        </w:rPr>
        <w:t>Ninth Circuit:</w:t>
      </w:r>
      <w:r w:rsidRPr="00AD2F44">
        <w:t xml:space="preserve"> Ross v. U.S. Bank N.A., 542 F. Supp. 2d 1014, 1020 (N.D. Cal. 2008); Jumapao v. Washington Mut. Bank, F.A., 2007 WL 4258636, at *1–2 (S.D. Cal. Nov. 30, 2007); Weinstein v. Metlife Inc., 2006 WL 3201045, at *3–4 (N.D. Cal. Nov. 6, 2006).</w:t>
      </w:r>
    </w:p>
    <w:p w14:paraId="60034784" w14:textId="14428156" w:rsidR="00721CCF" w:rsidRPr="00AD2F44" w:rsidRDefault="00F42107">
      <w:pPr>
        <w:pStyle w:val="14Footnote"/>
      </w:pPr>
      <w:r w:rsidRPr="00AD2F44">
        <w:rPr>
          <w:i/>
          <w:iCs/>
        </w:rPr>
        <w:t>Eleventh Circuit:</w:t>
      </w:r>
      <w:r w:rsidRPr="00AD2F44">
        <w:t xml:space="preserve"> Hernandez v. Cracker Barrel Old Country Store, Inc., 2014 WL 5175715, at *1 (M.D. Fla. Oct. 14, 2014).</w:t>
      </w:r>
    </w:p>
  </w:footnote>
  <w:footnote w:id="725">
    <w:p w14:paraId="78DB75B5" w14:textId="77777777" w:rsidR="00721CCF" w:rsidRPr="00AD2F44" w:rsidRDefault="00F42107">
      <w:pPr>
        <w:pStyle w:val="14Footnote"/>
      </w:pPr>
      <w:r w:rsidRPr="00AD2F44">
        <w:rPr>
          <w:vertAlign w:val="superscript"/>
        </w:rPr>
        <w:footnoteRef/>
      </w:r>
      <w:r w:rsidRPr="00AD2F44">
        <w:t xml:space="preserve">Zide Sport Shop of Ohio, Inc. v. Ed Tobergte Assocs., Inc., 16 F. App’x 433, 437 (6th Cir. 2001) (citing </w:t>
      </w:r>
      <w:r w:rsidRPr="00AD2F44">
        <w:rPr>
          <w:i/>
          <w:iCs/>
        </w:rPr>
        <w:t>In re</w:t>
      </w:r>
      <w:r w:rsidRPr="00AD2F44">
        <w:t xml:space="preserve"> Burley, 738 F.2d 981, 988 (9th Cir. 1984)).</w:t>
      </w:r>
    </w:p>
  </w:footnote>
  <w:footnote w:id="726">
    <w:p w14:paraId="163F8A08" w14:textId="77777777" w:rsidR="00721CCF" w:rsidRPr="00AD2F44" w:rsidRDefault="00F42107">
      <w:pPr>
        <w:pStyle w:val="14Footnote"/>
      </w:pPr>
      <w:r w:rsidRPr="00AD2F44">
        <w:rPr>
          <w:vertAlign w:val="superscript"/>
        </w:rPr>
        <w:footnoteRef/>
      </w:r>
      <w:r w:rsidRPr="00AD2F44">
        <w:t xml:space="preserve">However, “few courts choose flatly to dismiss a second-filed suit, and in many of these cases the reason for dismissal is a court’s inability to transfer.” </w:t>
      </w:r>
      <w:r w:rsidRPr="00AD2F44">
        <w:rPr>
          <w:i/>
          <w:iCs/>
        </w:rPr>
        <w:t>Steavens</w:t>
      </w:r>
      <w:r w:rsidRPr="00AD2F44">
        <w:t>, 2008 WL 5062847, at *2.</w:t>
      </w:r>
    </w:p>
  </w:footnote>
  <w:footnote w:id="727">
    <w:p w14:paraId="1E9F1054" w14:textId="77777777" w:rsidR="00721CCF" w:rsidRPr="00AD2F44" w:rsidRDefault="00F42107">
      <w:pPr>
        <w:pStyle w:val="14Footnote"/>
      </w:pPr>
      <w:r w:rsidRPr="00AD2F44">
        <w:rPr>
          <w:vertAlign w:val="superscript"/>
        </w:rPr>
        <w:footnoteRef/>
      </w:r>
      <w:r w:rsidRPr="00AD2F44">
        <w:rPr>
          <w:i/>
          <w:iCs/>
        </w:rPr>
        <w:t>Second Circuit:</w:t>
      </w:r>
      <w:r w:rsidRPr="00AD2F44">
        <w:t xml:space="preserve"> Thomas v. Apple-Metro, Inc., 2015 WL505384, at *4 (S.D.N.Y. Feb. 5, 2015) (applying first-to-file rule and dismissing hybrid collective/class action where two prior lawsuits “seek identical relief, assert nearly identical claims for minimum wage, overtime and tipping violations under federal law, and have been filed in a sister New York district court with respect to the same class of plaintiffs as against the same core group of Defendants”).</w:t>
      </w:r>
    </w:p>
    <w:p w14:paraId="57421B90" w14:textId="77777777" w:rsidR="00721CCF" w:rsidRPr="00AD2F44" w:rsidRDefault="00F42107">
      <w:pPr>
        <w:pStyle w:val="14Footnote"/>
      </w:pPr>
      <w:r w:rsidRPr="00AD2F44">
        <w:rPr>
          <w:i/>
          <w:iCs/>
        </w:rPr>
        <w:t xml:space="preserve">Third Circuit: </w:t>
      </w:r>
      <w:r w:rsidRPr="00AD2F44">
        <w:t>Abushalieh v. American Eagle Express, Inc., 716 F. Supp. 3d 361, 367 (D.N.J. 2010).</w:t>
      </w:r>
    </w:p>
    <w:p w14:paraId="1E28543B" w14:textId="77777777" w:rsidR="00721CCF" w:rsidRPr="00AD2F44" w:rsidRDefault="00F42107">
      <w:pPr>
        <w:pStyle w:val="14Footnote"/>
      </w:pPr>
      <w:r w:rsidRPr="00AD2F44">
        <w:rPr>
          <w:i/>
          <w:iCs/>
        </w:rPr>
        <w:t>Fifth Circuit: White</w:t>
      </w:r>
      <w:r w:rsidRPr="00AD2F44">
        <w:t>, 546 F. Supp. 2d at 341.</w:t>
      </w:r>
    </w:p>
    <w:p w14:paraId="0C342B03" w14:textId="77777777" w:rsidR="00721CCF" w:rsidRPr="00AD2F44" w:rsidRDefault="00F42107">
      <w:pPr>
        <w:pStyle w:val="14Footnote"/>
      </w:pPr>
      <w:r w:rsidRPr="00A674E3">
        <w:rPr>
          <w:i/>
          <w:iCs/>
        </w:rPr>
        <w:t>Seventh Circuit: Somasekharan,</w:t>
      </w:r>
      <w:r w:rsidRPr="00AD2F44">
        <w:t xml:space="preserve"> 2007 WL 2680954, at *2.</w:t>
      </w:r>
    </w:p>
    <w:p w14:paraId="4862C1D2" w14:textId="6DFCE072" w:rsidR="00721CCF" w:rsidRPr="00AD2F44" w:rsidRDefault="00F42107">
      <w:pPr>
        <w:pStyle w:val="14Footnote"/>
      </w:pPr>
      <w:r w:rsidRPr="00AD2F44">
        <w:rPr>
          <w:i/>
          <w:iCs/>
        </w:rPr>
        <w:t>Ninth Circuit:</w:t>
      </w:r>
      <w:r w:rsidRPr="00AD2F44">
        <w:t xml:space="preserve"> </w:t>
      </w:r>
      <w:r w:rsidRPr="00AD2F44">
        <w:rPr>
          <w:i/>
          <w:iCs/>
        </w:rPr>
        <w:t>Ross</w:t>
      </w:r>
      <w:r w:rsidRPr="00AD2F44">
        <w:t xml:space="preserve">, 542 F. Supp. 2d at 1020; </w:t>
      </w:r>
      <w:r w:rsidRPr="00AD2F44">
        <w:rPr>
          <w:i/>
          <w:iCs/>
        </w:rPr>
        <w:t>Jumapao</w:t>
      </w:r>
      <w:r w:rsidRPr="00AD2F44">
        <w:t xml:space="preserve">, 2007 WL 4258636, at *2; </w:t>
      </w:r>
      <w:r w:rsidRPr="00AD2F44">
        <w:rPr>
          <w:i/>
          <w:iCs/>
        </w:rPr>
        <w:t>Weinstein</w:t>
      </w:r>
      <w:r w:rsidRPr="00AD2F44">
        <w:t>, 2006 WL 3201045, at *4.</w:t>
      </w:r>
    </w:p>
  </w:footnote>
  <w:footnote w:id="728">
    <w:p w14:paraId="0FB263D1" w14:textId="77777777" w:rsidR="00721CCF" w:rsidRPr="00AD2F44" w:rsidRDefault="00F42107">
      <w:pPr>
        <w:pStyle w:val="14Footnote"/>
      </w:pPr>
      <w:r w:rsidRPr="00AD2F44">
        <w:rPr>
          <w:vertAlign w:val="superscript"/>
        </w:rPr>
        <w:footnoteRef/>
      </w:r>
      <w:r w:rsidRPr="00AD2F44">
        <w:rPr>
          <w:i/>
          <w:iCs/>
        </w:rPr>
        <w:t>Fourth Circuit:</w:t>
      </w:r>
      <w:r w:rsidRPr="00AD2F44">
        <w:t xml:space="preserve"> Fisher v. Rite Aid Corp., 2010 WL 2332101, at *2–3 (D. Md. June 8, 2010) (dismissing under first-to-file rule 23 Maryland state law putative class action alleging misclassification of assistant store managers, because named plaintiff was opt-in plaintiff in earlier-filed collective action in Pennsylvania; legal and factual issues were similar given Maryland’s incorporation of FLSA’s white-collar exemptions; “substantial similarities” existed between the two cases; and resolution of exemption issue in first case would resolve “central issue” in later-filed state law action).</w:t>
      </w:r>
    </w:p>
    <w:p w14:paraId="49AC0A30" w14:textId="77777777" w:rsidR="00721CCF" w:rsidRPr="00AD2F44" w:rsidRDefault="00F42107">
      <w:pPr>
        <w:pStyle w:val="14Footnote"/>
      </w:pPr>
      <w:r w:rsidRPr="00AD2F44">
        <w:rPr>
          <w:i/>
          <w:iCs/>
        </w:rPr>
        <w:t>Fifth Circuit:</w:t>
      </w:r>
      <w:r w:rsidRPr="00AD2F44">
        <w:t xml:space="preserve"> Tillery v. Higman Barge Lines, Inc., 2014 U.S. Dist. LEXIS 59042, at *6 (S.D. Tex. Apr. 29, 2014); </w:t>
      </w:r>
      <w:r w:rsidRPr="00AD2F44">
        <w:rPr>
          <w:i/>
          <w:iCs/>
        </w:rPr>
        <w:t>White</w:t>
      </w:r>
      <w:r w:rsidRPr="00AD2F44">
        <w:t xml:space="preserve">, 546 F. Supp. 2d at 342; </w:t>
      </w:r>
      <w:r w:rsidRPr="00AD2F44">
        <w:rPr>
          <w:i/>
          <w:iCs/>
        </w:rPr>
        <w:t>Benavides</w:t>
      </w:r>
      <w:r w:rsidRPr="00AD2F44">
        <w:t>, 2006 WL 1406722, at *1;</w:t>
      </w:r>
      <w:r w:rsidRPr="00AD2F44">
        <w:rPr>
          <w:i/>
          <w:iCs/>
        </w:rPr>
        <w:t xml:space="preserve"> Buckalew</w:t>
      </w:r>
      <w:r w:rsidRPr="00AD2F44">
        <w:t>, 2005 WL 2266619, at *2;</w:t>
      </w:r>
      <w:r w:rsidRPr="00AD2F44">
        <w:rPr>
          <w:i/>
          <w:iCs/>
        </w:rPr>
        <w:t xml:space="preserve"> Young</w:t>
      </w:r>
      <w:r w:rsidRPr="00AD2F44">
        <w:t>, 2002 WL 31992189, at *1.</w:t>
      </w:r>
    </w:p>
    <w:p w14:paraId="680FB54B" w14:textId="77777777" w:rsidR="00721CCF" w:rsidRPr="00AD2F44" w:rsidRDefault="00F42107">
      <w:pPr>
        <w:pStyle w:val="14Footnote"/>
      </w:pPr>
      <w:r w:rsidRPr="00AD2F44">
        <w:rPr>
          <w:i/>
          <w:iCs/>
        </w:rPr>
        <w:t>Sixth Circuit:</w:t>
      </w:r>
      <w:r w:rsidRPr="00AD2F44">
        <w:t xml:space="preserve"> </w:t>
      </w:r>
      <w:r w:rsidRPr="00AD2F44">
        <w:rPr>
          <w:i/>
          <w:iCs/>
        </w:rPr>
        <w:t>Steavens</w:t>
      </w:r>
      <w:r w:rsidRPr="00AD2F44">
        <w:t xml:space="preserve">, 2008 WL 5062847, at *1; </w:t>
      </w:r>
      <w:r w:rsidRPr="00AD2F44">
        <w:rPr>
          <w:i/>
          <w:iCs/>
        </w:rPr>
        <w:t>Fuller</w:t>
      </w:r>
      <w:r w:rsidRPr="00AD2F44">
        <w:t>, 370 F. Supp. 2d at 688.</w:t>
      </w:r>
    </w:p>
    <w:p w14:paraId="3DAAE0A1" w14:textId="77777777" w:rsidR="00721CCF" w:rsidRPr="00AD2F44" w:rsidRDefault="00F42107">
      <w:pPr>
        <w:pStyle w:val="14Footnote"/>
      </w:pPr>
      <w:r w:rsidRPr="00AD2F44">
        <w:rPr>
          <w:i/>
          <w:iCs/>
        </w:rPr>
        <w:t>Ninth Circuit:</w:t>
      </w:r>
      <w:r w:rsidRPr="00AD2F44">
        <w:t xml:space="preserve"> </w:t>
      </w:r>
      <w:r w:rsidRPr="00AD2F44">
        <w:rPr>
          <w:i/>
          <w:iCs/>
        </w:rPr>
        <w:t>Jumapao</w:t>
      </w:r>
      <w:r w:rsidRPr="00AD2F44">
        <w:t>, 2007 WL 4258636, at *2.</w:t>
      </w:r>
    </w:p>
    <w:p w14:paraId="5F7846EB" w14:textId="7F043596" w:rsidR="00721CCF" w:rsidRPr="00AD2F44" w:rsidRDefault="00F42107">
      <w:pPr>
        <w:pStyle w:val="14Footnote"/>
      </w:pPr>
      <w:r w:rsidRPr="00AD2F44">
        <w:rPr>
          <w:i/>
          <w:iCs/>
        </w:rPr>
        <w:t>Eleventh Circuit:</w:t>
      </w:r>
      <w:r w:rsidRPr="00AD2F44">
        <w:t xml:space="preserve"> </w:t>
      </w:r>
      <w:r w:rsidRPr="00AD2F44">
        <w:rPr>
          <w:i/>
          <w:iCs/>
        </w:rPr>
        <w:t xml:space="preserve">Hernandez, </w:t>
      </w:r>
      <w:r w:rsidRPr="00AD2F44">
        <w:t>2014 WL 5175715, at *1.</w:t>
      </w:r>
    </w:p>
  </w:footnote>
  <w:footnote w:id="729">
    <w:p w14:paraId="24459BAF" w14:textId="77777777" w:rsidR="00721CCF" w:rsidRPr="00AD2F44" w:rsidRDefault="00F42107">
      <w:pPr>
        <w:pStyle w:val="14Footnote"/>
      </w:pPr>
      <w:r w:rsidRPr="00AD2F44">
        <w:rPr>
          <w:vertAlign w:val="superscript"/>
        </w:rPr>
        <w:footnoteRef/>
      </w:r>
      <w:r w:rsidRPr="00AD2F44">
        <w:rPr>
          <w:i/>
          <w:iCs/>
        </w:rPr>
        <w:t>Second Circuit:</w:t>
      </w:r>
      <w:r w:rsidRPr="00AD2F44">
        <w:t xml:space="preserve"> Schucker v. Flowers Foods, Inc., 2017 WL 3668847, at *4 (S.D.N.Y. Aug. 24, 2017) (holding that, although “first to file” rule did not perfectly fit facts of case, it was instructive and judicial economy supported court’s discretion to deny conditional certification where it would result in duplicative collective actions; of 95 individuals on plaintiffs’ proposed notice list, 94 of them had been given notice through other similar collective actions); Morrison v. Staples, Inc., 2008 WL 4911156, at *5 (D. Conn. Nov. 13, 2008) (denying motion to transfer where earlier-filed action contained only subset of claims and putative class members in action sought to be transferred).</w:t>
      </w:r>
    </w:p>
    <w:p w14:paraId="1D725B26" w14:textId="77777777" w:rsidR="00721CCF" w:rsidRPr="00AD2F44" w:rsidRDefault="00F42107">
      <w:pPr>
        <w:pStyle w:val="14Footnote"/>
      </w:pPr>
      <w:r w:rsidRPr="00AD2F44">
        <w:rPr>
          <w:i/>
          <w:iCs/>
        </w:rPr>
        <w:t>Third Circuit:</w:t>
      </w:r>
      <w:r w:rsidRPr="00AD2F44">
        <w:t xml:space="preserve"> Alvarez v. Gold Belt, LLC, 2011 WL 1337457, at *2 (D.N.J. Apr. 7, 2011) (refusing to grant certification of collective action, where court had previously denied certification for similar class under first-to-file rule in light of already existing and nearly identical case, but for a class covering different time period than current proposed class; lack of overlap in time period did not warrant creating separate class given same risks of inefficiency and inconsistency; time period issues could be raised in court with first-filed case); Abushalieh v. American Eagle Express, 716 F. Supp. 2d 361, 366 (D.N.J. 2010) (applying first-to-file rule to collective action despite different named plaintiffs, because “underlying principles of first-filed rule”—avoiding vexation of repeating litigation over same subject matter and wasteful duplicative litigation and encouraging efficiency in justice </w:t>
      </w:r>
      <w:r w:rsidRPr="00AD2F44">
        <w:br/>
        <w:t>administration—allowed rule’s application in collective cases like this one).</w:t>
      </w:r>
    </w:p>
    <w:p w14:paraId="471F7AB9" w14:textId="77777777" w:rsidR="00721CCF" w:rsidRPr="00AD2F44" w:rsidRDefault="00F42107">
      <w:pPr>
        <w:pStyle w:val="14Footnote"/>
      </w:pPr>
      <w:r w:rsidRPr="00AD2F44">
        <w:rPr>
          <w:i/>
          <w:iCs/>
        </w:rPr>
        <w:t xml:space="preserve">Fifth Circuit: </w:t>
      </w:r>
      <w:r w:rsidRPr="00AD2F44">
        <w:t>Granado v. Quality Energy Servs., 2016 U.S. Dist. LEXIS 20060, at *4–5 (W.D. Tex. Feb. 18, 2016) (first-to-file rule applied and case transferred where plaintiff in first-filed Louisiana action sought to certify a collective action class that would consist of the plaintiffs in the later-filed Texas action and where the legal issues in both cases “substantially overlap such that they should be decided in one court to avoid inconsistent outcomes and to preserve judicial resources”).</w:t>
      </w:r>
    </w:p>
    <w:p w14:paraId="1DB3F4B5" w14:textId="77777777" w:rsidR="00721CCF" w:rsidRPr="00AD2F44" w:rsidRDefault="00F42107">
      <w:pPr>
        <w:pStyle w:val="14Footnote"/>
      </w:pPr>
      <w:r w:rsidRPr="00AD2F44">
        <w:rPr>
          <w:i/>
          <w:iCs/>
        </w:rPr>
        <w:t>Sixth Circuit:</w:t>
      </w:r>
      <w:r w:rsidRPr="00AD2F44">
        <w:t xml:space="preserve"> Hubbard v. Papa John’s Int’l, Inc., 2019 WL 6119242, at *2 (W.D. Ky. Nov. 18, 2019) (applying first-to-file rule and staying case, recognizing three factors: “(1) the chronology of events, (2) the similarity of the parties involved, and (3) the similarity of the issues or claims at stake”) (citing Baatz v. Columbia Gas Transmission, LLC, 814 F.3d 785, 789 (6th Cir. 2016)). </w:t>
      </w:r>
    </w:p>
    <w:p w14:paraId="1BBF9401" w14:textId="7EBB8C74" w:rsidR="00721CCF" w:rsidRPr="00AD2F44" w:rsidRDefault="00F42107">
      <w:pPr>
        <w:pStyle w:val="14Footnote"/>
      </w:pPr>
      <w:r w:rsidRPr="00AD2F44">
        <w:rPr>
          <w:i/>
          <w:iCs/>
        </w:rPr>
        <w:t>Eighth Circuit:</w:t>
      </w:r>
      <w:r w:rsidRPr="00AD2F44">
        <w:t xml:space="preserve"> Mosley v. Hydrostatic Oil Tools, Inc., 2021 BL 277538, 2021 WL 3134917 (W.D. Ark. July 23, 2021) (denying conditional certification based on defendant’s first-to-file argument where pending litigation in same court had overlapping FLSA issues); Jones v. Qwest Commc’ns Int’l, Inc., 2007 WL 4179385, at *4 (D. Minn. Nov. 20, 2007) (consolidating statewide putative collective action with earlier-filed conditionally certified nationwide collective action, but refusing to conditionally certify statewide action, because court could create subclasses if nationwide action was decertified, precluding prejudice to plaintiffs in statewide action, and additional notice would be confusing, duplicative, and “effectively extend” opt-in period for previously certified opt-in action beyond its deadline).</w:t>
      </w:r>
    </w:p>
    <w:p w14:paraId="1F9DB272" w14:textId="77777777" w:rsidR="00721CCF" w:rsidRPr="00AD2F44" w:rsidRDefault="00F42107">
      <w:pPr>
        <w:pStyle w:val="14Footnote"/>
      </w:pPr>
      <w:r w:rsidRPr="00AD2F44">
        <w:rPr>
          <w:i/>
          <w:iCs/>
        </w:rPr>
        <w:t>Ninth Circuit:</w:t>
      </w:r>
      <w:r w:rsidRPr="00AD2F44">
        <w:t xml:space="preserve"> Weinstein v. Metlife Inc., 2006 WL 3201045, at *4 (N.D. Cal. Nov. 6, 2006).</w:t>
      </w:r>
    </w:p>
    <w:p w14:paraId="7FD38F36" w14:textId="272212CD" w:rsidR="00721CCF" w:rsidRPr="00AD2F44" w:rsidRDefault="00F42107">
      <w:pPr>
        <w:pStyle w:val="14Footnote"/>
      </w:pPr>
      <w:r w:rsidRPr="00AD2F44">
        <w:rPr>
          <w:i/>
          <w:iCs/>
        </w:rPr>
        <w:t>Eleventh Circuit:</w:t>
      </w:r>
      <w:r w:rsidRPr="00AD2F44">
        <w:t xml:space="preserve"> Burns v. MLK Express Servs., LLC, 2020 U.S. Dist. LEXIS 67302, at *13 (M.D. Fla. Apr. 16, 2020) (applying first-filed rule where “cases substantially overlap and seek to certify the same class of drivers for the same FLSA violations,” noting that the Eleventh Circuit has applied a “strong presumption” for the first-filed rule); Cox v. Appliance Direct, Inc., 2008 WL 3050050, at *4 (M.D. Fla. Aug. 1, 2008) (holding that existence of multiple pending collective actions against same defendant was not bar to conditional certification, given that instant court had none of those cases before it, and given unique opt-in nature of collective actions).</w:t>
      </w:r>
    </w:p>
  </w:footnote>
  <w:footnote w:id="730">
    <w:p w14:paraId="7229F59D" w14:textId="77777777" w:rsidR="00721CCF" w:rsidRPr="00AD2F44" w:rsidRDefault="00F42107">
      <w:pPr>
        <w:pStyle w:val="14Footnote"/>
      </w:pPr>
      <w:r w:rsidRPr="00AD2F44">
        <w:rPr>
          <w:vertAlign w:val="superscript"/>
        </w:rPr>
        <w:footnoteRef/>
      </w:r>
      <w:r w:rsidRPr="00AD2F44">
        <w:rPr>
          <w:i/>
          <w:iCs/>
        </w:rPr>
        <w:t>Tillery</w:t>
      </w:r>
      <w:r w:rsidRPr="00AD2F44">
        <w:t xml:space="preserve">, 2014 WL 1689942, at *2 (“The Fifth Circuit has made clear that </w:t>
      </w:r>
      <w:r w:rsidRPr="00AD2F44">
        <w:br/>
        <w:t xml:space="preserve">‘[c]omplete identity of the parties is not required’ for purposes of the first-to-file rule. Instead, the Court must consider whether </w:t>
      </w:r>
      <w:r w:rsidRPr="00AD2F44">
        <w:rPr>
          <w:i/>
          <w:iCs/>
        </w:rPr>
        <w:t>the issues raised</w:t>
      </w:r>
      <w:r w:rsidRPr="00AD2F44">
        <w:t xml:space="preserve"> in both suits substantially overlap.”) (emphasis in original) (internal citations omitted).</w:t>
      </w:r>
    </w:p>
  </w:footnote>
  <w:footnote w:id="731">
    <w:p w14:paraId="4EC0708F" w14:textId="77777777" w:rsidR="00721CCF" w:rsidRPr="00AD2F44" w:rsidRDefault="00F42107">
      <w:pPr>
        <w:pStyle w:val="14Footnote"/>
      </w:pPr>
      <w:r w:rsidRPr="00AD2F44">
        <w:rPr>
          <w:vertAlign w:val="superscript"/>
        </w:rPr>
        <w:footnoteRef/>
      </w:r>
      <w:r w:rsidRPr="00AD2F44">
        <w:rPr>
          <w:i/>
          <w:iCs/>
        </w:rPr>
        <w:t>Second Circuit:</w:t>
      </w:r>
      <w:r w:rsidRPr="00AD2F44">
        <w:t xml:space="preserve"> </w:t>
      </w:r>
      <w:r w:rsidRPr="00AD2F44">
        <w:rPr>
          <w:i/>
          <w:iCs/>
        </w:rPr>
        <w:t>Morrison</w:t>
      </w:r>
      <w:r w:rsidRPr="00AD2F44">
        <w:t>, 2008 WL 4911156, at *5 (denying motion to transfer where earlier-filed action contained only subset of claims and putative class members in action sought to be transferred, which risked having claims of named plaintiffs in later action excluded if transfer was ordered).</w:t>
      </w:r>
    </w:p>
    <w:p w14:paraId="47AB06C6" w14:textId="77777777" w:rsidR="00721CCF" w:rsidRPr="00AD2F44" w:rsidRDefault="00F42107">
      <w:pPr>
        <w:pStyle w:val="14Footnote"/>
      </w:pPr>
      <w:r w:rsidRPr="00AD2F44">
        <w:rPr>
          <w:i/>
          <w:iCs/>
        </w:rPr>
        <w:t>Fifth Circuit:</w:t>
      </w:r>
      <w:r w:rsidRPr="00AD2F44">
        <w:t xml:space="preserve"> Guyton v. Legacy Pressure Control, Inc.,</w:t>
      </w:r>
      <w:r w:rsidRPr="00AD2F44">
        <w:rPr>
          <w:i/>
          <w:iCs/>
        </w:rPr>
        <w:t xml:space="preserve"> </w:t>
      </w:r>
      <w:r w:rsidRPr="00AD2F44">
        <w:t>2016 U.S. Dist. LEXIS 137896, at *5–6 (W.D. Tex. Oct. 4, 2016) (denying transfer under first-to-file rule despite legal overlap in FLSA claims where first-filed case was a collective action and plaintiffs in second-filed case were proceeding on an individual basis); White v. Peco Foods, Inc., 546 F. Supp. 2d 339, 342 (S.D. Miss. 2008).</w:t>
      </w:r>
    </w:p>
    <w:p w14:paraId="072FB831" w14:textId="77777777" w:rsidR="00721CCF" w:rsidRPr="00AD2F44" w:rsidRDefault="00F42107">
      <w:pPr>
        <w:pStyle w:val="14Footnote"/>
      </w:pPr>
      <w:r w:rsidRPr="00AD2F44">
        <w:rPr>
          <w:i/>
          <w:iCs/>
        </w:rPr>
        <w:t>Sixth Circuit:</w:t>
      </w:r>
      <w:r w:rsidRPr="00AD2F44">
        <w:t xml:space="preserve"> Steavens v. Electronic Data Sys. Corp., 2008 WL 5062847, at *1 (E.D. Mich. Nov. 25, 2008).</w:t>
      </w:r>
    </w:p>
    <w:p w14:paraId="4CB9F69C" w14:textId="77777777" w:rsidR="00721CCF" w:rsidRPr="00AD2F44" w:rsidRDefault="00F42107">
      <w:pPr>
        <w:pStyle w:val="14Footnote"/>
      </w:pPr>
      <w:r w:rsidRPr="00AD2F44">
        <w:rPr>
          <w:i/>
          <w:iCs/>
        </w:rPr>
        <w:t xml:space="preserve">Seventh Circuit: </w:t>
      </w:r>
      <w:r w:rsidRPr="00AD2F44">
        <w:t xml:space="preserve">Hecker v. Petco Animal Supplies, Inc., 2017 U.S. Dist. LEXIS 87016, at *8 (N.D. Ill. Jun. 7, 2017) (denying motion to dismiss, stay, or transfer second-filed case on grounds of first-to-file rule where second case is “closely related but not entirely duplicative of the first and filed in a different district,” but granting transfer on other grounds). </w:t>
      </w:r>
    </w:p>
    <w:p w14:paraId="15368B1A" w14:textId="77777777" w:rsidR="00721CCF" w:rsidRPr="00AD2F44" w:rsidRDefault="00F42107">
      <w:pPr>
        <w:pStyle w:val="14Footnote"/>
      </w:pPr>
      <w:r w:rsidRPr="00AD2F44">
        <w:rPr>
          <w:i/>
          <w:iCs/>
        </w:rPr>
        <w:t>Eighth Circuit:</w:t>
      </w:r>
      <w:r w:rsidRPr="00AD2F44">
        <w:t xml:space="preserve"> Haworth v. New Prime, Inc., 2020 WL 1430478 (W.D. Mo. Mar. 23, 2020) (refusing to apply first-to-file rule to putative collective action because in first-filed case, conditional certification was stayed pending potential settlement and defendant knew about other case but did not seek stay until plaintiff conducted discovery and moved for conditional certification); Arnold v. DirecTV, Inc., 2011 WL 839636, at *4 (E.D. Mo. Mar. 7, 2011) (refusing to apply first-to-file rule to putative collective action because, among other reasons, court was “not convinced that the rule is a good fit for [FLSA collective] actions,” as it could cause “in theory” all potential class members to have to opt in to a single case).</w:t>
      </w:r>
    </w:p>
    <w:p w14:paraId="68832269" w14:textId="05095D5D" w:rsidR="00721CCF" w:rsidRPr="00AD2F44" w:rsidRDefault="00F42107">
      <w:pPr>
        <w:pStyle w:val="14Footnote"/>
      </w:pPr>
      <w:r w:rsidRPr="00AD2F44">
        <w:rPr>
          <w:i/>
          <w:iCs/>
        </w:rPr>
        <w:t>Ninth Circuit:</w:t>
      </w:r>
      <w:r w:rsidRPr="00AD2F44">
        <w:t xml:space="preserve"> Morgan v. US Soccer Fed’n, Inc., 2019 U.S. Dist. LEXIS 204349 (C.D. Cal. Jul. 1, 2019) (denying defendant’s motion to transfer where defendant claimed the case was identical to the first-filed case but also had repeatedly attempted to transfer the first-filed case out</w:t>
      </w:r>
      <w:r w:rsidRPr="00AD2F44">
        <w:rPr>
          <w:i/>
          <w:iCs/>
        </w:rPr>
        <w:t xml:space="preserve"> </w:t>
      </w:r>
      <w:r w:rsidRPr="00AD2F44">
        <w:t>of the district to which transfer was now requested because the case allegedly lacked connection to that district); Adoma v. University of Phx., Inc., 711 F. Supp. 2d 1142, 1150 (E.D. Cal. 2010) (refusing to apply first-to-file rule and to dismiss or stay current action, where first-filed case had not advanced to certification stage, current action had additional claims, and judicial resources would not really be saved because current action had California state claims not implicated in first-filed case).</w:t>
      </w:r>
    </w:p>
    <w:p w14:paraId="09CBF84E" w14:textId="1E66A95C" w:rsidR="00721CCF" w:rsidRPr="00AD2F44" w:rsidRDefault="00F42107">
      <w:pPr>
        <w:pStyle w:val="14Footnote"/>
      </w:pPr>
      <w:r w:rsidRPr="00AD2F44">
        <w:rPr>
          <w:i/>
          <w:iCs/>
        </w:rPr>
        <w:t>Eleventh Circuit:</w:t>
      </w:r>
      <w:r w:rsidRPr="00AD2F44">
        <w:t xml:space="preserve"> Hernandez v. Cracker Barrel Old Country Store, Inc., 2014 WL 5175715, at *2 (M.D. Fla. Oct. 14, 2014) (refusing to apply first-to-file rule where first-filed case was in entirely different procedural posture, there was no indication that request for transfer to first-filed court had been made, and plaintiffs would be prejudiced by dismissal of action).</w:t>
      </w:r>
    </w:p>
  </w:footnote>
  <w:footnote w:id="732">
    <w:p w14:paraId="710179DC" w14:textId="3B754377" w:rsidR="00721CCF" w:rsidRPr="00AD2F44" w:rsidRDefault="00F42107">
      <w:pPr>
        <w:pStyle w:val="14Footnote"/>
      </w:pPr>
      <w:r w:rsidRPr="00AD2F44">
        <w:rPr>
          <w:vertAlign w:val="superscript"/>
        </w:rPr>
        <w:footnoteRef/>
      </w:r>
      <w:r w:rsidRPr="00AD2F44">
        <w:t>Kennedy v. Mountainside Pizza Inc., 2020 BL 294950, 2020 WL 4454897 (D. Colo. May 14, 2020); Pereira v. Foot Locker, Inc., 261 F.R.D. 60, 68 (E.D. Pa. 2009).</w:t>
      </w:r>
    </w:p>
  </w:footnote>
  <w:footnote w:id="733">
    <w:p w14:paraId="60ACEF98" w14:textId="77777777" w:rsidR="00721CCF" w:rsidRPr="00AD2F44" w:rsidRDefault="00F42107">
      <w:pPr>
        <w:pStyle w:val="14Footnote"/>
      </w:pPr>
      <w:r w:rsidRPr="00AD2F44">
        <w:rPr>
          <w:vertAlign w:val="superscript"/>
        </w:rPr>
        <w:footnoteRef/>
      </w:r>
      <w:r w:rsidRPr="00AD2F44">
        <w:t xml:space="preserve">Izzio v. Century Partners Golf Mgmt., L.P., 2015 WL 5472845, at *8 (N.D. Tex. 2015) (stating that intervenor’s application of first-to-file rule attempted to make “technical weapon out of a rule designed to promote considerations of judicial and litigant economy, and the just and effective disposition of disputes” and rejecting intervenor’s “reverse auction” settlement argument in which defendant in series of class actions “picks the most ineffectual class lawyers to negotiate a settlement … in the hope that the district court will approve a weak settlement that will preclude other claims against defendant”), </w:t>
      </w:r>
      <w:r w:rsidRPr="00AD2F44">
        <w:rPr>
          <w:i/>
          <w:iCs/>
        </w:rPr>
        <w:t>rev’d on other grounds</w:t>
      </w:r>
      <w:r w:rsidRPr="00AD2F44">
        <w:t xml:space="preserve">, 2016 WL 6775944, 670 F. App’x 348 (5th Cir. 2016). </w:t>
      </w:r>
    </w:p>
  </w:footnote>
  <w:footnote w:id="734">
    <w:p w14:paraId="65709207" w14:textId="77777777" w:rsidR="00721CCF" w:rsidRPr="00AD2F44" w:rsidRDefault="00F42107">
      <w:pPr>
        <w:pStyle w:val="14Footnote"/>
      </w:pPr>
      <w:r w:rsidRPr="00AD2F44">
        <w:rPr>
          <w:vertAlign w:val="superscript"/>
        </w:rPr>
        <w:footnoteRef/>
      </w:r>
      <w:r w:rsidRPr="00AD2F44">
        <w:rPr>
          <w:i/>
          <w:iCs/>
        </w:rPr>
        <w:t>White</w:t>
      </w:r>
      <w:r w:rsidRPr="00AD2F44">
        <w:t>, 546 F. Supp. 2d 339; Luckett v. Peco Foods, Inc., 2008 WL 534760 (S.D. Miss. Feb. 22, 2008); Brown v. Peco Foods, Inc., 2008 WL 4145428 (S.D. Miss. Feb. 25, 2008).</w:t>
      </w:r>
    </w:p>
  </w:footnote>
  <w:footnote w:id="735">
    <w:p w14:paraId="2A9F0164" w14:textId="77777777" w:rsidR="00721CCF" w:rsidRPr="00AD2F44" w:rsidRDefault="00F42107">
      <w:pPr>
        <w:pStyle w:val="14Footnote"/>
      </w:pPr>
      <w:r w:rsidRPr="00AD2F44">
        <w:rPr>
          <w:vertAlign w:val="superscript"/>
        </w:rPr>
        <w:footnoteRef/>
      </w:r>
      <w:r w:rsidRPr="00AD2F44">
        <w:rPr>
          <w:i/>
          <w:iCs/>
        </w:rPr>
        <w:t>White</w:t>
      </w:r>
      <w:r w:rsidRPr="00AD2F44">
        <w:t>, 546 F. Supp. 2d at 341.</w:t>
      </w:r>
    </w:p>
  </w:footnote>
  <w:footnote w:id="736">
    <w:p w14:paraId="310533EB"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737">
    <w:p w14:paraId="2FA58900" w14:textId="77777777" w:rsidR="00721CCF" w:rsidRPr="00AD2F44" w:rsidRDefault="00F42107">
      <w:pPr>
        <w:pStyle w:val="14Footnote"/>
      </w:pPr>
      <w:r w:rsidRPr="00AD2F44">
        <w:rPr>
          <w:vertAlign w:val="superscript"/>
        </w:rPr>
        <w:footnoteRef/>
      </w:r>
      <w:r w:rsidRPr="00AD2F44">
        <w:t>White v. Peco Foods, Inc., 546 F. Supp. 2d 339, 341 (S.D. Miss. 2008).</w:t>
      </w:r>
    </w:p>
  </w:footnote>
  <w:footnote w:id="738">
    <w:p w14:paraId="7C859B8A"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739">
    <w:p w14:paraId="2CACF578" w14:textId="77777777" w:rsidR="00721CCF" w:rsidRPr="00AD2F44" w:rsidRDefault="00F42107">
      <w:pPr>
        <w:pStyle w:val="14Footnote"/>
      </w:pPr>
      <w:r w:rsidRPr="00AD2F44">
        <w:rPr>
          <w:vertAlign w:val="superscript"/>
        </w:rPr>
        <w:footnoteRef/>
      </w:r>
      <w:r w:rsidRPr="00AD2F44">
        <w:rPr>
          <w:i/>
          <w:iCs/>
        </w:rPr>
        <w:t>Id</w:t>
      </w:r>
      <w:r w:rsidRPr="00AD2F44">
        <w:t>. at 342–43.</w:t>
      </w:r>
    </w:p>
  </w:footnote>
  <w:footnote w:id="740">
    <w:p w14:paraId="0251CBA6" w14:textId="77777777" w:rsidR="00721CCF" w:rsidRPr="00AD2F44" w:rsidRDefault="00F42107">
      <w:pPr>
        <w:pStyle w:val="14Footnote"/>
      </w:pPr>
      <w:r w:rsidRPr="00AD2F44">
        <w:rPr>
          <w:vertAlign w:val="superscript"/>
        </w:rPr>
        <w:footnoteRef/>
      </w:r>
      <w:r w:rsidRPr="00AD2F44">
        <w:rPr>
          <w:i/>
          <w:iCs/>
        </w:rPr>
        <w:t>Id</w:t>
      </w:r>
      <w:r w:rsidRPr="00AD2F44">
        <w:t>. at 343.</w:t>
      </w:r>
    </w:p>
  </w:footnote>
  <w:footnote w:id="741">
    <w:p w14:paraId="16FE449F"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742">
    <w:p w14:paraId="339B4CC6"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743">
    <w:p w14:paraId="67DD1D92" w14:textId="77777777" w:rsidR="00721CCF" w:rsidRPr="00AD2F44" w:rsidRDefault="00F42107">
      <w:pPr>
        <w:pStyle w:val="14Footnote"/>
      </w:pPr>
      <w:r w:rsidRPr="00AD2F44">
        <w:rPr>
          <w:vertAlign w:val="superscript"/>
        </w:rPr>
        <w:footnoteRef/>
      </w:r>
      <w:r w:rsidRPr="00AD2F44">
        <w:t>542 F. Supp. 2d 1014 (N.D. Cal. 2008).</w:t>
      </w:r>
    </w:p>
  </w:footnote>
  <w:footnote w:id="744">
    <w:p w14:paraId="28C45B7B" w14:textId="77777777" w:rsidR="00721CCF" w:rsidRPr="00AD2F44" w:rsidRDefault="00F42107">
      <w:pPr>
        <w:pStyle w:val="14Footnote"/>
      </w:pPr>
      <w:r w:rsidRPr="00AD2F44">
        <w:rPr>
          <w:vertAlign w:val="superscript"/>
        </w:rPr>
        <w:footnoteRef/>
      </w:r>
      <w:r w:rsidRPr="00AD2F44">
        <w:rPr>
          <w:i/>
          <w:iCs/>
        </w:rPr>
        <w:t>Id.</w:t>
      </w:r>
      <w:r w:rsidRPr="00AD2F44">
        <w:t xml:space="preserve"> at 1020. The court did rely on the </w:t>
      </w:r>
      <w:r w:rsidRPr="00AD2F44">
        <w:rPr>
          <w:i/>
          <w:iCs/>
        </w:rPr>
        <w:t>Colorado River</w:t>
      </w:r>
      <w:r w:rsidRPr="00AD2F44">
        <w:t xml:space="preserve"> abstention doctrine to stay the federal case with respect to a proposed Oregon subclass because two previous cases filed in Oregon state court covered similar issues and parties. </w:t>
      </w:r>
      <w:r w:rsidRPr="00AD2F44">
        <w:rPr>
          <w:i/>
          <w:iCs/>
        </w:rPr>
        <w:t>Id</w:t>
      </w:r>
      <w:r w:rsidRPr="00AD2F44">
        <w:t>. at 1020–23 (citing Colorado River Conservation Dist. v. United States, 424 U.S. 800 (1976)).</w:t>
      </w:r>
    </w:p>
  </w:footnote>
  <w:footnote w:id="745">
    <w:p w14:paraId="0FF657AD" w14:textId="77777777" w:rsidR="00721CCF" w:rsidRPr="00AD2F44" w:rsidRDefault="00F42107">
      <w:pPr>
        <w:pStyle w:val="14Footnote"/>
      </w:pPr>
      <w:r w:rsidRPr="00AD2F44">
        <w:rPr>
          <w:vertAlign w:val="superscript"/>
        </w:rPr>
        <w:footnoteRef/>
      </w:r>
      <w:r w:rsidRPr="00AD2F44">
        <w:rPr>
          <w:i/>
          <w:iCs/>
        </w:rPr>
        <w:t>Fourth Circuit:</w:t>
      </w:r>
      <w:r w:rsidRPr="00AD2F44">
        <w:t xml:space="preserve"> Sehler v. Prospect Mortg. LLC, 2013 WL 5184216, at *2 (E.D. Va. Sept. 16, 2013); Johnson v. DePuy Orthopaedics, Inc</w:t>
      </w:r>
      <w:r w:rsidRPr="00AD2F44">
        <w:rPr>
          <w:i/>
          <w:iCs/>
        </w:rPr>
        <w:t>.</w:t>
      </w:r>
      <w:r w:rsidRPr="00AD2F44">
        <w:t>, 2012 WL 4538642, at *2 (D.S.C. 2012).</w:t>
      </w:r>
    </w:p>
    <w:p w14:paraId="788E4117" w14:textId="77777777" w:rsidR="00721CCF" w:rsidRPr="00AD2F44" w:rsidRDefault="00F42107">
      <w:pPr>
        <w:pStyle w:val="14Footnote"/>
      </w:pPr>
      <w:r w:rsidRPr="00AD2F44">
        <w:rPr>
          <w:i/>
          <w:iCs/>
        </w:rPr>
        <w:t>Fifth Circuit:</w:t>
      </w:r>
      <w:r w:rsidRPr="00AD2F44">
        <w:t xml:space="preserve"> Hopple v. Prospect Mortg., LLC, 2013 WL 5493004, at *2 (W.D. Tex. Oct. 2, 2013); Louisiana Stadium &amp; Exposition Dist. v. Financial Guaran. Ins. Co., 2009 WL 926982, at *1 (E.D. La. Apr. 2, 2009).</w:t>
      </w:r>
    </w:p>
    <w:p w14:paraId="046406DF" w14:textId="77777777" w:rsidR="00721CCF" w:rsidRPr="00AD2F44" w:rsidRDefault="00F42107">
      <w:pPr>
        <w:pStyle w:val="14Footnote"/>
      </w:pPr>
      <w:r w:rsidRPr="00AD2F44">
        <w:rPr>
          <w:i/>
          <w:iCs/>
        </w:rPr>
        <w:t xml:space="preserve">Seventh Circuit: </w:t>
      </w:r>
      <w:r w:rsidRPr="00AD2F44">
        <w:t>Meyers v. Bayer AG</w:t>
      </w:r>
      <w:r w:rsidRPr="00AD2F44">
        <w:rPr>
          <w:i/>
          <w:iCs/>
        </w:rPr>
        <w:t>,</w:t>
      </w:r>
      <w:r w:rsidRPr="00AD2F44">
        <w:t xml:space="preserve"> 143 F. Supp. 2d 1044, 1049 (E.D. Wis. 2001).</w:t>
      </w:r>
    </w:p>
    <w:p w14:paraId="0C6841B4" w14:textId="382A2ECD" w:rsidR="00721CCF" w:rsidRPr="00AD2F44" w:rsidRDefault="00F42107">
      <w:pPr>
        <w:pStyle w:val="14Footnote"/>
      </w:pPr>
      <w:r w:rsidRPr="00AD2F44">
        <w:rPr>
          <w:i/>
          <w:iCs/>
        </w:rPr>
        <w:t>Ninth Circuit:</w:t>
      </w:r>
      <w:r w:rsidRPr="00AD2F44">
        <w:t xml:space="preserve"> Brown v. Prospect Mortg., LLC, 2013 WL 5664667, at *1 (C.D. Cal. Oct. 3, 2013); Barnhart v. Prospect Mortg., LLC, 2013 WL 5434569, at *2 (D. Or. Sept. 30, 2013).</w:t>
      </w:r>
    </w:p>
    <w:p w14:paraId="16AD3BB5" w14:textId="0F8C0FBA" w:rsidR="00721CCF" w:rsidRPr="00AD2F44" w:rsidRDefault="00F42107">
      <w:pPr>
        <w:pStyle w:val="14Footnote"/>
      </w:pPr>
      <w:r w:rsidRPr="00AD2F44">
        <w:rPr>
          <w:i/>
          <w:iCs/>
        </w:rPr>
        <w:t>See also</w:t>
      </w:r>
      <w:r w:rsidRPr="00AD2F44">
        <w:t xml:space="preserve"> Pierre v. Prospect Mortg., LLC, 2013 WL 5876151, at *2 (N.D.N.Y. Oct. 31, 2013) (applying a similar five-factor test, considering: “(1) the private interests of the plaintiffs in proceeding expeditiously with the civil litigation as balanced against the prejudice to the plaintiffs if delayed; (2) the private interests of and burden on the defendants; (3) the interests of the courts; (4) the interests of persons not parties to the civil litigation; and (5) the public interest”).</w:t>
      </w:r>
    </w:p>
  </w:footnote>
  <w:footnote w:id="746">
    <w:p w14:paraId="0ED853C4" w14:textId="77777777" w:rsidR="00721CCF" w:rsidRPr="00AD2F44" w:rsidRDefault="00F42107">
      <w:pPr>
        <w:pStyle w:val="14Footnote"/>
      </w:pPr>
      <w:r w:rsidRPr="00AD2F44">
        <w:rPr>
          <w:vertAlign w:val="superscript"/>
        </w:rPr>
        <w:footnoteRef/>
      </w:r>
      <w:r w:rsidRPr="00AD2F44">
        <w:rPr>
          <w:i/>
          <w:iCs/>
        </w:rPr>
        <w:t xml:space="preserve">First Circuit: </w:t>
      </w:r>
      <w:r w:rsidRPr="00AD2F44">
        <w:t>Alves v. Prospect Mortg., LLC, 2013 U.S. Dist. LEXIS 151473 (D. Mass. Oct. 22, 2013) (granting stay pending JPML transfer ruling to avoid the court’s waste of time and expense that could be duplicated by the transferee court if transfer is granted).</w:t>
      </w:r>
    </w:p>
    <w:p w14:paraId="1C1244D8" w14:textId="77777777" w:rsidR="00721CCF" w:rsidRPr="00AD2F44" w:rsidRDefault="00F42107">
      <w:pPr>
        <w:pStyle w:val="14Footnote"/>
      </w:pPr>
      <w:r w:rsidRPr="00AD2F44">
        <w:rPr>
          <w:i/>
          <w:iCs/>
        </w:rPr>
        <w:t>Second Circuit:</w:t>
      </w:r>
      <w:r w:rsidRPr="00AD2F44">
        <w:t xml:space="preserve"> </w:t>
      </w:r>
      <w:r w:rsidRPr="00AD2F44">
        <w:rPr>
          <w:i/>
          <w:iCs/>
        </w:rPr>
        <w:t>Pierre</w:t>
      </w:r>
      <w:r w:rsidRPr="00AD2F44">
        <w:t>, 2013 WL 5876151, at *3–4 (granting stay because defendants showed undue burden and duplicity in having to respond to 23 sets of identical interrogatories and requests for production, and that judicial resources were best served by a stay).</w:t>
      </w:r>
    </w:p>
    <w:p w14:paraId="03E7E69E" w14:textId="77777777" w:rsidR="00721CCF" w:rsidRPr="00AD2F44" w:rsidRDefault="00F42107">
      <w:pPr>
        <w:pStyle w:val="14Footnote"/>
      </w:pPr>
      <w:r w:rsidRPr="00AD2F44">
        <w:rPr>
          <w:i/>
          <w:iCs/>
        </w:rPr>
        <w:t xml:space="preserve">Sixth Circuit: </w:t>
      </w:r>
      <w:r w:rsidRPr="00AD2F44">
        <w:t>Romine v. Uber Techs., Inc., 2017 U.S. Dist. LEXIS 227344 (E.D. Tenn. May 24, 2017) (granting stay where panel on multidistrict litigation was one day away from holding hearing so prejudice is minimal).</w:t>
      </w:r>
    </w:p>
    <w:p w14:paraId="7286EE32" w14:textId="77777777" w:rsidR="00721CCF" w:rsidRPr="00AD2F44" w:rsidRDefault="00F42107">
      <w:pPr>
        <w:pStyle w:val="14Footnote"/>
      </w:pPr>
      <w:r w:rsidRPr="00AD2F44">
        <w:rPr>
          <w:i/>
          <w:iCs/>
        </w:rPr>
        <w:t>Seventh Circuit:</w:t>
      </w:r>
      <w:r w:rsidRPr="00AD2F44">
        <w:t xml:space="preserve"> Parizek v. Velocity Exp., Inc., 2008 WL 4279381 (E.D. Wis. Sept. 12, 2008) (staying case pending JPML decision, with instruction that defendant preserve all documents concerning putative class members and allegations).</w:t>
      </w:r>
    </w:p>
    <w:p w14:paraId="3D6CFA36" w14:textId="77777777" w:rsidR="00721CCF" w:rsidRPr="00AD2F44" w:rsidRDefault="00F42107">
      <w:pPr>
        <w:pStyle w:val="14Footnote"/>
      </w:pPr>
      <w:r w:rsidRPr="00AD2F44">
        <w:rPr>
          <w:i/>
          <w:iCs/>
        </w:rPr>
        <w:t>Eighth Circuit:</w:t>
      </w:r>
      <w:r w:rsidRPr="00AD2F44">
        <w:t xml:space="preserve"> Adams v. Tyson Foods, Inc., 2007 WL 1539325 (W.D. Ark. May 25, 2007) (staying proceedings pending decision on transfer by JPML and granting motion to equitably toll and preserve the claims of putative class members pending outcome of the JPML decision and allowing class members to continue to opt in during stay).</w:t>
      </w:r>
    </w:p>
    <w:p w14:paraId="18C7C1CF" w14:textId="4C57CDCF" w:rsidR="00721CCF" w:rsidRPr="00AD2F44" w:rsidRDefault="00F42107">
      <w:pPr>
        <w:pStyle w:val="14Footnote"/>
      </w:pPr>
      <w:r w:rsidRPr="00AD2F44">
        <w:rPr>
          <w:i/>
          <w:iCs/>
        </w:rPr>
        <w:t>Ninth Circuit:</w:t>
      </w:r>
      <w:r w:rsidRPr="00AD2F44">
        <w:t xml:space="preserve"> Franklin v. Prospect Mortg., LLC, 2013 WL 6423389 (E.D. Cal. Dec. 9, 2013) (granting stay and finding that judicial economy was promoted by the stay, that the risk of inconsistent rulings prejudiced defendant, and that plaintiffs were not prejudiced because they had waited six months after decertification to file the new action and there had not been any significant activity in the new case).</w:t>
      </w:r>
    </w:p>
  </w:footnote>
  <w:footnote w:id="747">
    <w:p w14:paraId="4262F405" w14:textId="77777777" w:rsidR="00721CCF" w:rsidRPr="00AD2F44" w:rsidRDefault="00F42107">
      <w:pPr>
        <w:pStyle w:val="14Footnote"/>
      </w:pPr>
      <w:r w:rsidRPr="00AD2F44">
        <w:rPr>
          <w:vertAlign w:val="superscript"/>
        </w:rPr>
        <w:footnoteRef/>
      </w:r>
      <w:r w:rsidRPr="00AD2F44">
        <w:rPr>
          <w:i/>
          <w:iCs/>
        </w:rPr>
        <w:t>See</w:t>
      </w:r>
      <w:r w:rsidRPr="00AD2F44">
        <w:t xml:space="preserve"> </w:t>
      </w:r>
      <w:r w:rsidRPr="00AD2F44">
        <w:rPr>
          <w:smallCaps/>
        </w:rPr>
        <w:t>Federal Judicial Center, Manual for Complex Litigation</w:t>
      </w:r>
      <w:r w:rsidRPr="00AD2F44">
        <w:t xml:space="preserve"> §20.131 (4th ed. 2004).</w:t>
      </w:r>
    </w:p>
  </w:footnote>
  <w:footnote w:id="748">
    <w:p w14:paraId="69384B24" w14:textId="77777777" w:rsidR="00721CCF" w:rsidRPr="00AD2F44" w:rsidRDefault="00F42107">
      <w:pPr>
        <w:pStyle w:val="14Footnote"/>
      </w:pPr>
      <w:r w:rsidRPr="00AD2F44">
        <w:rPr>
          <w:vertAlign w:val="superscript"/>
        </w:rPr>
        <w:footnoteRef/>
      </w:r>
      <w:r w:rsidRPr="00AD2F44">
        <w:rPr>
          <w:i/>
          <w:iCs/>
        </w:rPr>
        <w:t>Fifth Circuit: Hopple</w:t>
      </w:r>
      <w:r w:rsidRPr="00AD2F44">
        <w:t>, 2013 WL 5493004 at *2–4 (denying stay because plaintiff would be prejudiced, having already waited three years without getting to the merits of the case, any hardship to defendant was its own fault because it sought decertification, and the court could not determine whether judicial economy favored a stay because it could not determine if the motion to consolidate would be granted).</w:t>
      </w:r>
    </w:p>
    <w:p w14:paraId="2FA7906D" w14:textId="77777777" w:rsidR="00721CCF" w:rsidRPr="00AD2F44" w:rsidRDefault="00F42107">
      <w:pPr>
        <w:pStyle w:val="14Footnote"/>
      </w:pPr>
      <w:r w:rsidRPr="00AD2F44">
        <w:rPr>
          <w:i/>
          <w:iCs/>
        </w:rPr>
        <w:t>Fourth Circuit:</w:t>
      </w:r>
      <w:r w:rsidRPr="00AD2F44">
        <w:t xml:space="preserve"> </w:t>
      </w:r>
      <w:r w:rsidRPr="00AD2F44">
        <w:rPr>
          <w:i/>
          <w:iCs/>
        </w:rPr>
        <w:t>Sehler</w:t>
      </w:r>
      <w:r w:rsidRPr="00AD2F44">
        <w:t>, 2013 WL 5184216, at *2–3 (denying stay request where MDL consolidation would be only for purposes of discovery and there was prejudice to the nonmoving party given the potential four- to six-month delay).</w:t>
      </w:r>
    </w:p>
    <w:p w14:paraId="4A5C7219" w14:textId="77777777" w:rsidR="00721CCF" w:rsidRPr="00AD2F44" w:rsidRDefault="00F42107">
      <w:pPr>
        <w:pStyle w:val="14Footnote"/>
      </w:pPr>
      <w:r w:rsidRPr="00AD2F44">
        <w:rPr>
          <w:i/>
          <w:iCs/>
        </w:rPr>
        <w:t xml:space="preserve">Ninth Circuit: </w:t>
      </w:r>
      <w:r w:rsidRPr="00AD2F44">
        <w:t>Baker v. Prospect Mortg., LLC, 2013 U.S. Dist. LEXIS 14474, at *3–6 (D. Ariz. Oct. 1, 2013) (denying motion to stay pending JPML decision due to facts that case had already been substantially delayed since filing, that the court already entered a scheduling order with lengthy deadlines for amending the complaint and for the completion of discovery, and that many of the plaintiffs nationwide were represented by the same counsel).</w:t>
      </w:r>
    </w:p>
    <w:p w14:paraId="57921461" w14:textId="52B65DC8" w:rsidR="00721CCF" w:rsidRPr="00AD2F44" w:rsidRDefault="00F42107">
      <w:pPr>
        <w:pStyle w:val="14Footnote"/>
      </w:pPr>
      <w:r w:rsidRPr="00AD2F44">
        <w:rPr>
          <w:i/>
          <w:iCs/>
        </w:rPr>
        <w:t>Tenth Circuit:</w:t>
      </w:r>
      <w:r w:rsidRPr="00AD2F44">
        <w:t xml:space="preserve"> Garcia v. Tyson Foods, Inc., 2008 WL 4148596 (D. Kan. Sept. 3, 2008) (denying motion to stay proceedings pending decision by JPML where the proceedings had already been delayed for two years by defendant’s failed motion for summary judgment and appeal to Tenth Circuit, and defendant was seeking consolidation and transfer to the District of Kansas where the court found that further delay would be prejudicial, particularly in light of the increasing difficulty in locating and notifying a fairly transient class as time progressed); Baldozier v. American Family Mut. Ins. Co., 2005 WL 3499953 (D. Colo. Dec. 21, 2005) (denying defendant’s motion to stay without prejudice and requesting prompt notice of any ruling by the MDL panel).</w:t>
      </w:r>
    </w:p>
  </w:footnote>
  <w:footnote w:id="749">
    <w:p w14:paraId="1A24AB47" w14:textId="77777777" w:rsidR="00721CCF" w:rsidRPr="00AD2F44" w:rsidRDefault="00F42107">
      <w:pPr>
        <w:pStyle w:val="14Footnote"/>
      </w:pPr>
      <w:r w:rsidRPr="00AD2F44">
        <w:rPr>
          <w:vertAlign w:val="superscript"/>
        </w:rPr>
        <w:footnoteRef/>
      </w:r>
      <w:r w:rsidRPr="00AD2F44">
        <w:rPr>
          <w:i/>
          <w:iCs/>
        </w:rPr>
        <w:t>See</w:t>
      </w:r>
      <w:r w:rsidRPr="00AD2F44">
        <w:t xml:space="preserve"> </w:t>
      </w:r>
      <w:r w:rsidRPr="00AD2F44">
        <w:rPr>
          <w:i/>
          <w:iCs/>
        </w:rPr>
        <w:t>Brown</w:t>
      </w:r>
      <w:r w:rsidRPr="00AD2F44">
        <w:t xml:space="preserve">, 2013 WL 5664667, at *2 (entering a limited stay and staying discovery common to all plaintiffs but allowing discovery related to individual plaintiffs in the action before the court); </w:t>
      </w:r>
      <w:r w:rsidRPr="00AD2F44">
        <w:rPr>
          <w:i/>
          <w:iCs/>
        </w:rPr>
        <w:t>Barnhart</w:t>
      </w:r>
      <w:r w:rsidRPr="00AD2F44">
        <w:t xml:space="preserve">, 2013 WL 5434569, at *1 (granting stay as to discovery relevant to all cases, including Rule 30(b)(6) depositions of defendant’s designees, but denying stay as to discovery of information unique to plaintiff); </w:t>
      </w:r>
      <w:r w:rsidRPr="00AD2F44">
        <w:rPr>
          <w:i/>
          <w:iCs/>
        </w:rPr>
        <w:t xml:space="preserve">Barnhart, </w:t>
      </w:r>
      <w:r w:rsidRPr="00AD2F44">
        <w:t>2013 WL 5434569, at *5 (denying stay as to discovery of individual plaintiffs but granting stay as to discovery that would also have relevance in other actions, including Rule 30(b)(6) depositions).</w:t>
      </w:r>
    </w:p>
  </w:footnote>
  <w:footnote w:id="750">
    <w:p w14:paraId="0BCB74B3" w14:textId="77777777" w:rsidR="00721CCF" w:rsidRPr="00AD2F44" w:rsidRDefault="00F42107">
      <w:pPr>
        <w:pStyle w:val="14Footnote"/>
      </w:pPr>
      <w:r w:rsidRPr="00AD2F44">
        <w:rPr>
          <w:vertAlign w:val="superscript"/>
        </w:rPr>
        <w:footnoteRef/>
      </w:r>
      <w:r w:rsidRPr="00AD2F44">
        <w:t>Kramer v. NCS Pearson, Inc., 2003 WL 21640495 (D. Minn. June 30, 2003) (upholding magistrate’s order compelling disclosure of employee lists while the parties were waiting for the JPML’s ruling on a motion to transfer and the defendant’s stay motion was pending, finding that neither the pending motion to stay nor the motion to transfer warranted what would essentially be a stay of necessary discovery).</w:t>
      </w:r>
    </w:p>
  </w:footnote>
  <w:footnote w:id="751">
    <w:p w14:paraId="1748A975" w14:textId="77777777" w:rsidR="00721CCF" w:rsidRPr="00AD2F44" w:rsidRDefault="00F42107">
      <w:pPr>
        <w:pStyle w:val="14Footnote"/>
      </w:pPr>
      <w:r w:rsidRPr="00AD2F44">
        <w:rPr>
          <w:vertAlign w:val="superscript"/>
        </w:rPr>
        <w:footnoteRef/>
      </w:r>
      <w:r w:rsidRPr="00AD2F44">
        <w:rPr>
          <w:i/>
        </w:rPr>
        <w:t>Id.</w:t>
      </w:r>
    </w:p>
  </w:footnote>
  <w:footnote w:id="752">
    <w:p w14:paraId="5999AA58" w14:textId="77777777" w:rsidR="00721CCF" w:rsidRPr="00AD2F44" w:rsidRDefault="00F42107">
      <w:pPr>
        <w:pStyle w:val="14Footnote"/>
      </w:pPr>
      <w:r w:rsidRPr="00AD2F44">
        <w:rPr>
          <w:vertAlign w:val="superscript"/>
        </w:rPr>
        <w:footnoteRef/>
      </w:r>
      <w:r w:rsidRPr="00AD2F44">
        <w:rPr>
          <w:i/>
          <w:iCs/>
        </w:rPr>
        <w:t>Id</w:t>
      </w:r>
      <w:r w:rsidRPr="00AD2F44">
        <w:t>. at *2.</w:t>
      </w:r>
    </w:p>
  </w:footnote>
  <w:footnote w:id="753">
    <w:p w14:paraId="7728DEB0" w14:textId="77777777" w:rsidR="00721CCF" w:rsidRPr="00AD2F44" w:rsidRDefault="00F42107">
      <w:pPr>
        <w:pStyle w:val="14Footnote"/>
      </w:pPr>
      <w:r w:rsidRPr="00AD2F44">
        <w:rPr>
          <w:vertAlign w:val="superscript"/>
        </w:rPr>
        <w:footnoteRef/>
      </w:r>
      <w:r w:rsidRPr="00AD2F44">
        <w:rPr>
          <w:i/>
          <w:iCs/>
        </w:rPr>
        <w:t>In re</w:t>
      </w:r>
      <w:r w:rsidRPr="00AD2F44">
        <w:t xml:space="preserve"> Farmers Ins. Exch. Claims Reps. Overtime Pay Litig., 2004 WL 1336228, at *3 (D. Or. June 14, 2004). The MDL court considered whether it had power to issue the injunction under the Anti-Injunction Act, “which generally prohibits federal courts from interfering with proceedings in state courts, unless the circumstances fall within one of three express exceptions: … (1) Congress has expressly authorized; (2) are necessary in aid of the federal court’s jurisdiction; or (3) are necessary to protect or effectuate the federal court’s judgments.” </w:t>
      </w:r>
      <w:r w:rsidRPr="00AD2F44">
        <w:rPr>
          <w:i/>
          <w:iCs/>
        </w:rPr>
        <w:t>Id</w:t>
      </w:r>
      <w:r w:rsidRPr="00AD2F44">
        <w:t>.</w:t>
      </w:r>
    </w:p>
  </w:footnote>
  <w:footnote w:id="754">
    <w:p w14:paraId="75F3F547" w14:textId="77777777" w:rsidR="00721CCF" w:rsidRPr="00AD2F44" w:rsidRDefault="00F42107">
      <w:pPr>
        <w:pStyle w:val="14Footnote"/>
      </w:pPr>
      <w:r w:rsidRPr="00AD2F44">
        <w:rPr>
          <w:vertAlign w:val="superscript"/>
        </w:rPr>
        <w:footnoteRef/>
      </w:r>
      <w:r w:rsidRPr="00AD2F44">
        <w:t xml:space="preserve">877 F.3d 756 (7th Cir. 2017). </w:t>
      </w:r>
    </w:p>
  </w:footnote>
  <w:footnote w:id="755">
    <w:p w14:paraId="2B15A200" w14:textId="77777777" w:rsidR="00721CCF" w:rsidRPr="00AD2F44" w:rsidRDefault="00F42107">
      <w:pPr>
        <w:pStyle w:val="14Footnote"/>
      </w:pPr>
      <w:r w:rsidRPr="00AD2F44">
        <w:rPr>
          <w:vertAlign w:val="superscript"/>
        </w:rPr>
        <w:footnoteRef/>
      </w:r>
      <w:r w:rsidRPr="00AD2F44">
        <w:rPr>
          <w:i/>
          <w:iCs/>
        </w:rPr>
        <w:t>Id</w:t>
      </w:r>
      <w:r w:rsidRPr="00AD2F44">
        <w:t xml:space="preserve">. at 760. </w:t>
      </w:r>
    </w:p>
  </w:footnote>
  <w:footnote w:id="756">
    <w:p w14:paraId="77F4A18E" w14:textId="77777777" w:rsidR="00721CCF" w:rsidRPr="00AD2F44" w:rsidRDefault="00F42107">
      <w:pPr>
        <w:pStyle w:val="14Footnote"/>
      </w:pPr>
      <w:r w:rsidRPr="00AD2F44">
        <w:rPr>
          <w:vertAlign w:val="superscript"/>
        </w:rPr>
        <w:footnoteRef/>
      </w:r>
      <w:r w:rsidRPr="00AD2F44">
        <w:rPr>
          <w:i/>
          <w:iCs/>
        </w:rPr>
        <w:t>Id</w:t>
      </w:r>
      <w:r w:rsidRPr="00AD2F44">
        <w:t xml:space="preserve">. at 766 (citing Adkins v. Nestle Purina PetCare Co., 779 F.3d 481, 483 (7th Cir. 2015)). </w:t>
      </w:r>
    </w:p>
  </w:footnote>
  <w:footnote w:id="757">
    <w:p w14:paraId="7EE6B054" w14:textId="77777777" w:rsidR="00721CCF" w:rsidRPr="00AD2F44" w:rsidRDefault="00F42107">
      <w:pPr>
        <w:pStyle w:val="14Footnote"/>
      </w:pPr>
      <w:r w:rsidRPr="00AD2F44">
        <w:rPr>
          <w:vertAlign w:val="superscript"/>
        </w:rPr>
        <w:footnoteRef/>
      </w:r>
      <w:r w:rsidRPr="00AD2F44">
        <w:t>28 U.S.C. §2283.</w:t>
      </w:r>
    </w:p>
  </w:footnote>
  <w:footnote w:id="758">
    <w:p w14:paraId="73078E82" w14:textId="77777777" w:rsidR="00721CCF" w:rsidRPr="00AD2F44" w:rsidRDefault="00F42107">
      <w:pPr>
        <w:pStyle w:val="14Footnote"/>
      </w:pPr>
      <w:r w:rsidRPr="00AD2F44">
        <w:rPr>
          <w:vertAlign w:val="superscript"/>
        </w:rPr>
        <w:footnoteRef/>
      </w:r>
      <w:r w:rsidRPr="00AD2F44">
        <w:t>877 F.3d</w:t>
      </w:r>
      <w:r w:rsidRPr="00AD2F44">
        <w:rPr>
          <w:i/>
          <w:iCs/>
        </w:rPr>
        <w:t xml:space="preserve"> </w:t>
      </w:r>
      <w:r w:rsidRPr="00AD2F44">
        <w:t xml:space="preserve">at 763–64. </w:t>
      </w:r>
    </w:p>
  </w:footnote>
  <w:footnote w:id="759">
    <w:p w14:paraId="03F30525" w14:textId="77777777" w:rsidR="00721CCF" w:rsidRPr="00AD2F44" w:rsidRDefault="00F42107">
      <w:pPr>
        <w:pStyle w:val="14Footnote"/>
      </w:pPr>
      <w:r w:rsidRPr="00AD2F44">
        <w:rPr>
          <w:vertAlign w:val="superscript"/>
        </w:rPr>
        <w:footnoteRef/>
      </w:r>
      <w:r w:rsidRPr="00AD2F44">
        <w:t xml:space="preserve">28 U.S.C. §1651. </w:t>
      </w:r>
    </w:p>
  </w:footnote>
  <w:footnote w:id="760">
    <w:p w14:paraId="1D190FEB" w14:textId="77777777" w:rsidR="00721CCF" w:rsidRPr="00AD2F44" w:rsidRDefault="00F42107">
      <w:pPr>
        <w:pStyle w:val="14Footnote"/>
      </w:pPr>
      <w:r w:rsidRPr="00AD2F44">
        <w:rPr>
          <w:vertAlign w:val="superscript"/>
        </w:rPr>
        <w:footnoteRef/>
      </w:r>
      <w:r w:rsidRPr="00AD2F44">
        <w:t>877 F.3d at 770–71.</w:t>
      </w:r>
      <w:r w:rsidRPr="00AD2F44">
        <w:rPr>
          <w:b/>
          <w:bCs/>
        </w:rPr>
        <w:t xml:space="preserve"> </w:t>
      </w:r>
    </w:p>
  </w:footnote>
  <w:footnote w:id="761">
    <w:p w14:paraId="65847C0A" w14:textId="77777777" w:rsidR="00721CCF" w:rsidRPr="00AD2F44" w:rsidRDefault="00F42107">
      <w:pPr>
        <w:pStyle w:val="14Footnote"/>
      </w:pPr>
      <w:r w:rsidRPr="00AD2F44">
        <w:rPr>
          <w:vertAlign w:val="superscript"/>
        </w:rPr>
        <w:footnoteRef/>
      </w:r>
      <w:r w:rsidRPr="00AD2F44">
        <w:t xml:space="preserve">Powell v. McCormack, 395 U.S. 486, 496 (1969); Cameron-Grant v. Maxim Healthcare Servs., Inc., 347 F.3d 1240, 1245 (11th Cir. 2003); </w:t>
      </w:r>
      <w:r w:rsidRPr="00AD2F44">
        <w:rPr>
          <w:i/>
          <w:iCs/>
        </w:rPr>
        <w:t>see also</w:t>
      </w:r>
      <w:r w:rsidRPr="00AD2F44">
        <w:t xml:space="preserve"> Mackenzie v. Kindred Hosps. E., LLC, 276 F. Supp. 2d 1211, 1218–20 (M.D. Fla. 2003) (granting dismissal on denied offer of judgment, especially where there were no other identified actual or potential opt-ins).</w:t>
      </w:r>
    </w:p>
  </w:footnote>
  <w:footnote w:id="762">
    <w:p w14:paraId="26978B63" w14:textId="77777777" w:rsidR="00721CCF" w:rsidRPr="00AD2F44" w:rsidRDefault="00F42107">
      <w:pPr>
        <w:pStyle w:val="14Footnote"/>
      </w:pPr>
      <w:r w:rsidRPr="00AD2F44">
        <w:rPr>
          <w:vertAlign w:val="superscript"/>
        </w:rPr>
        <w:footnoteRef/>
      </w:r>
      <w:r w:rsidRPr="00AD2F44">
        <w:t>Rule 68 provides:</w:t>
      </w:r>
    </w:p>
    <w:p w14:paraId="1ECB2331" w14:textId="77777777" w:rsidR="00721CCF" w:rsidRPr="00AD2F44" w:rsidRDefault="00F42107" w:rsidP="00397917">
      <w:pPr>
        <w:pStyle w:val="15BFootnoteBlockQuoteWithoutIndent"/>
      </w:pPr>
      <w:r w:rsidRPr="00AD2F44">
        <w:t>More than 10 days before the trial begins, a party defending against a claim may serve on an opposing party an offer to allow judgment on specified terms, with the costs then accrued. If, within 10 days after being served, the opposing party serves written notice accepting the offer, either party may then file the offer and notice of acceptance, plus proof of service. The clerk must then enter judgment.</w:t>
      </w:r>
    </w:p>
    <w:p w14:paraId="7211DA8D" w14:textId="77777777" w:rsidR="00721CCF" w:rsidRPr="00AD2F44" w:rsidRDefault="00F42107" w:rsidP="00465F1A">
      <w:pPr>
        <w:pStyle w:val="14Footnote"/>
        <w:ind w:firstLine="0"/>
      </w:pPr>
      <w:r w:rsidRPr="00AD2F44">
        <w:rPr>
          <w:smallCaps/>
        </w:rPr>
        <w:t>Fed. R. Civ. P.</w:t>
      </w:r>
      <w:r w:rsidRPr="00AD2F44">
        <w:t xml:space="preserve"> 68(a). The Rule was amended effective December 1, 2007, but the changes were only stylistic. </w:t>
      </w:r>
      <w:r w:rsidRPr="00AD2F44">
        <w:rPr>
          <w:i/>
          <w:iCs/>
        </w:rPr>
        <w:t>Id</w:t>
      </w:r>
      <w:r w:rsidRPr="00AD2F44">
        <w:t>. advisory committee’s notes (2007 amendments).</w:t>
      </w:r>
    </w:p>
  </w:footnote>
  <w:footnote w:id="763">
    <w:p w14:paraId="31FA4590" w14:textId="77777777" w:rsidR="00721CCF" w:rsidRPr="00AD2F44" w:rsidRDefault="00F42107">
      <w:pPr>
        <w:pStyle w:val="14Footnote"/>
      </w:pPr>
      <w:r w:rsidRPr="00AD2F44">
        <w:rPr>
          <w:vertAlign w:val="superscript"/>
        </w:rPr>
        <w:footnoteRef/>
      </w:r>
      <w:r w:rsidRPr="00AD2F44">
        <w:rPr>
          <w:i/>
          <w:iCs/>
        </w:rPr>
        <w:t>See</w:t>
      </w:r>
      <w:r w:rsidRPr="00AD2F44">
        <w:t xml:space="preserve"> Louisdor v. American Telecomms., Inc., 540 F. Supp. 2d 368, 373 (E.D.N.Y. 2008) (“Defendant’s Rule 68 offer of judgment, which equals the maximum amount plaintiff could recover at trial, has eliminated plaintiff’s individual stake, and, therefore, no justiciable controversy remains.”); Simmons v. United Mortg. &amp; Loan Inv., LLC, 2009 WL 2950879, at *3 (W.D.N.C. Sept. 14, 2009).</w:t>
      </w:r>
    </w:p>
  </w:footnote>
  <w:footnote w:id="764">
    <w:p w14:paraId="694B8658" w14:textId="77777777" w:rsidR="00721CCF" w:rsidRPr="00AD2F44" w:rsidRDefault="00F42107">
      <w:pPr>
        <w:pStyle w:val="14Footnote"/>
      </w:pPr>
      <w:r w:rsidRPr="00AD2F44">
        <w:rPr>
          <w:rStyle w:val="FootnoteReference"/>
        </w:rPr>
        <w:footnoteRef/>
      </w:r>
      <w:r w:rsidRPr="00AD2F44">
        <w:rPr>
          <w:i/>
          <w:iCs/>
        </w:rPr>
        <w:t>See</w:t>
      </w:r>
      <w:r w:rsidRPr="00AD2F44">
        <w:t xml:space="preserve"> Borup v. CJS Sols. Grp., LLC, 333 F.R.D. 142 (D. Minn. 2019) (denying plaintiff’s motion to strike Rule 68 offer pre-certification, evaluating attendant risks to striking offer versus letting it remain active). </w:t>
      </w:r>
    </w:p>
  </w:footnote>
  <w:footnote w:id="765">
    <w:p w14:paraId="116DC06D" w14:textId="77777777" w:rsidR="00721CCF" w:rsidRPr="00AD2F44" w:rsidRDefault="00F42107">
      <w:pPr>
        <w:pStyle w:val="14Footnote"/>
      </w:pPr>
      <w:r w:rsidRPr="00AD2F44">
        <w:rPr>
          <w:vertAlign w:val="superscript"/>
        </w:rPr>
        <w:footnoteRef/>
      </w:r>
      <w:r w:rsidRPr="00AD2F44">
        <w:t>569 U.S. 66, 20 WH Cases2d 801 (2013).</w:t>
      </w:r>
    </w:p>
  </w:footnote>
  <w:footnote w:id="766">
    <w:p w14:paraId="3A7BE300" w14:textId="77777777" w:rsidR="00721CCF" w:rsidRPr="00AD2F44" w:rsidRDefault="00F42107">
      <w:pPr>
        <w:pStyle w:val="14Footnote"/>
      </w:pPr>
      <w:r w:rsidRPr="00AD2F44">
        <w:rPr>
          <w:vertAlign w:val="superscript"/>
        </w:rPr>
        <w:footnoteRef/>
      </w:r>
      <w:r w:rsidRPr="00AD2F44">
        <w:t xml:space="preserve">Symczyk v. Genesis HealthCare Corp., 2010 WL 2038676 (E.D. Pa. May 19, 2010). </w:t>
      </w:r>
    </w:p>
  </w:footnote>
  <w:footnote w:id="767">
    <w:p w14:paraId="3DC042D4" w14:textId="77777777" w:rsidR="00721CCF" w:rsidRPr="00AD2F44" w:rsidRDefault="00F42107">
      <w:pPr>
        <w:pStyle w:val="14Footnote"/>
      </w:pPr>
      <w:r w:rsidRPr="00AD2F44">
        <w:rPr>
          <w:vertAlign w:val="superscript"/>
        </w:rPr>
        <w:footnoteRef/>
      </w:r>
      <w:r w:rsidRPr="00AD2F44">
        <w:t>Symczyk v. Genesis Healthcare Corp., 656 F.3d 189, 18 WH Cases2d 1 (3d Cir. 2011).</w:t>
      </w:r>
    </w:p>
  </w:footnote>
  <w:footnote w:id="768">
    <w:p w14:paraId="13D091F7" w14:textId="77777777" w:rsidR="00721CCF" w:rsidRPr="00AD2F44" w:rsidRDefault="00F42107">
      <w:pPr>
        <w:pStyle w:val="14Footnote"/>
      </w:pPr>
      <w:r w:rsidRPr="00AD2F44">
        <w:rPr>
          <w:vertAlign w:val="superscript"/>
        </w:rPr>
        <w:footnoteRef/>
      </w:r>
      <w:r w:rsidRPr="00AD2F44">
        <w:rPr>
          <w:i/>
          <w:iCs/>
        </w:rPr>
        <w:t xml:space="preserve">Symczyk, </w:t>
      </w:r>
      <w:r w:rsidRPr="00AD2F44">
        <w:t>569 U.S. at 72.</w:t>
      </w:r>
    </w:p>
  </w:footnote>
  <w:footnote w:id="769">
    <w:p w14:paraId="437C6721" w14:textId="77777777" w:rsidR="00721CCF" w:rsidRPr="00AD2F44" w:rsidRDefault="00F42107">
      <w:pPr>
        <w:pStyle w:val="14Footnote"/>
      </w:pPr>
      <w:r w:rsidRPr="00AD2F44">
        <w:rPr>
          <w:vertAlign w:val="superscript"/>
        </w:rPr>
        <w:footnoteRef/>
      </w:r>
      <w:r w:rsidRPr="00AD2F44">
        <w:rPr>
          <w:i/>
          <w:iCs/>
        </w:rPr>
        <w:t>Id</w:t>
      </w:r>
      <w:r w:rsidRPr="00AD2F44">
        <w:t>. at 73.</w:t>
      </w:r>
    </w:p>
  </w:footnote>
  <w:footnote w:id="770">
    <w:p w14:paraId="168D31E3"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771">
    <w:p w14:paraId="41BF7D39"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772">
    <w:p w14:paraId="6A33D08A" w14:textId="77777777" w:rsidR="00721CCF" w:rsidRPr="00AD2F44" w:rsidRDefault="00F42107">
      <w:pPr>
        <w:pStyle w:val="14Footnote"/>
      </w:pPr>
      <w:r w:rsidRPr="00AD2F44">
        <w:rPr>
          <w:vertAlign w:val="superscript"/>
        </w:rPr>
        <w:footnoteRef/>
      </w:r>
      <w:r w:rsidRPr="00AD2F44">
        <w:rPr>
          <w:i/>
          <w:iCs/>
        </w:rPr>
        <w:t>Id</w:t>
      </w:r>
      <w:r w:rsidRPr="00AD2F44">
        <w:t xml:space="preserve">. at 74. </w:t>
      </w:r>
    </w:p>
  </w:footnote>
  <w:footnote w:id="773">
    <w:p w14:paraId="60D4405B" w14:textId="77777777" w:rsidR="00721CCF" w:rsidRPr="00AD2F44" w:rsidRDefault="00F42107">
      <w:pPr>
        <w:pStyle w:val="14Footnote"/>
      </w:pPr>
      <w:r w:rsidRPr="00AD2F44">
        <w:rPr>
          <w:vertAlign w:val="superscript"/>
        </w:rPr>
        <w:footnoteRef/>
      </w:r>
      <w:r w:rsidRPr="00AD2F44">
        <w:rPr>
          <w:i/>
          <w:iCs/>
        </w:rPr>
        <w:t>Id.</w:t>
      </w:r>
      <w:r w:rsidRPr="00AD2F44">
        <w:t xml:space="preserve"> at 75. </w:t>
      </w:r>
    </w:p>
  </w:footnote>
  <w:footnote w:id="774">
    <w:p w14:paraId="49B5D76C" w14:textId="77777777" w:rsidR="00721CCF" w:rsidRPr="00AD2F44" w:rsidRDefault="00F42107">
      <w:pPr>
        <w:pStyle w:val="14Footnote"/>
      </w:pPr>
      <w:r w:rsidRPr="00AD2F44">
        <w:rPr>
          <w:vertAlign w:val="superscript"/>
        </w:rPr>
        <w:footnoteRef/>
      </w:r>
      <w:r w:rsidRPr="00AD2F44">
        <w:rPr>
          <w:i/>
          <w:iCs/>
        </w:rPr>
        <w:t>Id</w:t>
      </w:r>
      <w:r w:rsidRPr="00AD2F44">
        <w:t>. at 76.</w:t>
      </w:r>
    </w:p>
  </w:footnote>
  <w:footnote w:id="775">
    <w:p w14:paraId="60162772" w14:textId="77777777" w:rsidR="00721CCF" w:rsidRPr="00AD2F44" w:rsidRDefault="00F42107">
      <w:pPr>
        <w:pStyle w:val="14Footnote"/>
      </w:pPr>
      <w:r w:rsidRPr="00AD2F44">
        <w:rPr>
          <w:vertAlign w:val="superscript"/>
        </w:rPr>
        <w:footnoteRef/>
      </w:r>
      <w:r w:rsidRPr="00AD2F44">
        <w:rPr>
          <w:i/>
        </w:rPr>
        <w:t xml:space="preserve">See, e.g., </w:t>
      </w:r>
    </w:p>
    <w:p w14:paraId="4CF418C1" w14:textId="77777777" w:rsidR="00721CCF" w:rsidRPr="00AD2F44" w:rsidRDefault="00F42107">
      <w:pPr>
        <w:pStyle w:val="14Footnote"/>
      </w:pPr>
      <w:r w:rsidRPr="00AD2F44">
        <w:rPr>
          <w:i/>
          <w:iCs/>
        </w:rPr>
        <w:t>Second Circuit:</w:t>
      </w:r>
      <w:r w:rsidRPr="00AD2F44">
        <w:t xml:space="preserve"> Pla v. Renaissance Equity Holdings, LLC, 2013 WL 3185560, at *1–5 (S.D.N.Y. June 24, 2013) (holding that unaccepted offers of judgment made before any plaintiffs opted in to case and offers to plaintiffs of amounts exceeding defendant’s FLSA liability mooted case and warranted dismissal).</w:t>
      </w:r>
    </w:p>
    <w:p w14:paraId="4B6683DF" w14:textId="77777777" w:rsidR="00721CCF" w:rsidRPr="00AD2F44" w:rsidRDefault="00F42107">
      <w:pPr>
        <w:pStyle w:val="14Footnote"/>
      </w:pPr>
      <w:r w:rsidRPr="00AD2F44">
        <w:rPr>
          <w:i/>
          <w:iCs/>
        </w:rPr>
        <w:t>Fifth Circuit:</w:t>
      </w:r>
      <w:r w:rsidRPr="00AD2F44">
        <w:t xml:space="preserve"> Silva v. Tegrity Personnel Servs., Inc., 986 F. Supp. 2d 826, 836–37 (S.D. Tex. 2013) (holding that “relation back” doctrine relied on in </w:t>
      </w:r>
      <w:r w:rsidRPr="00AD2F44">
        <w:rPr>
          <w:i/>
          <w:iCs/>
        </w:rPr>
        <w:t>Sandoz v</w:t>
      </w:r>
      <w:r w:rsidRPr="00AD2F44">
        <w:t>.</w:t>
      </w:r>
      <w:r w:rsidRPr="00AD2F44">
        <w:rPr>
          <w:i/>
          <w:iCs/>
        </w:rPr>
        <w:t xml:space="preserve"> Cingular Wireless</w:t>
      </w:r>
      <w:r w:rsidRPr="00AD2F44">
        <w:t>, 553 F.3d 913 (5th Cir. 2008), was overruled by</w:t>
      </w:r>
      <w:r w:rsidRPr="00AD2F44">
        <w:rPr>
          <w:i/>
          <w:iCs/>
        </w:rPr>
        <w:t xml:space="preserve"> Symczyk</w:t>
      </w:r>
      <w:r w:rsidRPr="00AD2F44">
        <w:t>, and Rule 68 offers for full relief to named plaintiffs (and any opt-in plaintiffs) mooted collective action in Fifth Circuit).</w:t>
      </w:r>
    </w:p>
    <w:p w14:paraId="36DDE119" w14:textId="77777777" w:rsidR="00721CCF" w:rsidRPr="00AD2F44" w:rsidRDefault="00F42107">
      <w:pPr>
        <w:pStyle w:val="14Footnote"/>
      </w:pPr>
      <w:r w:rsidRPr="00AD2F44">
        <w:rPr>
          <w:i/>
          <w:iCs/>
        </w:rPr>
        <w:t>Eighth Circuit:</w:t>
      </w:r>
      <w:r w:rsidRPr="00AD2F44">
        <w:t xml:space="preserve"> Bell v. Central Transp., LLC, 2015 WL 778785, at *2–3 (E.D. Mo. Feb. 24, 2015) (dismissing case where plaintiffs rejected offers of judgment from employer to pay each plaintiff more than they could ever recover under FLSA); Hendricks v. Inergy, LP, 2013 WL 6984634, at *5 (E.D. Ark. July 18, 2013) (dismissing case for lack of subject matter jurisdiction where defendant made Rule 68 offers to pay all plaintiffs “all the plaintiffs demanded”; Rule 68 offers were made prior to plaintiffs filing motion for conditional certification as to FLSA claims and motion for certification as to state law wage and hour claims).</w:t>
      </w:r>
    </w:p>
    <w:p w14:paraId="791142D0" w14:textId="77777777" w:rsidR="00721CCF" w:rsidRPr="00AD2F44" w:rsidRDefault="00F42107">
      <w:pPr>
        <w:pStyle w:val="14Footnote"/>
      </w:pPr>
      <w:r w:rsidRPr="00AD2F44">
        <w:t xml:space="preserve"> </w:t>
      </w:r>
      <w:r w:rsidRPr="00AD2F44">
        <w:rPr>
          <w:i/>
          <w:iCs/>
        </w:rPr>
        <w:t>Cf</w:t>
      </w:r>
      <w:r w:rsidRPr="00AD2F44">
        <w:t>. Gonyer v. Van Line Bunkering, Inc., 32 F. Supp. 3d 514, 517–18 (S.D.N.Y. 2014) (holding that acceptance of offer of judgment does not terminate case unless it satisfies all relief to all opt-ins).</w:t>
      </w:r>
    </w:p>
    <w:p w14:paraId="263D1163" w14:textId="77777777" w:rsidR="00721CCF" w:rsidRPr="00AD2F44" w:rsidRDefault="00F42107">
      <w:pPr>
        <w:pStyle w:val="14Footnote"/>
      </w:pPr>
      <w:r w:rsidRPr="00AD2F44">
        <w:t xml:space="preserve">Some courts have dismissed cases where full relief offers of judgment were served on only the named plaintiffs and not existing opt-in plaintiffs. </w:t>
      </w:r>
      <w:r w:rsidRPr="00AD2F44">
        <w:rPr>
          <w:i/>
          <w:iCs/>
        </w:rPr>
        <w:t>See</w:t>
      </w:r>
      <w:r w:rsidRPr="00AD2F44">
        <w:t xml:space="preserve"> Charlery v. Innovative Elec. Servs., LLC, 2014 WL 5809892, at *1–3 (S.D.N.Y. Nov. 6, 2014); Aleman v. Innovative Elec. Servs., LLC, 2014 WL 4742726, at *1–3 (S.D.N.Y. Sept. 15, 2014). In such circumstances, the opt-ins who are dismissed are dismissed without prejudice and may file separate actions. </w:t>
      </w:r>
    </w:p>
  </w:footnote>
  <w:footnote w:id="776">
    <w:p w14:paraId="0FD0C521" w14:textId="77777777" w:rsidR="00721CCF" w:rsidRPr="00AD2F44" w:rsidRDefault="00F42107">
      <w:pPr>
        <w:pStyle w:val="14Footnote"/>
      </w:pPr>
      <w:r w:rsidRPr="00AD2F44">
        <w:rPr>
          <w:vertAlign w:val="superscript"/>
        </w:rPr>
        <w:footnoteRef/>
      </w:r>
      <w:r w:rsidRPr="00AD2F44">
        <w:t xml:space="preserve">577 U.S. 153 (2016). </w:t>
      </w:r>
    </w:p>
  </w:footnote>
  <w:footnote w:id="777">
    <w:p w14:paraId="57274560" w14:textId="77777777" w:rsidR="00721CCF" w:rsidRPr="00AD2F44" w:rsidRDefault="00F42107">
      <w:pPr>
        <w:pStyle w:val="14Footnote"/>
      </w:pPr>
      <w:r w:rsidRPr="00AD2F44">
        <w:rPr>
          <w:vertAlign w:val="superscript"/>
        </w:rPr>
        <w:footnoteRef/>
      </w:r>
      <w:r w:rsidRPr="00AD2F44">
        <w:rPr>
          <w:i/>
          <w:iCs/>
        </w:rPr>
        <w:t>Id</w:t>
      </w:r>
      <w:r w:rsidRPr="00AD2F44">
        <w:t xml:space="preserve">. at 162. </w:t>
      </w:r>
    </w:p>
  </w:footnote>
  <w:footnote w:id="778">
    <w:p w14:paraId="189D4B2B" w14:textId="77777777" w:rsidR="00721CCF" w:rsidRPr="00AD2F44" w:rsidRDefault="00F42107">
      <w:pPr>
        <w:pStyle w:val="14Footnote"/>
      </w:pPr>
      <w:r w:rsidRPr="00AD2F44">
        <w:rPr>
          <w:vertAlign w:val="superscript"/>
        </w:rPr>
        <w:footnoteRef/>
      </w:r>
      <w:r w:rsidRPr="00AD2F44">
        <w:rPr>
          <w:i/>
          <w:iCs/>
        </w:rPr>
        <w:t>Id</w:t>
      </w:r>
      <w:r w:rsidRPr="00AD2F44">
        <w:t xml:space="preserve">. at 156. </w:t>
      </w:r>
      <w:r w:rsidRPr="00AD2F44">
        <w:rPr>
          <w:i/>
          <w:iCs/>
        </w:rPr>
        <w:t>See</w:t>
      </w:r>
      <w:r w:rsidRPr="00AD2F44">
        <w:t xml:space="preserve"> 47 U.S.C. §227.</w:t>
      </w:r>
    </w:p>
  </w:footnote>
  <w:footnote w:id="779">
    <w:p w14:paraId="65597B8C" w14:textId="77777777" w:rsidR="00721CCF" w:rsidRPr="00AD2F44" w:rsidRDefault="00F42107">
      <w:pPr>
        <w:pStyle w:val="14Footnote"/>
      </w:pPr>
      <w:r w:rsidRPr="00AD2F44">
        <w:rPr>
          <w:vertAlign w:val="superscript"/>
        </w:rPr>
        <w:footnoteRef/>
      </w:r>
      <w:r w:rsidRPr="00AD2F44">
        <w:t xml:space="preserve">577 U.S. at 158–59. </w:t>
      </w:r>
    </w:p>
  </w:footnote>
  <w:footnote w:id="780">
    <w:p w14:paraId="34E59C47" w14:textId="77777777" w:rsidR="00721CCF" w:rsidRPr="00AD2F44" w:rsidRDefault="00F42107">
      <w:pPr>
        <w:pStyle w:val="14Footnote"/>
      </w:pPr>
      <w:r w:rsidRPr="00AD2F44">
        <w:rPr>
          <w:vertAlign w:val="superscript"/>
        </w:rPr>
        <w:footnoteRef/>
      </w:r>
      <w:r w:rsidRPr="00AD2F44">
        <w:rPr>
          <w:i/>
          <w:iCs/>
        </w:rPr>
        <w:t>Id</w:t>
      </w:r>
      <w:r w:rsidRPr="00AD2F44">
        <w:t xml:space="preserve">. at 158. </w:t>
      </w:r>
    </w:p>
  </w:footnote>
  <w:footnote w:id="781">
    <w:p w14:paraId="67A91147" w14:textId="77777777" w:rsidR="00721CCF" w:rsidRPr="00AD2F44" w:rsidRDefault="00F42107">
      <w:pPr>
        <w:pStyle w:val="14Footnote"/>
      </w:pPr>
      <w:r w:rsidRPr="00AD2F44">
        <w:rPr>
          <w:vertAlign w:val="superscript"/>
        </w:rPr>
        <w:footnoteRef/>
      </w:r>
      <w:r w:rsidRPr="00AD2F44">
        <w:rPr>
          <w:i/>
          <w:iCs/>
        </w:rPr>
        <w:t>Id</w:t>
      </w:r>
      <w:r w:rsidRPr="00AD2F44">
        <w:t>. at 159.</w:t>
      </w:r>
    </w:p>
  </w:footnote>
  <w:footnote w:id="782">
    <w:p w14:paraId="5C08C78E" w14:textId="77777777" w:rsidR="00721CCF" w:rsidRPr="00AD2F44" w:rsidRDefault="00F42107">
      <w:pPr>
        <w:pStyle w:val="14Footnote"/>
      </w:pPr>
      <w:r w:rsidRPr="00AD2F44">
        <w:rPr>
          <w:vertAlign w:val="superscript"/>
        </w:rPr>
        <w:footnoteRef/>
      </w:r>
      <w:r w:rsidRPr="00AD2F44">
        <w:t xml:space="preserve">Campbell-Ewald Co. v. Gomez, 577 U.S. 153, 159 (2016). </w:t>
      </w:r>
    </w:p>
  </w:footnote>
  <w:footnote w:id="783">
    <w:p w14:paraId="57DC689A" w14:textId="77777777" w:rsidR="00721CCF" w:rsidRPr="00AD2F44" w:rsidRDefault="00F42107">
      <w:pPr>
        <w:pStyle w:val="14Footnote"/>
      </w:pPr>
      <w:r w:rsidRPr="00AD2F44">
        <w:rPr>
          <w:vertAlign w:val="superscript"/>
        </w:rPr>
        <w:footnoteRef/>
      </w:r>
      <w:r w:rsidRPr="00AD2F44">
        <w:rPr>
          <w:i/>
          <w:iCs/>
        </w:rPr>
        <w:t>Id</w:t>
      </w:r>
      <w:r w:rsidRPr="00AD2F44">
        <w:t xml:space="preserve">. at 161. </w:t>
      </w:r>
    </w:p>
  </w:footnote>
  <w:footnote w:id="784">
    <w:p w14:paraId="3DA5C9DE" w14:textId="77777777" w:rsidR="00721CCF" w:rsidRPr="00AD2F44" w:rsidRDefault="00F42107">
      <w:pPr>
        <w:pStyle w:val="14Footnote"/>
      </w:pPr>
      <w:r w:rsidRPr="00AD2F44">
        <w:rPr>
          <w:vertAlign w:val="superscript"/>
        </w:rPr>
        <w:footnoteRef/>
      </w:r>
      <w:r w:rsidRPr="00AD2F44">
        <w:rPr>
          <w:i/>
          <w:iCs/>
        </w:rPr>
        <w:t>Id</w:t>
      </w:r>
      <w:r w:rsidRPr="00AD2F44">
        <w:t xml:space="preserve">. at 162. </w:t>
      </w:r>
    </w:p>
  </w:footnote>
  <w:footnote w:id="785">
    <w:p w14:paraId="1C3E0F09" w14:textId="77777777" w:rsidR="00721CCF" w:rsidRPr="00AD2F44" w:rsidRDefault="00F42107">
      <w:pPr>
        <w:pStyle w:val="14Footnote"/>
      </w:pPr>
      <w:r w:rsidRPr="00AD2F44">
        <w:rPr>
          <w:vertAlign w:val="superscript"/>
        </w:rPr>
        <w:footnoteRef/>
      </w:r>
      <w:r w:rsidRPr="00AD2F44">
        <w:rPr>
          <w:i/>
          <w:iCs/>
        </w:rPr>
        <w:t>Id</w:t>
      </w:r>
      <w:r w:rsidRPr="00AD2F44">
        <w:t>. at 163.</w:t>
      </w:r>
    </w:p>
  </w:footnote>
  <w:footnote w:id="786">
    <w:p w14:paraId="13D38764" w14:textId="77777777" w:rsidR="00721CCF" w:rsidRPr="00AD2F44" w:rsidRDefault="00F42107">
      <w:pPr>
        <w:pStyle w:val="14Footnote"/>
      </w:pPr>
      <w:r w:rsidRPr="00AD2F44">
        <w:rPr>
          <w:vertAlign w:val="superscript"/>
        </w:rPr>
        <w:footnoteRef/>
      </w:r>
      <w:r w:rsidRPr="00AD2F44">
        <w:rPr>
          <w:i/>
          <w:iCs/>
        </w:rPr>
        <w:t>Id</w:t>
      </w:r>
      <w:r w:rsidRPr="00AD2F44">
        <w:t xml:space="preserve">. </w:t>
      </w:r>
    </w:p>
  </w:footnote>
  <w:footnote w:id="787">
    <w:p w14:paraId="34FDC6DE" w14:textId="77777777" w:rsidR="00721CCF" w:rsidRPr="00AD2F44" w:rsidRDefault="00F42107">
      <w:pPr>
        <w:pStyle w:val="14Footnote"/>
      </w:pPr>
      <w:r w:rsidRPr="00AD2F44">
        <w:rPr>
          <w:vertAlign w:val="superscript"/>
        </w:rPr>
        <w:footnoteRef/>
      </w:r>
      <w:r w:rsidRPr="00AD2F44">
        <w:rPr>
          <w:i/>
          <w:iCs/>
        </w:rPr>
        <w:t>Id</w:t>
      </w:r>
      <w:r w:rsidRPr="00AD2F44">
        <w:t xml:space="preserve">. </w:t>
      </w:r>
    </w:p>
  </w:footnote>
  <w:footnote w:id="788">
    <w:p w14:paraId="06C30DB1" w14:textId="77777777" w:rsidR="00721CCF" w:rsidRPr="00AD2F44" w:rsidRDefault="00F42107">
      <w:pPr>
        <w:pStyle w:val="14Footnote"/>
      </w:pPr>
      <w:r w:rsidRPr="00AD2F44">
        <w:rPr>
          <w:vertAlign w:val="superscript"/>
        </w:rPr>
        <w:footnoteRef/>
      </w:r>
      <w:r w:rsidRPr="00AD2F44">
        <w:t xml:space="preserve">Campbell-Ewald Co. v. Gomez, 577 U.S. 153, 163 (2016); </w:t>
      </w:r>
      <w:r w:rsidRPr="00AD2F44">
        <w:rPr>
          <w:i/>
          <w:iCs/>
        </w:rPr>
        <w:t>see</w:t>
      </w:r>
      <w:r w:rsidRPr="00AD2F44">
        <w:t xml:space="preserve"> Rivera v. Harvest Bakery, Inc., 312 F.R.D. 254, 265–66 (E.D.N.Y. Jan. 25, 2016) (plaintiffs’ claims not moot where offers of judgment not accepted). </w:t>
      </w:r>
    </w:p>
  </w:footnote>
  <w:footnote w:id="789">
    <w:p w14:paraId="03F0E704" w14:textId="77777777" w:rsidR="00721CCF" w:rsidRPr="00AD2F44" w:rsidRDefault="00F42107">
      <w:pPr>
        <w:pStyle w:val="14Footnote"/>
      </w:pPr>
      <w:r w:rsidRPr="00AD2F44">
        <w:rPr>
          <w:vertAlign w:val="superscript"/>
        </w:rPr>
        <w:footnoteRef/>
      </w:r>
      <w:r w:rsidRPr="00AD2F44">
        <w:rPr>
          <w:i/>
          <w:iCs/>
        </w:rPr>
        <w:t>Campbell-Ewald</w:t>
      </w:r>
      <w:r w:rsidRPr="00AD2F44">
        <w:t>,</w:t>
      </w:r>
      <w:r w:rsidRPr="00AD2F44">
        <w:rPr>
          <w:i/>
          <w:iCs/>
        </w:rPr>
        <w:t xml:space="preserve"> </w:t>
      </w:r>
      <w:r w:rsidRPr="00AD2F44">
        <w:t xml:space="preserve">577 U.S. at 163. </w:t>
      </w:r>
    </w:p>
  </w:footnote>
  <w:footnote w:id="790">
    <w:p w14:paraId="4BDB4245" w14:textId="77777777" w:rsidR="00721CCF" w:rsidRPr="00AD2F44" w:rsidRDefault="00F42107">
      <w:pPr>
        <w:pStyle w:val="14Footnote"/>
      </w:pPr>
      <w:r w:rsidRPr="00AD2F44">
        <w:rPr>
          <w:vertAlign w:val="superscript"/>
        </w:rPr>
        <w:footnoteRef/>
      </w:r>
      <w:r w:rsidRPr="00AD2F44">
        <w:rPr>
          <w:i/>
          <w:iCs/>
        </w:rPr>
        <w:t>Id</w:t>
      </w:r>
      <w:r w:rsidRPr="00AD2F44">
        <w:t xml:space="preserve">. </w:t>
      </w:r>
    </w:p>
  </w:footnote>
  <w:footnote w:id="791">
    <w:p w14:paraId="6728C8F8" w14:textId="77777777" w:rsidR="00721CCF" w:rsidRPr="00AD2F44" w:rsidRDefault="00F42107">
      <w:pPr>
        <w:pStyle w:val="14Footnote"/>
        <w:rPr>
          <w:i/>
          <w:iCs/>
        </w:rPr>
      </w:pPr>
      <w:r w:rsidRPr="00AD2F44">
        <w:rPr>
          <w:vertAlign w:val="superscript"/>
        </w:rPr>
        <w:footnoteRef/>
      </w:r>
      <w:r w:rsidRPr="00AD2F44">
        <w:rPr>
          <w:i/>
          <w:iCs/>
        </w:rPr>
        <w:t>Id</w:t>
      </w:r>
      <w:r w:rsidRPr="00AD2F44">
        <w:t xml:space="preserve">. at 166; </w:t>
      </w:r>
      <w:r w:rsidRPr="00AD2F44">
        <w:rPr>
          <w:i/>
          <w:iCs/>
        </w:rPr>
        <w:t>see also</w:t>
      </w:r>
    </w:p>
    <w:p w14:paraId="2701B627" w14:textId="28F0A9F4" w:rsidR="00721CCF" w:rsidRPr="00AD2F44" w:rsidRDefault="00F42107">
      <w:pPr>
        <w:pStyle w:val="14Footnote"/>
      </w:pPr>
      <w:r w:rsidRPr="00AD2F44">
        <w:rPr>
          <w:i/>
          <w:iCs/>
        </w:rPr>
        <w:t>Second Circuit:</w:t>
      </w:r>
      <w:r w:rsidRPr="00AD2F44">
        <w:t xml:space="preserve"> </w:t>
      </w:r>
      <w:r w:rsidRPr="00AD2F44">
        <w:rPr>
          <w:i/>
          <w:iCs/>
        </w:rPr>
        <w:t>Rivera</w:t>
      </w:r>
      <w:r w:rsidRPr="00AD2F44">
        <w:t>, 312 F.R.D. at 265–66 (denying dismissal based on mootness where defendant failed to demonstrate that offers of judgment afforded complete relief).</w:t>
      </w:r>
    </w:p>
    <w:p w14:paraId="77D38742" w14:textId="4EA6FBC4" w:rsidR="00721CCF" w:rsidRPr="00AD2F44" w:rsidRDefault="00F42107">
      <w:pPr>
        <w:pStyle w:val="14Footnote"/>
      </w:pPr>
      <w:r w:rsidRPr="00AD2F44">
        <w:rPr>
          <w:i/>
          <w:iCs/>
        </w:rPr>
        <w:t>Seventh Circuit:</w:t>
      </w:r>
      <w:r w:rsidRPr="00AD2F44">
        <w:t xml:space="preserve"> Fulton Dental v. Bisco, Inc., 860 F.3d 541, 545 (7th Cir. 2017) (non-FLSA case following </w:t>
      </w:r>
      <w:r w:rsidRPr="00AD2F44">
        <w:rPr>
          <w:i/>
          <w:iCs/>
        </w:rPr>
        <w:t>Campbell-Ewald</w:t>
      </w:r>
      <w:r w:rsidRPr="00AD2F44">
        <w:t xml:space="preserve"> and holding that defendant may not force settlement on unwilling party, whether by offering plaintiff full value of claim or by depositing that amount with court; “[i]n either case, all that exists is an unaccepted contract offer, and as the Supreme Court recognized, an unaccepted offer is not binding on the offeree”); Fast v. Cash Depot Ltd.,</w:t>
      </w:r>
      <w:r w:rsidRPr="00AD2F44">
        <w:rPr>
          <w:i/>
          <w:iCs/>
        </w:rPr>
        <w:t xml:space="preserve"> </w:t>
      </w:r>
      <w:r w:rsidRPr="00AD2F44">
        <w:t>296 F. Supp. 3d 998, 1006 (E.D. Wis. 2017) (finding that employer’s payment of all amounts owed to current and former employees (plus attorneys’ fees) did not moot claim, but suggesting that court could sanction plaintiff for “vexatious conduct that unnecessarily multiplies proceedings or delays or increases costs” if employer pays its current and former employees what it owes).</w:t>
      </w:r>
    </w:p>
    <w:p w14:paraId="358A2549" w14:textId="7C758A9C" w:rsidR="00721CCF" w:rsidRPr="00AD2F44" w:rsidRDefault="00F42107">
      <w:pPr>
        <w:pStyle w:val="14Footnote"/>
      </w:pPr>
      <w:r w:rsidRPr="00AD2F44">
        <w:rPr>
          <w:i/>
          <w:iCs/>
        </w:rPr>
        <w:t>Eleventh Circuit:</w:t>
      </w:r>
      <w:r w:rsidRPr="00AD2F44">
        <w:t xml:space="preserve"> Brown v. 1888 Mills, LLC, 339 F.R.D. 692 (N.D. Ga. 2021) (finding unaccepted offer of judgment did not moot claim despite plaintiff tendering check, analyzing </w:t>
      </w:r>
      <w:r w:rsidRPr="00AD2F44">
        <w:rPr>
          <w:i/>
          <w:iCs/>
        </w:rPr>
        <w:t>Campbell-Ewald</w:t>
      </w:r>
      <w:r w:rsidRPr="00AD2F44">
        <w:t xml:space="preserve">). </w:t>
      </w:r>
    </w:p>
  </w:footnote>
  <w:footnote w:id="792">
    <w:p w14:paraId="0FC541A8" w14:textId="77777777" w:rsidR="00721CCF" w:rsidRPr="00AD2F44" w:rsidRDefault="00F42107">
      <w:pPr>
        <w:pStyle w:val="14Footnote"/>
      </w:pPr>
      <w:r w:rsidRPr="00AD2F44">
        <w:rPr>
          <w:vertAlign w:val="superscript"/>
        </w:rPr>
        <w:footnoteRef/>
      </w:r>
      <w:r w:rsidRPr="00AD2F44">
        <w:t>Sosna v. Iowa, 419 U.S. 393, 401–02 (1975); United States Parole Comm’n v. Geraghty, 445 U.S. 388, 399–400 (1980).</w:t>
      </w:r>
    </w:p>
  </w:footnote>
  <w:footnote w:id="793">
    <w:p w14:paraId="1D747F3C" w14:textId="77777777" w:rsidR="00721CCF" w:rsidRPr="00AD2F44" w:rsidRDefault="00F42107">
      <w:pPr>
        <w:pStyle w:val="14Footnote"/>
      </w:pPr>
      <w:r w:rsidRPr="00AD2F44">
        <w:rPr>
          <w:vertAlign w:val="superscript"/>
        </w:rPr>
        <w:footnoteRef/>
      </w:r>
      <w:r w:rsidRPr="00AD2F44">
        <w:rPr>
          <w:i/>
          <w:iCs/>
        </w:rPr>
        <w:t>See</w:t>
      </w:r>
      <w:r w:rsidRPr="00AD2F44">
        <w:t xml:space="preserve"> Holstein v. City of Chi., 29 F.3d 1145, 1147 (7th Cir. 1994) (dismissing putative class action for lack of subject matter jurisdiction after offer of full satisfaction); Grief v. Wilson, Elser, Moskowitz, Edelman &amp; Dicker LLP, 258 F. Supp. 2d 157, 160–61 (E.D.N.Y. 2003) (holding that plaintiff’s claims were moot and dismissing the complaint for lack of subject matter jurisdiction where defendant’s Rule 68 offer of judgment contained all the available relief sought by plaintiff and she had not moved for class certification).</w:t>
      </w:r>
    </w:p>
  </w:footnote>
  <w:footnote w:id="794">
    <w:p w14:paraId="1941D2ED" w14:textId="77777777" w:rsidR="00721CCF" w:rsidRPr="00AD2F44" w:rsidRDefault="00F42107">
      <w:pPr>
        <w:pStyle w:val="14Footnote"/>
      </w:pPr>
      <w:r w:rsidRPr="00AD2F44">
        <w:rPr>
          <w:vertAlign w:val="superscript"/>
        </w:rPr>
        <w:footnoteRef/>
      </w:r>
      <w:r w:rsidRPr="00AD2F44">
        <w:t xml:space="preserve">385 F.3d 337 (3d Cir. 2004). </w:t>
      </w:r>
    </w:p>
  </w:footnote>
  <w:footnote w:id="795">
    <w:p w14:paraId="0D45956F" w14:textId="77777777" w:rsidR="00721CCF" w:rsidRPr="00AD2F44" w:rsidRDefault="00F42107">
      <w:pPr>
        <w:pStyle w:val="14Footnote"/>
      </w:pPr>
      <w:r w:rsidRPr="00AD2F44">
        <w:rPr>
          <w:vertAlign w:val="superscript"/>
        </w:rPr>
        <w:footnoteRef/>
      </w:r>
      <w:r w:rsidRPr="00AD2F44">
        <w:t xml:space="preserve">Deposit Guar. Nat’l Bank v. Roper, 445 U.S. 326, 339 (1980) (holding that a Rule 23 named plaintiff had standing to appeal the denial of class certification, even after being offered full satisfaction for his injury); </w:t>
      </w:r>
      <w:r w:rsidRPr="00AD2F44">
        <w:rPr>
          <w:i/>
          <w:iCs/>
        </w:rPr>
        <w:t>see also Geraghty</w:t>
      </w:r>
      <w:r w:rsidRPr="00AD2F44">
        <w:t>, 445 U.S. at 390.</w:t>
      </w:r>
    </w:p>
  </w:footnote>
  <w:footnote w:id="796">
    <w:p w14:paraId="418273CE" w14:textId="77777777" w:rsidR="00721CCF" w:rsidRPr="00AD2F44" w:rsidRDefault="00F42107">
      <w:pPr>
        <w:pStyle w:val="14Footnote"/>
      </w:pPr>
      <w:r w:rsidRPr="00AD2F44">
        <w:rPr>
          <w:vertAlign w:val="superscript"/>
        </w:rPr>
        <w:footnoteRef/>
      </w:r>
      <w:r w:rsidRPr="00AD2F44">
        <w:rPr>
          <w:i/>
          <w:iCs/>
        </w:rPr>
        <w:t>Weiss</w:t>
      </w:r>
      <w:r w:rsidRPr="00AD2F44">
        <w:t>, 385 F.3d at 344, 346–48.</w:t>
      </w:r>
    </w:p>
  </w:footnote>
  <w:footnote w:id="797">
    <w:p w14:paraId="44A16D51" w14:textId="77777777" w:rsidR="00721CCF" w:rsidRPr="00AD2F44" w:rsidRDefault="00F42107">
      <w:pPr>
        <w:pStyle w:val="14Footnote"/>
      </w:pPr>
      <w:r w:rsidRPr="00AD2F44">
        <w:rPr>
          <w:vertAlign w:val="superscript"/>
        </w:rPr>
        <w:footnoteRef/>
      </w:r>
      <w:r w:rsidRPr="00AD2F44">
        <w:rPr>
          <w:i/>
          <w:iCs/>
        </w:rPr>
        <w:t>Id</w:t>
      </w:r>
      <w:r w:rsidRPr="00AD2F44">
        <w:t>. at 347.</w:t>
      </w:r>
    </w:p>
  </w:footnote>
  <w:footnote w:id="798">
    <w:p w14:paraId="7FEBA133" w14:textId="77777777" w:rsidR="00721CCF" w:rsidRPr="00AD2F44" w:rsidRDefault="00F42107">
      <w:pPr>
        <w:pStyle w:val="14Footnote"/>
      </w:pPr>
      <w:r w:rsidRPr="00AD2F44">
        <w:rPr>
          <w:vertAlign w:val="superscript"/>
        </w:rPr>
        <w:footnoteRef/>
      </w:r>
      <w:r w:rsidRPr="00AD2F44">
        <w:t>United States v. Mendoza, 464 U.S. 154, 158 (1984) (noting that mutuality of the parties is no longer a requirement in applying the doctrine of collateral estoppel, which dictates that once a court has decided an issue of fact or law necessary to its judgment, that decision can be conclusive in a subsequent suit when asserted against a party to the prior litigation); Tice v. American Airlines, Inc., 162 F.3d 966, 973 (7th Cir. 1998) (explaining in a putative collective action under the ADEA, which incorporates the §216(b) procedures, that preclusion may be appropriate where the issue on which preclusion is sought is common to both cases; the claims or defenses of the two allegedly equivalent parties are the same; there is some indication that the second party was aware that the first litigation was going on and that the earlier litigation would resolve its claims; the second party participated or had a legal duty to participate; and the due process rights of absentees were respected).</w:t>
      </w:r>
    </w:p>
  </w:footnote>
  <w:footnote w:id="799">
    <w:p w14:paraId="0D942D7F" w14:textId="77777777" w:rsidR="00721CCF" w:rsidRPr="00AD2F44" w:rsidRDefault="00F42107">
      <w:pPr>
        <w:pStyle w:val="14Footnote"/>
      </w:pPr>
      <w:r w:rsidRPr="00AD2F44">
        <w:rPr>
          <w:vertAlign w:val="superscript"/>
        </w:rPr>
        <w:footnoteRef/>
      </w:r>
      <w:r w:rsidRPr="00AD2F44">
        <w:rPr>
          <w:i/>
          <w:iCs/>
        </w:rPr>
        <w:t>See Mendoza</w:t>
      </w:r>
      <w:r w:rsidRPr="00AD2F44">
        <w:t xml:space="preserve">, 464 U.S. at 159 n.4 (defining defensive use of collateral estoppel as when defendant seeks to prevent plaintiff from relitigating issue that plaintiff has previously litigated unsuccessfully in another action against same or different party); </w:t>
      </w:r>
      <w:r w:rsidRPr="00AD2F44">
        <w:rPr>
          <w:i/>
          <w:iCs/>
        </w:rPr>
        <w:t xml:space="preserve">see also </w:t>
      </w:r>
      <w:r w:rsidRPr="00AD2F44">
        <w:t xml:space="preserve">Baley v. City of Chi., 2009 WL 1953132, at *3–4 (N.D. Ill. July 7, 2009) (granting summary judgment on collective action lawsuit against city by paramedics, reasoning that in two prior cases, which plaintiffs’ counsel conceded held identical claims—concession court treated as binding judicial admission—court had already determined that putative class was “hopelessly heterogeneous,” and so collective treatment was impossible). </w:t>
      </w:r>
    </w:p>
  </w:footnote>
  <w:footnote w:id="800">
    <w:p w14:paraId="08A2204E" w14:textId="77777777" w:rsidR="00721CCF" w:rsidRPr="00AD2F44" w:rsidRDefault="00F42107">
      <w:pPr>
        <w:pStyle w:val="14Footnote"/>
      </w:pPr>
      <w:r w:rsidRPr="00AD2F44">
        <w:rPr>
          <w:vertAlign w:val="superscript"/>
        </w:rPr>
        <w:footnoteRef/>
      </w:r>
      <w:r w:rsidRPr="00AD2F44">
        <w:t xml:space="preserve">Vennet v. American Intercontinental Univ. Online, 2005 WL 6215171, at *2–3 (N.D. Ill. Dec. 22, 2005) (noting in FLSA case seeking notice to putative collective action members under §216(b) that Seventh Circuit has held that, under federal collateral estoppel law, denial of class certification may have preclusive effect as to putative class members so long as counsel for proposed class provided adequate representation regarding class certification issues). </w:t>
      </w:r>
    </w:p>
  </w:footnote>
  <w:footnote w:id="801">
    <w:p w14:paraId="4EBE0888" w14:textId="77777777" w:rsidR="00721CCF" w:rsidRPr="00AD2F44" w:rsidRDefault="00F42107">
      <w:pPr>
        <w:pStyle w:val="14Footnote"/>
      </w:pPr>
      <w:r w:rsidRPr="00AD2F44">
        <w:rPr>
          <w:vertAlign w:val="superscript"/>
        </w:rPr>
        <w:footnoteRef/>
      </w:r>
      <w:r w:rsidRPr="00AD2F44">
        <w:t xml:space="preserve">Davidson v. RGIS Inventory Specialists, 553 F. Supp. 2d 703, 706–07 (E.D. Tex. 2007) (holding that Fifth Circuit precedent on Rule 23 certification decisions held that they were not final judgments for issue preclusion purposes, and extending that reasoning to decisions on conditional certification under FLSA §216(b)); </w:t>
      </w:r>
      <w:r w:rsidRPr="00AD2F44">
        <w:rPr>
          <w:i/>
          <w:iCs/>
        </w:rPr>
        <w:t>cf</w:t>
      </w:r>
      <w:r w:rsidRPr="00AD2F44">
        <w:t xml:space="preserve">. Baldridge v. SBC Commc’ns, Inc., 404 F.3d 930, 931 (5th Cir. 2005) (decisions granting or denying conditional certification are not appealable as final judgments under 28 U.S.C. §1291). </w:t>
      </w:r>
    </w:p>
  </w:footnote>
  <w:footnote w:id="802">
    <w:p w14:paraId="6B5A2C16" w14:textId="77777777" w:rsidR="00721CCF" w:rsidRPr="00AD2F44" w:rsidRDefault="00F42107">
      <w:pPr>
        <w:pStyle w:val="14Footnote"/>
      </w:pPr>
      <w:r w:rsidRPr="00AD2F44">
        <w:rPr>
          <w:vertAlign w:val="superscript"/>
        </w:rPr>
        <w:footnoteRef/>
      </w:r>
      <w:r w:rsidRPr="00AD2F44">
        <w:t xml:space="preserve">Clark v. Wells Fargo Fin., Inc., 2008 WL 4787444, at *4–5 (M.D.N.C. Oct. 30, 2008) (holding that plaintiffs were not precluded from seeking collective action certification under Rule 23 or §216(b) despite prior similar case in which certification of proposed nationwide class was denied because that case did not involve state law claim nor did it seek certification of more limited statewide class). The </w:t>
      </w:r>
      <w:r w:rsidRPr="00AD2F44">
        <w:rPr>
          <w:i/>
          <w:iCs/>
        </w:rPr>
        <w:t>Clark</w:t>
      </w:r>
      <w:r w:rsidRPr="00AD2F44">
        <w:t xml:space="preserve"> court also relied on a number of unpublished district court decisions that held similarly, involving claims against the same defendant. </w:t>
      </w:r>
      <w:r w:rsidRPr="00AD2F44">
        <w:rPr>
          <w:i/>
          <w:iCs/>
        </w:rPr>
        <w:t>Id</w:t>
      </w:r>
      <w:r w:rsidRPr="00AD2F44">
        <w:t xml:space="preserve">. at *6–7 (citing cases from Central and Eastern Districts of California and Northern District of Ohio). Although the court rejected the issue preclusion argument, it did note that findings of a prior court on similar issues, such as whether individual testimony would be necessary from employees and supervisors on hours worked, knowledge of hours worked, and time card alteration, would be “highly persuasive.” </w:t>
      </w:r>
      <w:r w:rsidRPr="00AD2F44">
        <w:rPr>
          <w:i/>
          <w:iCs/>
        </w:rPr>
        <w:t>Id</w:t>
      </w:r>
      <w:r w:rsidRPr="00AD2F44">
        <w:t>. at *6;</w:t>
      </w:r>
      <w:r w:rsidRPr="00AD2F44">
        <w:rPr>
          <w:i/>
          <w:iCs/>
        </w:rPr>
        <w:t xml:space="preserve"> see also Baley</w:t>
      </w:r>
      <w:r w:rsidRPr="00AD2F44">
        <w:t xml:space="preserve">, 2009 WL 1953132, at *3–4 (granting summary judgment on collective action lawsuit against city by paramedics, reasoning that in two prior cases, which plaintiffs’ counsel conceded held identical claims—concession court treated as binding judicial admission—court had already determined that putative class was “hopelessly heterogeneous,” and so collective treatment was impossible); Kirkland v. Wells Fargo Fin., Inc., 2008 WL 5381954, at *2–3 (N.D. Ga. Dec. 22, 2008) (denying motion to dismiss collective action claims for statewide Georgia class on issue preclusion grounds, reasoning that prior decision denying conditional certification of nationwide class involving same claims and job positions was not preclusive, because evaluation of Georgia-only class “was not a critical and necessary part of the judgment” in nationwide case). </w:t>
      </w:r>
    </w:p>
  </w:footnote>
  <w:footnote w:id="803">
    <w:p w14:paraId="7D5A2A4B" w14:textId="77777777" w:rsidR="00721CCF" w:rsidRPr="00AD2F44" w:rsidRDefault="00F42107">
      <w:pPr>
        <w:pStyle w:val="14Footnote"/>
      </w:pPr>
      <w:r w:rsidRPr="00AD2F44">
        <w:rPr>
          <w:vertAlign w:val="superscript"/>
        </w:rPr>
        <w:footnoteRef/>
      </w:r>
      <w:r w:rsidRPr="00AD2F44">
        <w:rPr>
          <w:i/>
          <w:iCs/>
        </w:rPr>
        <w:t>See</w:t>
      </w:r>
      <w:r w:rsidRPr="00AD2F44">
        <w:t xml:space="preserve"> Brown v. United Furniture Indus., Inc., 2015 WL 1457265, at *31 (N.D. Miss. Mar. 30, 2015) (holding that res judicata did not preclude plaintiffs from seeking conditional certification in second collective action against same employer that settled previously filed and certified collective action involving same alleged FLSA violations, because plaintiffs who brought second collective action did not opt in to first suit and thus were not parties to it). </w:t>
      </w:r>
    </w:p>
  </w:footnote>
  <w:footnote w:id="804">
    <w:p w14:paraId="07158B71" w14:textId="77777777" w:rsidR="00721CCF" w:rsidRPr="00AD2F44" w:rsidRDefault="00F42107">
      <w:pPr>
        <w:pStyle w:val="14Footnote"/>
      </w:pPr>
      <w:r w:rsidRPr="00AD2F44">
        <w:rPr>
          <w:vertAlign w:val="superscript"/>
        </w:rPr>
        <w:footnoteRef/>
      </w:r>
      <w:r w:rsidRPr="00AD2F44">
        <w:rPr>
          <w:i/>
          <w:iCs/>
        </w:rPr>
        <w:t>Kirkland</w:t>
      </w:r>
      <w:r w:rsidRPr="00AD2F44">
        <w:t xml:space="preserve">, 2008 WL 5381954, at *3 (rejecting issue preclusion argument because finding in prior suit in California that plaintiffs had not demonstrated nationwide policy or practice, and rejecting certification, did not address, and therefore did not resolve, whether Georgia-only class would be appropriate for collective treatment); </w:t>
      </w:r>
      <w:r w:rsidRPr="00AD2F44">
        <w:rPr>
          <w:i/>
          <w:iCs/>
        </w:rPr>
        <w:t>Davidson</w:t>
      </w:r>
      <w:r w:rsidRPr="00AD2F44">
        <w:t xml:space="preserve">, 553 F. Supp. 2d at 705–06 (finding that plaintiffs were not collaterally estopped from seeking class certification even though certification was largely denied in similar lawsuit (conditional certification was allowed for certain positions in one district), because, among other reasons, in previous case plaintiffs sought nationwide certification and in this case they did not); Collum v. Oak St. Mortg., LLC, 2007 WL 580750, at *2 (E.D. Tex. Feb. 20, 2007) (rejecting issue preclusion because current plaintiffs sought statewide notice and in prior case, on which defendant relied, plaintiffs sought conditional certification for nationwide collective action). </w:t>
      </w:r>
    </w:p>
  </w:footnote>
  <w:footnote w:id="805">
    <w:p w14:paraId="60931BD5" w14:textId="77777777" w:rsidR="00721CCF" w:rsidRPr="00AD2F44" w:rsidRDefault="00F42107">
      <w:pPr>
        <w:pStyle w:val="14Footnote"/>
      </w:pPr>
      <w:r w:rsidRPr="00AD2F44">
        <w:rPr>
          <w:vertAlign w:val="superscript"/>
        </w:rPr>
        <w:footnoteRef/>
      </w:r>
      <w:r w:rsidRPr="00AD2F44">
        <w:rPr>
          <w:i/>
          <w:iCs/>
        </w:rPr>
        <w:t>Clark</w:t>
      </w:r>
      <w:r w:rsidRPr="00AD2F44">
        <w:t xml:space="preserve">, 2008 WL 4787444, at *3. </w:t>
      </w:r>
    </w:p>
  </w:footnote>
  <w:footnote w:id="806">
    <w:p w14:paraId="069F938C" w14:textId="77777777" w:rsidR="00721CCF" w:rsidRPr="00AD2F44" w:rsidRDefault="00F42107">
      <w:pPr>
        <w:pStyle w:val="14Footnote"/>
      </w:pPr>
      <w:r w:rsidRPr="00AD2F44">
        <w:rPr>
          <w:vertAlign w:val="superscript"/>
        </w:rPr>
        <w:footnoteRef/>
      </w:r>
      <w:r w:rsidRPr="00AD2F44">
        <w:rPr>
          <w:i/>
          <w:iCs/>
        </w:rPr>
        <w:t>Fourth Circuit:</w:t>
      </w:r>
      <w:r w:rsidRPr="00AD2F44">
        <w:t xml:space="preserve"> Allen v. Cogent Commc’ns, Inc., 2014 WL 4270077, at *2–5 (E.D. Va. Aug. 28, 2014).</w:t>
      </w:r>
    </w:p>
    <w:p w14:paraId="32EC1B2E" w14:textId="77777777" w:rsidR="00721CCF" w:rsidRPr="00AD2F44" w:rsidRDefault="00F42107">
      <w:pPr>
        <w:pStyle w:val="14Footnote"/>
      </w:pPr>
      <w:r w:rsidRPr="00AD2F44">
        <w:rPr>
          <w:i/>
          <w:iCs/>
        </w:rPr>
        <w:t>Fifth Circuit: Davidson</w:t>
      </w:r>
      <w:r w:rsidRPr="00AD2F44">
        <w:t xml:space="preserve">, 553 F. Supp. 2d at 706; </w:t>
      </w:r>
      <w:r w:rsidRPr="00AD2F44">
        <w:rPr>
          <w:i/>
          <w:iCs/>
        </w:rPr>
        <w:t>Collum</w:t>
      </w:r>
      <w:r w:rsidRPr="00AD2F44">
        <w:t>, 2007 WL 580750, at *2.</w:t>
      </w:r>
    </w:p>
    <w:p w14:paraId="26DB8BD4" w14:textId="3273AB5D" w:rsidR="00721CCF" w:rsidRPr="00AD2F44" w:rsidRDefault="00F42107">
      <w:pPr>
        <w:pStyle w:val="14Footnote"/>
      </w:pPr>
      <w:r w:rsidRPr="00AD2F44">
        <w:rPr>
          <w:i/>
          <w:iCs/>
        </w:rPr>
        <w:t>Ninth Circuit: Kirkland</w:t>
      </w:r>
      <w:r w:rsidRPr="00AD2F44">
        <w:t>, 2008 WL 5381954, at *3.</w:t>
      </w:r>
    </w:p>
  </w:footnote>
  <w:footnote w:id="807">
    <w:p w14:paraId="4F900EDE" w14:textId="77777777" w:rsidR="00721CCF" w:rsidRPr="00AD2F44" w:rsidRDefault="00F42107">
      <w:pPr>
        <w:pStyle w:val="14Footnote"/>
      </w:pPr>
      <w:r w:rsidRPr="00AD2F44">
        <w:rPr>
          <w:vertAlign w:val="superscript"/>
        </w:rPr>
        <w:footnoteRef/>
      </w:r>
      <w:r w:rsidRPr="00AD2F44">
        <w:rPr>
          <w:i/>
          <w:iCs/>
        </w:rPr>
        <w:t>See Kirkland</w:t>
      </w:r>
      <w:r w:rsidRPr="00AD2F44">
        <w:t>, 2008 WL 5381954, at *2 (stating that although plaintiffs in a prior suit were not able to identify a nationwide overtime policy or practice, plaintiff in this case may be able to identify a statewide overtime policy or practice).</w:t>
      </w:r>
    </w:p>
  </w:footnote>
  <w:footnote w:id="808">
    <w:p w14:paraId="64974618" w14:textId="77777777" w:rsidR="00721CCF" w:rsidRPr="00AD2F44" w:rsidRDefault="00F42107">
      <w:pPr>
        <w:pStyle w:val="14Footnote"/>
      </w:pPr>
      <w:r w:rsidRPr="00AD2F44">
        <w:rPr>
          <w:vertAlign w:val="superscript"/>
        </w:rPr>
        <w:footnoteRef/>
      </w:r>
      <w:r w:rsidRPr="00AD2F44">
        <w:rPr>
          <w:i/>
          <w:iCs/>
        </w:rPr>
        <w:t>See</w:t>
      </w:r>
      <w:r w:rsidRPr="00AD2F44">
        <w:t xml:space="preserve"> Vennet v. American Intercontinental Univ. Online, 2005 WL 6215171, at *5 (N.D. Ill. Dec. 22, 2005) (noting that any collateral estoppel effect of a prior order would be limited to the issues actually litigated and rulings that were necessary and essential to that order).</w:t>
      </w:r>
    </w:p>
  </w:footnote>
  <w:footnote w:id="809">
    <w:p w14:paraId="1A68F2B1" w14:textId="77777777" w:rsidR="00721CCF" w:rsidRPr="00AD2F44" w:rsidRDefault="00F42107">
      <w:pPr>
        <w:pStyle w:val="14Footnote"/>
      </w:pPr>
      <w:r w:rsidRPr="00AD2F44">
        <w:rPr>
          <w:vertAlign w:val="superscript"/>
        </w:rPr>
        <w:footnoteRef/>
      </w:r>
      <w:r w:rsidRPr="00AD2F44">
        <w:rPr>
          <w:i/>
          <w:iCs/>
        </w:rPr>
        <w:t>See, e.g</w:t>
      </w:r>
      <w:r w:rsidRPr="00AD2F44">
        <w:t xml:space="preserve">., Morgan v. Family Dollar Stores, Inc., 551 F.3d 1233, 1264–65 (11th Cir. 2008); Mooney v. Aramco Servs. Co., 54 F.3d 1207, 1212–14 (5th Cir. 1995), </w:t>
      </w:r>
      <w:r w:rsidRPr="00AD2F44">
        <w:rPr>
          <w:i/>
          <w:iCs/>
        </w:rPr>
        <w:t>abrogated on other grounds by</w:t>
      </w:r>
      <w:r w:rsidRPr="00AD2F44">
        <w:t xml:space="preserve"> Desert Palace, Inc. v. Costa, 539 U.S. 90 (2003).</w:t>
      </w:r>
    </w:p>
  </w:footnote>
  <w:footnote w:id="810">
    <w:p w14:paraId="47334053" w14:textId="77777777" w:rsidR="00721CCF" w:rsidRPr="00AD2F44" w:rsidRDefault="00F42107">
      <w:pPr>
        <w:pStyle w:val="14Footnote"/>
      </w:pPr>
      <w:r w:rsidRPr="00AD2F44">
        <w:rPr>
          <w:vertAlign w:val="superscript"/>
        </w:rPr>
        <w:footnoteRef/>
      </w:r>
      <w:r w:rsidRPr="00AD2F44">
        <w:t>328 U.S. 680, 6 WH Cases 83 (1946).</w:t>
      </w:r>
    </w:p>
  </w:footnote>
  <w:footnote w:id="811">
    <w:p w14:paraId="143789B2" w14:textId="77777777" w:rsidR="00721CCF" w:rsidRPr="00AD2F44" w:rsidRDefault="00F42107">
      <w:pPr>
        <w:pStyle w:val="14Footnote"/>
      </w:pPr>
      <w:r w:rsidRPr="00AD2F44">
        <w:rPr>
          <w:vertAlign w:val="superscript"/>
        </w:rPr>
        <w:footnoteRef/>
      </w:r>
      <w:r w:rsidRPr="00AD2F44">
        <w:t>328 U.S. at 686–87.</w:t>
      </w:r>
    </w:p>
  </w:footnote>
  <w:footnote w:id="812">
    <w:p w14:paraId="31AA2777" w14:textId="77777777" w:rsidR="00721CCF" w:rsidRPr="00AD2F44" w:rsidRDefault="00F42107">
      <w:pPr>
        <w:pStyle w:val="14Footnote"/>
      </w:pPr>
      <w:r w:rsidRPr="00AD2F44">
        <w:rPr>
          <w:vertAlign w:val="superscript"/>
        </w:rPr>
        <w:footnoteRef/>
      </w:r>
      <w:r w:rsidRPr="00AD2F44">
        <w:rPr>
          <w:i/>
          <w:iCs/>
        </w:rPr>
        <w:t>Id</w:t>
      </w:r>
      <w:r w:rsidRPr="00AD2F44">
        <w:t xml:space="preserve">. at 687; </w:t>
      </w:r>
      <w:r w:rsidRPr="00AD2F44">
        <w:rPr>
          <w:i/>
          <w:iCs/>
        </w:rPr>
        <w:t>see also</w:t>
      </w:r>
      <w:r w:rsidRPr="00AD2F44">
        <w:t xml:space="preserve"> United States Dep’t of Labor v. Cole Enters., Inc., 62 F.3d 775, 779 (6th Cir. 1995) (explaining that proof of inadequate records is a prerequisite for burden shifting under </w:t>
      </w:r>
      <w:r w:rsidRPr="00AD2F44">
        <w:rPr>
          <w:i/>
          <w:iCs/>
        </w:rPr>
        <w:t>Mt. Clemens</w:t>
      </w:r>
      <w:r w:rsidRPr="00AD2F44">
        <w:t>). See the discussion in Chapter 16, Litigation Issues, §VIII.C.2 [Burden of Proof; Proving the Number of Hours Worked; Inadequate or Inaccurate Records].</w:t>
      </w:r>
    </w:p>
  </w:footnote>
  <w:footnote w:id="813">
    <w:p w14:paraId="67B8C3BD" w14:textId="77777777" w:rsidR="00721CCF" w:rsidRPr="00AD2F44" w:rsidRDefault="00F42107">
      <w:pPr>
        <w:pStyle w:val="14Footnote"/>
      </w:pPr>
      <w:r w:rsidRPr="00AD2F44">
        <w:rPr>
          <w:vertAlign w:val="superscript"/>
        </w:rPr>
        <w:footnoteRef/>
      </w:r>
      <w:r w:rsidRPr="00AD2F44">
        <w:rPr>
          <w:i/>
          <w:iCs/>
        </w:rPr>
        <w:t>Mt. Clemens</w:t>
      </w:r>
      <w:r w:rsidRPr="00AD2F44">
        <w:t>, 328 U.S. at 687–88.</w:t>
      </w:r>
    </w:p>
  </w:footnote>
  <w:footnote w:id="814">
    <w:p w14:paraId="363A1CC0" w14:textId="77777777" w:rsidR="00721CCF" w:rsidRPr="00AD2F44" w:rsidRDefault="00F42107">
      <w:pPr>
        <w:pStyle w:val="14Footnote"/>
      </w:pPr>
      <w:r w:rsidRPr="00AD2F44">
        <w:rPr>
          <w:vertAlign w:val="superscript"/>
        </w:rPr>
        <w:footnoteRef/>
      </w:r>
      <w:r w:rsidRPr="00AD2F44">
        <w:rPr>
          <w:i/>
          <w:iCs/>
        </w:rPr>
        <w:t>Id.</w:t>
      </w:r>
      <w:r w:rsidRPr="00AD2F44">
        <w:t xml:space="preserve"> at 687. </w:t>
      </w:r>
    </w:p>
  </w:footnote>
  <w:footnote w:id="815">
    <w:p w14:paraId="6E6DCB96" w14:textId="77777777" w:rsidR="00721CCF" w:rsidRPr="00AD2F44" w:rsidRDefault="00F42107">
      <w:pPr>
        <w:pStyle w:val="14Footnote"/>
      </w:pPr>
      <w:r w:rsidRPr="00AD2F44">
        <w:rPr>
          <w:vertAlign w:val="superscript"/>
        </w:rPr>
        <w:footnoteRef/>
      </w:r>
      <w:r w:rsidRPr="00AD2F44">
        <w:rPr>
          <w:i/>
          <w:iCs/>
        </w:rPr>
        <w:t>See, e.g</w:t>
      </w:r>
      <w:r w:rsidRPr="00AD2F44">
        <w:t>., Donovan v. Bel-Loc Diner, Inc., 780 F.2d 1113, 1116, 27 WH Cases 745 (4th Cir. 1985).</w:t>
      </w:r>
    </w:p>
  </w:footnote>
  <w:footnote w:id="816">
    <w:p w14:paraId="05283188" w14:textId="77777777" w:rsidR="00721CCF" w:rsidRPr="00AD2F44" w:rsidRDefault="00F42107">
      <w:pPr>
        <w:pStyle w:val="14Footnote"/>
      </w:pPr>
      <w:r w:rsidRPr="00AD2F44">
        <w:rPr>
          <w:vertAlign w:val="superscript"/>
        </w:rPr>
        <w:footnoteRef/>
      </w:r>
      <w:r w:rsidRPr="00AD2F44">
        <w:rPr>
          <w:i/>
          <w:iCs/>
        </w:rPr>
        <w:t>First Circuit:</w:t>
      </w:r>
      <w:r w:rsidRPr="00AD2F44">
        <w:t xml:space="preserve"> Secretary of Labor v. DeSisto, 929 F.2d 789, 791, 30 WH Cases 345 (1st Cir. 1991); Herman v. Hector I. Nieves Transp., Inc., 91 F. Supp. 2d 435, 445–46, 6 WH Cases2d 1469 (D.P.R. 2000).</w:t>
      </w:r>
    </w:p>
    <w:p w14:paraId="7200E194" w14:textId="77777777" w:rsidR="00721CCF" w:rsidRPr="00AD2F44" w:rsidRDefault="00F42107">
      <w:pPr>
        <w:pStyle w:val="14Footnote"/>
      </w:pPr>
      <w:r w:rsidRPr="00AD2F44">
        <w:rPr>
          <w:i/>
          <w:iCs/>
        </w:rPr>
        <w:t>Second Circuit:</w:t>
      </w:r>
      <w:r w:rsidRPr="00AD2F44">
        <w:t xml:space="preserve"> Harold Levinson Assocs., Inc. v. Chao, 37 F. App’x 19, 21 (2d Cir. 2002); Reich v. Southern New Engl. Telecomms. Corp., 121 F.3d 58, 4 WH Cases2d 33 (2d Cir. 1997); Archie v. Grand Cent. P’ship, Inc., 86 F. Supp. 2d 262, 271–72, 5 WH Cases2d 1591 (S.D.N.Y. 2000); Reich v. New Mt. Pleasant Bakery, Inc., 1993 WL 372270, at *6 (N.D.N.Y. Sept. 13, 1993); Donovan v. Kaszycki &amp; Sons Contractors, Inc., 599 F. Supp. 860, 867–68, 27 WH Cases 35 (S.D.N.Y. 1984); Donovan v. Sovereign Sec., Ltd., 1982 WL 2192, at *6, 25 WH Cases 1222 (E.D.N.Y. Apr. 28, 1982).</w:t>
      </w:r>
    </w:p>
    <w:p w14:paraId="26DAED4B" w14:textId="77777777" w:rsidR="00721CCF" w:rsidRPr="00AD2F44" w:rsidRDefault="00F42107">
      <w:pPr>
        <w:pStyle w:val="14Footnote"/>
      </w:pPr>
      <w:r w:rsidRPr="00AD2F44">
        <w:rPr>
          <w:i/>
          <w:iCs/>
        </w:rPr>
        <w:t>Third Circuit:</w:t>
      </w:r>
      <w:r w:rsidRPr="00AD2F44">
        <w:t xml:space="preserve"> Reich v. Gateway Press, Inc., 13 F.3d 685, 701–02, 1 WH Cases2d 1313 (3d Cir. 1994); Martin v. Selker Bros., Inc., 949 F.2d 1286, 1298, 30 WH Cases 1061 (3d Cir. 1991); Reich v. Chez Robert, Inc., 821 F. Supp. 967, 984 (D.N.J. 1993), </w:t>
      </w:r>
      <w:r w:rsidRPr="00AD2F44">
        <w:rPr>
          <w:i/>
          <w:iCs/>
        </w:rPr>
        <w:t>rev’d on other grounds</w:t>
      </w:r>
      <w:r w:rsidRPr="00AD2F44">
        <w:t xml:space="preserve">, 28 F.3d 401, 2 WH Cases2d 257 (3d Cir. 1994); Dole v. Solid Waste Servs., Inc., 733 F. Supp. 895, 926, 29 WH Cases 1490 (E.D. Pa. 1989), </w:t>
      </w:r>
      <w:r w:rsidRPr="00AD2F44">
        <w:rPr>
          <w:i/>
          <w:iCs/>
        </w:rPr>
        <w:t>aff’d</w:t>
      </w:r>
      <w:r w:rsidRPr="00AD2F44">
        <w:t xml:space="preserve">, 897 F.2d 521 (3d Cir. 1990); McLaughlin v. DialAmerica Mktg., Inc., 716 F. Supp. 812, 817, 824–26, 29 WH Cases 645 (D.N.J. 1989); Marshall v. Brunner, 500 F. Supp. 116, 122, Sched. A, 27 WH Cases 1050 (W.D. Pa. 1980), </w:t>
      </w:r>
      <w:r w:rsidRPr="00AD2F44">
        <w:rPr>
          <w:i/>
          <w:iCs/>
        </w:rPr>
        <w:t>aff’d in part and rev’d in part on other grounds</w:t>
      </w:r>
      <w:r w:rsidRPr="00AD2F44">
        <w:t>, 668 F.2d 748 (3d Cir. 1982); Marshall v. R &amp; M Erectors, Inc., 429 F. Supp. 771, 776–79 (D. Del. 1977).</w:t>
      </w:r>
    </w:p>
    <w:p w14:paraId="37CE19E8" w14:textId="77777777" w:rsidR="00721CCF" w:rsidRPr="00AD2F44" w:rsidRDefault="00F42107">
      <w:pPr>
        <w:pStyle w:val="14Footnote"/>
      </w:pPr>
      <w:r w:rsidRPr="00AD2F44">
        <w:rPr>
          <w:i/>
          <w:iCs/>
        </w:rPr>
        <w:t>Fourth Circuit:</w:t>
      </w:r>
      <w:r w:rsidRPr="00AD2F44">
        <w:t xml:space="preserve"> Reich v. Southern Md. Hosp., Inc., 43 F.3d 949, 951–52, 2 WH Cases2d 844 (4th Cir. 1995); </w:t>
      </w:r>
      <w:r w:rsidRPr="00AD2F44">
        <w:rPr>
          <w:i/>
          <w:iCs/>
        </w:rPr>
        <w:t>Bel-Loc Diner, Inc</w:t>
      </w:r>
      <w:r w:rsidRPr="00AD2F44">
        <w:t xml:space="preserve">., 780 F.2d at 1116; </w:t>
      </w:r>
      <w:r w:rsidRPr="00AD2F44">
        <w:rPr>
          <w:i/>
          <w:iCs/>
        </w:rPr>
        <w:t>In re</w:t>
      </w:r>
      <w:r w:rsidRPr="00AD2F44">
        <w:t xml:space="preserve"> Food Lion Effective Scheduling Litig., 861 F. Supp. 1263 (E.D.N.C. 1994).</w:t>
      </w:r>
    </w:p>
    <w:p w14:paraId="78C4B3F1" w14:textId="77777777" w:rsidR="00721CCF" w:rsidRPr="00AD2F44" w:rsidRDefault="00F42107">
      <w:pPr>
        <w:pStyle w:val="14Footnote"/>
      </w:pPr>
      <w:r w:rsidRPr="00AD2F44">
        <w:rPr>
          <w:i/>
          <w:iCs/>
        </w:rPr>
        <w:t>Fifth Circuit:</w:t>
      </w:r>
      <w:r w:rsidRPr="00AD2F44">
        <w:t xml:space="preserve"> Beliz v. W.H. McLeod &amp; Sons Packing Co., 765 F.2d 1317, 1330–31, 27 WH Cases 401 (5th Cir. 1985); Donovan v. Hamm’s Drive Inn, 661 F.2d 316, 318, 25 WH Cases 195 (5th Cir. 1981); Brennan v. General Motors Acceptance Corp., 482 F.2d 825, 827–29, 21 WH Cases 187 (5th Cir. 1973); Snively v. Peak Pressure Control, LLC, 347 F. Supp. 3d 294 (W.D. Tex. 2018); Falcon v. Starbucks Corp., 580 F. Supp. 2d 528, 540 (S.D. Tex. 2008); Johnson v. Big Lots Stores, Inc., 561 F. Supp. 2d 567, 572–73 (E.D. La. 2008).</w:t>
      </w:r>
    </w:p>
    <w:p w14:paraId="2D381C83" w14:textId="77777777" w:rsidR="00721CCF" w:rsidRPr="00AD2F44" w:rsidRDefault="00F42107">
      <w:pPr>
        <w:pStyle w:val="14Footnote"/>
      </w:pPr>
      <w:r w:rsidRPr="00AD2F44">
        <w:rPr>
          <w:i/>
          <w:iCs/>
        </w:rPr>
        <w:t>Sixth Circuit:</w:t>
      </w:r>
      <w:r w:rsidRPr="00AD2F44">
        <w:t xml:space="preserve"> Monroe v. FTS USA LLC, 860 F.3d 389, 408–09 (6th Cir. 2017) (upholding use of representative testimony in jury trial to prove FLSA liability and damages for nontestifying plaintiffs); </w:t>
      </w:r>
      <w:r w:rsidRPr="00AD2F44">
        <w:rPr>
          <w:i/>
          <w:iCs/>
        </w:rPr>
        <w:t>Cole Enterprises, Inc</w:t>
      </w:r>
      <w:r w:rsidRPr="00AD2F44">
        <w:t xml:space="preserve">., 62 F.3d at 780–81; Cowan v. Treetop Enters., Inc., 163 F. Supp. 2d 930, 937–38 (M.D. Tenn. 2001); Takacs v. Hahn Auto. Corp., 1999 WL 33127976, at *1–2 (S.D. Ohio Jan. 25, 1999); Martin v. Petroleum Sales, Inc., 1992 WL 439740, at *14, 1 WH Cases2d 363 (W.D. Tenn. July 9, 1992), </w:t>
      </w:r>
      <w:r w:rsidRPr="00AD2F44">
        <w:rPr>
          <w:i/>
          <w:iCs/>
        </w:rPr>
        <w:t>rev’d on other grounds</w:t>
      </w:r>
      <w:r w:rsidRPr="00AD2F44">
        <w:t>, Reich v. Petroleum Sales, Inc., 30 F.3d 654, 2 WH Cases2d 431 (6th Cir. 1994); Bueno v. Mattner, 633 F. Supp. 1446, 1452–53, 27 WH Cases 1257 (W.D. Mich. 1986).</w:t>
      </w:r>
    </w:p>
    <w:p w14:paraId="5CAAA016" w14:textId="77777777" w:rsidR="00721CCF" w:rsidRPr="00AD2F44" w:rsidRDefault="00F42107">
      <w:pPr>
        <w:pStyle w:val="14Footnote"/>
      </w:pPr>
      <w:r w:rsidRPr="00AD2F44">
        <w:rPr>
          <w:i/>
          <w:iCs/>
        </w:rPr>
        <w:t>Eighth Circuit:</w:t>
      </w:r>
      <w:r w:rsidRPr="00AD2F44">
        <w:t xml:space="preserve"> Brock v. Tony and Susan Alamo Found., 842 F.2d 1018, 1019–20, 28 WH Cases 897 (8th Cir. 1988).</w:t>
      </w:r>
    </w:p>
    <w:p w14:paraId="18CC454F" w14:textId="77777777" w:rsidR="00721CCF" w:rsidRPr="00AD2F44" w:rsidRDefault="00F42107">
      <w:pPr>
        <w:pStyle w:val="14Footnote"/>
      </w:pPr>
      <w:r w:rsidRPr="00AD2F44">
        <w:rPr>
          <w:i/>
          <w:iCs/>
        </w:rPr>
        <w:t>Ninth Circuit:</w:t>
      </w:r>
      <w:r w:rsidRPr="00AD2F44">
        <w:t xml:space="preserve"> McLaughlin v. Ho Fat Seto, 850 F.2d 586, 589, 28 WH Cases 1225 (9th Cir. 1988); Chao v. Pacific Stucco, Inc., 2006 WL 2432862, at *1–3 (D. Nev. Aug. 21, 2006); Thiebes v. Wal-Mart Stores, Inc., 2004 WL 1688544, at *1–3 (D. Or. July 26, 2004); Alvarez v. IBP, Inc., 2001 WL 34897841, at *6–9 (E.D. Wash. 2001), </w:t>
      </w:r>
      <w:r w:rsidRPr="00AD2F44">
        <w:rPr>
          <w:i/>
          <w:iCs/>
        </w:rPr>
        <w:t>aff’d in part and rev’d in part on other grounds</w:t>
      </w:r>
      <w:r w:rsidRPr="00AD2F44">
        <w:t xml:space="preserve">, 339 F.3d 894 (9th Cir. 2003), </w:t>
      </w:r>
      <w:r w:rsidRPr="00AD2F44">
        <w:rPr>
          <w:i/>
          <w:iCs/>
        </w:rPr>
        <w:t>aff’d</w:t>
      </w:r>
      <w:r w:rsidRPr="00AD2F44">
        <w:t>, 546 U.S. 21, 10 WH Cases2d 1825 (2006).</w:t>
      </w:r>
    </w:p>
    <w:p w14:paraId="6F8BAEF4" w14:textId="77777777" w:rsidR="00721CCF" w:rsidRPr="00AD2F44" w:rsidRDefault="00F42107">
      <w:pPr>
        <w:pStyle w:val="14Footnote"/>
      </w:pPr>
      <w:r w:rsidRPr="00AD2F44">
        <w:rPr>
          <w:i/>
          <w:iCs/>
        </w:rPr>
        <w:t>Tenth Circuit:</w:t>
      </w:r>
      <w:r w:rsidRPr="00AD2F44">
        <w:t xml:space="preserve"> Donovan v. Simmons Petroleum Corp., 725 F.2d 83, 85–86, 26 WH Cases 936 (10th Cir. 1983); Donovan v. Williams Oil Co., 717 F.2d 503, 505–06 (10th Cir. 1983); Donovan v. Hudson Stations, Inc., 1983 WL 21110, at *7, 26 WH Cases 795 (D. Kan. Oct. 14, 1983).</w:t>
      </w:r>
    </w:p>
    <w:p w14:paraId="5CC3BCE0" w14:textId="29051D67" w:rsidR="00721CCF" w:rsidRPr="00AD2F44" w:rsidRDefault="00F42107">
      <w:pPr>
        <w:pStyle w:val="14Footnote"/>
      </w:pPr>
      <w:r w:rsidRPr="00AD2F44">
        <w:rPr>
          <w:i/>
          <w:iCs/>
        </w:rPr>
        <w:t>Eleventh Circuit:</w:t>
      </w:r>
      <w:r w:rsidRPr="00AD2F44">
        <w:t xml:space="preserve"> Morgan v. Family Dollar Stores, Inc., 551 F.3d 1233, 1278–80 (11th Cir. 2008); Brock v. Norman’s Country Mkt., Inc., 835 F.2d 823, 828 (11th Cir. 1988); Donovan v. New Floridian Hotel, Inc., 676 F.2d 468, 471–73, 25 WH Cases 645 (11th Cir. 1982).</w:t>
      </w:r>
    </w:p>
  </w:footnote>
  <w:footnote w:id="817">
    <w:p w14:paraId="5C31CF7D" w14:textId="77777777" w:rsidR="00721CCF" w:rsidRPr="00AD2F44" w:rsidRDefault="00F42107">
      <w:pPr>
        <w:pStyle w:val="14Footnote"/>
      </w:pPr>
      <w:r w:rsidRPr="00AD2F44">
        <w:rPr>
          <w:vertAlign w:val="superscript"/>
        </w:rPr>
        <w:footnoteRef/>
      </w:r>
      <w:r w:rsidRPr="00AD2F44">
        <w:rPr>
          <w:i/>
          <w:iCs/>
        </w:rPr>
        <w:t>First Circuit</w:t>
      </w:r>
      <w:r w:rsidRPr="00AD2F44">
        <w:t>: DeSisto, 929 F.2d at 791–96; Hector I. Nieves Transport, Inc., 91 F. Supp. 2d at 445–46.</w:t>
      </w:r>
    </w:p>
    <w:p w14:paraId="7DF1E0BF" w14:textId="77777777" w:rsidR="00721CCF" w:rsidRPr="00AD2F44" w:rsidRDefault="00F42107">
      <w:pPr>
        <w:pStyle w:val="14Footnote"/>
      </w:pPr>
      <w:r w:rsidRPr="00AD2F44">
        <w:rPr>
          <w:i/>
          <w:iCs/>
        </w:rPr>
        <w:t>Second Circuit</w:t>
      </w:r>
      <w:r w:rsidRPr="00AD2F44">
        <w:t>: Harold Levinson Associates, Inc., 37 F. App’x at 21; Southern New England Telecommunications Corp., 121 F.3d at 66–70; New Mt. Pleasant Bakery, Inc., 1993 WL 372270, at *6; Kaszycki &amp; Sons Contractors, Inc., 599 F. Supp. at 867–68; Sovereign Security, Ltd., 1982 WL 2192, at *6.</w:t>
      </w:r>
    </w:p>
    <w:p w14:paraId="434806A2" w14:textId="26A7293A" w:rsidR="00721CCF" w:rsidRPr="00AD2F44" w:rsidRDefault="00F42107">
      <w:pPr>
        <w:pStyle w:val="14Footnote"/>
      </w:pPr>
      <w:r w:rsidRPr="00AD2F44">
        <w:rPr>
          <w:i/>
          <w:iCs/>
        </w:rPr>
        <w:t>Third Circuit:</w:t>
      </w:r>
      <w:r w:rsidRPr="00AD2F44">
        <w:t xml:space="preserve"> </w:t>
      </w:r>
      <w:r w:rsidRPr="00AD2F44">
        <w:rPr>
          <w:i/>
          <w:iCs/>
        </w:rPr>
        <w:t>Gateway Press, Inc</w:t>
      </w:r>
      <w:r w:rsidRPr="00AD2F44">
        <w:t xml:space="preserve">., 13 F.3d at 701–02; </w:t>
      </w:r>
      <w:r w:rsidRPr="00AD2F44">
        <w:rPr>
          <w:i/>
          <w:iCs/>
        </w:rPr>
        <w:t>Chez Robert, Inc</w:t>
      </w:r>
      <w:r w:rsidRPr="00AD2F44">
        <w:t xml:space="preserve">., 821 F. Supp. at 984; </w:t>
      </w:r>
      <w:r w:rsidRPr="00AD2F44">
        <w:rPr>
          <w:i/>
          <w:iCs/>
        </w:rPr>
        <w:t>Solid Waste Services, Inc</w:t>
      </w:r>
      <w:r w:rsidRPr="00AD2F44">
        <w:t xml:space="preserve">., 733 F. Supp. at 925–27; </w:t>
      </w:r>
      <w:r w:rsidRPr="00AD2F44">
        <w:rPr>
          <w:i/>
          <w:iCs/>
        </w:rPr>
        <w:t>DialAmerica Marketing, Inc</w:t>
      </w:r>
      <w:r w:rsidRPr="00AD2F44">
        <w:t xml:space="preserve">., 716 F. Supp. at 824–26; </w:t>
      </w:r>
      <w:r w:rsidRPr="00AD2F44">
        <w:rPr>
          <w:i/>
          <w:iCs/>
        </w:rPr>
        <w:t>Brunner</w:t>
      </w:r>
      <w:r w:rsidRPr="00AD2F44">
        <w:t xml:space="preserve">, 500 F. Supp. at 122, Sched. A; </w:t>
      </w:r>
      <w:r w:rsidRPr="00AD2F44">
        <w:rPr>
          <w:i/>
          <w:iCs/>
        </w:rPr>
        <w:t>R &amp; M Erectors, Inc</w:t>
      </w:r>
      <w:r w:rsidRPr="00AD2F44">
        <w:t>., 429 F. Supp. at 776–79.</w:t>
      </w:r>
    </w:p>
    <w:p w14:paraId="3D334972" w14:textId="77777777" w:rsidR="00721CCF" w:rsidRPr="00AD2F44" w:rsidRDefault="00F42107">
      <w:pPr>
        <w:pStyle w:val="14Footnote"/>
      </w:pPr>
      <w:r w:rsidRPr="00AD2F44">
        <w:rPr>
          <w:i/>
          <w:iCs/>
        </w:rPr>
        <w:t>Fourth Circuit</w:t>
      </w:r>
      <w:r w:rsidRPr="00AD2F44">
        <w:t>: Southern Maryland Hospital, Inc., 43 F.3d at 951–52; Bel-Loc Diner, Inc., 780 F.2d at 1116.</w:t>
      </w:r>
    </w:p>
    <w:p w14:paraId="73957706" w14:textId="77777777" w:rsidR="00721CCF" w:rsidRPr="00AD2F44" w:rsidRDefault="00F42107">
      <w:pPr>
        <w:pStyle w:val="14Footnote"/>
      </w:pPr>
      <w:r w:rsidRPr="00AD2F44">
        <w:rPr>
          <w:i/>
          <w:iCs/>
        </w:rPr>
        <w:t>Fifth Circuit</w:t>
      </w:r>
      <w:r w:rsidRPr="00AD2F44">
        <w:t>: Hamm’s Drive Inn, 661 F.2d at 318; General Motors Acceptance Corp., 482 F.2d at 827–29.</w:t>
      </w:r>
    </w:p>
    <w:p w14:paraId="48040E80" w14:textId="77777777" w:rsidR="00721CCF" w:rsidRPr="00AD2F44" w:rsidRDefault="00F42107">
      <w:pPr>
        <w:pStyle w:val="14Footnote"/>
      </w:pPr>
      <w:r w:rsidRPr="00AD2F44">
        <w:rPr>
          <w:i/>
          <w:iCs/>
        </w:rPr>
        <w:t>Sixth Circuit</w:t>
      </w:r>
      <w:r w:rsidRPr="00AD2F44">
        <w:t>: Cole Enterprises, Inc., 62 F.3d at 780–81; Petroleum Sales, Inc., 1992 WL 439740, at *14.</w:t>
      </w:r>
    </w:p>
    <w:p w14:paraId="5EAD1EF0" w14:textId="77777777" w:rsidR="00721CCF" w:rsidRPr="00AD2F44" w:rsidRDefault="00F42107">
      <w:pPr>
        <w:pStyle w:val="14Footnote"/>
      </w:pPr>
      <w:r w:rsidRPr="00AD2F44">
        <w:rPr>
          <w:i/>
          <w:iCs/>
        </w:rPr>
        <w:t>Eighth Circuit</w:t>
      </w:r>
      <w:r w:rsidRPr="00AD2F44">
        <w:t>: Tony and Susan Alamo Foundation, 842 F.2d at 1019–20.</w:t>
      </w:r>
    </w:p>
    <w:p w14:paraId="3288C03E" w14:textId="77777777" w:rsidR="00721CCF" w:rsidRPr="00AD2F44" w:rsidRDefault="00F42107">
      <w:pPr>
        <w:pStyle w:val="14Footnote"/>
      </w:pPr>
      <w:r w:rsidRPr="00AD2F44">
        <w:rPr>
          <w:i/>
          <w:iCs/>
        </w:rPr>
        <w:t>Ninth Circuit: Ho Fat Seto</w:t>
      </w:r>
      <w:r w:rsidRPr="00AD2F44">
        <w:t xml:space="preserve">, 850 F.2d at 589; </w:t>
      </w:r>
      <w:r w:rsidRPr="00AD2F44">
        <w:rPr>
          <w:i/>
          <w:iCs/>
        </w:rPr>
        <w:t>Pacific Stucco, Inc</w:t>
      </w:r>
      <w:r w:rsidRPr="00AD2F44">
        <w:t>., 2006 WL 2432862, at *1–3.</w:t>
      </w:r>
    </w:p>
    <w:p w14:paraId="4343E94F" w14:textId="77777777" w:rsidR="00721CCF" w:rsidRPr="00AD2F44" w:rsidRDefault="00F42107">
      <w:pPr>
        <w:pStyle w:val="14Footnote"/>
      </w:pPr>
      <w:r w:rsidRPr="00AD2F44">
        <w:rPr>
          <w:i/>
          <w:iCs/>
        </w:rPr>
        <w:t>Tenth Circuit:</w:t>
      </w:r>
      <w:r w:rsidRPr="00AD2F44">
        <w:t xml:space="preserve"> </w:t>
      </w:r>
      <w:r w:rsidRPr="00AD2F44">
        <w:rPr>
          <w:i/>
          <w:iCs/>
        </w:rPr>
        <w:t>Simmons Petroleum Corp</w:t>
      </w:r>
      <w:r w:rsidRPr="00AD2F44">
        <w:t xml:space="preserve">., 725 F.2d at 85–86; </w:t>
      </w:r>
      <w:r w:rsidRPr="00AD2F44">
        <w:rPr>
          <w:i/>
          <w:iCs/>
        </w:rPr>
        <w:t>Williams Oil Co</w:t>
      </w:r>
      <w:r w:rsidRPr="00AD2F44">
        <w:t xml:space="preserve">., 717 F.2d at 505–06; </w:t>
      </w:r>
      <w:r w:rsidRPr="00AD2F44">
        <w:rPr>
          <w:i/>
          <w:iCs/>
        </w:rPr>
        <w:t>Hudson Stations, Inc</w:t>
      </w:r>
      <w:r w:rsidRPr="00AD2F44">
        <w:t>., 1983 WL 21110, at *7–8.</w:t>
      </w:r>
    </w:p>
    <w:p w14:paraId="1F5A4CEC" w14:textId="0DB5ACB9" w:rsidR="00721CCF" w:rsidRPr="00AD2F44" w:rsidRDefault="00F42107">
      <w:pPr>
        <w:pStyle w:val="14Footnote"/>
      </w:pPr>
      <w:r w:rsidRPr="00AD2F44">
        <w:rPr>
          <w:i/>
          <w:iCs/>
        </w:rPr>
        <w:t>Eleventh Circuit</w:t>
      </w:r>
      <w:r w:rsidRPr="00AD2F44">
        <w:t>: Norman’s Country Market, Inc., 835 F.2d at 828; New Floridian Hotel, Inc., 676 F.2d at 471–73.</w:t>
      </w:r>
    </w:p>
  </w:footnote>
  <w:footnote w:id="818">
    <w:p w14:paraId="6645CFAD" w14:textId="77777777" w:rsidR="00721CCF" w:rsidRPr="00AD2F44" w:rsidRDefault="00F42107">
      <w:pPr>
        <w:pStyle w:val="14Footnote"/>
      </w:pPr>
      <w:r w:rsidRPr="00AD2F44">
        <w:rPr>
          <w:vertAlign w:val="superscript"/>
        </w:rPr>
        <w:footnoteRef/>
      </w:r>
      <w:r w:rsidRPr="00AD2F44">
        <w:rPr>
          <w:i/>
          <w:iCs/>
        </w:rPr>
        <w:t>Second Circuit: Archie</w:t>
      </w:r>
      <w:r w:rsidRPr="00AD2F44">
        <w:t>, 86 F. Supp. 2d at 271–72.</w:t>
      </w:r>
    </w:p>
    <w:p w14:paraId="1F3D06CD" w14:textId="77777777" w:rsidR="00721CCF" w:rsidRPr="00AD2F44" w:rsidRDefault="00F42107">
      <w:pPr>
        <w:pStyle w:val="14Footnote"/>
      </w:pPr>
      <w:r w:rsidRPr="00AD2F44">
        <w:rPr>
          <w:i/>
          <w:iCs/>
        </w:rPr>
        <w:t>Fourth Circuit</w:t>
      </w:r>
      <w:r w:rsidRPr="00AD2F44">
        <w:t>: In re Food Lion Effective Scheduling Litigation, 861 F. Supp. at 1272–74.</w:t>
      </w:r>
    </w:p>
    <w:p w14:paraId="033AAFFB" w14:textId="77777777" w:rsidR="00721CCF" w:rsidRPr="00AD2F44" w:rsidRDefault="00F42107">
      <w:pPr>
        <w:pStyle w:val="14Footnote"/>
      </w:pPr>
      <w:r w:rsidRPr="00AD2F44">
        <w:rPr>
          <w:i/>
          <w:iCs/>
        </w:rPr>
        <w:t>Fifth Circuit:</w:t>
      </w:r>
      <w:r w:rsidRPr="00AD2F44">
        <w:t xml:space="preserve"> </w:t>
      </w:r>
      <w:r w:rsidRPr="00AD2F44">
        <w:rPr>
          <w:i/>
          <w:iCs/>
        </w:rPr>
        <w:t>Beliz</w:t>
      </w:r>
      <w:r w:rsidRPr="00AD2F44">
        <w:t xml:space="preserve">, 765 F.2d at 1330–31; </w:t>
      </w:r>
      <w:r w:rsidRPr="00AD2F44">
        <w:rPr>
          <w:i/>
          <w:iCs/>
        </w:rPr>
        <w:t>Falcon</w:t>
      </w:r>
      <w:r w:rsidRPr="00AD2F44">
        <w:t xml:space="preserve">, 580 F. Supp. at 540; </w:t>
      </w:r>
      <w:r w:rsidRPr="00AD2F44">
        <w:rPr>
          <w:i/>
          <w:iCs/>
        </w:rPr>
        <w:t>Johnson</w:t>
      </w:r>
      <w:r w:rsidRPr="00AD2F44">
        <w:t>, 561 F. Supp. 2d at 569–74, 587–88.</w:t>
      </w:r>
    </w:p>
    <w:p w14:paraId="7D7DEAED" w14:textId="77777777" w:rsidR="00721CCF" w:rsidRPr="00AD2F44" w:rsidRDefault="00F42107">
      <w:pPr>
        <w:pStyle w:val="14Footnote"/>
      </w:pPr>
      <w:r w:rsidRPr="00AD2F44">
        <w:rPr>
          <w:i/>
          <w:iCs/>
        </w:rPr>
        <w:t>Sixth Circuit: Cowan</w:t>
      </w:r>
      <w:r w:rsidRPr="00AD2F44">
        <w:t xml:space="preserve">, 163 F. Supp. 2d at 937–38; </w:t>
      </w:r>
      <w:r w:rsidRPr="00AD2F44">
        <w:rPr>
          <w:i/>
          <w:iCs/>
        </w:rPr>
        <w:t>Takacs</w:t>
      </w:r>
      <w:r w:rsidRPr="00AD2F44">
        <w:t xml:space="preserve">, 1999 WL 33127976, at *1–3; </w:t>
      </w:r>
      <w:r w:rsidRPr="00AD2F44">
        <w:rPr>
          <w:i/>
          <w:iCs/>
        </w:rPr>
        <w:t>Bueno</w:t>
      </w:r>
      <w:r w:rsidRPr="00AD2F44">
        <w:t>, 633 F. Supp. at 1452–53.</w:t>
      </w:r>
    </w:p>
    <w:p w14:paraId="62AA6F86" w14:textId="77777777" w:rsidR="00721CCF" w:rsidRPr="00AD2F44" w:rsidRDefault="00F42107">
      <w:pPr>
        <w:pStyle w:val="14Footnote"/>
      </w:pPr>
      <w:r w:rsidRPr="00AD2F44">
        <w:rPr>
          <w:i/>
          <w:iCs/>
        </w:rPr>
        <w:t>Eighth Circuit:</w:t>
      </w:r>
      <w:r w:rsidRPr="00AD2F44">
        <w:t xml:space="preserve"> Gomez v. Tyson Foods, Inc., 976 F. Supp. 2d 1169, 1181 (D. Neb. Oct. 2, 2013) (“Representative evidence is sufficient to establish damages in a class action case.”).</w:t>
      </w:r>
    </w:p>
    <w:p w14:paraId="3F8547F7" w14:textId="77777777" w:rsidR="00721CCF" w:rsidRPr="00AD2F44" w:rsidRDefault="00F42107">
      <w:pPr>
        <w:pStyle w:val="14Footnote"/>
      </w:pPr>
      <w:r w:rsidRPr="00AD2F44">
        <w:rPr>
          <w:i/>
          <w:iCs/>
        </w:rPr>
        <w:t>Ninth Circuit:</w:t>
      </w:r>
      <w:r w:rsidRPr="00AD2F44">
        <w:t xml:space="preserve"> </w:t>
      </w:r>
      <w:r w:rsidRPr="00AD2F44">
        <w:rPr>
          <w:i/>
          <w:iCs/>
        </w:rPr>
        <w:t>Thiebes</w:t>
      </w:r>
      <w:r w:rsidRPr="00AD2F44">
        <w:t xml:space="preserve">, 2004 WL 1688544, at *1–3; </w:t>
      </w:r>
      <w:r w:rsidRPr="00AD2F44">
        <w:rPr>
          <w:i/>
          <w:iCs/>
        </w:rPr>
        <w:t>Alvarez</w:t>
      </w:r>
      <w:r w:rsidRPr="00AD2F44">
        <w:t>, 2001 WL 34897841, at *6–9.</w:t>
      </w:r>
    </w:p>
    <w:p w14:paraId="70D8EE5D" w14:textId="471B0C06" w:rsidR="00002154" w:rsidRPr="00AD2F44" w:rsidRDefault="00F42107" w:rsidP="00002154">
      <w:pPr>
        <w:pStyle w:val="14Footnote"/>
      </w:pPr>
      <w:r w:rsidRPr="00AD2F44">
        <w:rPr>
          <w:i/>
          <w:iCs/>
        </w:rPr>
        <w:t>Eleventh Circuit: Morgan,</w:t>
      </w:r>
      <w:r w:rsidRPr="00AD2F44">
        <w:t xml:space="preserve"> 551 F.3d at 1276–80.</w:t>
      </w:r>
    </w:p>
  </w:footnote>
  <w:footnote w:id="819">
    <w:p w14:paraId="1DB6C1E6" w14:textId="77777777" w:rsidR="00721CCF" w:rsidRPr="00AD2F44" w:rsidRDefault="00F42107">
      <w:pPr>
        <w:pStyle w:val="14Footnote"/>
      </w:pPr>
      <w:r w:rsidRPr="00AD2F44">
        <w:rPr>
          <w:vertAlign w:val="superscript"/>
        </w:rPr>
        <w:footnoteRef/>
      </w:r>
      <w:r w:rsidRPr="00AD2F44">
        <w:t xml:space="preserve">136 S. Ct. 1036 (2016). </w:t>
      </w:r>
    </w:p>
  </w:footnote>
  <w:footnote w:id="820">
    <w:p w14:paraId="07395CB7" w14:textId="77777777" w:rsidR="00721CCF" w:rsidRPr="00AD2F44" w:rsidRDefault="00F42107">
      <w:pPr>
        <w:pStyle w:val="14Footnote"/>
      </w:pPr>
      <w:r w:rsidRPr="00AD2F44">
        <w:rPr>
          <w:vertAlign w:val="superscript"/>
        </w:rPr>
        <w:footnoteRef/>
      </w:r>
      <w:r w:rsidRPr="00AD2F44">
        <w:rPr>
          <w:i/>
          <w:iCs/>
        </w:rPr>
        <w:t>Id</w:t>
      </w:r>
      <w:r w:rsidRPr="00AD2F44">
        <w:t>. at 1047.</w:t>
      </w:r>
    </w:p>
  </w:footnote>
  <w:footnote w:id="821">
    <w:p w14:paraId="3EA688E2" w14:textId="77777777" w:rsidR="00721CCF" w:rsidRPr="00AD2F44" w:rsidRDefault="00F42107">
      <w:pPr>
        <w:pStyle w:val="14Footnote"/>
      </w:pPr>
      <w:r w:rsidRPr="00AD2F44">
        <w:rPr>
          <w:vertAlign w:val="superscript"/>
        </w:rPr>
        <w:footnoteRef/>
      </w:r>
      <w:r w:rsidRPr="00AD2F44">
        <w:rPr>
          <w:i/>
          <w:iCs/>
        </w:rPr>
        <w:t>Id</w:t>
      </w:r>
      <w:r w:rsidRPr="00AD2F44">
        <w:t xml:space="preserve">. at 1049 (citations omitted); </w:t>
      </w:r>
      <w:r w:rsidRPr="00AD2F44">
        <w:rPr>
          <w:i/>
          <w:iCs/>
        </w:rPr>
        <w:t xml:space="preserve">see also </w:t>
      </w:r>
      <w:r w:rsidRPr="00AD2F44">
        <w:t xml:space="preserve">Garcia v. Tyson Foods, Inc., 770 F.3d 1300, 1307–08 (10th Cir. 2014) (affirming jury verdict in donning and doffing case for plaintiff class that worked at one Tyson facility in Kansas based on representative testimony from 3 plaintiffs and time-study evidence based on observations of 62 plaintiffs). </w:t>
      </w:r>
    </w:p>
  </w:footnote>
  <w:footnote w:id="822">
    <w:p w14:paraId="15DE2CFB" w14:textId="77777777" w:rsidR="00721CCF" w:rsidRPr="00AD2F44" w:rsidRDefault="00F42107">
      <w:pPr>
        <w:pStyle w:val="14Footnote"/>
      </w:pPr>
      <w:r w:rsidRPr="00AD2F44">
        <w:rPr>
          <w:vertAlign w:val="superscript"/>
        </w:rPr>
        <w:footnoteRef/>
      </w:r>
      <w:r w:rsidRPr="00AD2F44">
        <w:rPr>
          <w:i/>
        </w:rPr>
        <w:t>See</w:t>
      </w:r>
    </w:p>
    <w:p w14:paraId="644A4EE5" w14:textId="0ABC6D00" w:rsidR="008D4DF3" w:rsidRDefault="00F42107">
      <w:pPr>
        <w:pStyle w:val="14Footnote"/>
        <w:rPr>
          <w:i/>
          <w:iCs/>
        </w:rPr>
      </w:pPr>
      <w:r>
        <w:rPr>
          <w:i/>
          <w:iCs/>
        </w:rPr>
        <w:t xml:space="preserve">Third Circuit: </w:t>
      </w:r>
      <w:r w:rsidRPr="00940A4B">
        <w:t>Ivanovs v. B</w:t>
      </w:r>
      <w:r>
        <w:t>ayada</w:t>
      </w:r>
      <w:r w:rsidRPr="00940A4B">
        <w:t xml:space="preserve"> Home Health Care, Inc</w:t>
      </w:r>
      <w:r>
        <w:t xml:space="preserve">., </w:t>
      </w:r>
      <w:r w:rsidRPr="005427EA">
        <w:t>674 F.</w:t>
      </w:r>
      <w:r>
        <w:t xml:space="preserve"> </w:t>
      </w:r>
      <w:r w:rsidRPr="005427EA">
        <w:t>Supp.</w:t>
      </w:r>
      <w:r>
        <w:t xml:space="preserve"> </w:t>
      </w:r>
      <w:r w:rsidRPr="005427EA">
        <w:t xml:space="preserve">3d 115 </w:t>
      </w:r>
      <w:r w:rsidRPr="00940A4B">
        <w:t>(D.N.J. 2023)</w:t>
      </w:r>
      <w:r>
        <w:t xml:space="preserve"> (upon motion for judgment as a matter of law, holding representational testimony of 7 plaintiffs from 62-member collective was appropriate, reasoning </w:t>
      </w:r>
      <w:r w:rsidRPr="00940A4B">
        <w:t xml:space="preserve">plaintiffs’ testimony </w:t>
      </w:r>
      <w:r>
        <w:t>d</w:t>
      </w:r>
      <w:r w:rsidRPr="00940A4B">
        <w:t xml:space="preserve">emonstrated they were subject to a pattern or practice of not being compensated for hours worked over </w:t>
      </w:r>
      <w:r>
        <w:t>40 and</w:t>
      </w:r>
      <w:r w:rsidRPr="00940A4B">
        <w:t xml:space="preserve"> their testimony was adequately representative of the collective</w:t>
      </w:r>
      <w:r>
        <w:t>).</w:t>
      </w:r>
    </w:p>
    <w:p w14:paraId="07705BB9" w14:textId="22E2725E" w:rsidR="00721CCF" w:rsidRPr="00AD2F44" w:rsidRDefault="00F42107">
      <w:pPr>
        <w:pStyle w:val="14Footnote"/>
      </w:pPr>
      <w:r w:rsidRPr="00AD2F44">
        <w:rPr>
          <w:i/>
          <w:iCs/>
        </w:rPr>
        <w:t xml:space="preserve">Fourth Circuit: </w:t>
      </w:r>
      <w:r w:rsidRPr="00AD2F44">
        <w:t>Reich v. Southern Md. Hosp., Inc., 43 F.3d 949, 951–52, 2 WH Cases2d 844 (4th Cir. 1995); Donovan v. Bel-Loc Diner, Inc., 780 F.2d 1113, 1116, 27 WH Cases 745 (4th Cir. 1985).</w:t>
      </w:r>
    </w:p>
    <w:p w14:paraId="7C7B8712" w14:textId="77777777" w:rsidR="00721CCF" w:rsidRPr="00AD2F44" w:rsidRDefault="00F42107">
      <w:pPr>
        <w:pStyle w:val="14Footnote"/>
      </w:pPr>
      <w:r w:rsidRPr="00AD2F44">
        <w:rPr>
          <w:i/>
          <w:iCs/>
        </w:rPr>
        <w:t>Fifth Circuit:</w:t>
      </w:r>
      <w:r w:rsidRPr="00AD2F44">
        <w:t xml:space="preserve"> Albanil v. Coast 2 Coast, 444 F. App’x 788, 806 (5th Cir. 2011); Clark v. Centene Co. of Tex., LP., 104 F. Supp. 3d 813, 830–31 (W.D. Tex. 2015).</w:t>
      </w:r>
    </w:p>
    <w:p w14:paraId="29F9A697" w14:textId="77777777" w:rsidR="00721CCF" w:rsidRPr="00AD2F44" w:rsidRDefault="00F42107">
      <w:pPr>
        <w:pStyle w:val="14Footnote"/>
      </w:pPr>
      <w:r w:rsidRPr="00AD2F44">
        <w:rPr>
          <w:i/>
          <w:iCs/>
        </w:rPr>
        <w:t>Sixth Circuit:</w:t>
      </w:r>
      <w:r w:rsidRPr="00AD2F44">
        <w:t xml:space="preserve"> United States Dep’t of Labor v. Cole Enters., Inc., 62 F.3d 775, 781 (6th Cir. 1995); Pierce v. Wyndham Vacation Resorts, Inc., 2018 WL 616141 (E.D. Tenn. Jan. 29, 2018). </w:t>
      </w:r>
    </w:p>
    <w:p w14:paraId="6978BBCE" w14:textId="77777777" w:rsidR="00721CCF" w:rsidRPr="00AD2F44" w:rsidRDefault="00F42107">
      <w:pPr>
        <w:pStyle w:val="14Footnote"/>
      </w:pPr>
      <w:r w:rsidRPr="00AD2F44">
        <w:rPr>
          <w:i/>
          <w:iCs/>
        </w:rPr>
        <w:t>Ninth Circuit:</w:t>
      </w:r>
      <w:r w:rsidRPr="00AD2F44">
        <w:t xml:space="preserve"> McLaughlin v. Ho Fat Seto, 850 F.2d 586, 589, 28 WH Cases 1225 (9th Cir. 1988).</w:t>
      </w:r>
    </w:p>
    <w:p w14:paraId="57C9BC94" w14:textId="084E900A" w:rsidR="00721CCF" w:rsidRPr="00AD2F44" w:rsidRDefault="00F42107">
      <w:pPr>
        <w:pStyle w:val="14Footnote"/>
      </w:pPr>
      <w:r w:rsidRPr="00AD2F44">
        <w:rPr>
          <w:i/>
          <w:iCs/>
        </w:rPr>
        <w:t>See also In re Food Lion Effective Scheduling Litig</w:t>
      </w:r>
      <w:r w:rsidRPr="00AD2F44">
        <w:t>., 861 F. Supp. at 1272, 1274 (evidence “must be representational of the whole enterprise”).</w:t>
      </w:r>
    </w:p>
  </w:footnote>
  <w:footnote w:id="823">
    <w:p w14:paraId="7154656F" w14:textId="77777777" w:rsidR="00721CCF" w:rsidRPr="00AD2F44" w:rsidRDefault="00F42107">
      <w:pPr>
        <w:pStyle w:val="14Footnote"/>
      </w:pPr>
      <w:r w:rsidRPr="00AD2F44">
        <w:rPr>
          <w:vertAlign w:val="superscript"/>
        </w:rPr>
        <w:footnoteRef/>
      </w:r>
      <w:r w:rsidRPr="00AD2F44">
        <w:t xml:space="preserve">Wilson v. Navika Capital Grp., LLC, 2014 WL 223211, at *15 (S.D. Tex. Jan. 14, 2014). </w:t>
      </w:r>
    </w:p>
  </w:footnote>
  <w:footnote w:id="824">
    <w:p w14:paraId="4DC45433" w14:textId="77777777" w:rsidR="00721CCF" w:rsidRPr="00AD2F44" w:rsidRDefault="00F42107">
      <w:pPr>
        <w:pStyle w:val="14Footnote"/>
      </w:pPr>
      <w:r w:rsidRPr="00AD2F44">
        <w:rPr>
          <w:vertAlign w:val="superscript"/>
        </w:rPr>
        <w:footnoteRef/>
      </w:r>
      <w:r w:rsidRPr="00AD2F44">
        <w:t xml:space="preserve">Espenscheid v. DirectSAT USA, LLC, 705 F.3d 770, 774 (7th Cir. 2013) (citing </w:t>
      </w:r>
      <w:r w:rsidRPr="00AD2F44">
        <w:rPr>
          <w:i/>
          <w:iCs/>
        </w:rPr>
        <w:t>Southern Maryland Hospital</w:t>
      </w:r>
      <w:r w:rsidRPr="00AD2F44">
        <w:t xml:space="preserve">, 43 F.3d at 952, and Dole v. DeSisto, 929 F.2d 789, 793 (1st Cir. 1991)); </w:t>
      </w:r>
      <w:r w:rsidRPr="00AD2F44">
        <w:rPr>
          <w:i/>
          <w:iCs/>
        </w:rPr>
        <w:t>see also</w:t>
      </w:r>
      <w:r w:rsidRPr="00AD2F44">
        <w:t xml:space="preserve"> Espinosa v. County of Fresno, 290 F.R.D. 494, 505 (E.D. Cal. 2013) (rejecting use of representative testimony where “there is no reasonable time or frequency for the task in question” that could be applied to class). </w:t>
      </w:r>
    </w:p>
  </w:footnote>
  <w:footnote w:id="825">
    <w:p w14:paraId="7FDF128C" w14:textId="77777777" w:rsidR="00721CCF" w:rsidRPr="00AD2F44" w:rsidRDefault="00F42107">
      <w:pPr>
        <w:pStyle w:val="14Footnote"/>
        <w:rPr>
          <w:i/>
          <w:iCs/>
        </w:rPr>
      </w:pPr>
      <w:r w:rsidRPr="00AD2F44">
        <w:rPr>
          <w:vertAlign w:val="superscript"/>
        </w:rPr>
        <w:footnoteRef/>
      </w:r>
      <w:r w:rsidRPr="00AD2F44">
        <w:rPr>
          <w:i/>
          <w:iCs/>
        </w:rPr>
        <w:t>See</w:t>
      </w:r>
    </w:p>
    <w:p w14:paraId="2BD785E3" w14:textId="77777777" w:rsidR="00721CCF" w:rsidRPr="00AD2F44" w:rsidRDefault="00F42107">
      <w:pPr>
        <w:pStyle w:val="14Footnote"/>
      </w:pPr>
      <w:r w:rsidRPr="00AD2F44">
        <w:rPr>
          <w:i/>
          <w:iCs/>
        </w:rPr>
        <w:t>First Circuit: DeSisto,</w:t>
      </w:r>
      <w:r w:rsidRPr="00AD2F44">
        <w:t xml:space="preserve"> 929 F.2d at 793.</w:t>
      </w:r>
    </w:p>
    <w:p w14:paraId="06382737" w14:textId="77777777" w:rsidR="00721CCF" w:rsidRPr="00AD2F44" w:rsidRDefault="00F42107">
      <w:pPr>
        <w:pStyle w:val="14Footnote"/>
      </w:pPr>
      <w:r w:rsidRPr="00AD2F44">
        <w:rPr>
          <w:i/>
          <w:iCs/>
        </w:rPr>
        <w:t>Third Circuit:</w:t>
      </w:r>
      <w:r w:rsidRPr="00AD2F44">
        <w:t xml:space="preserve"> Dole v. Solid Waste Servs., Inc., 733 F. Supp. 895, 926, 29 WH Cases 1490 (E.D. Pa. 1989), </w:t>
      </w:r>
      <w:r w:rsidRPr="00AD2F44">
        <w:rPr>
          <w:i/>
          <w:iCs/>
        </w:rPr>
        <w:t>aff’d</w:t>
      </w:r>
      <w:r w:rsidRPr="00AD2F44">
        <w:t>, 897 F.2d 521 (3d Cir. 1990).</w:t>
      </w:r>
    </w:p>
    <w:p w14:paraId="334522FA" w14:textId="77777777" w:rsidR="00721CCF" w:rsidRPr="00AD2F44" w:rsidRDefault="00F42107">
      <w:pPr>
        <w:pStyle w:val="14Footnote"/>
      </w:pPr>
      <w:r w:rsidRPr="00AD2F44">
        <w:rPr>
          <w:i/>
          <w:iCs/>
        </w:rPr>
        <w:t xml:space="preserve">Fifth Circuit: </w:t>
      </w:r>
      <w:r w:rsidRPr="00AD2F44">
        <w:t>Beliz v. W.H. McLeod &amp; Sons Packing Co., 765 F.2d 1317, 1331, 27 WH Cases 401 (5th Cir. 1985) (“Testimony of some employees concerning the hours worked by groups of non-testifying employees is sufficient if those who do testify have personal knowledge of the work performed by those who do not.”).</w:t>
      </w:r>
    </w:p>
    <w:p w14:paraId="7E5B9AEC" w14:textId="77777777" w:rsidR="00721CCF" w:rsidRPr="00AD2F44" w:rsidRDefault="00F42107">
      <w:pPr>
        <w:pStyle w:val="14Footnote"/>
      </w:pPr>
      <w:r w:rsidRPr="00AD2F44">
        <w:rPr>
          <w:i/>
          <w:iCs/>
        </w:rPr>
        <w:t>Sixth Circuit:</w:t>
      </w:r>
      <w:r w:rsidRPr="00AD2F44">
        <w:t xml:space="preserve"> Takacs v. Hahn Auto. Corp., 1999 WL 33127976, at *3 (S.D. Ohio Jan. 25, 1999).</w:t>
      </w:r>
    </w:p>
    <w:p w14:paraId="1B53423A" w14:textId="77777777" w:rsidR="00721CCF" w:rsidRPr="00AD2F44" w:rsidRDefault="00F42107">
      <w:pPr>
        <w:pStyle w:val="14Footnote"/>
      </w:pPr>
      <w:r w:rsidRPr="00AD2F44">
        <w:rPr>
          <w:i/>
          <w:iCs/>
        </w:rPr>
        <w:t>Ninth Circuit:</w:t>
      </w:r>
      <w:r w:rsidRPr="00AD2F44">
        <w:t xml:space="preserve"> Alvarez v. IBP, Inc., 2001 WL 34897841, at *8 (E.D. Wash. 2001), </w:t>
      </w:r>
      <w:r w:rsidRPr="00AD2F44">
        <w:rPr>
          <w:i/>
          <w:iCs/>
        </w:rPr>
        <w:t>aff’d in part and rev’d in part on other grounds</w:t>
      </w:r>
      <w:r w:rsidRPr="00AD2F44">
        <w:t xml:space="preserve">, 339 F.3d 894 (9th Cir. 2003), </w:t>
      </w:r>
      <w:r w:rsidRPr="00AD2F44">
        <w:rPr>
          <w:i/>
          <w:iCs/>
        </w:rPr>
        <w:t>aff’d</w:t>
      </w:r>
      <w:r w:rsidRPr="00AD2F44">
        <w:t>, 546 U.S. 21, 10 WH Cases2d 1825 (2006).</w:t>
      </w:r>
    </w:p>
    <w:p w14:paraId="64207386" w14:textId="77777777" w:rsidR="00721CCF" w:rsidRPr="00AD2F44" w:rsidRDefault="00F42107">
      <w:pPr>
        <w:pStyle w:val="14Footnote"/>
      </w:pPr>
      <w:r w:rsidRPr="00AD2F44">
        <w:rPr>
          <w:i/>
          <w:iCs/>
        </w:rPr>
        <w:t>Tenth Circuit:</w:t>
      </w:r>
      <w:r w:rsidRPr="00AD2F44">
        <w:t xml:space="preserve"> Donovan v. Simmons Petroleum Corp., 725 F.2d 83, 86, 26 WH Cases 936 (10th Cir. 1983) (deeming plaintiffs’ evidence sufficient because at least one employee from each category testified or was deposed).</w:t>
      </w:r>
    </w:p>
    <w:p w14:paraId="4BFCCE52" w14:textId="77777777" w:rsidR="00721CCF" w:rsidRPr="00AD2F44" w:rsidRDefault="00F42107">
      <w:pPr>
        <w:pStyle w:val="14Footnote"/>
      </w:pPr>
      <w:r w:rsidRPr="00AD2F44">
        <w:rPr>
          <w:i/>
          <w:iCs/>
        </w:rPr>
        <w:t>Eleventh Circuit:</w:t>
      </w:r>
      <w:r w:rsidRPr="00AD2F44">
        <w:t xml:space="preserve"> Donovan v. New Floridian Hotel, Inc., 676 F.2d 468, 472, 25 WH Cases 645 (11th Cir. 1982).</w:t>
      </w:r>
    </w:p>
    <w:p w14:paraId="3C83F62F" w14:textId="77777777" w:rsidR="00721CCF" w:rsidRPr="00AD2F44" w:rsidRDefault="00F42107">
      <w:pPr>
        <w:pStyle w:val="14Footnote"/>
      </w:pPr>
      <w:r w:rsidRPr="00AD2F44">
        <w:rPr>
          <w:i/>
        </w:rPr>
        <w:t>See also</w:t>
      </w:r>
    </w:p>
    <w:p w14:paraId="2D882D1C" w14:textId="77777777" w:rsidR="00721CCF" w:rsidRPr="00AD2F44" w:rsidRDefault="00F42107">
      <w:pPr>
        <w:pStyle w:val="14Footnote"/>
      </w:pPr>
      <w:r w:rsidRPr="00AD2F44">
        <w:rPr>
          <w:i/>
          <w:iCs/>
        </w:rPr>
        <w:t xml:space="preserve">Second Circuit: </w:t>
      </w:r>
      <w:r w:rsidRPr="00AD2F44">
        <w:t xml:space="preserve">Reich v. Southern New Engl. Telecomms. Corp., 121 F.3d 58, 67, 4 WH Cases2d 33 (2d Cir. 1997) (citing </w:t>
      </w:r>
      <w:r w:rsidRPr="00AD2F44">
        <w:rPr>
          <w:i/>
          <w:iCs/>
        </w:rPr>
        <w:t>DeSisto</w:t>
      </w:r>
      <w:r w:rsidRPr="00AD2F44">
        <w:t>).</w:t>
      </w:r>
    </w:p>
    <w:p w14:paraId="5C376250" w14:textId="77777777" w:rsidR="00721CCF" w:rsidRPr="00AD2F44" w:rsidRDefault="00F42107">
      <w:pPr>
        <w:pStyle w:val="14Footnote"/>
      </w:pPr>
      <w:r w:rsidRPr="00AD2F44">
        <w:rPr>
          <w:i/>
          <w:iCs/>
        </w:rPr>
        <w:t>Third Circuit:</w:t>
      </w:r>
      <w:r w:rsidRPr="00AD2F44">
        <w:t xml:space="preserve"> Marshall v. R &amp; M Erectors, Inc., 429 F. Supp. 771, 777 (D. Del. 1977) (“[T]he relatively consistent testimony of several employees can set forth a </w:t>
      </w:r>
      <w:r w:rsidRPr="00AD2F44">
        <w:rPr>
          <w:i/>
          <w:iCs/>
        </w:rPr>
        <w:t>prima facie</w:t>
      </w:r>
      <w:r w:rsidRPr="00AD2F44">
        <w:t xml:space="preserve"> case that all employees in the same job classification worked the same number of hours.”).</w:t>
      </w:r>
    </w:p>
    <w:p w14:paraId="53C37A6B" w14:textId="77777777" w:rsidR="00721CCF" w:rsidRPr="00AD2F44" w:rsidRDefault="00F42107">
      <w:pPr>
        <w:pStyle w:val="14Footnote"/>
      </w:pPr>
      <w:r w:rsidRPr="00AD2F44">
        <w:rPr>
          <w:i/>
          <w:iCs/>
        </w:rPr>
        <w:t>Fourth Circuit: Southern Maryland Hospital, Inc.,</w:t>
      </w:r>
      <w:r w:rsidRPr="00AD2F44">
        <w:t xml:space="preserve"> 43 F.3d at 951.</w:t>
      </w:r>
    </w:p>
    <w:p w14:paraId="0D3C2F2B" w14:textId="77777777" w:rsidR="00721CCF" w:rsidRPr="00AD2F44" w:rsidRDefault="00F42107">
      <w:pPr>
        <w:pStyle w:val="14Footnote"/>
      </w:pPr>
      <w:r w:rsidRPr="00AD2F44">
        <w:rPr>
          <w:i/>
          <w:iCs/>
        </w:rPr>
        <w:t>Fifth Circuit:</w:t>
      </w:r>
      <w:r w:rsidRPr="00AD2F44">
        <w:t xml:space="preserve"> Clark v. Centene Co. of Tex., LP, 104 F. Supp. 3d 813, 832–33 (W.D. Tex. 2015) (finding that testimony of 6 utilization nurses could establish damages for all but 1 of 26 opt-in plaintiffs, where testimony of 6 plaintiffs covered only four of five locations at issue in action).</w:t>
      </w:r>
    </w:p>
    <w:p w14:paraId="58EA455C" w14:textId="77777777" w:rsidR="00721CCF" w:rsidRPr="00AD2F44" w:rsidRDefault="00F42107">
      <w:pPr>
        <w:pStyle w:val="14Footnote"/>
      </w:pPr>
      <w:r w:rsidRPr="00AD2F44">
        <w:rPr>
          <w:i/>
          <w:iCs/>
        </w:rPr>
        <w:t>Eighth Circuit:</w:t>
      </w:r>
      <w:r w:rsidRPr="00AD2F44">
        <w:t xml:space="preserve"> Murray v. Stuckey’s, Inc., 939 F.2d 614, 621, 30 WH Cases 705 (8th Cir. 1991) (holding that, in actions where evidence demonstrates that employees are subject to differing work situations that make pattern evidence unpersuasive, each plaintiff must meet his or her burden individually).</w:t>
      </w:r>
    </w:p>
    <w:p w14:paraId="2E73B1DD" w14:textId="16B760C3" w:rsidR="00721CCF" w:rsidRPr="00AD2F44" w:rsidRDefault="00F42107">
      <w:pPr>
        <w:pStyle w:val="14Footnote"/>
      </w:pPr>
      <w:r w:rsidRPr="00AD2F44">
        <w:rPr>
          <w:i/>
          <w:iCs/>
        </w:rPr>
        <w:t>Ninth Circuit:</w:t>
      </w:r>
      <w:r w:rsidRPr="00AD2F44">
        <w:t xml:space="preserve"> Chao v. Pacific Stucco, Inc., 2006 WL 2432862, at *3 (D. Nev. Aug. 21, 2006) (“A determination of whether the representative testimony adequately represents the class depends on the nature of the work involved, the working conditions and relationships, and the detail and credibility of the testimony.”).</w:t>
      </w:r>
    </w:p>
  </w:footnote>
  <w:footnote w:id="826">
    <w:p w14:paraId="277B4427" w14:textId="77777777" w:rsidR="00721CCF" w:rsidRPr="00AD2F44" w:rsidRDefault="00F42107">
      <w:pPr>
        <w:pStyle w:val="14Footnote"/>
      </w:pPr>
      <w:r w:rsidRPr="00AD2F44">
        <w:rPr>
          <w:vertAlign w:val="superscript"/>
        </w:rPr>
        <w:footnoteRef/>
      </w:r>
      <w:r w:rsidRPr="00AD2F44">
        <w:rPr>
          <w:i/>
        </w:rPr>
        <w:t>See</w:t>
      </w:r>
    </w:p>
    <w:p w14:paraId="3EF24FFA" w14:textId="77777777" w:rsidR="00721CCF" w:rsidRPr="00AD2F44" w:rsidRDefault="00F42107">
      <w:pPr>
        <w:pStyle w:val="14Footnote"/>
      </w:pPr>
      <w:r w:rsidRPr="00AD2F44">
        <w:rPr>
          <w:i/>
          <w:iCs/>
        </w:rPr>
        <w:t>First Circuit:</w:t>
      </w:r>
      <w:r w:rsidRPr="00AD2F44">
        <w:t xml:space="preserve"> </w:t>
      </w:r>
      <w:r w:rsidRPr="00AD2F44">
        <w:rPr>
          <w:i/>
          <w:iCs/>
        </w:rPr>
        <w:t>DeSisto</w:t>
      </w:r>
      <w:r w:rsidRPr="00AD2F44">
        <w:t>, 929 F.2d at 793–94.</w:t>
      </w:r>
    </w:p>
    <w:p w14:paraId="70F3126B" w14:textId="77777777" w:rsidR="00721CCF" w:rsidRPr="00AD2F44" w:rsidRDefault="00F42107">
      <w:pPr>
        <w:pStyle w:val="14Footnote"/>
      </w:pPr>
      <w:r w:rsidRPr="00AD2F44">
        <w:rPr>
          <w:i/>
          <w:iCs/>
        </w:rPr>
        <w:t>Fourth Circuit:</w:t>
      </w:r>
      <w:r w:rsidRPr="00AD2F44">
        <w:t xml:space="preserve"> Reich v. Southern Md. Hosp., Inc., 43 F.3d 949, 951–52, 2 WH Cases2d 844 (4th Cir. 1995); </w:t>
      </w:r>
      <w:r w:rsidRPr="00AD2F44">
        <w:rPr>
          <w:i/>
          <w:iCs/>
        </w:rPr>
        <w:t>In re</w:t>
      </w:r>
      <w:r w:rsidRPr="00AD2F44">
        <w:t xml:space="preserve"> Food Lion Effective Scheduling Litig., 861 F. Supp. 1263, 1273–74 (E.D.N.C. 1994)</w:t>
      </w:r>
      <w:r w:rsidRPr="00AD2F44">
        <w:rPr>
          <w:i/>
          <w:iCs/>
        </w:rPr>
        <w:t xml:space="preserve"> </w:t>
      </w:r>
      <w:r w:rsidRPr="00AD2F44">
        <w:t>(determining testimony of six employees insufficient to establish widespread violations).</w:t>
      </w:r>
    </w:p>
    <w:p w14:paraId="38168297" w14:textId="77777777" w:rsidR="00721CCF" w:rsidRPr="00AD2F44" w:rsidRDefault="00F42107">
      <w:pPr>
        <w:pStyle w:val="14Footnote"/>
      </w:pPr>
      <w:r w:rsidRPr="00AD2F44">
        <w:rPr>
          <w:i/>
          <w:iCs/>
        </w:rPr>
        <w:t>Fifth Circuit:</w:t>
      </w:r>
      <w:r w:rsidRPr="00AD2F44">
        <w:t xml:space="preserve"> Johnson v. Big Lots Stores, Inc., 561 F. Supp. 2d 567, 569–74, 587–88 (E.D. La. 2008) (decertifying action after trial because “representative” testimony showed that employees were not similarly situated and that it would be improper to proceed to verdict on merits that would bind entire putative class).</w:t>
      </w:r>
    </w:p>
    <w:p w14:paraId="529CAE1A" w14:textId="77777777" w:rsidR="00721CCF" w:rsidRPr="00AD2F44" w:rsidRDefault="00F42107">
      <w:pPr>
        <w:pStyle w:val="14Footnote"/>
      </w:pPr>
      <w:r w:rsidRPr="00AD2F44">
        <w:rPr>
          <w:i/>
          <w:iCs/>
        </w:rPr>
        <w:t>Seventh Circuit</w:t>
      </w:r>
      <w:r w:rsidRPr="00AD2F44">
        <w:t xml:space="preserve">: </w:t>
      </w:r>
      <w:r w:rsidRPr="00AD2F44">
        <w:rPr>
          <w:i/>
          <w:iCs/>
        </w:rPr>
        <w:t>Espenscheid,</w:t>
      </w:r>
      <w:r w:rsidRPr="00AD2F44">
        <w:t xml:space="preserve"> 705 F.3d at 774.</w:t>
      </w:r>
    </w:p>
    <w:p w14:paraId="5FCFEDB7" w14:textId="77777777" w:rsidR="00721CCF" w:rsidRPr="00AD2F44" w:rsidRDefault="00F42107">
      <w:pPr>
        <w:pStyle w:val="14Footnote"/>
      </w:pPr>
      <w:r w:rsidRPr="00AD2F44">
        <w:rPr>
          <w:i/>
          <w:iCs/>
        </w:rPr>
        <w:t>Eleventh Circuit:</w:t>
      </w:r>
      <w:r w:rsidRPr="00AD2F44">
        <w:t xml:space="preserve"> </w:t>
      </w:r>
      <w:r w:rsidRPr="00AD2F44">
        <w:rPr>
          <w:i/>
          <w:iCs/>
        </w:rPr>
        <w:t>New Floridian Hotel, Inc</w:t>
      </w:r>
      <w:r w:rsidRPr="00AD2F44">
        <w:t>., 676 F.2d at 469, 472, 476 (affirming district court’s determination that evidence was insufficient to support award of back wages to 56 of 263 employees who had performed job duties that were distinct from those of testifying employees)</w:t>
      </w:r>
    </w:p>
  </w:footnote>
  <w:footnote w:id="827">
    <w:p w14:paraId="46DF7041" w14:textId="77777777" w:rsidR="00721CCF" w:rsidRPr="00AD2F44" w:rsidRDefault="00F42107">
      <w:pPr>
        <w:pStyle w:val="14Footnote"/>
      </w:pPr>
      <w:r w:rsidRPr="00AD2F44">
        <w:rPr>
          <w:vertAlign w:val="superscript"/>
        </w:rPr>
        <w:footnoteRef/>
      </w:r>
      <w:r w:rsidRPr="00AD2F44">
        <w:rPr>
          <w:i/>
          <w:iCs/>
        </w:rPr>
        <w:t xml:space="preserve">See </w:t>
      </w:r>
      <w:r w:rsidRPr="00AD2F44">
        <w:t xml:space="preserve">Roussell v. Brinker Int’l, Inc., 441 F. App’x 222, 226–27 (5th Cir. 2011) (affirming district court’s use of 14 plaintiffs out of class of 55 to testify, where court had testimony from all 55 plaintiffs in form of deposition excerpts or live testimony, defendant had right to cross-examine them, jury heard testimony from total of 25 plaintiffs (45%), defendant did not point to any difference between 14 and the remaining 41, and defendant did not offer an alternative); </w:t>
      </w:r>
      <w:r w:rsidRPr="00AD2F44">
        <w:rPr>
          <w:i/>
          <w:iCs/>
        </w:rPr>
        <w:t>Southern New England Telecommunications Corp</w:t>
      </w:r>
      <w:r w:rsidRPr="00AD2F44">
        <w:t xml:space="preserve">., 121 F.3d at 68; </w:t>
      </w:r>
      <w:r w:rsidRPr="00AD2F44">
        <w:rPr>
          <w:i/>
          <w:iCs/>
        </w:rPr>
        <w:t>see also DeSisto</w:t>
      </w:r>
      <w:r w:rsidRPr="00AD2F44">
        <w:t xml:space="preserve">, 929 F.2d at 793–94 (noting that court had “no quarrel” with proposition that “there is no ratio or formula for determining the number of employee witnesses required to constitute a representative sample of employees”); </w:t>
      </w:r>
      <w:r w:rsidRPr="00AD2F44">
        <w:rPr>
          <w:i/>
          <w:iCs/>
        </w:rPr>
        <w:t>Takacs</w:t>
      </w:r>
      <w:r w:rsidRPr="00AD2F44">
        <w:t>, 1999 WL 33127976, at *2 (“There is no magic formula for the number or percentage of plaintiffs who must testify.”).</w:t>
      </w:r>
    </w:p>
  </w:footnote>
  <w:footnote w:id="828">
    <w:p w14:paraId="04E2413D" w14:textId="77777777" w:rsidR="00721CCF" w:rsidRPr="00AD2F44" w:rsidRDefault="00F42107">
      <w:pPr>
        <w:pStyle w:val="14Footnote"/>
      </w:pPr>
      <w:r w:rsidRPr="00AD2F44">
        <w:rPr>
          <w:vertAlign w:val="superscript"/>
        </w:rPr>
        <w:footnoteRef/>
      </w:r>
      <w:r w:rsidRPr="00AD2F44">
        <w:rPr>
          <w:i/>
          <w:iCs/>
        </w:rPr>
        <w:t>See</w:t>
      </w:r>
    </w:p>
    <w:p w14:paraId="76ED698B" w14:textId="77777777" w:rsidR="00721CCF" w:rsidRPr="00AD2F44" w:rsidRDefault="00F42107">
      <w:pPr>
        <w:pStyle w:val="14Footnote"/>
      </w:pPr>
      <w:r w:rsidRPr="00AD2F44">
        <w:rPr>
          <w:i/>
          <w:iCs/>
        </w:rPr>
        <w:t>Supreme Court:</w:t>
      </w:r>
      <w:r w:rsidRPr="00AD2F44">
        <w:t xml:space="preserve"> Anderson v. Mt. Clemens Pottery Co., 328 U.S. 680, 688, 6 WH Cases 83 (1946) (finding testimony from a sample representing 2.3% of the class sufficient to establish damages award).</w:t>
      </w:r>
    </w:p>
    <w:p w14:paraId="0CF6F608" w14:textId="77777777" w:rsidR="00721CCF" w:rsidRPr="00AD2F44" w:rsidRDefault="00F42107">
      <w:pPr>
        <w:pStyle w:val="14Footnote"/>
      </w:pPr>
      <w:r w:rsidRPr="00AD2F44">
        <w:rPr>
          <w:i/>
          <w:iCs/>
        </w:rPr>
        <w:t>First Circuit:</w:t>
      </w:r>
      <w:r w:rsidRPr="00AD2F44">
        <w:t xml:space="preserve"> Donovan v. Burger King Corp., 672 F.2d 221, 224–25, 25 WH Cases 428 (1st Cir. 1982) (affirming FLSA judgment where 6 out of 246 opt-ins testified).</w:t>
      </w:r>
    </w:p>
    <w:p w14:paraId="7949402F" w14:textId="77777777" w:rsidR="00721CCF" w:rsidRPr="00AD2F44" w:rsidRDefault="00F42107">
      <w:pPr>
        <w:pStyle w:val="14Footnote"/>
      </w:pPr>
      <w:r w:rsidRPr="00AD2F44">
        <w:rPr>
          <w:i/>
          <w:iCs/>
        </w:rPr>
        <w:t>Second Circuit:</w:t>
      </w:r>
      <w:r w:rsidRPr="00AD2F44">
        <w:t xml:space="preserve"> </w:t>
      </w:r>
      <w:r w:rsidRPr="00AD2F44">
        <w:rPr>
          <w:i/>
          <w:iCs/>
        </w:rPr>
        <w:t>Southern New England Telecommunications Corp</w:t>
      </w:r>
      <w:r w:rsidRPr="00AD2F44">
        <w:t>., 121 F.3d at 67–68 (holding that live testimony from a 2.5% sample of the class was sufficient to support a just and reasonable inference of an FLSA violation).</w:t>
      </w:r>
    </w:p>
    <w:p w14:paraId="0A303C85" w14:textId="77777777" w:rsidR="00721CCF" w:rsidRPr="00AD2F44" w:rsidRDefault="00F42107">
      <w:pPr>
        <w:pStyle w:val="14Footnote"/>
      </w:pPr>
      <w:r w:rsidRPr="00AD2F44">
        <w:rPr>
          <w:i/>
          <w:iCs/>
        </w:rPr>
        <w:t>Ninth Circuit:</w:t>
      </w:r>
      <w:r w:rsidRPr="00AD2F44">
        <w:t xml:space="preserve"> </w:t>
      </w:r>
      <w:r w:rsidRPr="00AD2F44">
        <w:rPr>
          <w:i/>
          <w:iCs/>
        </w:rPr>
        <w:t>In re</w:t>
      </w:r>
      <w:r w:rsidRPr="00AD2F44">
        <w:t xml:space="preserve"> Farmers Ins. Exch., 336 F. Supp. 2d 1077, 1083 (D. Or. 2004) (adjudicating FLSA liability on behalf of over 1,900 class members based on the live testimony of 15 plaintiffs or a 0.8% sample).</w:t>
      </w:r>
    </w:p>
    <w:p w14:paraId="778E6E17" w14:textId="77777777" w:rsidR="00721CCF" w:rsidRPr="00AD2F44" w:rsidRDefault="00F42107">
      <w:pPr>
        <w:pStyle w:val="14Footnote"/>
      </w:pPr>
      <w:r w:rsidRPr="00AD2F44">
        <w:rPr>
          <w:i/>
          <w:iCs/>
        </w:rPr>
        <w:t>Eleventh Circuit:</w:t>
      </w:r>
      <w:r w:rsidRPr="00AD2F44">
        <w:t xml:space="preserve"> Morgan v. Family Dollar Stores, Inc., 551 F.3d 1233, 1276–80 (11th Cir. 2008) (7 out of 1,424 opt-in plaintiffs testified).</w:t>
      </w:r>
    </w:p>
    <w:p w14:paraId="2E2255E7" w14:textId="77777777" w:rsidR="00721CCF" w:rsidRPr="00AD2F44" w:rsidRDefault="00F42107">
      <w:pPr>
        <w:pStyle w:val="14Footnote"/>
      </w:pPr>
      <w:r w:rsidRPr="00AD2F44">
        <w:rPr>
          <w:i/>
        </w:rPr>
        <w:t>See also</w:t>
      </w:r>
    </w:p>
    <w:p w14:paraId="764647F8" w14:textId="77777777" w:rsidR="00721CCF" w:rsidRPr="00AD2F44" w:rsidRDefault="00F42107">
      <w:pPr>
        <w:pStyle w:val="14Footnote"/>
      </w:pPr>
      <w:r w:rsidRPr="00AD2F44">
        <w:rPr>
          <w:i/>
          <w:iCs/>
        </w:rPr>
        <w:t>Third Circuit:</w:t>
      </w:r>
      <w:r w:rsidRPr="00AD2F44">
        <w:t xml:space="preserve"> </w:t>
      </w:r>
      <w:r w:rsidRPr="00AD2F44">
        <w:rPr>
          <w:i/>
          <w:iCs/>
        </w:rPr>
        <w:t>Solid Waste Services, Inc</w:t>
      </w:r>
      <w:r w:rsidRPr="00AD2F44">
        <w:t>., 733 F. Supp. at 926 n.20 (noting that in a number of cases “evidence of a small, and sometimes very small, percentage of employees, was found sufficient to support awards to almost all of a defendant’s employees”).</w:t>
      </w:r>
    </w:p>
    <w:p w14:paraId="0143F91F" w14:textId="4E96903A" w:rsidR="00721CCF" w:rsidRPr="00AD2F44" w:rsidRDefault="00F42107">
      <w:pPr>
        <w:pStyle w:val="14Footnote"/>
      </w:pPr>
      <w:r w:rsidRPr="00AD2F44">
        <w:rPr>
          <w:i/>
          <w:iCs/>
        </w:rPr>
        <w:t>Fourth Circuit: In re Food Lion Effective Scheduling Litigation</w:t>
      </w:r>
      <w:r w:rsidRPr="00AD2F44">
        <w:t>, 861 F. Supp. at 1274 (“Although [plaintiffs’] burden can be accomplished through the testimony of a small percentage of employees, the number of employees [subject to violative practice] is important in determining whether the violations were widespread.”).</w:t>
      </w:r>
    </w:p>
  </w:footnote>
  <w:footnote w:id="829">
    <w:p w14:paraId="27B8CFD6" w14:textId="77777777" w:rsidR="00721CCF" w:rsidRPr="00AD2F44" w:rsidRDefault="00F42107">
      <w:pPr>
        <w:pStyle w:val="14Footnote"/>
      </w:pPr>
      <w:r w:rsidRPr="00AD2F44">
        <w:rPr>
          <w:vertAlign w:val="superscript"/>
        </w:rPr>
        <w:footnoteRef/>
      </w:r>
      <w:r w:rsidRPr="00AD2F44">
        <w:rPr>
          <w:i/>
          <w:iCs/>
        </w:rPr>
        <w:t>See DeSisto</w:t>
      </w:r>
      <w:r w:rsidRPr="00AD2F44">
        <w:t xml:space="preserve">, 929 F.2d at 793 (“We have found no case, and the Secretary cited none at oral argument, holding that one employee can adequately represent 244 employees holding a variety of positions at different locations.”); </w:t>
      </w:r>
      <w:r w:rsidRPr="00AD2F44">
        <w:rPr>
          <w:i/>
          <w:iCs/>
        </w:rPr>
        <w:t>Southern Maryland Hospital, Inc</w:t>
      </w:r>
      <w:r w:rsidRPr="00AD2F44">
        <w:t xml:space="preserve">., 43 F.3d at 951–52 (finding that evidence did not support trial court’s award of damages based on testimony of 1.6% of total employee population); </w:t>
      </w:r>
      <w:r w:rsidRPr="00AD2F44">
        <w:rPr>
          <w:i/>
          <w:iCs/>
        </w:rPr>
        <w:t>In re Food Lion Effective Scheduling Litigation</w:t>
      </w:r>
      <w:r w:rsidRPr="00AD2F44">
        <w:t>, 861 F. Supp. at 1274.</w:t>
      </w:r>
    </w:p>
  </w:footnote>
  <w:footnote w:id="830">
    <w:p w14:paraId="780A19B5" w14:textId="77777777" w:rsidR="00721CCF" w:rsidRPr="00AD2F44" w:rsidRDefault="00F42107">
      <w:pPr>
        <w:pStyle w:val="14Footnote"/>
      </w:pPr>
      <w:r w:rsidRPr="00AD2F44">
        <w:rPr>
          <w:vertAlign w:val="superscript"/>
        </w:rPr>
        <w:footnoteRef/>
      </w:r>
      <w:r w:rsidRPr="00AD2F44">
        <w:rPr>
          <w:i/>
          <w:iCs/>
        </w:rPr>
        <w:t>Supreme Court: Mt. Clemens,</w:t>
      </w:r>
      <w:r w:rsidRPr="00AD2F44">
        <w:t xml:space="preserve"> 328 U.S. at 687–88.</w:t>
      </w:r>
    </w:p>
    <w:p w14:paraId="36893FB6" w14:textId="77777777" w:rsidR="00721CCF" w:rsidRPr="00AD2F44" w:rsidRDefault="00F42107">
      <w:pPr>
        <w:pStyle w:val="14Footnote"/>
      </w:pPr>
      <w:r w:rsidRPr="00AD2F44">
        <w:rPr>
          <w:i/>
          <w:iCs/>
        </w:rPr>
        <w:t>Third Circuit:</w:t>
      </w:r>
      <w:r w:rsidRPr="00AD2F44">
        <w:t xml:space="preserve"> Reich v. Gateway Press, Inc., 13 F.3d 685, 702, 1 WH Cases2d 1313 (3d Cir. 1994).</w:t>
      </w:r>
    </w:p>
    <w:p w14:paraId="4A5DEA3B" w14:textId="77777777" w:rsidR="00721CCF" w:rsidRPr="00AD2F44" w:rsidRDefault="00F42107">
      <w:pPr>
        <w:pStyle w:val="14Footnote"/>
      </w:pPr>
      <w:r w:rsidRPr="00AD2F44">
        <w:rPr>
          <w:i/>
          <w:iCs/>
        </w:rPr>
        <w:t>Ninth Circuit:</w:t>
      </w:r>
      <w:r w:rsidRPr="00AD2F44">
        <w:t xml:space="preserve"> Alvarez v. IBP, Inc., 2001 WL 34897841, at *9 (E.D. Wash. 2001), </w:t>
      </w:r>
      <w:r w:rsidRPr="00AD2F44">
        <w:rPr>
          <w:i/>
          <w:iCs/>
        </w:rPr>
        <w:t>aff’d in part and rev’d in part on other grounds</w:t>
      </w:r>
      <w:r w:rsidRPr="00AD2F44">
        <w:t xml:space="preserve">, 339 F.3d 894 (9th Cir. 2003), </w:t>
      </w:r>
      <w:r w:rsidRPr="00AD2F44">
        <w:rPr>
          <w:i/>
          <w:iCs/>
        </w:rPr>
        <w:t>aff’d</w:t>
      </w:r>
      <w:r w:rsidRPr="00AD2F44">
        <w:t>, 546 U.S. 21, 10 WH Cases2d 1825 (2006).</w:t>
      </w:r>
    </w:p>
    <w:p w14:paraId="0FEFAD5B" w14:textId="77777777" w:rsidR="00721CCF" w:rsidRPr="00AD2F44" w:rsidRDefault="00F42107">
      <w:pPr>
        <w:pStyle w:val="14Footnote"/>
      </w:pPr>
      <w:r w:rsidRPr="00AD2F44">
        <w:rPr>
          <w:i/>
        </w:rPr>
        <w:t>See also</w:t>
      </w:r>
    </w:p>
    <w:p w14:paraId="78DA4051" w14:textId="77777777" w:rsidR="00721CCF" w:rsidRPr="00AD2F44" w:rsidRDefault="00F42107">
      <w:pPr>
        <w:pStyle w:val="14Footnote"/>
      </w:pPr>
      <w:r w:rsidRPr="00AD2F44">
        <w:rPr>
          <w:i/>
          <w:iCs/>
        </w:rPr>
        <w:t>First Circuit:</w:t>
      </w:r>
      <w:r w:rsidRPr="00AD2F44">
        <w:t xml:space="preserve"> Herman v. Hector I. Nieves Transp., Inc., 91 F. Supp. 2d 435, 446–47, 6 WH Cases2d 1469 (D.P.R. 2000) (employer failed to rebut reasonableness of the inferences drawn from the representative testimony presented).</w:t>
      </w:r>
    </w:p>
    <w:p w14:paraId="67E24F78" w14:textId="77777777" w:rsidR="00721CCF" w:rsidRPr="00AD2F44" w:rsidRDefault="00F42107">
      <w:pPr>
        <w:pStyle w:val="14Footnote"/>
      </w:pPr>
      <w:r w:rsidRPr="00AD2F44">
        <w:rPr>
          <w:i/>
          <w:iCs/>
        </w:rPr>
        <w:t xml:space="preserve">Second Circuit: </w:t>
      </w:r>
      <w:r w:rsidRPr="00AD2F44">
        <w:t>Reich v. Southern New Engl. Telecomms. Corp., 121 F.3d 58, 70 n.3, 4 WH Cases2d 33 (2d Cir. 1997) (same); Reich v. New Mt. Pleasant Bakery, Inc., 1993 WL 372270, at *6 (N.D.N.Y. Sept. 13, 1993) (same).</w:t>
      </w:r>
    </w:p>
    <w:p w14:paraId="700FAC19" w14:textId="77777777" w:rsidR="00721CCF" w:rsidRPr="00AD2F44" w:rsidRDefault="00F42107">
      <w:pPr>
        <w:pStyle w:val="14Footnote"/>
      </w:pPr>
      <w:r w:rsidRPr="00AD2F44">
        <w:rPr>
          <w:i/>
          <w:iCs/>
        </w:rPr>
        <w:t xml:space="preserve">Third Circuit: </w:t>
      </w:r>
      <w:r w:rsidRPr="00AD2F44">
        <w:t xml:space="preserve">Dole v. Solid Waste Servs., Inc., 733 F. Supp. 895, 926–27, 29 WH Cases 1490 (E.D. Pa. 1989), </w:t>
      </w:r>
      <w:r w:rsidRPr="00AD2F44">
        <w:rPr>
          <w:i/>
          <w:iCs/>
        </w:rPr>
        <w:t>aff’d</w:t>
      </w:r>
      <w:r w:rsidRPr="00AD2F44">
        <w:t>, 897 F.2d 521 (3d Cir. 1990) (same); McLaughlin v. DialAmerica Mktg., Inc., 716 F. Supp. 812, 817, 826, 29 WH Cases 645 (D.N.J. 1989) (same); Marshall v. R &amp; M Erectors, Inc., 429 F. Supp. 771, 778 (D. Del. 1977) (same).</w:t>
      </w:r>
    </w:p>
    <w:p w14:paraId="244A1E70" w14:textId="77777777" w:rsidR="00721CCF" w:rsidRPr="00AD2F44" w:rsidRDefault="00F42107">
      <w:pPr>
        <w:pStyle w:val="14Footnote"/>
      </w:pPr>
      <w:r w:rsidRPr="00AD2F44">
        <w:rPr>
          <w:i/>
          <w:iCs/>
        </w:rPr>
        <w:t>Fourth Circuit:</w:t>
      </w:r>
      <w:r w:rsidRPr="00AD2F44">
        <w:t xml:space="preserve"> Donovan v. Bel-Loc Diner, Inc., 780 F.2d 1113, 1116, 27 WH Cases 745 (4th Cir. 1985) (same).</w:t>
      </w:r>
    </w:p>
    <w:p w14:paraId="4A7E8322" w14:textId="77777777" w:rsidR="00721CCF" w:rsidRPr="00AD2F44" w:rsidRDefault="00F42107">
      <w:pPr>
        <w:pStyle w:val="14Footnote"/>
      </w:pPr>
      <w:r w:rsidRPr="00AD2F44">
        <w:rPr>
          <w:i/>
          <w:iCs/>
        </w:rPr>
        <w:t>Ninth Circuit:</w:t>
      </w:r>
      <w:r w:rsidRPr="00AD2F44">
        <w:t xml:space="preserve"> McLaughlin v. Ho Fat Seto, 850 F.2d 586, 589, 28 WH Cases 1225 (9th Cir. 1988) (same); Donovan v. New Floridian Hotel, Inc., 676 F.2d 468, 473, 25 WH Cases 645 (11th Cir. 1982) (same).</w:t>
      </w:r>
    </w:p>
    <w:p w14:paraId="72797E06" w14:textId="72883206" w:rsidR="00721CCF" w:rsidRPr="00AD2F44" w:rsidRDefault="00F42107">
      <w:pPr>
        <w:pStyle w:val="14Footnote"/>
      </w:pPr>
      <w:r w:rsidRPr="00AD2F44">
        <w:rPr>
          <w:i/>
          <w:iCs/>
        </w:rPr>
        <w:t>Tenth Circuit:</w:t>
      </w:r>
      <w:r w:rsidRPr="00AD2F44">
        <w:t xml:space="preserve"> Donovan v. Simmons Petroleum Corp., 725 F.2d 83, 86, 26 WH Cases 936 (10th Cir. 1983) (same); Donovan v. Hudson Stations, Inc., 1983 WL 21110, at *8, 26 WH Cases 795 (D. Kan. Oct. 14, 1983) (same).</w:t>
      </w:r>
    </w:p>
  </w:footnote>
  <w:footnote w:id="831">
    <w:p w14:paraId="39E4A1BE" w14:textId="77777777" w:rsidR="00721CCF" w:rsidRPr="00AD2F44" w:rsidRDefault="00F42107">
      <w:pPr>
        <w:pStyle w:val="14Footnote"/>
      </w:pPr>
      <w:r w:rsidRPr="00AD2F44">
        <w:rPr>
          <w:vertAlign w:val="superscript"/>
        </w:rPr>
        <w:footnoteRef/>
      </w:r>
      <w:r w:rsidRPr="00AD2F44">
        <w:rPr>
          <w:i/>
          <w:iCs/>
        </w:rPr>
        <w:t>See, e.g.,</w:t>
      </w:r>
    </w:p>
    <w:p w14:paraId="131DCFB7" w14:textId="77777777" w:rsidR="00721CCF" w:rsidRPr="00AD2F44" w:rsidRDefault="00F42107">
      <w:pPr>
        <w:pStyle w:val="14Footnote"/>
      </w:pPr>
      <w:r w:rsidRPr="00AD2F44">
        <w:rPr>
          <w:i/>
          <w:iCs/>
        </w:rPr>
        <w:t>Third Circuit:</w:t>
      </w:r>
      <w:r w:rsidRPr="00AD2F44">
        <w:t xml:space="preserve"> Reich v. Chez Robert, Inc., 821 F. Supp. 967, 979–84 (D.N.J. 1993) (making precise findings concerning damages to be awarded to particular witnesses based on arguments and evidence presented by defendant), </w:t>
      </w:r>
      <w:r w:rsidRPr="00AD2F44">
        <w:rPr>
          <w:i/>
          <w:iCs/>
        </w:rPr>
        <w:t>rev’d on other grounds</w:t>
      </w:r>
      <w:r w:rsidRPr="00AD2F44">
        <w:t xml:space="preserve">, 28 F.3d 401, 2 WH Cases2d 257 (3d Cir. 1994); </w:t>
      </w:r>
      <w:r w:rsidRPr="00AD2F44">
        <w:rPr>
          <w:i/>
          <w:iCs/>
        </w:rPr>
        <w:t>R &amp; M Erectors, Inc</w:t>
      </w:r>
      <w:r w:rsidRPr="00AD2F44">
        <w:t>., 429 F. Supp. at 779–81 (denying back wages to 11 individuals who Secretary had not adequately identified, and considering, but denying on merits, challenge to one individual who defendant claimed was not entitled to award because he was not employee).</w:t>
      </w:r>
    </w:p>
    <w:p w14:paraId="79B66336" w14:textId="77777777" w:rsidR="00721CCF" w:rsidRPr="00AD2F44" w:rsidRDefault="00F42107">
      <w:pPr>
        <w:pStyle w:val="14Footnote"/>
      </w:pPr>
      <w:r w:rsidRPr="00AD2F44">
        <w:rPr>
          <w:i/>
          <w:iCs/>
        </w:rPr>
        <w:t>Fifth Circuit:</w:t>
      </w:r>
      <w:r w:rsidRPr="00AD2F44">
        <w:t xml:space="preserve"> Brennan v. General Motors Acceptance Corp., 482 F.2d 825, 829, 21 WH Cases 187 (5th Cir. 1973) (declining to award damages to 11 individuals that defendant showed had reported all overtime hours); Roussell v. Brinker, Int’l, Inc., 2009 WL 595978, at *1–2 (S.D. Tex. Mar. 6, 2009) (recognizing defendant’s right to show that individual employees were exempted from allegedly violative pattern or practice, and refusing to limit defendant’s evidence to 14 locations where plaintiffs’ witnesses worked).</w:t>
      </w:r>
    </w:p>
    <w:p w14:paraId="6509169C" w14:textId="77777777" w:rsidR="00721CCF" w:rsidRPr="00AD2F44" w:rsidRDefault="00F42107">
      <w:pPr>
        <w:pStyle w:val="14Footnote"/>
      </w:pPr>
      <w:r w:rsidRPr="00AD2F44">
        <w:rPr>
          <w:i/>
          <w:iCs/>
        </w:rPr>
        <w:t>Ninth Circuit:</w:t>
      </w:r>
      <w:r w:rsidRPr="00AD2F44">
        <w:t xml:space="preserve"> Thiebes v. Wal-Mart Stores, Inc., 2004 WL 1688544, at *1 (D. Or. July 26, 2004) (allowing motions to dismiss individual plaintiffs following initial liability phase of bifurcated trial).</w:t>
      </w:r>
    </w:p>
    <w:p w14:paraId="28B55296" w14:textId="77777777" w:rsidR="00721CCF" w:rsidRPr="00AD2F44" w:rsidRDefault="00F42107">
      <w:pPr>
        <w:pStyle w:val="14Footnote"/>
      </w:pPr>
      <w:r w:rsidRPr="00AD2F44">
        <w:rPr>
          <w:i/>
          <w:iCs/>
        </w:rPr>
        <w:t>See also</w:t>
      </w:r>
      <w:r w:rsidRPr="00AD2F44">
        <w:t xml:space="preserve"> Bueno v. Mattner, 633 F. Supp. 1446, 1456–60, 27 WH Cases 1257 (W.D. Mich. 1986) (finding that particular plaintiffs had failed to produce sufficient evidence to justify award, or full award, to those individuals). At least one district court has held that denying defendants the right to bring such evidence, especially where there are individualized issues, would create due process problems. </w:t>
      </w:r>
      <w:r w:rsidRPr="00AD2F44">
        <w:rPr>
          <w:i/>
          <w:iCs/>
        </w:rPr>
        <w:t>See</w:t>
      </w:r>
      <w:r w:rsidRPr="00AD2F44">
        <w:t xml:space="preserve"> Johnson v. Big Lots Stores, Inc., 561 F. Supp. 2d 567, 586–87 (E.D. La. 2008)</w:t>
      </w:r>
    </w:p>
  </w:footnote>
  <w:footnote w:id="832">
    <w:p w14:paraId="4F2E1E41" w14:textId="77777777" w:rsidR="00721CCF" w:rsidRPr="00AD2F44" w:rsidRDefault="00F42107">
      <w:pPr>
        <w:pStyle w:val="14Footnote"/>
      </w:pPr>
      <w:r w:rsidRPr="00AD2F44">
        <w:rPr>
          <w:vertAlign w:val="superscript"/>
        </w:rPr>
        <w:footnoteRef/>
      </w:r>
      <w:r w:rsidRPr="00AD2F44">
        <w:rPr>
          <w:i/>
          <w:iCs/>
        </w:rPr>
        <w:t>See, e.g.,</w:t>
      </w:r>
    </w:p>
    <w:p w14:paraId="374B94AE" w14:textId="77777777" w:rsidR="00721CCF" w:rsidRPr="00AD2F44" w:rsidRDefault="00F42107">
      <w:pPr>
        <w:pStyle w:val="14Footnote"/>
      </w:pPr>
      <w:r w:rsidRPr="00AD2F44">
        <w:rPr>
          <w:i/>
          <w:iCs/>
        </w:rPr>
        <w:t>Fifth Circuit:</w:t>
      </w:r>
      <w:r w:rsidRPr="00AD2F44">
        <w:t xml:space="preserve"> Johnson v. Big Lots Stores, Inc., 2008 WL 1930681, at *14 (E.D. La. Apr. 29, 2008).</w:t>
      </w:r>
    </w:p>
    <w:p w14:paraId="6993B4B8" w14:textId="77777777" w:rsidR="00721CCF" w:rsidRPr="00AD2F44" w:rsidRDefault="00F42107">
      <w:pPr>
        <w:pStyle w:val="14Footnote"/>
      </w:pPr>
      <w:r w:rsidRPr="00AD2F44">
        <w:rPr>
          <w:i/>
          <w:iCs/>
        </w:rPr>
        <w:t>Eighth Circuit:</w:t>
      </w:r>
      <w:r w:rsidRPr="00AD2F44">
        <w:t xml:space="preserve"> Gomez v. Tyson Foods, Inc., 976 F. Supp. 2d 1169, 1177 n.8, 1182 (D. Neb. 2013).</w:t>
      </w:r>
    </w:p>
    <w:p w14:paraId="6288EB0E" w14:textId="77DBD6F9" w:rsidR="00721CCF" w:rsidRPr="00AD2F44" w:rsidRDefault="00F42107">
      <w:pPr>
        <w:pStyle w:val="14Footnote"/>
      </w:pPr>
      <w:r w:rsidRPr="00AD2F44">
        <w:rPr>
          <w:i/>
          <w:iCs/>
        </w:rPr>
        <w:t>Ninth Circuit:</w:t>
      </w:r>
      <w:r w:rsidRPr="00AD2F44">
        <w:t xml:space="preserve"> Chavez v. IBP, Inc., 2004 WL 5520002, at *12 (E.D. Wash. Dec. 8, 2004).</w:t>
      </w:r>
    </w:p>
  </w:footnote>
  <w:footnote w:id="833">
    <w:p w14:paraId="39AE6DB9" w14:textId="77777777" w:rsidR="00721CCF" w:rsidRPr="00AD2F44" w:rsidRDefault="00F42107">
      <w:pPr>
        <w:pStyle w:val="14Footnote"/>
      </w:pPr>
      <w:r w:rsidRPr="00AD2F44">
        <w:rPr>
          <w:vertAlign w:val="superscript"/>
        </w:rPr>
        <w:footnoteRef/>
      </w:r>
      <w:r w:rsidRPr="00AD2F44">
        <w:rPr>
          <w:smallCaps/>
        </w:rPr>
        <w:t>Fed. R. Evid.</w:t>
      </w:r>
      <w:r w:rsidRPr="00AD2F44">
        <w:t xml:space="preserve"> 702. The admissibility of expert testimony to support a motion for summary judgment on FLSA collective claims is similarly governed by Rule 702. </w:t>
      </w:r>
      <w:r w:rsidRPr="00AD2F44">
        <w:rPr>
          <w:i/>
          <w:iCs/>
        </w:rPr>
        <w:t>See, e.g</w:t>
      </w:r>
      <w:r w:rsidRPr="00AD2F44">
        <w:t>.,</w:t>
      </w:r>
    </w:p>
    <w:p w14:paraId="73B432C9" w14:textId="77777777" w:rsidR="00721CCF" w:rsidRPr="00AD2F44" w:rsidRDefault="00F42107">
      <w:pPr>
        <w:pStyle w:val="14Footnote"/>
      </w:pPr>
      <w:r w:rsidRPr="00AD2F44">
        <w:rPr>
          <w:i/>
          <w:iCs/>
        </w:rPr>
        <w:t>First Circuit:</w:t>
      </w:r>
      <w:r w:rsidRPr="00AD2F44">
        <w:t xml:space="preserve"> Lassen v. Hoyt Livery, Inc., 2016 WL 7165716 (D. Conn. Dec. 8, 2016) (allowing expert testimony only as to nine drivers for whom expert was provided specific data instead of extrapolating his findings to other drivers because he was ultimately given data on all drivers and chose not to make individual assessments).</w:t>
      </w:r>
    </w:p>
    <w:p w14:paraId="630D4E64" w14:textId="77777777" w:rsidR="00721CCF" w:rsidRPr="00AD2F44" w:rsidRDefault="00F42107">
      <w:pPr>
        <w:pStyle w:val="14Footnote"/>
      </w:pPr>
      <w:r w:rsidRPr="00AD2F44">
        <w:rPr>
          <w:i/>
          <w:iCs/>
        </w:rPr>
        <w:t>Fifth Circuit:</w:t>
      </w:r>
      <w:r w:rsidRPr="00AD2F44">
        <w:t xml:space="preserve"> Roussell v. Brinker Int’l, Inc., 2008 WL 2714079, at *26–27 (S.D. Tex. July 9, 2008) (excluding expert testimony where opinion was not published, subjected to peer review, or tested, and no evidence that expert’s very small sample provided sufficient support for his conclusions).</w:t>
      </w:r>
    </w:p>
    <w:p w14:paraId="10853875" w14:textId="77777777" w:rsidR="00721CCF" w:rsidRPr="00AD2F44" w:rsidRDefault="00F42107">
      <w:pPr>
        <w:pStyle w:val="14Footnote"/>
      </w:pPr>
      <w:r w:rsidRPr="00AD2F44">
        <w:rPr>
          <w:i/>
          <w:iCs/>
        </w:rPr>
        <w:t>Sixth Circuit:</w:t>
      </w:r>
      <w:r w:rsidRPr="00AD2F44">
        <w:t xml:space="preserve"> Cowan v. Treetop Enter., Inc., 120 F. Supp. 2d 672, 681–84 (M.D. Tenn. 1999) (excluding expert testimony supporting motion for summary judgment where based on unreliable methodology).</w:t>
      </w:r>
    </w:p>
    <w:p w14:paraId="61D3AA15" w14:textId="77777777" w:rsidR="00721CCF" w:rsidRPr="00AD2F44" w:rsidRDefault="00F42107">
      <w:pPr>
        <w:pStyle w:val="14Footnote"/>
      </w:pPr>
      <w:r w:rsidRPr="00AD2F44">
        <w:rPr>
          <w:i/>
          <w:iCs/>
        </w:rPr>
        <w:t>Seventh Circuit:</w:t>
      </w:r>
      <w:r w:rsidRPr="00AD2F44">
        <w:t xml:space="preserve"> Smith v. Family Video Movie Club, Inc., 2015 WL 1542663, at *1–6 (N.D. Ill. Mar. 31, 2015) (finding testimony from certified public accountant (CPA) regarding plaintiffs’ damages admissible where methodology was reliable and would assist trier of fact); Kasten v. Saint-Gobain Performance Plastics Corp., 556 F. Supp. 2d 941, 945–46 (W.D. Wis. 2008).</w:t>
      </w:r>
    </w:p>
    <w:p w14:paraId="1030CFB5" w14:textId="77777777" w:rsidR="00721CCF" w:rsidRPr="00AD2F44" w:rsidRDefault="00F42107">
      <w:pPr>
        <w:pStyle w:val="14Footnote"/>
      </w:pPr>
      <w:r w:rsidRPr="00AD2F44">
        <w:rPr>
          <w:i/>
          <w:iCs/>
        </w:rPr>
        <w:t>Eighth Circuit:</w:t>
      </w:r>
      <w:r w:rsidRPr="00AD2F44">
        <w:t xml:space="preserve"> Childress v. Ozark Delivery of Mo., LLC, 2014 WL 7181038, at *6 (W.D. Mo. Dec. 16, 2014) (permitting expert testimony on damages in FLSA collective action for calculations for 56 plaintiffs over three-year span).</w:t>
      </w:r>
    </w:p>
    <w:p w14:paraId="3B9D11B2" w14:textId="77777777" w:rsidR="00721CCF" w:rsidRPr="00AD2F44" w:rsidRDefault="00F42107">
      <w:pPr>
        <w:pStyle w:val="14Footnote"/>
      </w:pPr>
      <w:r w:rsidRPr="00AD2F44">
        <w:rPr>
          <w:i/>
          <w:iCs/>
        </w:rPr>
        <w:t>Eleventh Circuit:</w:t>
      </w:r>
      <w:r w:rsidRPr="00AD2F44">
        <w:t xml:space="preserve"> Benton v. Deli Mgmt., Inc., 396 F. Supp. 3d 1261 (N.D. Ga. 2019) (denying motion to exclude expert who provided testimony on industry standards and reimbursement rates, finding employer’s argument went to weight of testimony and could be developed on cross examination); Geter v. Galardi S. Enters., Inc., 2015 WL 2155721, at *1–4 (S.D. Fla. May 7, 2015) (excluding CPA’s testimony as expert testimony on damages but permitting it as lay witness testimony where “the calculations are of the type that even most teenagers readily understand: an hourly wage, an overtime rate, the number of hours worked, and fees Plaintiffs were required to pay to perform”).</w:t>
      </w:r>
    </w:p>
    <w:p w14:paraId="13BCA352" w14:textId="6BE90604" w:rsidR="00721CCF" w:rsidRPr="00AD2F44" w:rsidRDefault="00F42107">
      <w:pPr>
        <w:pStyle w:val="14Footnote"/>
      </w:pPr>
      <w:r w:rsidRPr="00AD2F44">
        <w:t xml:space="preserve">At least one district court has held that expert testimony submitted at the “notice” or “conditional certification” stage need not meet the standards for admissibility at trial or the standards under Rule 56(e). </w:t>
      </w:r>
      <w:r w:rsidRPr="00AD2F44">
        <w:rPr>
          <w:i/>
          <w:iCs/>
        </w:rPr>
        <w:t>See</w:t>
      </w:r>
      <w:r w:rsidRPr="00AD2F44">
        <w:t xml:space="preserve"> White v. MPW Indus. Servs., 236 F.R.D. 363, 369–70 (E.D. Tenn. 2006) (denying motion to strike expert’s testimony in support of plaintiffs’ notice motion despite inclusion of hearsay statements and legal conclusions).</w:t>
      </w:r>
    </w:p>
  </w:footnote>
  <w:footnote w:id="834">
    <w:p w14:paraId="46D24978" w14:textId="77777777" w:rsidR="00721CCF" w:rsidRPr="00AD2F44" w:rsidRDefault="00F42107">
      <w:pPr>
        <w:pStyle w:val="14Footnote"/>
      </w:pPr>
      <w:r w:rsidRPr="00AD2F44">
        <w:rPr>
          <w:vertAlign w:val="superscript"/>
        </w:rPr>
        <w:footnoteRef/>
      </w:r>
      <w:r w:rsidRPr="00AD2F44">
        <w:t>509 U.S. 579 (1993).</w:t>
      </w:r>
    </w:p>
  </w:footnote>
  <w:footnote w:id="835">
    <w:p w14:paraId="0C5961C7" w14:textId="77777777" w:rsidR="00721CCF" w:rsidRPr="00AD2F44" w:rsidRDefault="00F42107">
      <w:pPr>
        <w:pStyle w:val="14Footnote"/>
      </w:pPr>
      <w:r w:rsidRPr="00AD2F44">
        <w:rPr>
          <w:vertAlign w:val="superscript"/>
        </w:rPr>
        <w:footnoteRef/>
      </w:r>
      <w:r w:rsidRPr="00AD2F44">
        <w:rPr>
          <w:i/>
          <w:iCs/>
        </w:rPr>
        <w:t xml:space="preserve">Id. </w:t>
      </w:r>
      <w:r w:rsidRPr="00AD2F44">
        <w:t xml:space="preserve">at 589; </w:t>
      </w:r>
      <w:r w:rsidRPr="00AD2F44">
        <w:rPr>
          <w:i/>
          <w:iCs/>
        </w:rPr>
        <w:t>see also</w:t>
      </w:r>
      <w:r w:rsidRPr="00AD2F44">
        <w:t xml:space="preserve"> </w:t>
      </w:r>
      <w:r w:rsidRPr="00AD2F44">
        <w:rPr>
          <w:smallCaps/>
        </w:rPr>
        <w:t xml:space="preserve">Fed. R. Evid. </w:t>
      </w:r>
      <w:r w:rsidRPr="00AD2F44">
        <w:t>702 advisory committee’s note (2000 amendments) (discussing additional factors relevant in determining whether expert testimony is sufficiently reliable to be considered by the fact finder).</w:t>
      </w:r>
    </w:p>
  </w:footnote>
  <w:footnote w:id="836">
    <w:p w14:paraId="5C08D952" w14:textId="77777777" w:rsidR="00721CCF" w:rsidRPr="00AD2F44" w:rsidRDefault="00F42107">
      <w:pPr>
        <w:pStyle w:val="14Footnote"/>
      </w:pPr>
      <w:r w:rsidRPr="00AD2F44">
        <w:rPr>
          <w:vertAlign w:val="superscript"/>
        </w:rPr>
        <w:footnoteRef/>
      </w:r>
      <w:r w:rsidRPr="00AD2F44">
        <w:rPr>
          <w:i/>
          <w:iCs/>
        </w:rPr>
        <w:t>Daubert</w:t>
      </w:r>
      <w:r w:rsidRPr="00AD2F44">
        <w:t>, 509 U.S. at 592–93.</w:t>
      </w:r>
    </w:p>
  </w:footnote>
  <w:footnote w:id="837">
    <w:p w14:paraId="5A860A4F" w14:textId="77777777" w:rsidR="00721CCF" w:rsidRPr="00AD2F44" w:rsidRDefault="00F42107">
      <w:pPr>
        <w:pStyle w:val="14Footnote"/>
      </w:pPr>
      <w:r w:rsidRPr="00AD2F44">
        <w:rPr>
          <w:vertAlign w:val="superscript"/>
        </w:rPr>
        <w:footnoteRef/>
      </w:r>
      <w:r w:rsidRPr="00AD2F44">
        <w:rPr>
          <w:i/>
          <w:iCs/>
        </w:rPr>
        <w:t>See</w:t>
      </w:r>
      <w:r w:rsidRPr="00AD2F44">
        <w:t xml:space="preserve"> Bourjaily v. United States, 483 U.S. 171, 175 (1987); Moore v. Ashland Chem. Inc., 151 F.3d 269, 276 (5th Cir. 1998).</w:t>
      </w:r>
    </w:p>
  </w:footnote>
  <w:footnote w:id="838">
    <w:p w14:paraId="63466BA3" w14:textId="77777777" w:rsidR="00721CCF" w:rsidRPr="00AD2F44" w:rsidRDefault="00F42107">
      <w:pPr>
        <w:pStyle w:val="14Footnote"/>
      </w:pPr>
      <w:r w:rsidRPr="00AD2F44">
        <w:rPr>
          <w:vertAlign w:val="superscript"/>
        </w:rPr>
        <w:footnoteRef/>
      </w:r>
      <w:r w:rsidRPr="00AD2F44">
        <w:t>Kumho Tire Co. v. Carmichael, 526 U.S. 137, 141–42 (1999).</w:t>
      </w:r>
    </w:p>
  </w:footnote>
  <w:footnote w:id="839">
    <w:p w14:paraId="1F9C3E7C" w14:textId="77777777" w:rsidR="00721CCF" w:rsidRPr="00AD2F44" w:rsidRDefault="00F42107">
      <w:pPr>
        <w:pStyle w:val="14Footnote"/>
        <w:rPr>
          <w:i/>
          <w:iCs/>
        </w:rPr>
      </w:pPr>
      <w:r w:rsidRPr="00AD2F44">
        <w:rPr>
          <w:vertAlign w:val="superscript"/>
        </w:rPr>
        <w:footnoteRef/>
      </w:r>
      <w:r w:rsidRPr="00AD2F44">
        <w:rPr>
          <w:i/>
          <w:iCs/>
        </w:rPr>
        <w:t>See, e.g</w:t>
      </w:r>
      <w:r w:rsidRPr="00AD2F44">
        <w:t xml:space="preserve">., Ayers v. SGS Control Servs., Inc., 2007 WL 3171342, at *1 (S.D.N.Y. Oct. 9, 2007) (denying both parties’ motions to exclude expert testimony in bench trial on FLSA collective actions as neither party would be prejudiced by admission); </w:t>
      </w:r>
      <w:r w:rsidRPr="00AD2F44">
        <w:rPr>
          <w:i/>
          <w:iCs/>
        </w:rPr>
        <w:t>see also</w:t>
      </w:r>
    </w:p>
    <w:p w14:paraId="4815CE99" w14:textId="77777777" w:rsidR="00721CCF" w:rsidRPr="00AD2F44" w:rsidRDefault="00F42107">
      <w:pPr>
        <w:pStyle w:val="14Footnote"/>
      </w:pPr>
      <w:r w:rsidRPr="00AD2F44">
        <w:rPr>
          <w:i/>
          <w:iCs/>
        </w:rPr>
        <w:t>Federal Circuit:</w:t>
      </w:r>
      <w:r w:rsidRPr="00AD2F44">
        <w:t xml:space="preserve"> Seaboard Lumber Co. v. United States, 308 F.3d 1283, 1301–02 (Fed. Cir. 2002).</w:t>
      </w:r>
    </w:p>
    <w:p w14:paraId="07A39C3A" w14:textId="77777777" w:rsidR="00721CCF" w:rsidRPr="00AD2F44" w:rsidRDefault="00F42107">
      <w:pPr>
        <w:pStyle w:val="14Footnote"/>
      </w:pPr>
      <w:r w:rsidRPr="00AD2F44">
        <w:rPr>
          <w:i/>
          <w:iCs/>
        </w:rPr>
        <w:t>Fifth Circuit:</w:t>
      </w:r>
      <w:r w:rsidRPr="00AD2F44">
        <w:t xml:space="preserve"> Gibbs v. Gibbs, 210 F.3d 491, 500 (5th Cir. 2000); Johnson v. Big Lots Stores, Inc., 2008 WL 1930681, at *2 (E.D. La. Apr. 29, 2008).</w:t>
      </w:r>
    </w:p>
    <w:p w14:paraId="2AAD0BFA" w14:textId="77777777" w:rsidR="00721CCF" w:rsidRPr="00AD2F44" w:rsidRDefault="00F42107">
      <w:pPr>
        <w:pStyle w:val="14Footnote"/>
      </w:pPr>
      <w:r w:rsidRPr="00AD2F44">
        <w:rPr>
          <w:i/>
          <w:iCs/>
        </w:rPr>
        <w:t>Seventh Circuit:</w:t>
      </w:r>
      <w:r w:rsidRPr="00AD2F44">
        <w:t xml:space="preserve"> SmithKline Beecham Corp. v. Apotex Corp., 247 F. Supp. 2d 1011, 1042 (N.D. Ill. 2003), </w:t>
      </w:r>
      <w:r w:rsidRPr="00AD2F44">
        <w:rPr>
          <w:i/>
          <w:iCs/>
        </w:rPr>
        <w:t>aff’d on other grounds</w:t>
      </w:r>
      <w:r w:rsidRPr="00AD2F44">
        <w:t>, 403 F.3d 1331 (Fed. Cir. 2005).</w:t>
      </w:r>
    </w:p>
    <w:p w14:paraId="4BB1446B" w14:textId="66A5CF8A" w:rsidR="00721CCF" w:rsidRPr="00AD2F44" w:rsidRDefault="00F42107">
      <w:pPr>
        <w:pStyle w:val="14Footnote"/>
      </w:pPr>
      <w:r w:rsidRPr="00AD2F44">
        <w:rPr>
          <w:i/>
          <w:iCs/>
        </w:rPr>
        <w:t>Ninth Circuit:</w:t>
      </w:r>
      <w:r w:rsidRPr="00AD2F44">
        <w:t xml:space="preserve"> Volk v. United States, 57 F. Supp. 2d 888, 896 n.5 (N.D. Cal. 1999).</w:t>
      </w:r>
    </w:p>
  </w:footnote>
  <w:footnote w:id="840">
    <w:p w14:paraId="6A9AAB77" w14:textId="77777777" w:rsidR="00721CCF" w:rsidRPr="00AD2F44" w:rsidRDefault="00F42107">
      <w:pPr>
        <w:pStyle w:val="14Footnote"/>
      </w:pPr>
      <w:r w:rsidRPr="00AD2F44">
        <w:rPr>
          <w:vertAlign w:val="superscript"/>
        </w:rPr>
        <w:footnoteRef/>
      </w:r>
      <w:r w:rsidRPr="00AD2F44">
        <w:rPr>
          <w:i/>
          <w:iCs/>
        </w:rPr>
        <w:t>Kumho Tire Co</w:t>
      </w:r>
      <w:r w:rsidRPr="00AD2F44">
        <w:t xml:space="preserve">., 526 U.S. at 141–42; </w:t>
      </w:r>
      <w:r w:rsidRPr="00AD2F44">
        <w:rPr>
          <w:i/>
          <w:iCs/>
        </w:rPr>
        <w:t>see also</w:t>
      </w:r>
      <w:r w:rsidRPr="00AD2F44">
        <w:t xml:space="preserve"> United States. v. Frazier, 387 F.3d 1244, 1262–63 (11th Cir. 2004) (“The same criteria that are used to assess the reliability of a scientific opinion may be used to evaluate the reliability of non-specific, experience-based testimony.”).</w:t>
      </w:r>
    </w:p>
  </w:footnote>
  <w:footnote w:id="841">
    <w:p w14:paraId="4AB0D1F7" w14:textId="77777777" w:rsidR="00721CCF" w:rsidRPr="00AD2F44" w:rsidRDefault="00F42107">
      <w:pPr>
        <w:pStyle w:val="14Footnote"/>
      </w:pPr>
      <w:r w:rsidRPr="00AD2F44">
        <w:rPr>
          <w:vertAlign w:val="superscript"/>
        </w:rPr>
        <w:footnoteRef/>
      </w:r>
      <w:r w:rsidRPr="00AD2F44">
        <w:rPr>
          <w:i/>
          <w:iCs/>
        </w:rPr>
        <w:t>See, e.g</w:t>
      </w:r>
      <w:r w:rsidRPr="00AD2F44">
        <w:t>., Scott v. City of N.Y., 591 F. Supp. 2d 554, 562–64 (S.D.N.Y. 2008) (permitting expert testimony by former employee of New York City Police Department where expert testimony based on “wealth of social science literature concerning organization theory generally and police management in particular” and “personal observations made in a lengthy career at the NYPD”); Zheng v. Liberty Apparel Co., Inc., 556 F. Supp. 2d 284, 291–83 (S.D.N.Y. 2008) (allowing testimony of two experts for plaintiffs, one a former DOL investigator and compliance officer regarding the custom and historical practices in the garment industry and one a history professor regarding the labor practices in the garment industry); Perez v. Radioshack Corp., 2005 WL 3455858, at *3 (N.D. Ill. Dec. 13, 2005) (permitting testimony of former DOL employee</w:t>
      </w:r>
      <w:r w:rsidRPr="00AD2F44">
        <w:rPr>
          <w:i/>
          <w:iCs/>
        </w:rPr>
        <w:t xml:space="preserve"> </w:t>
      </w:r>
      <w:r w:rsidRPr="00AD2F44">
        <w:t>regarding DOL’s standards and practices in assessing employees’ exempt status).</w:t>
      </w:r>
    </w:p>
  </w:footnote>
  <w:footnote w:id="842">
    <w:p w14:paraId="02852553" w14:textId="77777777" w:rsidR="00721CCF" w:rsidRPr="00AD2F44" w:rsidRDefault="00F42107">
      <w:pPr>
        <w:pStyle w:val="14Footnote"/>
      </w:pPr>
      <w:r w:rsidRPr="00AD2F44">
        <w:rPr>
          <w:vertAlign w:val="superscript"/>
        </w:rPr>
        <w:footnoteRef/>
      </w:r>
      <w:r w:rsidRPr="00AD2F44">
        <w:rPr>
          <w:i/>
          <w:iCs/>
        </w:rPr>
        <w:t>See Kumho Tire Co</w:t>
      </w:r>
      <w:r w:rsidRPr="00AD2F44">
        <w:t xml:space="preserve">., 526 U.S. at 141–42; </w:t>
      </w:r>
      <w:r w:rsidRPr="00AD2F44">
        <w:rPr>
          <w:i/>
          <w:iCs/>
        </w:rPr>
        <w:t>see also</w:t>
      </w:r>
      <w:r w:rsidRPr="00AD2F44">
        <w:t xml:space="preserve"> Watkins v. Telsmith, Inc., 121 F.3d 984, 991 (5th Cir. 1997) (“[I]t seems exactly backwards that experts who purport to rely on general engineering principles and practical experience might escape screening by the district court simply by stating that their conclusions were not reached by any particular method or technique.”).</w:t>
      </w:r>
    </w:p>
  </w:footnote>
  <w:footnote w:id="843">
    <w:p w14:paraId="48F59C92" w14:textId="534F7C25" w:rsidR="00721CCF" w:rsidRPr="00AD2F44" w:rsidRDefault="00F42107" w:rsidP="000B6C5F">
      <w:pPr>
        <w:pStyle w:val="FootnoteText"/>
      </w:pPr>
      <w:r w:rsidRPr="00AD2F44">
        <w:rPr>
          <w:rStyle w:val="FootnoteReference"/>
        </w:rPr>
        <w:footnoteRef/>
      </w:r>
      <w:r w:rsidRPr="00AD2F44">
        <w:t xml:space="preserve">Tyger v. Precision Drilling Corp., 832 F. App’x 108 (3d Cir. 2020) (holding that plaintiffs may rely on lay witness testimony and documentary evidence to show that donning and doffing was integral and indispensable to plaintiffs’ work drilling oil and gas wells). </w:t>
      </w:r>
    </w:p>
  </w:footnote>
  <w:footnote w:id="844">
    <w:p w14:paraId="11846875" w14:textId="77777777" w:rsidR="00721CCF" w:rsidRPr="00AD2F44" w:rsidRDefault="00F42107">
      <w:pPr>
        <w:pStyle w:val="14Footnote"/>
      </w:pPr>
      <w:r w:rsidRPr="00AD2F44">
        <w:rPr>
          <w:vertAlign w:val="superscript"/>
        </w:rPr>
        <w:footnoteRef/>
      </w:r>
      <w:r w:rsidRPr="00AD2F44">
        <w:rPr>
          <w:i/>
        </w:rPr>
        <w:t>See</w:t>
      </w:r>
    </w:p>
    <w:p w14:paraId="1FA80BB3" w14:textId="77777777" w:rsidR="00721CCF" w:rsidRPr="00AD2F44" w:rsidRDefault="00F42107">
      <w:pPr>
        <w:pStyle w:val="14Footnote"/>
      </w:pPr>
      <w:r w:rsidRPr="00AD2F44">
        <w:rPr>
          <w:i/>
          <w:iCs/>
        </w:rPr>
        <w:t>Fifth Circuit:</w:t>
      </w:r>
      <w:r w:rsidRPr="00AD2F44">
        <w:t xml:space="preserve"> Little v. Technical Specialty Prods., LLC, 940 F. Supp. 2d 460, 468–69 (E.D. Tex. 2011) (permitting testimony from damages expert under </w:t>
      </w:r>
      <w:r w:rsidRPr="00AD2F44">
        <w:rPr>
          <w:i/>
          <w:iCs/>
        </w:rPr>
        <w:t xml:space="preserve">Daubert </w:t>
      </w:r>
      <w:r w:rsidRPr="00AD2F44">
        <w:t>standard where expert’s methodology appeared to be based on mathematical calculations and, as such, could be “tested and verified for accuracy”).</w:t>
      </w:r>
    </w:p>
    <w:p w14:paraId="0CD5988A" w14:textId="77777777" w:rsidR="00721CCF" w:rsidRPr="00AD2F44" w:rsidRDefault="00F42107">
      <w:pPr>
        <w:pStyle w:val="14Footnote"/>
      </w:pPr>
      <w:r w:rsidRPr="00AD2F44">
        <w:rPr>
          <w:i/>
          <w:iCs/>
        </w:rPr>
        <w:t>Seventh Circuit:</w:t>
      </w:r>
      <w:r w:rsidRPr="00AD2F44">
        <w:t xml:space="preserve"> Smith v. Family Video Movie Club, Inc., 2015 WL 1542663, at *1–6 (N.D. Ill. Mar. 31, 2015) (finding testimony from CPA regarding plaintiffs’ damages admissible where methodology was reliable and would assist trier of fact).</w:t>
      </w:r>
    </w:p>
    <w:p w14:paraId="794996AF" w14:textId="77777777" w:rsidR="00721CCF" w:rsidRPr="00AD2F44" w:rsidRDefault="00F42107">
      <w:pPr>
        <w:pStyle w:val="14Footnote"/>
      </w:pPr>
      <w:r w:rsidRPr="00AD2F44">
        <w:rPr>
          <w:i/>
          <w:iCs/>
        </w:rPr>
        <w:t>Eighth Circuit:</w:t>
      </w:r>
      <w:r w:rsidRPr="00AD2F44">
        <w:t xml:space="preserve"> Childress v. Ozark Delivery of Mo., LLC, 2014 WL 7181038, at *6 (W.D. Mo. Dec. 16, 2014) (permitting expert testimony on damages calculations for 56 plaintiffs over three-year span, finding that calculations—which relied on three separate forms of pay data, segregated weeks where employees worked fewer than 40 hours, and calculated averages to missing data—were helpful to jury).</w:t>
      </w:r>
    </w:p>
    <w:p w14:paraId="658206E5" w14:textId="60F7F95F" w:rsidR="00721CCF" w:rsidRPr="00AD2F44" w:rsidRDefault="00F42107">
      <w:pPr>
        <w:pStyle w:val="14Footnote"/>
      </w:pPr>
      <w:r w:rsidRPr="00AD2F44">
        <w:rPr>
          <w:i/>
          <w:iCs/>
        </w:rPr>
        <w:t>Tenth Circuit</w:t>
      </w:r>
      <w:r w:rsidRPr="00AD2F44">
        <w:t xml:space="preserve">: Coronado v. Flowers Foods, Inc., 2021 BL 373711, 2021 WL 4477910 (D.N.M. Sept. 30, 2021) (granting in part and rejecting in part defendant’s motion to exclude plaintiffs’ economist expert testimony on damages, finding parts of expert report conflicted with FLSA legal standards regarding business expenses and regular rate calculations). </w:t>
      </w:r>
    </w:p>
    <w:p w14:paraId="1726AC64" w14:textId="77777777" w:rsidR="00721CCF" w:rsidRPr="00AD2F44" w:rsidRDefault="00F42107">
      <w:pPr>
        <w:pStyle w:val="14Footnote"/>
      </w:pPr>
      <w:r w:rsidRPr="00AD2F44">
        <w:rPr>
          <w:i/>
          <w:iCs/>
        </w:rPr>
        <w:t>Eleventh Circuit:</w:t>
      </w:r>
      <w:r w:rsidRPr="00AD2F44">
        <w:t xml:space="preserve"> Geter v. Galardi S. Enters., Inc., 2015 WL 2155721, at *1–4 (S.D. Fla. May 7, 2015) (excluding CPA’s testimony as expert testimony on damages but permitting it as lay witness testimony where “the calculations are of the type that even most teenagers readily understand: an hourly wage, an overtime rate, the number of hours worked, and fees Plaintiffs were required to pay to perform”).</w:t>
      </w:r>
    </w:p>
    <w:p w14:paraId="41B032B3" w14:textId="0E698E3B" w:rsidR="00721CCF" w:rsidRPr="00AD2F44" w:rsidRDefault="00F42107">
      <w:pPr>
        <w:pStyle w:val="14Footnote"/>
      </w:pPr>
      <w:r w:rsidRPr="00AD2F44">
        <w:rPr>
          <w:i/>
          <w:iCs/>
        </w:rPr>
        <w:t xml:space="preserve">Federal Circuit: </w:t>
      </w:r>
      <w:r w:rsidRPr="00AD2F44">
        <w:t>Abbey v. United States, 106 Fed. Cl. 254, 272, 2012 WHCases2d 155801 (2012) (accrediting expert’s damages calculation using first-in, first-out method on use of compensatory time).</w:t>
      </w:r>
    </w:p>
  </w:footnote>
  <w:footnote w:id="845">
    <w:p w14:paraId="1F95C39D" w14:textId="77777777" w:rsidR="00721CCF" w:rsidRPr="00AD2F44" w:rsidRDefault="00F42107">
      <w:pPr>
        <w:pStyle w:val="14Footnote"/>
      </w:pPr>
      <w:r w:rsidRPr="00AD2F44">
        <w:rPr>
          <w:vertAlign w:val="superscript"/>
        </w:rPr>
        <w:footnoteRef/>
      </w:r>
      <w:r w:rsidRPr="00AD2F44">
        <w:t xml:space="preserve">Valladon v. City of Oakland, 2009 WL 585804, at *2–3 (N.D. Cal. Mar. 5, 2009). </w:t>
      </w:r>
    </w:p>
  </w:footnote>
  <w:footnote w:id="846">
    <w:p w14:paraId="4F7E158E" w14:textId="77777777" w:rsidR="00721CCF" w:rsidRPr="00AD2F44" w:rsidRDefault="00F42107">
      <w:pPr>
        <w:pStyle w:val="14Footnote"/>
      </w:pPr>
      <w:r w:rsidRPr="00AD2F44">
        <w:rPr>
          <w:vertAlign w:val="superscript"/>
        </w:rPr>
        <w:footnoteRef/>
      </w:r>
      <w:r w:rsidRPr="00AD2F44">
        <w:rPr>
          <w:i/>
          <w:iCs/>
        </w:rPr>
        <w:t>Id</w:t>
      </w:r>
      <w:r w:rsidRPr="00AD2F44">
        <w:t xml:space="preserve">. at *2; </w:t>
      </w:r>
      <w:r w:rsidRPr="00AD2F44">
        <w:rPr>
          <w:i/>
          <w:iCs/>
        </w:rPr>
        <w:t xml:space="preserve">see also </w:t>
      </w:r>
      <w:r w:rsidRPr="00AD2F44">
        <w:t>Singer v. City of Waco, 324 F.3d 813, 822 (5th Cir. 2003) (permitting former DOL official to testify generally on how FLSA applies to firefighters but excluding him from testifying regarding ultimate issue of FLSA violations or willfulness by employer); Zheng v. Liberty Apparel Co., Inc., 556 F. Supp. 2d 284, 292–93 (S.D.N.Y. 2008)</w:t>
      </w:r>
      <w:r w:rsidRPr="00AD2F44">
        <w:rPr>
          <w:i/>
          <w:iCs/>
        </w:rPr>
        <w:t xml:space="preserve"> </w:t>
      </w:r>
      <w:r w:rsidRPr="00AD2F44">
        <w:t xml:space="preserve">(permitting testimony of former DOL official to assist trier of fact in understanding “custom and historical practices” in garment industry as such information related to issues regarding joint employment); </w:t>
      </w:r>
      <w:r w:rsidRPr="00AD2F44">
        <w:rPr>
          <w:i/>
          <w:iCs/>
        </w:rPr>
        <w:t>cf</w:t>
      </w:r>
      <w:r w:rsidRPr="00AD2F44">
        <w:t xml:space="preserve">. </w:t>
      </w:r>
      <w:r w:rsidRPr="00AD2F44">
        <w:rPr>
          <w:i/>
          <w:iCs/>
        </w:rPr>
        <w:t>Geter</w:t>
      </w:r>
      <w:r w:rsidRPr="00AD2F44">
        <w:t xml:space="preserve">, 2015 WL 2155721, at *4–5 (excluding CPA’s testimony on ultimate issue of whether worker was independent contractor, in part because “whether Plaintiffs are independent contractors is a question of law and is not the proper subject of expert opinion”). </w:t>
      </w:r>
    </w:p>
  </w:footnote>
  <w:footnote w:id="847">
    <w:p w14:paraId="330DD947" w14:textId="77777777" w:rsidR="00721CCF" w:rsidRPr="00AD2F44" w:rsidRDefault="00F42107">
      <w:pPr>
        <w:pStyle w:val="14Footnote"/>
      </w:pPr>
      <w:r w:rsidRPr="00AD2F44">
        <w:rPr>
          <w:vertAlign w:val="superscript"/>
        </w:rPr>
        <w:footnoteRef/>
      </w:r>
      <w:r w:rsidRPr="00AD2F44">
        <w:rPr>
          <w:i/>
          <w:iCs/>
        </w:rPr>
        <w:t>See</w:t>
      </w:r>
      <w:r w:rsidRPr="00AD2F44">
        <w:t xml:space="preserve"> Davis v. City of Loganville, 2006 WL 826713, at *4, 7–9 (M.D. Ga. Mar. 28, 2006) (accepting expert’s opinion as to whether employer’s pay plan failed to qualify for exemption where expert’s methodology adhered to many steps followed by DOL in investigating an overtime violation claim, including reviewing employer’s time records, job descriptions, and relevant memorandum, as well as reviewing FLSA fact sheets, regulations, and DOL opinion letters). </w:t>
      </w:r>
    </w:p>
  </w:footnote>
  <w:footnote w:id="848">
    <w:p w14:paraId="355559D3" w14:textId="77777777" w:rsidR="00721CCF" w:rsidRPr="00AD2F44" w:rsidRDefault="00F42107">
      <w:pPr>
        <w:pStyle w:val="14Footnote"/>
      </w:pPr>
      <w:r w:rsidRPr="00AD2F44">
        <w:rPr>
          <w:vertAlign w:val="superscript"/>
        </w:rPr>
        <w:footnoteRef/>
      </w:r>
      <w:r w:rsidRPr="00AD2F44">
        <w:rPr>
          <w:i/>
          <w:iCs/>
        </w:rPr>
        <w:t>Id</w:t>
      </w:r>
      <w:r w:rsidRPr="00AD2F44">
        <w:t xml:space="preserve">. at *9–10; </w:t>
      </w:r>
      <w:r w:rsidRPr="00AD2F44">
        <w:rPr>
          <w:i/>
          <w:iCs/>
        </w:rPr>
        <w:t>see also</w:t>
      </w:r>
      <w:r w:rsidRPr="00AD2F44">
        <w:t xml:space="preserve"> Roussell v. Brinker Int’l, Inc., 2008 WL 2714079, at *27 (S.D. Tex. July 9, 2008) (excluding defendant’s social science “tipping” expert, who attempted to opine on whether tip sharing was voluntary or coerced, because opinions had not been subjected to peer scrutiny or testing, sample was too small and unreliable from which to draw conclusions, and analysis based on consumer tipping was not readily transferable to employee context); Johnson v. Big Lots Stores, Inc., 2008 WL 1930681, at *14–20 (E.D. La. Apr. 29, 2008) (finding same expert was “marginally” qualified given his two decades of experience with DOL, but precluding his opinion where based on flawed methodology involving small, handpicked, pre-screened sample of in-person interviews conducted with attorney involvement). </w:t>
      </w:r>
    </w:p>
  </w:footnote>
  <w:footnote w:id="849">
    <w:p w14:paraId="2663D61C" w14:textId="77777777" w:rsidR="00721CCF" w:rsidRPr="00AD2F44" w:rsidRDefault="00F42107">
      <w:pPr>
        <w:pStyle w:val="14Footnote"/>
      </w:pPr>
      <w:r w:rsidRPr="00AD2F44">
        <w:rPr>
          <w:vertAlign w:val="superscript"/>
        </w:rPr>
        <w:footnoteRef/>
      </w:r>
      <w:r w:rsidRPr="00AD2F44">
        <w:t xml:space="preserve">Perez v. RadioShack Corp., 2005 WL 3455858, at *3 (N.D. Ill. Dec. 13, 2005). </w:t>
      </w:r>
    </w:p>
  </w:footnote>
  <w:footnote w:id="850">
    <w:p w14:paraId="5F19BD92" w14:textId="77777777" w:rsidR="00721CCF" w:rsidRPr="00AD2F44" w:rsidRDefault="00F42107">
      <w:pPr>
        <w:pStyle w:val="14Footnote"/>
      </w:pPr>
      <w:r w:rsidRPr="00AD2F44">
        <w:rPr>
          <w:vertAlign w:val="superscript"/>
        </w:rPr>
        <w:footnoteRef/>
      </w:r>
      <w:r w:rsidRPr="00AD2F44">
        <w:rPr>
          <w:i/>
        </w:rPr>
        <w:t>Id.</w:t>
      </w:r>
      <w:r w:rsidRPr="00AD2F44">
        <w:t xml:space="preserve"> </w:t>
      </w:r>
    </w:p>
  </w:footnote>
  <w:footnote w:id="851">
    <w:p w14:paraId="798A7C3A" w14:textId="77777777" w:rsidR="00721CCF" w:rsidRPr="00AD2F44" w:rsidRDefault="00F42107">
      <w:pPr>
        <w:pStyle w:val="14Footnote"/>
      </w:pPr>
      <w:r w:rsidRPr="00AD2F44">
        <w:rPr>
          <w:vertAlign w:val="superscript"/>
        </w:rPr>
        <w:footnoteRef/>
      </w:r>
      <w:r w:rsidRPr="00AD2F44">
        <w:rPr>
          <w:i/>
          <w:iCs/>
        </w:rPr>
        <w:t>Id.</w:t>
      </w:r>
      <w:r w:rsidRPr="00AD2F44">
        <w:t xml:space="preserve"> at *2. </w:t>
      </w:r>
    </w:p>
  </w:footnote>
  <w:footnote w:id="852">
    <w:p w14:paraId="50CCB661" w14:textId="77777777" w:rsidR="00721CCF" w:rsidRPr="00AD2F44" w:rsidRDefault="00F42107">
      <w:pPr>
        <w:pStyle w:val="14Footnote"/>
      </w:pPr>
      <w:r w:rsidRPr="00AD2F44">
        <w:rPr>
          <w:vertAlign w:val="superscript"/>
        </w:rPr>
        <w:footnoteRef/>
      </w:r>
      <w:r w:rsidRPr="00AD2F44">
        <w:rPr>
          <w:i/>
          <w:iCs/>
        </w:rPr>
        <w:t>Id</w:t>
      </w:r>
      <w:r w:rsidRPr="00AD2F44">
        <w:t xml:space="preserve">. at *2–3. The court similarly limited the plaintiffs’ expert report on calculation of overtime damages to “DOL’s standards and practices.” </w:t>
      </w:r>
      <w:r w:rsidRPr="00AD2F44">
        <w:rPr>
          <w:i/>
          <w:iCs/>
        </w:rPr>
        <w:t>Id</w:t>
      </w:r>
      <w:r w:rsidRPr="00AD2F44">
        <w:t xml:space="preserve">. at *4. Apparently, the plaintiffs’ counsel had moved to strike the report of RadioShack’s expert in a prior case in federal court in Pennsylvania, where the expert, a former senior DOL official, testified that the store managers did meet the primary duty test. </w:t>
      </w:r>
      <w:r w:rsidRPr="00AD2F44">
        <w:rPr>
          <w:i/>
          <w:iCs/>
        </w:rPr>
        <w:t>Id</w:t>
      </w:r>
      <w:r w:rsidRPr="00AD2F44">
        <w:t xml:space="preserve">. at *2 n.7. </w:t>
      </w:r>
    </w:p>
  </w:footnote>
  <w:footnote w:id="853">
    <w:p w14:paraId="587D8413" w14:textId="77777777" w:rsidR="00721CCF" w:rsidRPr="00AD2F44" w:rsidRDefault="00F42107">
      <w:pPr>
        <w:pStyle w:val="14Footnote"/>
      </w:pPr>
      <w:r w:rsidRPr="00AD2F44">
        <w:rPr>
          <w:vertAlign w:val="superscript"/>
        </w:rPr>
        <w:footnoteRef/>
      </w:r>
      <w:r w:rsidRPr="00AD2F44">
        <w:t xml:space="preserve">Reich v. Newspapers of New Eng., Inc., 44 F.3d 1060, 1067 (1st Cir. 1995) (considering competing expert testimony of journalist professors on issue of whether §541 regulations issued in 1940s were pertinent to modern journalism and deserved </w:t>
      </w:r>
      <w:r w:rsidRPr="00AD2F44">
        <w:rPr>
          <w:i/>
          <w:iCs/>
        </w:rPr>
        <w:t>Skidmore</w:t>
      </w:r>
      <w:r w:rsidRPr="00AD2F44">
        <w:t xml:space="preserve"> deference—</w:t>
      </w:r>
      <w:r w:rsidRPr="00AD2F44">
        <w:rPr>
          <w:i/>
          <w:iCs/>
        </w:rPr>
        <w:t>Skidmore v. Swift &amp; Co.</w:t>
      </w:r>
      <w:r w:rsidRPr="00AD2F44">
        <w:t xml:space="preserve">, 323 U.S. 134 (1944)); </w:t>
      </w:r>
      <w:r w:rsidRPr="00AD2F44">
        <w:rPr>
          <w:i/>
          <w:iCs/>
        </w:rPr>
        <w:t>Zheng</w:t>
      </w:r>
      <w:r w:rsidRPr="00AD2F44">
        <w:t xml:space="preserve">, 556 F. Supp. 2d at 292–93 (permitting testimony of history professor to assist trier of fact in understanding “historical practices” in garment industry as they related to joint employment issues). </w:t>
      </w:r>
    </w:p>
  </w:footnote>
  <w:footnote w:id="854">
    <w:p w14:paraId="6240A8C3" w14:textId="77777777" w:rsidR="00721CCF" w:rsidRPr="00AD2F44" w:rsidRDefault="00F42107">
      <w:pPr>
        <w:pStyle w:val="14Footnote"/>
      </w:pPr>
      <w:r w:rsidRPr="00AD2F44">
        <w:rPr>
          <w:vertAlign w:val="superscript"/>
        </w:rPr>
        <w:footnoteRef/>
      </w:r>
      <w:r w:rsidRPr="00AD2F44">
        <w:t xml:space="preserve">To find that an employer willfully violated the FLSA, the plaintiff must show that the employer “either knew or showed reckless disregard for the matter of whether its conduct was prohibited by the [FLSA].” McLaughlin v. Richland Shoe Co., 486 U.S. 128, 133 (1988). </w:t>
      </w:r>
    </w:p>
  </w:footnote>
  <w:footnote w:id="855">
    <w:p w14:paraId="65973534" w14:textId="77777777" w:rsidR="00721CCF" w:rsidRPr="00AD2F44" w:rsidRDefault="00F42107">
      <w:pPr>
        <w:pStyle w:val="14Footnote"/>
      </w:pPr>
      <w:r w:rsidRPr="00AD2F44">
        <w:rPr>
          <w:vertAlign w:val="superscript"/>
        </w:rPr>
        <w:footnoteRef/>
      </w:r>
      <w:r w:rsidRPr="00AD2F44">
        <w:rPr>
          <w:i/>
          <w:iCs/>
        </w:rPr>
        <w:t>See Johnson</w:t>
      </w:r>
      <w:r w:rsidRPr="00AD2F44">
        <w:t xml:space="preserve">, 2008 WL 1930681, at *10 (considering expert testimony on employer’s profit motive because whether employer had such incentive to misclassify potentially bears on whether employer willfully misclassified its employees); Davis v. City of Loganville, 2006 WL 826713, at *10–12 (M.D. Ga. Mar. 28, 2006). </w:t>
      </w:r>
      <w:r w:rsidRPr="00AD2F44">
        <w:rPr>
          <w:i/>
          <w:iCs/>
        </w:rPr>
        <w:t xml:space="preserve">But see </w:t>
      </w:r>
      <w:r w:rsidRPr="00AD2F44">
        <w:t xml:space="preserve">Singer v. City of Waco, 324 F.3d 813, 822 (5th Cir. 2003) (holding that district court did not abuse its discretion by excluding testimony of former DOL district director on issue of willfulness where it was “unclear how [the DOL official] could have been aware of whether the City ‘knew or showed reckless disregard for … whether its conduct was prohibited by the statute.’ [The DOL official] was not an employee of the City, and [did] not appear to have been a party to any of the events leading up to this litigation.”) (citation omitted). </w:t>
      </w:r>
    </w:p>
  </w:footnote>
  <w:footnote w:id="856">
    <w:p w14:paraId="74E0E919" w14:textId="77777777" w:rsidR="00721CCF" w:rsidRPr="00AD2F44" w:rsidRDefault="00F42107">
      <w:pPr>
        <w:pStyle w:val="14Footnote"/>
      </w:pPr>
      <w:r w:rsidRPr="00AD2F44">
        <w:rPr>
          <w:vertAlign w:val="superscript"/>
        </w:rPr>
        <w:footnoteRef/>
      </w:r>
      <w:r w:rsidRPr="00AD2F44">
        <w:rPr>
          <w:i/>
          <w:iCs/>
        </w:rPr>
        <w:t>Davis</w:t>
      </w:r>
      <w:r w:rsidRPr="00AD2F44">
        <w:t xml:space="preserve">, 2006 WL 826713, at *10–12 (using expert’s methodology to conclude employer acted in “reckless disregard” fatally flawed where expert did not provide any basis for his conclusion). </w:t>
      </w:r>
    </w:p>
  </w:footnote>
  <w:footnote w:id="857">
    <w:p w14:paraId="735B62C8" w14:textId="77777777" w:rsidR="00721CCF" w:rsidRPr="00AD2F44" w:rsidRDefault="00F42107">
      <w:pPr>
        <w:pStyle w:val="14Footnote"/>
      </w:pPr>
      <w:r w:rsidRPr="00AD2F44">
        <w:rPr>
          <w:vertAlign w:val="superscript"/>
        </w:rPr>
        <w:footnoteRef/>
      </w:r>
      <w:r w:rsidRPr="00AD2F44">
        <w:t xml:space="preserve">2008 WL 1930681 (E.D. La. Apr. 29, 2008). </w:t>
      </w:r>
    </w:p>
  </w:footnote>
  <w:footnote w:id="858">
    <w:p w14:paraId="13E998DB" w14:textId="77777777" w:rsidR="00721CCF" w:rsidRPr="00AD2F44" w:rsidRDefault="00F42107">
      <w:pPr>
        <w:pStyle w:val="14Footnote"/>
      </w:pPr>
      <w:r w:rsidRPr="00AD2F44">
        <w:rPr>
          <w:vertAlign w:val="superscript"/>
        </w:rPr>
        <w:footnoteRef/>
      </w:r>
      <w:r w:rsidRPr="00AD2F44">
        <w:rPr>
          <w:i/>
          <w:iCs/>
        </w:rPr>
        <w:t>Id</w:t>
      </w:r>
      <w:r w:rsidRPr="00AD2F44">
        <w:t xml:space="preserve">. at *3. </w:t>
      </w:r>
    </w:p>
  </w:footnote>
  <w:footnote w:id="859">
    <w:p w14:paraId="0399C954" w14:textId="77777777" w:rsidR="00721CCF" w:rsidRPr="00AD2F44" w:rsidRDefault="00F42107">
      <w:pPr>
        <w:pStyle w:val="14Footnote"/>
      </w:pPr>
      <w:r w:rsidRPr="00AD2F44">
        <w:rPr>
          <w:vertAlign w:val="superscript"/>
        </w:rPr>
        <w:footnoteRef/>
      </w:r>
      <w:r w:rsidRPr="00AD2F44">
        <w:t>Daubert v. Merrell Dow Pharmaceuticals, Inc.,</w:t>
      </w:r>
      <w:r w:rsidRPr="00AD2F44">
        <w:rPr>
          <w:i/>
          <w:iCs/>
        </w:rPr>
        <w:t xml:space="preserve"> </w:t>
      </w:r>
      <w:r w:rsidRPr="00AD2F44">
        <w:t xml:space="preserve">509 U.S. 579 (1993). </w:t>
      </w:r>
    </w:p>
  </w:footnote>
  <w:footnote w:id="860">
    <w:p w14:paraId="3DCD3EBB" w14:textId="77777777" w:rsidR="00721CCF" w:rsidRPr="00AD2F44" w:rsidRDefault="00F42107">
      <w:pPr>
        <w:pStyle w:val="14Footnote"/>
      </w:pPr>
      <w:r w:rsidRPr="00AD2F44">
        <w:rPr>
          <w:vertAlign w:val="superscript"/>
        </w:rPr>
        <w:footnoteRef/>
      </w:r>
      <w:r w:rsidRPr="00AD2F44">
        <w:rPr>
          <w:i/>
          <w:iCs/>
        </w:rPr>
        <w:t>Johnson</w:t>
      </w:r>
      <w:r w:rsidRPr="00AD2F44">
        <w:t xml:space="preserve">, 2008 WL 1930681, at *4. </w:t>
      </w:r>
    </w:p>
  </w:footnote>
  <w:footnote w:id="861">
    <w:p w14:paraId="05EC7403" w14:textId="77777777" w:rsidR="00721CCF" w:rsidRPr="00AD2F44" w:rsidRDefault="00F42107">
      <w:pPr>
        <w:pStyle w:val="14Footnote"/>
      </w:pPr>
      <w:r w:rsidRPr="00AD2F44">
        <w:rPr>
          <w:vertAlign w:val="superscript"/>
        </w:rPr>
        <w:footnoteRef/>
      </w:r>
      <w:r w:rsidRPr="00AD2F44">
        <w:rPr>
          <w:i/>
          <w:iCs/>
        </w:rPr>
        <w:t>Id</w:t>
      </w:r>
      <w:r w:rsidRPr="00AD2F44">
        <w:t xml:space="preserve">. at *5 (noting that Rule 703 of the Federal Rules of Evidence provided that “if of a type reasonably relied upon by experts in the particular field in forming opinions or inferences based upon the subject, the facts or data need not be admissible in evidence in order for the opinion or inference to be admitted”) (note that Rule 703 was amended in 2011). </w:t>
      </w:r>
    </w:p>
  </w:footnote>
  <w:footnote w:id="862">
    <w:p w14:paraId="5B2B5607" w14:textId="77777777" w:rsidR="00721CCF" w:rsidRPr="00AD2F44" w:rsidRDefault="00F42107">
      <w:pPr>
        <w:pStyle w:val="14Footnote"/>
      </w:pPr>
      <w:r w:rsidRPr="00AD2F44">
        <w:rPr>
          <w:vertAlign w:val="superscript"/>
        </w:rPr>
        <w:footnoteRef/>
      </w:r>
      <w:r w:rsidRPr="00AD2F44">
        <w:rPr>
          <w:i/>
          <w:iCs/>
        </w:rPr>
        <w:t>Id</w:t>
      </w:r>
      <w:r w:rsidRPr="00AD2F44">
        <w:t xml:space="preserve">. (finding probative value of survey information in assisting court in evaluating expert’s opinion substantially outweighed any possible prejudicial effect, as required under Rule 703 of Federal Rules of Evidence, and emphasizing that Rule 703 and Advisory Committee’s Notes focus on screening from jury). </w:t>
      </w:r>
    </w:p>
  </w:footnote>
  <w:footnote w:id="863">
    <w:p w14:paraId="28903A90" w14:textId="77777777" w:rsidR="00721CCF" w:rsidRPr="00AD2F44" w:rsidRDefault="00F42107">
      <w:pPr>
        <w:pStyle w:val="14Footnote"/>
      </w:pPr>
      <w:r w:rsidRPr="00AD2F44">
        <w:rPr>
          <w:vertAlign w:val="superscript"/>
        </w:rPr>
        <w:footnoteRef/>
      </w:r>
      <w:r w:rsidRPr="00AD2F44">
        <w:t xml:space="preserve">Johnson v. Big Lots Stores, Inc., 2008 WL 1930681, at *8 (E.D. La. Apr. 29, 2008) (potential flaws in survey do not provide grounds to exclude survey, but do provide grounds for “vigorous cross-examination at trial”). In the same action, the defendant sought to introduce expert testimony of its own economist addressing the conclusions of the plaintiffs’ expert. </w:t>
      </w:r>
      <w:r w:rsidRPr="00AD2F44">
        <w:rPr>
          <w:i/>
          <w:iCs/>
        </w:rPr>
        <w:t>Id</w:t>
      </w:r>
      <w:r w:rsidRPr="00AD2F44">
        <w:t xml:space="preserve">. at *10. The court dismissed the plaintiffs’ argument that any testimony criticizing their expert should be excluded as the defendant’s expert did not conduct an independent study of the employees’ job responsibilities. The court found no authority requiring the defendant’s expert to conduct an independent survey and “no reliability issue” in allowing the defendant’s expert to use the plaintiffs’ survey data to reach an opposite conclusion. </w:t>
      </w:r>
      <w:r w:rsidRPr="00AD2F44">
        <w:rPr>
          <w:i/>
          <w:iCs/>
        </w:rPr>
        <w:t>Id</w:t>
      </w:r>
      <w:r w:rsidRPr="00AD2F44">
        <w:t xml:space="preserve">. at *11; </w:t>
      </w:r>
      <w:r w:rsidRPr="00AD2F44">
        <w:rPr>
          <w:i/>
          <w:iCs/>
        </w:rPr>
        <w:t>see also</w:t>
      </w:r>
      <w:r w:rsidRPr="00AD2F44">
        <w:t xml:space="preserve"> Scott v. City of N.Y., 591 F. Supp. 2d 554 (S.D.N.Y. 2008) (admitting survey over plaintiffs’ objections in case involving more than 15,000 current and former New York City police officers and detectives). </w:t>
      </w:r>
    </w:p>
  </w:footnote>
  <w:footnote w:id="864">
    <w:p w14:paraId="40236EFE" w14:textId="77777777" w:rsidR="00721CCF" w:rsidRPr="00AD2F44" w:rsidRDefault="00F42107">
      <w:pPr>
        <w:pStyle w:val="14Footnote"/>
      </w:pPr>
      <w:r w:rsidRPr="00AD2F44">
        <w:rPr>
          <w:vertAlign w:val="superscript"/>
        </w:rPr>
        <w:footnoteRef/>
      </w:r>
      <w:r w:rsidRPr="00AD2F44">
        <w:rPr>
          <w:i/>
          <w:iCs/>
        </w:rPr>
        <w:t>See, e</w:t>
      </w:r>
      <w:r w:rsidRPr="00AD2F44">
        <w:t>.</w:t>
      </w:r>
      <w:r w:rsidRPr="00AD2F44">
        <w:rPr>
          <w:i/>
          <w:iCs/>
        </w:rPr>
        <w:t>g</w:t>
      </w:r>
      <w:r w:rsidRPr="00AD2F44">
        <w:t>.</w:t>
      </w:r>
      <w:r w:rsidRPr="00AD2F44">
        <w:rPr>
          <w:i/>
          <w:iCs/>
        </w:rPr>
        <w:t>,</w:t>
      </w:r>
      <w:r w:rsidRPr="00AD2F44">
        <w:t xml:space="preserve"> Hurt v. Commerce Energy, Inc., 2015 WL 410703 (N.D. Ohio Jan. 29, 2015). </w:t>
      </w:r>
    </w:p>
  </w:footnote>
  <w:footnote w:id="865">
    <w:p w14:paraId="2A65E775" w14:textId="77777777" w:rsidR="00721CCF" w:rsidRPr="00AD2F44" w:rsidRDefault="00F42107">
      <w:pPr>
        <w:pStyle w:val="14Footnote"/>
      </w:pPr>
      <w:r w:rsidRPr="00AD2F44">
        <w:rPr>
          <w:vertAlign w:val="superscript"/>
        </w:rPr>
        <w:footnoteRef/>
      </w:r>
      <w:r w:rsidRPr="00AD2F44">
        <w:rPr>
          <w:i/>
          <w:iCs/>
        </w:rPr>
        <w:t>See, e</w:t>
      </w:r>
      <w:r w:rsidRPr="00AD2F44">
        <w:t>.</w:t>
      </w:r>
      <w:r w:rsidRPr="00AD2F44">
        <w:rPr>
          <w:i/>
          <w:iCs/>
        </w:rPr>
        <w:t>g</w:t>
      </w:r>
      <w:r w:rsidRPr="00AD2F44">
        <w:t xml:space="preserve">., Gomez v. Tyson Foods, Inc., 976 F. Supp. 2d 1169, 1177, 1182 (D. Neb. 2013) (relying on testimony of time-study expert and several plaintiffs in donning and doffing case); Martinez-Hernandez v. Butterball, LLC, 2011 WL 4460332 (E.D.N.C. Sept. 26, 2011) (denying plaintiffs’ motion to exclude report and testimony of time and motion study expert). </w:t>
      </w:r>
    </w:p>
  </w:footnote>
  <w:footnote w:id="866">
    <w:p w14:paraId="226D3D89" w14:textId="77777777" w:rsidR="00721CCF" w:rsidRPr="00AD2F44" w:rsidRDefault="00F42107">
      <w:pPr>
        <w:pStyle w:val="14Footnote"/>
      </w:pPr>
      <w:r w:rsidRPr="00AD2F44">
        <w:rPr>
          <w:vertAlign w:val="superscript"/>
        </w:rPr>
        <w:footnoteRef/>
      </w:r>
      <w:r w:rsidRPr="00AD2F44">
        <w:t xml:space="preserve">Anderson v. Mt. Clemens Pottery Co., 328 U.S. 680, 687 (1946). </w:t>
      </w:r>
    </w:p>
  </w:footnote>
  <w:footnote w:id="867">
    <w:p w14:paraId="53DE75ED" w14:textId="77777777" w:rsidR="00721CCF" w:rsidRPr="00AD2F44" w:rsidRDefault="00F42107">
      <w:pPr>
        <w:pStyle w:val="14Footnote"/>
      </w:pPr>
      <w:r w:rsidRPr="00AD2F44">
        <w:rPr>
          <w:vertAlign w:val="superscript"/>
        </w:rPr>
        <w:footnoteRef/>
      </w:r>
      <w:r w:rsidRPr="00AD2F44">
        <w:t xml:space="preserve">136 S. Ct. 1036 (2016). </w:t>
      </w:r>
    </w:p>
  </w:footnote>
  <w:footnote w:id="868">
    <w:p w14:paraId="185EF80A" w14:textId="77777777" w:rsidR="00721CCF" w:rsidRPr="00AD2F44" w:rsidRDefault="00F42107">
      <w:pPr>
        <w:pStyle w:val="14Footnote"/>
      </w:pPr>
      <w:r w:rsidRPr="00AD2F44">
        <w:rPr>
          <w:vertAlign w:val="superscript"/>
        </w:rPr>
        <w:footnoteRef/>
      </w:r>
      <w:r w:rsidRPr="00AD2F44">
        <w:rPr>
          <w:i/>
          <w:iCs/>
        </w:rPr>
        <w:t>Id</w:t>
      </w:r>
      <w:r w:rsidRPr="00AD2F44">
        <w:t xml:space="preserve">. at 1043. </w:t>
      </w:r>
    </w:p>
  </w:footnote>
  <w:footnote w:id="869">
    <w:p w14:paraId="0E5E638A" w14:textId="77777777" w:rsidR="00721CCF" w:rsidRPr="00AD2F44" w:rsidRDefault="00F42107">
      <w:pPr>
        <w:pStyle w:val="14Footnote"/>
      </w:pPr>
      <w:r w:rsidRPr="00AD2F44">
        <w:rPr>
          <w:vertAlign w:val="superscript"/>
        </w:rPr>
        <w:footnoteRef/>
      </w:r>
      <w:r w:rsidRPr="00AD2F44">
        <w:rPr>
          <w:i/>
          <w:iCs/>
        </w:rPr>
        <w:t>Id</w:t>
      </w:r>
      <w:r w:rsidRPr="00AD2F44">
        <w:t xml:space="preserve">. </w:t>
      </w:r>
    </w:p>
  </w:footnote>
  <w:footnote w:id="870">
    <w:p w14:paraId="561D58AF" w14:textId="77777777" w:rsidR="00721CCF" w:rsidRPr="00AD2F44" w:rsidRDefault="00F42107">
      <w:pPr>
        <w:pStyle w:val="14Footnote"/>
      </w:pPr>
      <w:r w:rsidRPr="00AD2F44">
        <w:rPr>
          <w:vertAlign w:val="superscript"/>
        </w:rPr>
        <w:footnoteRef/>
      </w:r>
      <w:r w:rsidRPr="00AD2F44">
        <w:rPr>
          <w:i/>
          <w:iCs/>
        </w:rPr>
        <w:t>Id</w:t>
      </w:r>
      <w:r w:rsidRPr="00AD2F44">
        <w:t xml:space="preserve">. at 1044. </w:t>
      </w:r>
    </w:p>
  </w:footnote>
  <w:footnote w:id="871">
    <w:p w14:paraId="3EE00A37" w14:textId="77777777" w:rsidR="00721CCF" w:rsidRPr="00AD2F44" w:rsidRDefault="00F42107">
      <w:pPr>
        <w:pStyle w:val="14Footnote"/>
      </w:pPr>
      <w:r w:rsidRPr="00AD2F44">
        <w:rPr>
          <w:vertAlign w:val="superscript"/>
        </w:rPr>
        <w:footnoteRef/>
      </w:r>
      <w:r w:rsidRPr="00AD2F44">
        <w:rPr>
          <w:i/>
          <w:iCs/>
        </w:rPr>
        <w:t>Id</w:t>
      </w:r>
      <w:r w:rsidRPr="00AD2F44">
        <w:t xml:space="preserve">. at 1044–50. </w:t>
      </w:r>
    </w:p>
  </w:footnote>
  <w:footnote w:id="872">
    <w:p w14:paraId="33F4B540" w14:textId="77777777" w:rsidR="00721CCF" w:rsidRPr="00AD2F44" w:rsidRDefault="00F42107">
      <w:pPr>
        <w:pStyle w:val="14Footnote"/>
      </w:pPr>
      <w:r w:rsidRPr="00AD2F44">
        <w:rPr>
          <w:vertAlign w:val="superscript"/>
        </w:rPr>
        <w:footnoteRef/>
      </w:r>
      <w:r w:rsidRPr="00AD2F44">
        <w:rPr>
          <w:i/>
          <w:iCs/>
        </w:rPr>
        <w:t>Id.</w:t>
      </w:r>
      <w:r w:rsidRPr="00AD2F44">
        <w:t xml:space="preserve"> at 1046–47 (“If the sample could have sustained a reasonable jury finding as to hours worked in each employee’s individual action, that sample is a permissible means of establishing the employees’ hours worked in a class action.”). </w:t>
      </w:r>
    </w:p>
  </w:footnote>
  <w:footnote w:id="873">
    <w:p w14:paraId="4DDA26D9" w14:textId="77777777" w:rsidR="00721CCF" w:rsidRPr="00AD2F44" w:rsidRDefault="00F42107">
      <w:pPr>
        <w:pStyle w:val="14Footnote"/>
      </w:pPr>
      <w:r w:rsidRPr="00AD2F44">
        <w:rPr>
          <w:vertAlign w:val="superscript"/>
        </w:rPr>
        <w:footnoteRef/>
      </w:r>
      <w:r w:rsidRPr="00AD2F44">
        <w:t xml:space="preserve">564 U.S. 338 (2011). </w:t>
      </w:r>
    </w:p>
  </w:footnote>
  <w:footnote w:id="874">
    <w:p w14:paraId="4511416D" w14:textId="77777777" w:rsidR="00721CCF" w:rsidRPr="00AD2F44" w:rsidRDefault="00F42107">
      <w:pPr>
        <w:pStyle w:val="14Footnote"/>
      </w:pPr>
      <w:r w:rsidRPr="00AD2F44">
        <w:rPr>
          <w:vertAlign w:val="superscript"/>
        </w:rPr>
        <w:footnoteRef/>
      </w:r>
      <w:r w:rsidRPr="00AD2F44">
        <w:rPr>
          <w:i/>
          <w:iCs/>
        </w:rPr>
        <w:t>Tyson Foods</w:t>
      </w:r>
      <w:r w:rsidRPr="00AD2F44">
        <w:t xml:space="preserve">, 136 S. Ct. at 1048; </w:t>
      </w:r>
      <w:r w:rsidRPr="00AD2F44">
        <w:rPr>
          <w:i/>
          <w:iCs/>
        </w:rPr>
        <w:t>see also</w:t>
      </w:r>
      <w:r w:rsidRPr="00AD2F44">
        <w:t xml:space="preserve"> Alvarez v. IBP, Inc., 2001 WL 34897841, at *7 (E.D. Wash. Sept. 14, 2001) (citing Castillo v. Givens, 704 F.2d 181, 195 (5th Cir. 1983) (plaintiffs met their burden of proof by demonstrating that they performed work and were not compensated where 13 of 39 plaintiffs testified regarding hours worked and plaintiffs’ statistics expert “calculated a minimum and maximum number of hours each plaintiff worked, basing his calculations on plaintiffs’ testimony”)); McLaughlin v. DialAmerica Mktg., Inc., 716 F. Supp. 812 (D.N.J. 1989) (in bench trial on non-collective action, court relied on mathematical analysis undertaken by DOL compliance officer that was substantially based on employer’s business records, combined with employee testimony, to find that nontestifying employees were entitled to back wages). </w:t>
      </w:r>
    </w:p>
  </w:footnote>
  <w:footnote w:id="875">
    <w:p w14:paraId="4207D055" w14:textId="77777777" w:rsidR="00721CCF" w:rsidRPr="00AD2F44" w:rsidRDefault="00F42107">
      <w:pPr>
        <w:pStyle w:val="14Footnote"/>
      </w:pPr>
      <w:r w:rsidRPr="00AD2F44">
        <w:rPr>
          <w:vertAlign w:val="superscript"/>
        </w:rPr>
        <w:footnoteRef/>
      </w:r>
      <w:r w:rsidRPr="00AD2F44">
        <w:rPr>
          <w:i/>
          <w:iCs/>
        </w:rPr>
        <w:t>See, e</w:t>
      </w:r>
      <w:r w:rsidRPr="00AD2F44">
        <w:t>.</w:t>
      </w:r>
      <w:r w:rsidRPr="00AD2F44">
        <w:rPr>
          <w:i/>
          <w:iCs/>
        </w:rPr>
        <w:t>g</w:t>
      </w:r>
      <w:r w:rsidRPr="00AD2F44">
        <w:t xml:space="preserve">., Gonzalez v. Farmington Foods, Inc., 296 F. Supp. 2d 912, 928–29 (N.D. Ill. 2003) (relying in part on plaintiffs’ time-study expert to deny defendant’s motion for summary judgment, which argued that time at issue was de minimis as matter of law); Perez v. Mountaire Farms, Inc., 2009 WL 588039, at *11 (D. Md. Mar. 9, 2009) (same). </w:t>
      </w:r>
    </w:p>
  </w:footnote>
  <w:footnote w:id="876">
    <w:p w14:paraId="40D02FA2" w14:textId="77777777" w:rsidR="00721CCF" w:rsidRPr="00AD2F44" w:rsidRDefault="00F42107">
      <w:pPr>
        <w:pStyle w:val="14Footnote"/>
      </w:pPr>
      <w:r w:rsidRPr="00AD2F44">
        <w:rPr>
          <w:vertAlign w:val="superscript"/>
        </w:rPr>
        <w:footnoteRef/>
      </w:r>
      <w:r w:rsidRPr="00AD2F44">
        <w:rPr>
          <w:i/>
          <w:iCs/>
        </w:rPr>
        <w:t>Compare</w:t>
      </w:r>
      <w:r w:rsidRPr="00AD2F44">
        <w:t xml:space="preserve"> Perez v. Mountaire Farms, Inc., 650 F.3d 350, 371 (4th Cir. 2011) (affirming district court’s decision to rely largely on plaintiff’s expert, because he based his studies on practical, real-time circumstances compared to defendant’s expert who conducted study in conference room, which court described as “academic … exercise”), </w:t>
      </w:r>
      <w:r w:rsidRPr="00AD2F44">
        <w:rPr>
          <w:i/>
          <w:iCs/>
        </w:rPr>
        <w:t>with</w:t>
      </w:r>
      <w:r w:rsidRPr="00AD2F44">
        <w:t xml:space="preserve"> Anderson v. Sara Lee Corp., 2004 WL 5615651, at *3–4 (E.D.N.C. Dec. 7, 2004) (admitting plaintiffs’ time-study expert’s testimony in support of summary judgment motion even though study was not conducted under circumstances similar to those experienced by employees). </w:t>
      </w:r>
    </w:p>
  </w:footnote>
  <w:footnote w:id="877">
    <w:p w14:paraId="0DC04321" w14:textId="77777777" w:rsidR="00721CCF" w:rsidRPr="00AD2F44" w:rsidRDefault="00F42107">
      <w:pPr>
        <w:pStyle w:val="14Footnote"/>
      </w:pPr>
      <w:r w:rsidRPr="00AD2F44">
        <w:rPr>
          <w:vertAlign w:val="superscript"/>
        </w:rPr>
        <w:footnoteRef/>
      </w:r>
      <w:r w:rsidRPr="00AD2F44">
        <w:rPr>
          <w:i/>
          <w:iCs/>
        </w:rPr>
        <w:t>Alvarez</w:t>
      </w:r>
      <w:r w:rsidRPr="00AD2F44">
        <w:t xml:space="preserve">, 2001 WL 34897841, at *22–23 (“recovery should … be based on an individualized basis as much as possible”), </w:t>
      </w:r>
      <w:r w:rsidRPr="00AD2F44">
        <w:rPr>
          <w:i/>
          <w:iCs/>
        </w:rPr>
        <w:t>aff’d</w:t>
      </w:r>
      <w:r w:rsidRPr="00AD2F44">
        <w:t xml:space="preserve">, Alvarez v. IBP, Inc., 339 F.3d 894, 914 (9th Cir. 2003); Chavez v. IBP, Inc., 2004 WL 5520002, at *12 (E.D. Wash. Dec. 8, 2004); </w:t>
      </w:r>
      <w:r w:rsidRPr="00AD2F44">
        <w:rPr>
          <w:i/>
          <w:iCs/>
        </w:rPr>
        <w:t>see also</w:t>
      </w:r>
      <w:r w:rsidRPr="00AD2F44">
        <w:t xml:space="preserve"> Gomez v. Tyson Foods, Inc., 976 F. Supp. 2d 1169, 1177 n.8 (D. Neb. 2013) (noting that time study and accompanying expert testimony were admissible and “must be viewed through the lens of the limited burden plaintiffs bear on the issue of damages when an employer fails to comply with its timekeeping obligations under the FLSA,” and that “plaintiffs are not required to produce evidence that is ‘scientific’ or that rises to the level of scientific certainty”). </w:t>
      </w:r>
    </w:p>
  </w:footnote>
  <w:footnote w:id="878">
    <w:p w14:paraId="23DC0455" w14:textId="77777777" w:rsidR="00721CCF" w:rsidRPr="00AD2F44" w:rsidRDefault="00F42107">
      <w:pPr>
        <w:pStyle w:val="14Footnote"/>
      </w:pPr>
      <w:r w:rsidRPr="00AD2F44">
        <w:rPr>
          <w:vertAlign w:val="superscript"/>
        </w:rPr>
        <w:footnoteRef/>
      </w:r>
      <w:r w:rsidRPr="00AD2F44">
        <w:rPr>
          <w:i/>
          <w:iCs/>
        </w:rPr>
        <w:t>See</w:t>
      </w:r>
      <w:r w:rsidRPr="00AD2F44">
        <w:t xml:space="preserve"> </w:t>
      </w:r>
      <w:r w:rsidRPr="00AD2F44">
        <w:rPr>
          <w:smallCaps/>
        </w:rPr>
        <w:t>Fed. R. Evid.</w:t>
      </w:r>
      <w:r w:rsidRPr="00AD2F44">
        <w:t xml:space="preserve"> 403; </w:t>
      </w:r>
      <w:r w:rsidRPr="00AD2F44">
        <w:rPr>
          <w:i/>
          <w:iCs/>
        </w:rPr>
        <w:t>see also</w:t>
      </w:r>
      <w:r w:rsidRPr="00AD2F44">
        <w:t xml:space="preserve"> Secretary of Labor v. DeSisto, 929 F.2d 789, 794–95, 30 WH Cases 345 (1st Cir. 1991).</w:t>
      </w:r>
    </w:p>
  </w:footnote>
  <w:footnote w:id="879">
    <w:p w14:paraId="4A9F0553" w14:textId="77777777" w:rsidR="00721CCF" w:rsidRPr="00AD2F44" w:rsidRDefault="00F42107">
      <w:pPr>
        <w:pStyle w:val="14Footnote"/>
      </w:pPr>
      <w:r w:rsidRPr="00AD2F44">
        <w:rPr>
          <w:vertAlign w:val="superscript"/>
        </w:rPr>
        <w:footnoteRef/>
      </w:r>
      <w:r w:rsidRPr="00AD2F44">
        <w:rPr>
          <w:i/>
        </w:rPr>
        <w:t>See</w:t>
      </w:r>
    </w:p>
    <w:p w14:paraId="519C0FD4" w14:textId="77777777" w:rsidR="00721CCF" w:rsidRPr="00AD2F44" w:rsidRDefault="00F42107">
      <w:pPr>
        <w:pStyle w:val="14Footnote"/>
      </w:pPr>
      <w:r w:rsidRPr="00AD2F44">
        <w:rPr>
          <w:i/>
          <w:iCs/>
        </w:rPr>
        <w:t>First Circuit:</w:t>
      </w:r>
      <w:r w:rsidRPr="00AD2F44">
        <w:t xml:space="preserve"> </w:t>
      </w:r>
      <w:r w:rsidRPr="00AD2F44">
        <w:rPr>
          <w:i/>
          <w:iCs/>
        </w:rPr>
        <w:t>DeSisto</w:t>
      </w:r>
      <w:r w:rsidRPr="00AD2F44">
        <w:t>, 929 F.2d at 791 (limiting trial witnesses to DOL’s compliance officer and two other witnesses, one from each side); Donovan v. Burger King Corp., 672 F.2d 221, 224–25, 25 WH Cases 428 (1st Cir. 1982) (limiting testimony to 6 of 44 restaurants and limiting defendant to 6 of 26 planned witnesses concerning those restaurants).</w:t>
      </w:r>
    </w:p>
    <w:p w14:paraId="6B180736" w14:textId="77777777" w:rsidR="00721CCF" w:rsidRPr="00AD2F44" w:rsidRDefault="00F42107">
      <w:pPr>
        <w:pStyle w:val="14Footnote"/>
      </w:pPr>
      <w:r w:rsidRPr="00AD2F44">
        <w:rPr>
          <w:i/>
          <w:iCs/>
        </w:rPr>
        <w:t>Fifth Circuit:</w:t>
      </w:r>
      <w:r w:rsidRPr="00AD2F44">
        <w:t xml:space="preserve"> Johnson v. Big Lots Stores, Inc., 561 F. Supp. 2d 567, 569–70 (E.D. La. 2008) (limiting each party to 20 fact witnesses at trial, explaining that any larger number would be cumulative).</w:t>
      </w:r>
    </w:p>
    <w:p w14:paraId="13D9A299" w14:textId="77777777" w:rsidR="00721CCF" w:rsidRPr="00AD2F44" w:rsidRDefault="00F42107">
      <w:pPr>
        <w:pStyle w:val="14Footnote"/>
      </w:pPr>
      <w:r w:rsidRPr="00AD2F44">
        <w:rPr>
          <w:i/>
          <w:iCs/>
        </w:rPr>
        <w:t>Eighth Circuit:</w:t>
      </w:r>
      <w:r w:rsidRPr="00AD2F44">
        <w:t xml:space="preserve"> Gomez v. Tyson Foods, Inc., 976 F. Supp. 2d 1169, 1177–79 (D. Neb. 2013) (relying on testimony of five employees and one time-study expert).</w:t>
      </w:r>
    </w:p>
    <w:p w14:paraId="1F3F845A" w14:textId="77777777" w:rsidR="00721CCF" w:rsidRPr="00AD2F44" w:rsidRDefault="00F42107">
      <w:pPr>
        <w:pStyle w:val="14Footnote"/>
      </w:pPr>
      <w:r w:rsidRPr="00AD2F44">
        <w:rPr>
          <w:i/>
          <w:iCs/>
        </w:rPr>
        <w:t>Ninth Circuit:</w:t>
      </w:r>
      <w:r w:rsidRPr="00AD2F44">
        <w:t xml:space="preserve"> McLaughlin v. Ho Fat Seto, 850 F.2d 586, 588, 28 WH Cases 1225 (9th Cir. 1988) (limiting plaintiff to five employee witnesses).</w:t>
      </w:r>
    </w:p>
    <w:p w14:paraId="62C53015" w14:textId="1BF1E0CF" w:rsidR="00721CCF" w:rsidRPr="00AD2F44" w:rsidRDefault="00F42107">
      <w:pPr>
        <w:pStyle w:val="14Footnote"/>
      </w:pPr>
      <w:r w:rsidRPr="00AD2F44">
        <w:rPr>
          <w:i/>
          <w:iCs/>
        </w:rPr>
        <w:t>Eleventh Circuit:</w:t>
      </w:r>
      <w:r w:rsidRPr="00AD2F44">
        <w:t xml:space="preserve"> Morgan v. Family Dollar Stores, Inc., 551 F.3d 1233, 1278 &amp; n.72 (11th Cir. 2008) (district court limited defense to 40 hours, of which defense used only 10).</w:t>
      </w:r>
    </w:p>
  </w:footnote>
  <w:footnote w:id="880">
    <w:p w14:paraId="41D28918" w14:textId="77777777" w:rsidR="00721CCF" w:rsidRPr="00AD2F44" w:rsidRDefault="00F42107">
      <w:pPr>
        <w:pStyle w:val="14Footnote"/>
      </w:pPr>
      <w:r w:rsidRPr="00AD2F44">
        <w:rPr>
          <w:vertAlign w:val="superscript"/>
        </w:rPr>
        <w:footnoteRef/>
      </w:r>
      <w:r w:rsidRPr="00AD2F44">
        <w:rPr>
          <w:i/>
          <w:iCs/>
        </w:rPr>
        <w:t>See Burger King Corp</w:t>
      </w:r>
      <w:r w:rsidRPr="00AD2F44">
        <w:t xml:space="preserve">., 672 F.2d at 224–25 (defendant conceded at trial that court could limit testimony to six stores and parties stipulated that 20 additional witnesses that defendant planned on calling at trial “would give substantially the same testimony” as the six witnesses defendant had called); </w:t>
      </w:r>
      <w:r w:rsidRPr="00AD2F44">
        <w:rPr>
          <w:i/>
          <w:iCs/>
        </w:rPr>
        <w:t>Ho Fat Seto</w:t>
      </w:r>
      <w:r w:rsidRPr="00AD2F44">
        <w:t>, 850 F.2d at 588 (plaintiff represented that the testimony of 23 remaining employees would be largely similar to those that testified).</w:t>
      </w:r>
    </w:p>
  </w:footnote>
  <w:footnote w:id="881">
    <w:p w14:paraId="44E23409" w14:textId="77777777" w:rsidR="00721CCF" w:rsidRPr="00AD2F44" w:rsidRDefault="00F42107">
      <w:pPr>
        <w:pStyle w:val="14Footnote"/>
      </w:pPr>
      <w:r w:rsidRPr="00AD2F44">
        <w:rPr>
          <w:vertAlign w:val="superscript"/>
        </w:rPr>
        <w:footnoteRef/>
      </w:r>
      <w:r w:rsidRPr="00AD2F44">
        <w:rPr>
          <w:i/>
          <w:iCs/>
        </w:rPr>
        <w:t>See</w:t>
      </w:r>
      <w:r w:rsidRPr="00AD2F44">
        <w:t xml:space="preserve"> </w:t>
      </w:r>
      <w:r w:rsidRPr="00AD2F44">
        <w:rPr>
          <w:i/>
          <w:iCs/>
        </w:rPr>
        <w:t>DeSisto</w:t>
      </w:r>
      <w:r w:rsidRPr="00AD2F44">
        <w:t xml:space="preserve">, 929 F.2d at 795 (citing </w:t>
      </w:r>
      <w:r w:rsidRPr="00AD2F44">
        <w:rPr>
          <w:smallCaps/>
        </w:rPr>
        <w:t>Weinstein’s Evidence</w:t>
      </w:r>
      <w:r w:rsidRPr="00AD2F44">
        <w:t xml:space="preserve"> ¶403[6] at 403–99 (1990)).</w:t>
      </w:r>
    </w:p>
  </w:footnote>
  <w:footnote w:id="882">
    <w:p w14:paraId="34F320B3" w14:textId="77777777" w:rsidR="00721CCF" w:rsidRPr="00AD2F44" w:rsidRDefault="00F42107">
      <w:pPr>
        <w:pStyle w:val="14Footnote"/>
      </w:pPr>
      <w:r w:rsidRPr="00AD2F44">
        <w:rPr>
          <w:vertAlign w:val="superscript"/>
        </w:rPr>
        <w:footnoteRef/>
      </w:r>
      <w:r w:rsidRPr="00AD2F44">
        <w:t>See the discussion in §VIII.A [Trial; Representative Testimony and Evidence] of this chapter.</w:t>
      </w:r>
    </w:p>
  </w:footnote>
  <w:footnote w:id="883">
    <w:p w14:paraId="6E3A4E4A" w14:textId="77777777" w:rsidR="00721CCF" w:rsidRPr="00AD2F44" w:rsidRDefault="00F42107">
      <w:pPr>
        <w:pStyle w:val="14Footnote"/>
      </w:pPr>
      <w:r w:rsidRPr="00AD2F44">
        <w:rPr>
          <w:vertAlign w:val="superscript"/>
        </w:rPr>
        <w:footnoteRef/>
      </w:r>
      <w:r w:rsidRPr="00AD2F44">
        <w:rPr>
          <w:i/>
          <w:iCs/>
        </w:rPr>
        <w:t>See, e.g</w:t>
      </w:r>
      <w:r w:rsidRPr="00AD2F44">
        <w:t xml:space="preserve">., </w:t>
      </w:r>
      <w:r w:rsidRPr="00AD2F44">
        <w:rPr>
          <w:i/>
          <w:iCs/>
        </w:rPr>
        <w:t>DeSisto</w:t>
      </w:r>
      <w:r w:rsidRPr="00AD2F44">
        <w:t>, 929 F.2d at 792–96 (finding that plaintiff did not meet burden of presenting sufficient representative testimony, but that court had improperly limited each party to one witness at trial). While no courts have expressly reached the issue, there is no reason to think that this principle would not apply with equal force to defendants’ evidentiary presentations.</w:t>
      </w:r>
    </w:p>
  </w:footnote>
  <w:footnote w:id="884">
    <w:p w14:paraId="4DDA4FDD" w14:textId="77777777" w:rsidR="00721CCF" w:rsidRPr="00AD2F44" w:rsidRDefault="00F42107">
      <w:pPr>
        <w:pStyle w:val="14Footnote"/>
      </w:pPr>
      <w:r w:rsidRPr="00AD2F44">
        <w:rPr>
          <w:vertAlign w:val="superscript"/>
        </w:rPr>
        <w:footnoteRef/>
      </w:r>
      <w:r w:rsidRPr="00AD2F44">
        <w:rPr>
          <w:i/>
          <w:iCs/>
        </w:rPr>
        <w:t>See</w:t>
      </w:r>
      <w:r w:rsidRPr="00AD2F44">
        <w:t xml:space="preserve"> Morgan v. Family Dollar Stores, Inc., 551 F.3d 1233, 1277–78, 14 WH Cases2d 587 (11th Cir. 2008) (a party cannot complain that its opponent has failed to present sufficient representative evidence if it has opposed the introduction of additional evidence from that adversary).</w:t>
      </w:r>
    </w:p>
  </w:footnote>
  <w:footnote w:id="885">
    <w:p w14:paraId="4B36A92D" w14:textId="77777777" w:rsidR="00721CCF" w:rsidRPr="00AD2F44" w:rsidRDefault="00F42107">
      <w:pPr>
        <w:pStyle w:val="14Footnote"/>
      </w:pPr>
      <w:r w:rsidRPr="00AD2F44">
        <w:rPr>
          <w:vertAlign w:val="superscript"/>
        </w:rPr>
        <w:footnoteRef/>
      </w:r>
      <w:r w:rsidRPr="00AD2F44">
        <w:rPr>
          <w:i/>
          <w:iCs/>
        </w:rPr>
        <w:t>See, e.g.,</w:t>
      </w:r>
    </w:p>
    <w:p w14:paraId="0B04FFAA" w14:textId="77777777" w:rsidR="00721CCF" w:rsidRPr="00AD2F44" w:rsidRDefault="00F42107">
      <w:pPr>
        <w:pStyle w:val="14Footnote"/>
      </w:pPr>
      <w:r w:rsidRPr="00AD2F44">
        <w:rPr>
          <w:i/>
          <w:iCs/>
        </w:rPr>
        <w:t>Third Circuit:</w:t>
      </w:r>
      <w:r w:rsidRPr="00AD2F44">
        <w:t xml:space="preserve"> Chabrier v. Wilmington Fin., Inc., 2008 WL 938872, at *3 (E.D. Pa. Apr. 4, 2008) (acknowledging that bifurcation of liability and damages is an aid in making individualized fact determinations in FLSA collective actions).</w:t>
      </w:r>
    </w:p>
    <w:p w14:paraId="59D0C7D7" w14:textId="77777777" w:rsidR="00721CCF" w:rsidRPr="00AD2F44" w:rsidRDefault="00F42107">
      <w:pPr>
        <w:pStyle w:val="14Footnote"/>
      </w:pPr>
      <w:r w:rsidRPr="00AD2F44">
        <w:rPr>
          <w:i/>
          <w:iCs/>
        </w:rPr>
        <w:t>Fifth Circuit:</w:t>
      </w:r>
      <w:r w:rsidRPr="00AD2F44">
        <w:t xml:space="preserve"> Falcon v. Starbucks Corp., 580 F. Supp. 2d 528, 540–41 (S.D. Tex. 2008) (suggesting that bifurcation of liability and damages in an FLSA collective action may better allow for individualized determinations while preserving judicial economy).</w:t>
      </w:r>
    </w:p>
    <w:p w14:paraId="398F6DF4" w14:textId="77777777" w:rsidR="00721CCF" w:rsidRPr="00AD2F44" w:rsidRDefault="00F42107">
      <w:pPr>
        <w:pStyle w:val="14Footnote"/>
      </w:pPr>
      <w:r w:rsidRPr="00AD2F44">
        <w:rPr>
          <w:i/>
          <w:iCs/>
        </w:rPr>
        <w:t xml:space="preserve">Eighth Circuit: </w:t>
      </w:r>
      <w:r w:rsidRPr="00AD2F44">
        <w:t>Nerland v. Caribou Coffee Co., 564 F. Supp. 2d 1010, 1025 (D. Minn. 2007) (recommending bifurcation of the trial in an FLSA action into liability and damages phases to promote greater manageability).</w:t>
      </w:r>
    </w:p>
    <w:p w14:paraId="4E7A043A" w14:textId="77777777" w:rsidR="00721CCF" w:rsidRPr="00AD2F44" w:rsidRDefault="00F42107">
      <w:pPr>
        <w:pStyle w:val="14Footnote"/>
      </w:pPr>
      <w:r w:rsidRPr="00AD2F44">
        <w:rPr>
          <w:i/>
          <w:iCs/>
        </w:rPr>
        <w:t>Ninth Circuit:</w:t>
      </w:r>
      <w:r w:rsidRPr="00AD2F44">
        <w:t xml:space="preserve"> Thiebes v. Wal-Mart Stores, Inc., 2004 WL 1688544, at *1 (D. Or. July 26, 2004) (bifurcating liability and damages in an FLSA collective action).</w:t>
      </w:r>
    </w:p>
    <w:p w14:paraId="3A011610" w14:textId="77777777" w:rsidR="00721CCF" w:rsidRPr="00AD2F44" w:rsidRDefault="00F42107">
      <w:pPr>
        <w:pStyle w:val="14Footnote"/>
      </w:pPr>
      <w:r w:rsidRPr="00AD2F44">
        <w:rPr>
          <w:i/>
          <w:iCs/>
        </w:rPr>
        <w:t>Eleventh Circuit:</w:t>
      </w:r>
      <w:r w:rsidRPr="00AD2F44">
        <w:t xml:space="preserve"> Davis v. City of Loganville, 2006 WL 1312411, at *4 (M.D. Ga. May 11, 2006) (acknowledging that bifurcation of liability and damages is appropriate in an FLSA collective action where it serves judicial economy and avoids the risk of prejudice and jury confusion).</w:t>
      </w:r>
    </w:p>
    <w:p w14:paraId="56B83A5B" w14:textId="77777777" w:rsidR="00721CCF" w:rsidRPr="00AD2F44" w:rsidRDefault="00F42107">
      <w:pPr>
        <w:pStyle w:val="14Footnote"/>
      </w:pPr>
      <w:r w:rsidRPr="00AD2F44">
        <w:t>See also detailed discussion of bifurcation of liability and damages in collective actions in §V.B [Case Management Issues; Bifurcation of Liability and Damages] of this chapter.</w:t>
      </w:r>
    </w:p>
  </w:footnote>
  <w:footnote w:id="886">
    <w:p w14:paraId="74A38707" w14:textId="77777777" w:rsidR="00721CCF" w:rsidRPr="00AD2F44" w:rsidRDefault="00F42107">
      <w:pPr>
        <w:pStyle w:val="14Footnote"/>
      </w:pPr>
      <w:r w:rsidRPr="00AD2F44">
        <w:rPr>
          <w:vertAlign w:val="superscript"/>
        </w:rPr>
        <w:footnoteRef/>
      </w:r>
      <w:r w:rsidRPr="00AD2F44">
        <w:rPr>
          <w:i/>
          <w:iCs/>
        </w:rPr>
        <w:t>See</w:t>
      </w:r>
      <w:r w:rsidRPr="00AD2F44">
        <w:t xml:space="preserve"> </w:t>
      </w:r>
      <w:r w:rsidRPr="00AD2F44">
        <w:rPr>
          <w:smallCaps/>
        </w:rPr>
        <w:t>Fed. R. Civ. P.</w:t>
      </w:r>
      <w:r w:rsidRPr="00AD2F44">
        <w:t xml:space="preserve"> 42(b). See also §V.B [Case Management Issues; Bifurcation of Liability and Damages] of this chapter.</w:t>
      </w:r>
    </w:p>
  </w:footnote>
  <w:footnote w:id="887">
    <w:p w14:paraId="40800CCE" w14:textId="77777777" w:rsidR="00721CCF" w:rsidRPr="00AD2F44" w:rsidRDefault="00F42107">
      <w:pPr>
        <w:pStyle w:val="14Footnote"/>
      </w:pPr>
      <w:r w:rsidRPr="00AD2F44">
        <w:rPr>
          <w:vertAlign w:val="superscript"/>
        </w:rPr>
        <w:footnoteRef/>
      </w:r>
      <w:r w:rsidRPr="00AD2F44">
        <w:t xml:space="preserve">Anderson v. Mt. Clemens Pottery Co., 328 U.S. 680, 6 WH Cases 83 (1946). </w:t>
      </w:r>
    </w:p>
  </w:footnote>
  <w:footnote w:id="888">
    <w:p w14:paraId="0B781F05" w14:textId="77777777" w:rsidR="00721CCF" w:rsidRPr="00AD2F44" w:rsidRDefault="00F42107">
      <w:pPr>
        <w:pStyle w:val="14Footnote"/>
      </w:pPr>
      <w:r w:rsidRPr="00AD2F44">
        <w:rPr>
          <w:vertAlign w:val="superscript"/>
        </w:rPr>
        <w:footnoteRef/>
      </w:r>
      <w:r w:rsidRPr="00AD2F44">
        <w:rPr>
          <w:i/>
          <w:iCs/>
        </w:rPr>
        <w:t>First Circuit:</w:t>
      </w:r>
      <w:r w:rsidRPr="00AD2F44">
        <w:t xml:space="preserve"> Herman v. Hector I. Nieves Transp., Inc., 91 F. Supp. 2d 435, 447, 6 WH Cases2d 1469 (D.P.R. 2000).</w:t>
      </w:r>
    </w:p>
    <w:p w14:paraId="1A4AB0AD" w14:textId="77777777" w:rsidR="00721CCF" w:rsidRPr="00AD2F44" w:rsidRDefault="00F42107">
      <w:pPr>
        <w:pStyle w:val="14Footnote"/>
      </w:pPr>
      <w:r w:rsidRPr="00AD2F44">
        <w:rPr>
          <w:i/>
          <w:iCs/>
        </w:rPr>
        <w:t>Second Circuit:</w:t>
      </w:r>
      <w:r w:rsidRPr="00AD2F44">
        <w:t xml:space="preserve"> Donovan v. Sovereign Sec., Ltd., 1982 WL 2192, at *6, 25 WH Cases 1222 (E.D.N.Y. Apr. 28, 1982).</w:t>
      </w:r>
    </w:p>
    <w:p w14:paraId="3E68969E" w14:textId="77777777" w:rsidR="00721CCF" w:rsidRPr="00AD2F44" w:rsidRDefault="00F42107">
      <w:pPr>
        <w:pStyle w:val="14Footnote"/>
      </w:pPr>
      <w:r w:rsidRPr="00AD2F44">
        <w:rPr>
          <w:i/>
          <w:iCs/>
        </w:rPr>
        <w:t>Third Circuit:</w:t>
      </w:r>
      <w:r w:rsidRPr="00AD2F44">
        <w:t xml:space="preserve"> Reich v. Gateway Press, Inc., 13 F.3d 685, 702, 1 WH Cases2d 1313 (3d Cir. 1994); Martin v. Selker Bros., Inc., 949 F.2d 1286, 1298, 30 WH Cases 1061 (3d Cir. 1991); McLaughlin v. DialAmerica Mktg., Inc., 716 F. Supp. 812, 824–25, 29 WH Cases 645 (D.N.J. 1989); Marshall v. Brunner, 500 F. Supp. 116, 122, 27 WH Cases 1050 (W.D. Pa. 1980), </w:t>
      </w:r>
      <w:r w:rsidRPr="00AD2F44">
        <w:rPr>
          <w:i/>
          <w:iCs/>
        </w:rPr>
        <w:t>aff’d in part and rev’d in part on other grounds</w:t>
      </w:r>
      <w:r w:rsidRPr="00AD2F44">
        <w:t>, 668 F.2d 748 (3d Cir. 1982); Marshall v. R &amp; M Erectors, Inc., 429 F. Supp. 771, 777 (D. Del. 1977).</w:t>
      </w:r>
    </w:p>
    <w:p w14:paraId="4D6706F6" w14:textId="77777777" w:rsidR="00721CCF" w:rsidRPr="00AD2F44" w:rsidRDefault="00F42107">
      <w:pPr>
        <w:pStyle w:val="14Footnote"/>
      </w:pPr>
      <w:r w:rsidRPr="00AD2F44">
        <w:rPr>
          <w:i/>
          <w:iCs/>
        </w:rPr>
        <w:t>Fourth Circuit:</w:t>
      </w:r>
      <w:r w:rsidRPr="00AD2F44">
        <w:t xml:space="preserve"> Pforr v. Food Lion, Inc., 851 F.2d 106, 109 (4th Cir. 1988); Donovan v. Bel-Loc Diner, Inc., 780 F.2d 1113, 1116, 27 WH Cases 745 (4th Cir. 1985).</w:t>
      </w:r>
    </w:p>
    <w:p w14:paraId="0482E3DD" w14:textId="77777777" w:rsidR="00721CCF" w:rsidRPr="00AD2F44" w:rsidRDefault="00F42107">
      <w:pPr>
        <w:pStyle w:val="14Footnote"/>
      </w:pPr>
      <w:r w:rsidRPr="00AD2F44">
        <w:rPr>
          <w:i/>
          <w:iCs/>
        </w:rPr>
        <w:t>Sixth Circuit:</w:t>
      </w:r>
      <w:r w:rsidRPr="00AD2F44">
        <w:t xml:space="preserve"> Bueno v. Mattner, 633 F. Supp. 1446, 1453, 27 WH Cases 1257 (W.D. Mich. 1986); Martin v. Petroleum Sales, Inc., 1992 WL 439740, at *14, 1 WH Cases2d 363 (W.D. Tenn. July 9, 1992), </w:t>
      </w:r>
      <w:r w:rsidRPr="00AD2F44">
        <w:rPr>
          <w:i/>
          <w:iCs/>
        </w:rPr>
        <w:t>rev’d on other grounds</w:t>
      </w:r>
      <w:r w:rsidRPr="00AD2F44">
        <w:t>, Reich v. Petroleum Sales, Inc., 30 F.3d 654, 2 WH Cases2d 431 (6th Cir. 1994).</w:t>
      </w:r>
    </w:p>
    <w:p w14:paraId="2C6C3641" w14:textId="77777777" w:rsidR="00721CCF" w:rsidRPr="00AD2F44" w:rsidRDefault="00F42107">
      <w:pPr>
        <w:pStyle w:val="14Footnote"/>
      </w:pPr>
      <w:r w:rsidRPr="00AD2F44">
        <w:rPr>
          <w:i/>
          <w:iCs/>
        </w:rPr>
        <w:t>Eighth Circuit:</w:t>
      </w:r>
      <w:r w:rsidRPr="00AD2F44">
        <w:t xml:space="preserve"> Murray v. Stuckey’s, Inc., 939 F.2d 614, 621–22, 30 WH Cases 705 (8th Cir. 1991); Brock v. Tony and Susan Alamo Found., 842 F.2d 1018, 1051–52, 28 WH Cases 897 (8th Cir. 1988).</w:t>
      </w:r>
    </w:p>
    <w:p w14:paraId="4E6A3274" w14:textId="77777777" w:rsidR="00721CCF" w:rsidRPr="00AD2F44" w:rsidRDefault="00F42107">
      <w:pPr>
        <w:pStyle w:val="14Footnote"/>
      </w:pPr>
      <w:r w:rsidRPr="00AD2F44">
        <w:rPr>
          <w:i/>
          <w:iCs/>
        </w:rPr>
        <w:t>Ninth Circuit:</w:t>
      </w:r>
      <w:r w:rsidRPr="00AD2F44">
        <w:t xml:space="preserve"> Alvarez v. IBP, Inc., 2001 WL 34897841, at *7 (E.D. Wash. 2001), </w:t>
      </w:r>
      <w:r w:rsidRPr="00AD2F44">
        <w:rPr>
          <w:i/>
          <w:iCs/>
        </w:rPr>
        <w:t>aff’d in part and rev’d in part on other grounds</w:t>
      </w:r>
      <w:r w:rsidRPr="00AD2F44">
        <w:t xml:space="preserve">, 339 F.3d 894 (9th Cir. 2003), </w:t>
      </w:r>
      <w:r w:rsidRPr="00AD2F44">
        <w:rPr>
          <w:i/>
          <w:iCs/>
        </w:rPr>
        <w:t>aff’d</w:t>
      </w:r>
      <w:r w:rsidRPr="00AD2F44">
        <w:t>, 546 U.S. 21, 10 WH Cases2d 1825 (2006).</w:t>
      </w:r>
    </w:p>
    <w:p w14:paraId="5B1E79FC" w14:textId="11E268D5" w:rsidR="00721CCF" w:rsidRPr="00AD2F44" w:rsidRDefault="00F42107">
      <w:pPr>
        <w:pStyle w:val="14Footnote"/>
      </w:pPr>
      <w:r w:rsidRPr="00AD2F44">
        <w:rPr>
          <w:i/>
          <w:iCs/>
        </w:rPr>
        <w:t>Tenth Circuit:</w:t>
      </w:r>
      <w:r w:rsidRPr="00AD2F44">
        <w:t xml:space="preserve"> Donovan v. Simmons Petroleum Corp., 725 F.2d 83, 86, 26 WH Cases 936 (10th Cir. 1983).</w:t>
      </w:r>
    </w:p>
  </w:footnote>
  <w:footnote w:id="889">
    <w:p w14:paraId="3B3A9D53" w14:textId="77777777" w:rsidR="00721CCF" w:rsidRPr="00AD2F44" w:rsidRDefault="00F42107">
      <w:pPr>
        <w:pStyle w:val="14Footnote"/>
      </w:pPr>
      <w:r w:rsidRPr="00AD2F44">
        <w:rPr>
          <w:vertAlign w:val="superscript"/>
        </w:rPr>
        <w:footnoteRef/>
      </w:r>
      <w:r w:rsidRPr="00AD2F44">
        <w:rPr>
          <w:i/>
          <w:iCs/>
        </w:rPr>
        <w:t>See, e.g.,</w:t>
      </w:r>
    </w:p>
    <w:p w14:paraId="52B25EC1" w14:textId="77777777" w:rsidR="00721CCF" w:rsidRPr="00AD2F44" w:rsidRDefault="00F42107">
      <w:pPr>
        <w:pStyle w:val="14Footnote"/>
      </w:pPr>
      <w:r w:rsidRPr="00AD2F44">
        <w:rPr>
          <w:i/>
          <w:iCs/>
        </w:rPr>
        <w:t>Second Circuit:</w:t>
      </w:r>
      <w:r w:rsidRPr="00AD2F44">
        <w:t xml:space="preserve"> Donovan v. Kaszycki &amp; Sons Contractors, Inc., 599 F. Supp. 860, 872 (Appx. A), 27 WH Cases 35 (S.D.N.Y. 1984).</w:t>
      </w:r>
    </w:p>
    <w:p w14:paraId="1FE9F7A5" w14:textId="77777777" w:rsidR="00721CCF" w:rsidRPr="00AD2F44" w:rsidRDefault="00F42107">
      <w:pPr>
        <w:pStyle w:val="14Footnote"/>
      </w:pPr>
      <w:r w:rsidRPr="00AD2F44">
        <w:rPr>
          <w:i/>
          <w:iCs/>
        </w:rPr>
        <w:t>Third Circuit:</w:t>
      </w:r>
      <w:r w:rsidRPr="00AD2F44">
        <w:t xml:space="preserve"> Reich v. Chez Robert, Inc., 821 F. Supp. 967, 988–93 (Appx. A &amp; B) (D.N.J. 1993), </w:t>
      </w:r>
      <w:r w:rsidRPr="00AD2F44">
        <w:rPr>
          <w:i/>
          <w:iCs/>
        </w:rPr>
        <w:t>rev’d on other grounds</w:t>
      </w:r>
      <w:r w:rsidRPr="00AD2F44">
        <w:t xml:space="preserve">, 28 F.3d 401, 2 WH Cases2d 257 (3d Cir. 1994); Dole v. Solid Waste Servs., Inc., 733 F. Supp. 895, 933, 29 WH Cases 1490 (E.D. Pa. 1989), </w:t>
      </w:r>
      <w:r w:rsidRPr="00AD2F44">
        <w:rPr>
          <w:i/>
          <w:iCs/>
        </w:rPr>
        <w:t>aff’d</w:t>
      </w:r>
      <w:r w:rsidRPr="00AD2F44">
        <w:t xml:space="preserve">, 897 F.2d 521 (3d Cir. 1990); </w:t>
      </w:r>
      <w:r w:rsidRPr="00AD2F44">
        <w:rPr>
          <w:i/>
          <w:iCs/>
        </w:rPr>
        <w:t>Brunner</w:t>
      </w:r>
      <w:r w:rsidRPr="00AD2F44">
        <w:t xml:space="preserve">, 500 F. Supp. at 124 (Sched. A); </w:t>
      </w:r>
      <w:r w:rsidRPr="00AD2F44">
        <w:rPr>
          <w:i/>
          <w:iCs/>
        </w:rPr>
        <w:t>R &amp; M Erectors, Inc</w:t>
      </w:r>
      <w:r w:rsidRPr="00AD2F44">
        <w:t>., 429 F. Supp. at 778 n.37.</w:t>
      </w:r>
    </w:p>
    <w:p w14:paraId="6DCE2D23" w14:textId="2167801C" w:rsidR="00721CCF" w:rsidRPr="00AD2F44" w:rsidRDefault="00F42107">
      <w:pPr>
        <w:pStyle w:val="14Footnote"/>
      </w:pPr>
      <w:r w:rsidRPr="00AD2F44">
        <w:rPr>
          <w:i/>
          <w:iCs/>
        </w:rPr>
        <w:t>Sixth Circuit:</w:t>
      </w:r>
      <w:r w:rsidRPr="00AD2F44">
        <w:t xml:space="preserve"> </w:t>
      </w:r>
      <w:r w:rsidRPr="00AD2F44">
        <w:rPr>
          <w:i/>
          <w:iCs/>
        </w:rPr>
        <w:t>Bueno</w:t>
      </w:r>
      <w:r w:rsidRPr="00AD2F44">
        <w:t>, 633 F. Supp. at 1456–60, 1468.</w:t>
      </w:r>
    </w:p>
  </w:footnote>
  <w:footnote w:id="890">
    <w:p w14:paraId="19A67A66" w14:textId="77777777" w:rsidR="00721CCF" w:rsidRPr="00AD2F44" w:rsidRDefault="00F42107">
      <w:pPr>
        <w:pStyle w:val="14Footnote"/>
      </w:pPr>
      <w:r w:rsidRPr="00AD2F44">
        <w:rPr>
          <w:vertAlign w:val="superscript"/>
        </w:rPr>
        <w:footnoteRef/>
      </w:r>
      <w:r w:rsidRPr="00AD2F44">
        <w:rPr>
          <w:i/>
          <w:iCs/>
        </w:rPr>
        <w:t>See</w:t>
      </w:r>
      <w:r w:rsidRPr="00AD2F44">
        <w:t xml:space="preserve"> </w:t>
      </w:r>
      <w:r w:rsidRPr="00AD2F44">
        <w:rPr>
          <w:smallCaps/>
        </w:rPr>
        <w:t>Fed. R. Civ. P.</w:t>
      </w:r>
      <w:r w:rsidRPr="00AD2F44">
        <w:t xml:space="preserve"> 42(b) (bifurcation appropriate to promote convenience, avoid prejudice, expedite, and economize); Davis v. City of Loganville, 2006 WL 1312411, at *4 (M.D. Ga. May 11, 2006) (bifurcation appropriate to avoid complexity and jury confusion).</w:t>
      </w:r>
    </w:p>
  </w:footnote>
  <w:footnote w:id="891">
    <w:p w14:paraId="22B25713" w14:textId="77777777" w:rsidR="00721CCF" w:rsidRPr="00AD2F44" w:rsidRDefault="00F42107">
      <w:pPr>
        <w:pStyle w:val="14Footnote"/>
      </w:pPr>
      <w:r w:rsidRPr="00AD2F44">
        <w:rPr>
          <w:vertAlign w:val="superscript"/>
        </w:rPr>
        <w:footnoteRef/>
      </w:r>
      <w:r w:rsidRPr="00AD2F44">
        <w:rPr>
          <w:i/>
          <w:iCs/>
        </w:rPr>
        <w:t xml:space="preserve">See </w:t>
      </w:r>
      <w:r w:rsidRPr="00AD2F44">
        <w:t>Morgan v. Family Dollar Stores, Inc., 551 F.3d 1233, 1277 n.69, 14 WH Cases2d 587 (11th Cir. 2008).</w:t>
      </w:r>
    </w:p>
  </w:footnote>
  <w:footnote w:id="892">
    <w:p w14:paraId="2EC33A56" w14:textId="77777777" w:rsidR="00721CCF" w:rsidRPr="00AD2F44" w:rsidRDefault="00F42107">
      <w:pPr>
        <w:pStyle w:val="14Footnote"/>
      </w:pPr>
      <w:r w:rsidRPr="00AD2F44">
        <w:rPr>
          <w:vertAlign w:val="superscript"/>
        </w:rPr>
        <w:footnoteRef/>
      </w:r>
      <w:r w:rsidRPr="00AD2F44">
        <w:rPr>
          <w:i/>
          <w:iCs/>
        </w:rPr>
        <w:t>See</w:t>
      </w:r>
      <w:r w:rsidRPr="00AD2F44">
        <w:t xml:space="preserve"> Reyes v. EZ Pawn, L.P., 2007 WL 3143315 (S.D. Tex. Oct. 24, 2007); Goldman v. Radioshack Corp., 2005 WL 1155751 (E.D. Pa. May 13, 2005).</w:t>
      </w:r>
    </w:p>
  </w:footnote>
  <w:footnote w:id="893">
    <w:p w14:paraId="12A1C532" w14:textId="77777777" w:rsidR="00721CCF" w:rsidRPr="00AD2F44" w:rsidRDefault="00F42107">
      <w:pPr>
        <w:pStyle w:val="14Footnote"/>
      </w:pPr>
      <w:r w:rsidRPr="00AD2F44">
        <w:rPr>
          <w:vertAlign w:val="superscript"/>
        </w:rPr>
        <w:footnoteRef/>
      </w:r>
      <w:r w:rsidRPr="00AD2F44">
        <w:rPr>
          <w:i/>
        </w:rPr>
        <w:t>See</w:t>
      </w:r>
    </w:p>
    <w:p w14:paraId="6316BB5F" w14:textId="77777777" w:rsidR="00721CCF" w:rsidRPr="00AD2F44" w:rsidRDefault="00F42107">
      <w:pPr>
        <w:pStyle w:val="14Footnote"/>
      </w:pPr>
      <w:r w:rsidRPr="00AD2F44">
        <w:rPr>
          <w:i/>
          <w:iCs/>
        </w:rPr>
        <w:t>Third Circuit:</w:t>
      </w:r>
      <w:r w:rsidRPr="00AD2F44">
        <w:t xml:space="preserve"> Lusardi v. Xerox Corp. (Lusardi I), 747 F.2d 174, 176 (3d Cir. 1984) (decision under the ADEA, which incorporates §216(b)).</w:t>
      </w:r>
    </w:p>
    <w:p w14:paraId="7A1F0BCB" w14:textId="77777777" w:rsidR="00721CCF" w:rsidRPr="00AD2F44" w:rsidRDefault="00F42107">
      <w:pPr>
        <w:pStyle w:val="14Footnote"/>
      </w:pPr>
      <w:r w:rsidRPr="00AD2F44">
        <w:rPr>
          <w:i/>
          <w:iCs/>
        </w:rPr>
        <w:t>Fifth Circuit:</w:t>
      </w:r>
      <w:r w:rsidRPr="00AD2F44">
        <w:t xml:space="preserve"> Baldridge v. SBC Commc’ns, Inc., 404 F.3d 930, 931 (5th Cir. 2005).</w:t>
      </w:r>
    </w:p>
    <w:p w14:paraId="14145440" w14:textId="77777777" w:rsidR="00721CCF" w:rsidRPr="00AD2F44" w:rsidRDefault="00F42107">
      <w:pPr>
        <w:pStyle w:val="14Footnote"/>
      </w:pPr>
      <w:r w:rsidRPr="00AD2F44">
        <w:rPr>
          <w:i/>
          <w:iCs/>
        </w:rPr>
        <w:t>Sixth Circuit:</w:t>
      </w:r>
      <w:r w:rsidRPr="00AD2F44">
        <w:t xml:space="preserve"> Taylor v. Pilot Corp., 697 F. App’x 854, 858 (6th Cir. 2017) (relying on 28 U.S.C. §1291 to hold that FLSA conditional certification orders are not subject to interlocutory appeal because such decisions are not final).</w:t>
      </w:r>
    </w:p>
    <w:p w14:paraId="6AF0C522" w14:textId="77777777" w:rsidR="00721CCF" w:rsidRPr="00AD2F44" w:rsidRDefault="00F42107">
      <w:pPr>
        <w:pStyle w:val="14Footnote"/>
      </w:pPr>
      <w:r w:rsidRPr="00AD2F44">
        <w:rPr>
          <w:i/>
          <w:iCs/>
        </w:rPr>
        <w:t>Ninth Circuit:</w:t>
      </w:r>
      <w:r w:rsidRPr="00AD2F44">
        <w:t xml:space="preserve"> McElmurry v. U.S. Bank Nat’l Ass’n, 495 F.3d 1136, 1139 (9th Cir. 2007).</w:t>
      </w:r>
    </w:p>
    <w:p w14:paraId="31C797CC" w14:textId="6F8379EF" w:rsidR="00721CCF" w:rsidRPr="00AD2F44" w:rsidRDefault="00F42107">
      <w:pPr>
        <w:pStyle w:val="14Footnote"/>
      </w:pPr>
      <w:r w:rsidRPr="00AD2F44">
        <w:t xml:space="preserve">The parties either have not sought review under 28 U.S.C. §1292’s interlocutory review provision, which allows district courts to certify questions for interlocutory review, </w:t>
      </w:r>
      <w:r w:rsidRPr="00AD2F44">
        <w:rPr>
          <w:i/>
          <w:iCs/>
        </w:rPr>
        <w:t>see McElmurry</w:t>
      </w:r>
      <w:r w:rsidRPr="00AD2F44">
        <w:t xml:space="preserve">, 495 F.3d at 1139 (appellants did not seek review under §1292); Comer v. Wal-Mart Stores, Inc. 454 F.3d 544 (6th Cir. 2006) (§1292 not mentioned); Lusardi v. Lechner (Lusardi II), 855 F.2d 1062, 1068 (3d Cir. 1988), or such requests have been rejected, </w:t>
      </w:r>
      <w:r w:rsidRPr="00AD2F44">
        <w:rPr>
          <w:i/>
          <w:iCs/>
        </w:rPr>
        <w:t>see Baldridge</w:t>
      </w:r>
      <w:r w:rsidRPr="00AD2F44">
        <w:t xml:space="preserve">, 404 F.3d at 931 (district court rejected such review); </w:t>
      </w:r>
      <w:r w:rsidRPr="00AD2F44">
        <w:rPr>
          <w:i/>
          <w:iCs/>
        </w:rPr>
        <w:t>Lusardi</w:t>
      </w:r>
      <w:r w:rsidRPr="00AD2F44">
        <w:t xml:space="preserve"> </w:t>
      </w:r>
      <w:r w:rsidRPr="00AD2F44">
        <w:rPr>
          <w:i/>
          <w:iCs/>
        </w:rPr>
        <w:t>I</w:t>
      </w:r>
      <w:r w:rsidRPr="00AD2F44">
        <w:t>, 747 F.2d at 176 (district court denied review and prior panel rejected mandamus petition challenging denial).</w:t>
      </w:r>
    </w:p>
  </w:footnote>
  <w:footnote w:id="894">
    <w:p w14:paraId="51173D0F" w14:textId="77777777" w:rsidR="00721CCF" w:rsidRPr="00AD2F44" w:rsidRDefault="00F42107">
      <w:pPr>
        <w:pStyle w:val="14Footnote"/>
      </w:pPr>
      <w:r w:rsidRPr="00AD2F44">
        <w:rPr>
          <w:vertAlign w:val="superscript"/>
        </w:rPr>
        <w:footnoteRef/>
      </w:r>
      <w:r w:rsidRPr="00AD2F44">
        <w:rPr>
          <w:i/>
          <w:iCs/>
        </w:rPr>
        <w:t xml:space="preserve">See generally </w:t>
      </w:r>
      <w:r w:rsidRPr="00AD2F44">
        <w:t>29 U.S.C. §216(b).</w:t>
      </w:r>
    </w:p>
  </w:footnote>
  <w:footnote w:id="895">
    <w:p w14:paraId="038E3B06" w14:textId="77777777" w:rsidR="00721CCF" w:rsidRPr="00AD2F44" w:rsidRDefault="00F42107">
      <w:pPr>
        <w:pStyle w:val="14Footnote"/>
      </w:pPr>
      <w:r w:rsidRPr="00AD2F44">
        <w:rPr>
          <w:vertAlign w:val="superscript"/>
        </w:rPr>
        <w:footnoteRef/>
      </w:r>
      <w:r w:rsidRPr="00AD2F44">
        <w:t>337 U.S. 541 (1949). The “</w:t>
      </w:r>
      <w:r w:rsidRPr="00AD2F44">
        <w:rPr>
          <w:i/>
          <w:iCs/>
        </w:rPr>
        <w:t>Cohen</w:t>
      </w:r>
      <w:r w:rsidRPr="00AD2F44">
        <w:t xml:space="preserve"> test” permits review of an otherwise unreviewable district court order if (1) it conclusively determines a disputed question; (2) that question is separate from the merits of the action; and (3) the matters decided in the order at issue will be effectively unreviewable on appeal from a final judgment. </w:t>
      </w:r>
      <w:r w:rsidRPr="00AD2F44">
        <w:rPr>
          <w:i/>
          <w:iCs/>
        </w:rPr>
        <w:t>Id</w:t>
      </w:r>
      <w:r w:rsidRPr="00AD2F44">
        <w:t xml:space="preserve">. at 545–46. One appellate court has suggested a fourth factor from </w:t>
      </w:r>
      <w:r w:rsidRPr="00AD2F44">
        <w:rPr>
          <w:i/>
          <w:iCs/>
        </w:rPr>
        <w:t>Cohen</w:t>
      </w:r>
      <w:r w:rsidRPr="00AD2F44">
        <w:t xml:space="preserve">—namely, that the decision is not “tentative, informal, or incomplete.” </w:t>
      </w:r>
      <w:r w:rsidRPr="00AD2F44">
        <w:rPr>
          <w:i/>
          <w:iCs/>
        </w:rPr>
        <w:t>Comer</w:t>
      </w:r>
      <w:r w:rsidRPr="00AD2F44">
        <w:t>, 454 F.3d at 548.</w:t>
      </w:r>
    </w:p>
  </w:footnote>
  <w:footnote w:id="896">
    <w:p w14:paraId="027B0F1A" w14:textId="77777777" w:rsidR="00721CCF" w:rsidRPr="00AD2F44" w:rsidRDefault="00F42107">
      <w:pPr>
        <w:pStyle w:val="14Footnote"/>
        <w:rPr>
          <w:i/>
          <w:iCs/>
        </w:rPr>
      </w:pPr>
      <w:r w:rsidRPr="00AD2F44">
        <w:rPr>
          <w:vertAlign w:val="superscript"/>
        </w:rPr>
        <w:footnoteRef/>
      </w:r>
      <w:r w:rsidRPr="00AD2F44">
        <w:rPr>
          <w:i/>
          <w:iCs/>
        </w:rPr>
        <w:t>See</w:t>
      </w:r>
    </w:p>
    <w:p w14:paraId="45FF1B95" w14:textId="77777777" w:rsidR="00721CCF" w:rsidRPr="00AD2F44" w:rsidRDefault="00F42107">
      <w:pPr>
        <w:pStyle w:val="14Footnote"/>
      </w:pPr>
      <w:r w:rsidRPr="00AD2F44">
        <w:rPr>
          <w:i/>
          <w:iCs/>
        </w:rPr>
        <w:t>Third Circuit: Lusardi I,</w:t>
      </w:r>
      <w:r w:rsidRPr="00AD2F44">
        <w:t xml:space="preserve"> 747 F.2d 174.</w:t>
      </w:r>
    </w:p>
    <w:p w14:paraId="66D1F361" w14:textId="77777777" w:rsidR="00721CCF" w:rsidRPr="00AD2F44" w:rsidRDefault="00F42107">
      <w:pPr>
        <w:pStyle w:val="14Footnote"/>
      </w:pPr>
      <w:r w:rsidRPr="00AD2F44">
        <w:rPr>
          <w:i/>
          <w:iCs/>
        </w:rPr>
        <w:t>Fifth Circuit: Baldridge,</w:t>
      </w:r>
      <w:r w:rsidRPr="00AD2F44">
        <w:t xml:space="preserve"> 404 F.3d 930.</w:t>
      </w:r>
    </w:p>
    <w:p w14:paraId="1F72AF53" w14:textId="77777777" w:rsidR="00721CCF" w:rsidRPr="00AD2F44" w:rsidRDefault="00F42107">
      <w:pPr>
        <w:pStyle w:val="14Footnote"/>
      </w:pPr>
      <w:r w:rsidRPr="00AD2F44">
        <w:rPr>
          <w:i/>
          <w:iCs/>
        </w:rPr>
        <w:t>Sixth Circuit: Comer,</w:t>
      </w:r>
      <w:r w:rsidRPr="00AD2F44">
        <w:t xml:space="preserve"> 454 F.3d 544.</w:t>
      </w:r>
    </w:p>
    <w:p w14:paraId="0DBCC9E3" w14:textId="77777777" w:rsidR="00721CCF" w:rsidRPr="00AD2F44" w:rsidRDefault="00F42107">
      <w:pPr>
        <w:pStyle w:val="14Footnote"/>
      </w:pPr>
      <w:r w:rsidRPr="00AD2F44">
        <w:rPr>
          <w:i/>
          <w:iCs/>
        </w:rPr>
        <w:t>Ninth Circuit: McElmurry,</w:t>
      </w:r>
      <w:r w:rsidRPr="00AD2F44">
        <w:t xml:space="preserve"> 495 F.3d 1136</w:t>
      </w:r>
    </w:p>
  </w:footnote>
  <w:footnote w:id="897">
    <w:p w14:paraId="1E99CEED" w14:textId="77777777" w:rsidR="00721CCF" w:rsidRPr="00AD2F44" w:rsidRDefault="00F42107">
      <w:pPr>
        <w:pStyle w:val="14Footnote"/>
      </w:pPr>
      <w:r w:rsidRPr="00AD2F44">
        <w:rPr>
          <w:vertAlign w:val="superscript"/>
        </w:rPr>
        <w:footnoteRef/>
      </w:r>
      <w:r w:rsidRPr="00AD2F44">
        <w:rPr>
          <w:i/>
          <w:iCs/>
        </w:rPr>
        <w:t>Fifth Circuit:</w:t>
      </w:r>
      <w:r w:rsidRPr="00AD2F44">
        <w:t xml:space="preserve"> Baldridge v. SBC Commc’ns, Inc., 404 F.3d 930 (5th Cir. 2005).</w:t>
      </w:r>
    </w:p>
    <w:p w14:paraId="0DA41C30" w14:textId="77777777" w:rsidR="00721CCF" w:rsidRPr="00AD2F44" w:rsidRDefault="00F42107">
      <w:pPr>
        <w:pStyle w:val="14Footnote"/>
      </w:pPr>
      <w:r w:rsidRPr="00AD2F44">
        <w:rPr>
          <w:i/>
          <w:iCs/>
        </w:rPr>
        <w:t>Sixth Circuit:</w:t>
      </w:r>
      <w:r w:rsidRPr="00AD2F44">
        <w:t xml:space="preserve"> Comer v. Wal-Mart Stores, Inc., 454 F.3d 544 (6th Cir. 2006).</w:t>
      </w:r>
    </w:p>
    <w:p w14:paraId="6BDA18DA" w14:textId="2C061FAE" w:rsidR="00721CCF" w:rsidRPr="00AD2F44" w:rsidRDefault="00F42107">
      <w:pPr>
        <w:pStyle w:val="14Footnote"/>
      </w:pPr>
      <w:r w:rsidRPr="00AD2F44">
        <w:rPr>
          <w:i/>
          <w:iCs/>
        </w:rPr>
        <w:t xml:space="preserve">Ninth Circuit: </w:t>
      </w:r>
      <w:r w:rsidRPr="00AD2F44">
        <w:t>Villarreal v.</w:t>
      </w:r>
      <w:r w:rsidRPr="00AD2F44">
        <w:rPr>
          <w:i/>
          <w:iCs/>
        </w:rPr>
        <w:t xml:space="preserve"> </w:t>
      </w:r>
      <w:r w:rsidRPr="00AD2F44">
        <w:t>Caremark, LLC, 85 F. Supp. 3d 1063, 1073 (D. Ariz. 2015); Lillehagen v. Alorica, Inc., 2014 WL 2009031 (C.D. Cal. May 15, 2014); Ellerd v. County of Los Angeles, 2009 WL 3462179, at *6 (C.D. Cal. Oct. 22, 2009).</w:t>
      </w:r>
    </w:p>
  </w:footnote>
  <w:footnote w:id="898">
    <w:p w14:paraId="28F864F9" w14:textId="77777777" w:rsidR="00721CCF" w:rsidRPr="00AD2F44" w:rsidRDefault="00F42107">
      <w:pPr>
        <w:pStyle w:val="14Footnote"/>
      </w:pPr>
      <w:r w:rsidRPr="00AD2F44">
        <w:rPr>
          <w:vertAlign w:val="superscript"/>
        </w:rPr>
        <w:footnoteRef/>
      </w:r>
      <w:r w:rsidRPr="00AD2F44">
        <w:rPr>
          <w:i/>
          <w:iCs/>
        </w:rPr>
        <w:t>McElmurry</w:t>
      </w:r>
      <w:r w:rsidRPr="00AD2F44">
        <w:t>, 495 F.3d 1136.</w:t>
      </w:r>
    </w:p>
  </w:footnote>
  <w:footnote w:id="899">
    <w:p w14:paraId="5C466F02" w14:textId="77777777" w:rsidR="00721CCF" w:rsidRPr="00AD2F44" w:rsidRDefault="00F42107">
      <w:pPr>
        <w:pStyle w:val="14Footnote"/>
      </w:pPr>
      <w:r w:rsidRPr="00AD2F44">
        <w:rPr>
          <w:vertAlign w:val="superscript"/>
        </w:rPr>
        <w:footnoteRef/>
      </w:r>
      <w:r w:rsidRPr="00AD2F44">
        <w:t xml:space="preserve">Lusardi v. Lechner </w:t>
      </w:r>
      <w:r w:rsidRPr="00AD2F44">
        <w:rPr>
          <w:i/>
          <w:iCs/>
        </w:rPr>
        <w:t>(Lusardi II),</w:t>
      </w:r>
      <w:r w:rsidRPr="00AD2F44">
        <w:t xml:space="preserve"> 855 F.2d 1062, 1068–69 (3d Cir. 1988) (“A decertification order is reviewable on appeal from a final judgment.”); </w:t>
      </w:r>
      <w:r w:rsidRPr="00AD2F44">
        <w:rPr>
          <w:i/>
          <w:iCs/>
        </w:rPr>
        <w:t>accord</w:t>
      </w:r>
      <w:r w:rsidRPr="00AD2F44">
        <w:t xml:space="preserve"> </w:t>
      </w:r>
      <w:r w:rsidRPr="00AD2F44">
        <w:rPr>
          <w:i/>
          <w:iCs/>
        </w:rPr>
        <w:t>Baldridge</w:t>
      </w:r>
      <w:r w:rsidRPr="00AD2F44">
        <w:t>, 404 F.3d at 932 n.3 (a decertification decision would revise an earlier order granting conditional certification, and allowing appeal of that decision still implicates “the final judgment rule—preventing the hazard [of] piecemeal appeals [that] burden the efficacious administration of justice and unnecessarily protract litigation”) (alterations in original); Stevens v. HMSHost Corp.,</w:t>
      </w:r>
      <w:r w:rsidRPr="00AD2F44">
        <w:rPr>
          <w:i/>
          <w:iCs/>
        </w:rPr>
        <w:t xml:space="preserve"> </w:t>
      </w:r>
      <w:r w:rsidRPr="00AD2F44">
        <w:t>2015 WL 926007, at *4 (E.D.N.Y. Mar. 4, 2015) (denying petition for interlocutory appeal after decertification of FLSA collective action).</w:t>
      </w:r>
    </w:p>
  </w:footnote>
  <w:footnote w:id="900">
    <w:p w14:paraId="151D95AB" w14:textId="77777777" w:rsidR="00721CCF" w:rsidRPr="00AD2F44" w:rsidRDefault="00F42107">
      <w:pPr>
        <w:pStyle w:val="14Footnote"/>
      </w:pPr>
      <w:r w:rsidRPr="00AD2F44">
        <w:rPr>
          <w:vertAlign w:val="superscript"/>
        </w:rPr>
        <w:footnoteRef/>
      </w:r>
      <w:r w:rsidRPr="00AD2F44">
        <w:t xml:space="preserve">Halle v. West Penn Allegheny Health Sys. Inc., 842 F.3d 215, 231 (3d Cir. 2016). </w:t>
      </w:r>
    </w:p>
  </w:footnote>
  <w:footnote w:id="901">
    <w:p w14:paraId="2B0370DA" w14:textId="77777777" w:rsidR="00721CCF" w:rsidRPr="00AD2F44" w:rsidRDefault="00F42107">
      <w:pPr>
        <w:pStyle w:val="14Footnote"/>
      </w:pPr>
      <w:r w:rsidRPr="00AD2F44">
        <w:rPr>
          <w:vertAlign w:val="superscript"/>
        </w:rPr>
        <w:footnoteRef/>
      </w:r>
      <w:r w:rsidRPr="00AD2F44">
        <w:t xml:space="preserve">Campbell v. City of L.A., 903 F.3d 1090, 1106 (9th Cir. 2018). </w:t>
      </w:r>
    </w:p>
  </w:footnote>
  <w:footnote w:id="902">
    <w:p w14:paraId="3E0D29B8" w14:textId="77777777" w:rsidR="00721CCF" w:rsidRPr="00AD2F44" w:rsidRDefault="00F42107">
      <w:pPr>
        <w:pStyle w:val="14Footnote"/>
      </w:pPr>
      <w:r w:rsidRPr="00AD2F44">
        <w:rPr>
          <w:vertAlign w:val="superscript"/>
        </w:rPr>
        <w:footnoteRef/>
      </w:r>
      <w:r w:rsidRPr="00AD2F44">
        <w:t>Mickles v. Country Club, Inc., 887 F.3d 1270 (11th Cir. 2018).</w:t>
      </w:r>
      <w:r w:rsidRPr="00AD2F44">
        <w:rPr>
          <w:b/>
          <w:bCs/>
        </w:rPr>
        <w:t xml:space="preserve"> </w:t>
      </w:r>
    </w:p>
  </w:footnote>
  <w:footnote w:id="903">
    <w:p w14:paraId="1A065F79" w14:textId="77777777" w:rsidR="00721CCF" w:rsidRPr="00AD2F44" w:rsidRDefault="00F42107">
      <w:pPr>
        <w:pStyle w:val="14Footnote"/>
      </w:pPr>
      <w:r w:rsidRPr="00AD2F44">
        <w:rPr>
          <w:vertAlign w:val="superscript"/>
        </w:rPr>
        <w:footnoteRef/>
      </w:r>
      <w:r w:rsidRPr="00AD2F44">
        <w:t>437 U.S. 463 (1978).</w:t>
      </w:r>
    </w:p>
  </w:footnote>
  <w:footnote w:id="904">
    <w:p w14:paraId="01896074" w14:textId="77777777" w:rsidR="00721CCF" w:rsidRPr="00AD2F44" w:rsidRDefault="00F42107">
      <w:pPr>
        <w:pStyle w:val="14Footnote"/>
        <w:rPr>
          <w:i/>
          <w:iCs/>
        </w:rPr>
      </w:pPr>
      <w:r w:rsidRPr="00AD2F44">
        <w:rPr>
          <w:vertAlign w:val="superscript"/>
        </w:rPr>
        <w:footnoteRef/>
      </w:r>
      <w:r w:rsidRPr="00AD2F44">
        <w:rPr>
          <w:i/>
          <w:iCs/>
        </w:rPr>
        <w:t>Id</w:t>
      </w:r>
      <w:r w:rsidRPr="00AD2F44">
        <w:t xml:space="preserve">. at 469. </w:t>
      </w:r>
      <w:r w:rsidRPr="00AD2F44">
        <w:rPr>
          <w:i/>
          <w:iCs/>
        </w:rPr>
        <w:t>See</w:t>
      </w:r>
    </w:p>
    <w:p w14:paraId="0E45FE29" w14:textId="77777777" w:rsidR="00721CCF" w:rsidRPr="00AD2F44" w:rsidRDefault="00F42107">
      <w:pPr>
        <w:pStyle w:val="14Footnote"/>
      </w:pPr>
      <w:r w:rsidRPr="00AD2F44">
        <w:rPr>
          <w:i/>
          <w:iCs/>
        </w:rPr>
        <w:t>Second Circuit:</w:t>
      </w:r>
      <w:r w:rsidRPr="00AD2F44">
        <w:t xml:space="preserve"> Baldridge v. SBC Commc’ns, Inc., 404 F.3d 930, 931–32 (5th Cir. 2005).</w:t>
      </w:r>
    </w:p>
    <w:p w14:paraId="2E343154" w14:textId="77777777" w:rsidR="00721CCF" w:rsidRPr="00AD2F44" w:rsidRDefault="00F42107">
      <w:pPr>
        <w:pStyle w:val="14Footnote"/>
      </w:pPr>
      <w:r w:rsidRPr="00AD2F44">
        <w:rPr>
          <w:i/>
          <w:iCs/>
        </w:rPr>
        <w:t>Third Circuit:</w:t>
      </w:r>
      <w:r w:rsidRPr="00AD2F44">
        <w:t xml:space="preserve"> Lusardi v. Xerox Corp. (Lusardi I), 747 F.2d 174, 177 (3d Cir. 1984).</w:t>
      </w:r>
    </w:p>
    <w:p w14:paraId="23553EF8" w14:textId="77777777" w:rsidR="00721CCF" w:rsidRPr="00AD2F44" w:rsidRDefault="00F42107">
      <w:pPr>
        <w:pStyle w:val="14Footnote"/>
      </w:pPr>
      <w:r w:rsidRPr="00AD2F44">
        <w:rPr>
          <w:i/>
          <w:iCs/>
        </w:rPr>
        <w:t>Sixth Circuit:</w:t>
      </w:r>
      <w:r w:rsidRPr="00AD2F44">
        <w:t xml:space="preserve"> Comer v. Wal-Mart Stores, Inc., 454 F.3d 544, 549 (6th Cir. 2006) (“adopt[ing] the approach of the Fifth Circuit” in </w:t>
      </w:r>
      <w:r w:rsidRPr="00AD2F44">
        <w:rPr>
          <w:i/>
          <w:iCs/>
        </w:rPr>
        <w:t>Baldridge</w:t>
      </w:r>
      <w:r w:rsidRPr="00AD2F44">
        <w:t>).</w:t>
      </w:r>
    </w:p>
    <w:p w14:paraId="185D6AF4" w14:textId="2704D0A0" w:rsidR="00721CCF" w:rsidRPr="00AD2F44" w:rsidRDefault="00F42107">
      <w:pPr>
        <w:pStyle w:val="14Footnote"/>
      </w:pPr>
      <w:r w:rsidRPr="00AD2F44">
        <w:rPr>
          <w:i/>
          <w:iCs/>
        </w:rPr>
        <w:t>Ninth Circuit:</w:t>
      </w:r>
      <w:r w:rsidRPr="00AD2F44">
        <w:t xml:space="preserve"> McElmurry v. U.S. Bank Nat’l Ass’n, 495 F.3d 1136, 1141 (9th Cir. 2007).</w:t>
      </w:r>
    </w:p>
  </w:footnote>
  <w:footnote w:id="905">
    <w:p w14:paraId="52DCCCF9" w14:textId="77777777" w:rsidR="00721CCF" w:rsidRPr="00AD2F44" w:rsidRDefault="00F42107">
      <w:pPr>
        <w:pStyle w:val="14Footnote"/>
      </w:pPr>
      <w:r w:rsidRPr="00AD2F44">
        <w:rPr>
          <w:vertAlign w:val="superscript"/>
        </w:rPr>
        <w:footnoteRef/>
      </w:r>
      <w:r w:rsidRPr="00AD2F44">
        <w:rPr>
          <w:i/>
          <w:iCs/>
        </w:rPr>
        <w:t>McElmurry</w:t>
      </w:r>
      <w:r w:rsidRPr="00AD2F44">
        <w:t xml:space="preserve">, 495 F.3d at 1141; </w:t>
      </w:r>
      <w:r w:rsidRPr="00AD2F44">
        <w:rPr>
          <w:i/>
          <w:iCs/>
        </w:rPr>
        <w:t>Baldridge</w:t>
      </w:r>
      <w:r w:rsidRPr="00AD2F44">
        <w:t>, 404 F.3d at 932.</w:t>
      </w:r>
    </w:p>
  </w:footnote>
  <w:footnote w:id="906">
    <w:p w14:paraId="7BB042BC" w14:textId="77777777" w:rsidR="00721CCF" w:rsidRPr="00AD2F44" w:rsidRDefault="00F42107">
      <w:pPr>
        <w:pStyle w:val="14Footnote"/>
      </w:pPr>
      <w:r w:rsidRPr="00AD2F44">
        <w:rPr>
          <w:vertAlign w:val="superscript"/>
        </w:rPr>
        <w:footnoteRef/>
      </w:r>
      <w:r w:rsidRPr="00AD2F44">
        <w:rPr>
          <w:i/>
          <w:iCs/>
        </w:rPr>
        <w:t>McElmurry</w:t>
      </w:r>
      <w:r w:rsidRPr="00AD2F44">
        <w:t>, 495 F.3d at 1141 n.4.</w:t>
      </w:r>
    </w:p>
  </w:footnote>
  <w:footnote w:id="907">
    <w:p w14:paraId="33FD1963" w14:textId="77777777" w:rsidR="00721CCF" w:rsidRPr="00AD2F44" w:rsidRDefault="00F42107">
      <w:pPr>
        <w:pStyle w:val="14Footnote"/>
      </w:pPr>
      <w:r w:rsidRPr="00AD2F44">
        <w:rPr>
          <w:vertAlign w:val="superscript"/>
        </w:rPr>
        <w:footnoteRef/>
      </w:r>
      <w:r w:rsidRPr="00AD2F44">
        <w:t>Myers v. Hertz Corp., 624 F.3d 537, 555 (2d Cir. 2010).</w:t>
      </w:r>
    </w:p>
  </w:footnote>
  <w:footnote w:id="908">
    <w:p w14:paraId="0FC3C4CF" w14:textId="77777777" w:rsidR="00721CCF" w:rsidRPr="00AD2F44" w:rsidRDefault="00F42107">
      <w:pPr>
        <w:pStyle w:val="14Footnote"/>
      </w:pPr>
      <w:r w:rsidRPr="00AD2F44">
        <w:rPr>
          <w:vertAlign w:val="superscript"/>
        </w:rPr>
        <w:footnoteRef/>
      </w:r>
      <w:r w:rsidRPr="00AD2F44">
        <w:rPr>
          <w:i/>
          <w:iCs/>
        </w:rPr>
        <w:t>Id</w:t>
      </w:r>
      <w:r w:rsidRPr="00AD2F44">
        <w:t>. at 556.</w:t>
      </w:r>
    </w:p>
  </w:footnote>
  <w:footnote w:id="909">
    <w:p w14:paraId="6461E482" w14:textId="77777777" w:rsidR="00721CCF" w:rsidRPr="00AD2F44" w:rsidRDefault="00F42107">
      <w:pPr>
        <w:pStyle w:val="14Footnote"/>
      </w:pPr>
      <w:r w:rsidRPr="00AD2F44">
        <w:rPr>
          <w:vertAlign w:val="superscript"/>
        </w:rPr>
        <w:footnoteRef/>
      </w:r>
      <w:r w:rsidRPr="00AD2F44">
        <w:t>912 F.3d 115, 2018 WH Cases2d 482651 (3d Cir. 2018).</w:t>
      </w:r>
    </w:p>
  </w:footnote>
  <w:footnote w:id="910">
    <w:p w14:paraId="1A88289E" w14:textId="77777777" w:rsidR="00721CCF" w:rsidRPr="00AD2F44" w:rsidRDefault="00F42107">
      <w:pPr>
        <w:pStyle w:val="14Footnote"/>
      </w:pPr>
      <w:r w:rsidRPr="00AD2F44">
        <w:rPr>
          <w:vertAlign w:val="superscript"/>
        </w:rPr>
        <w:footnoteRef/>
      </w:r>
      <w:r w:rsidRPr="00AD2F44">
        <w:rPr>
          <w:i/>
          <w:iCs/>
        </w:rPr>
        <w:t xml:space="preserve">Id. </w:t>
      </w:r>
      <w:r w:rsidRPr="00AD2F44">
        <w:t xml:space="preserve">at 124. </w:t>
      </w:r>
      <w:r w:rsidRPr="00AD2F44">
        <w:rPr>
          <w:i/>
          <w:iCs/>
        </w:rPr>
        <w:t>See also</w:t>
      </w:r>
      <w:r w:rsidRPr="00AD2F44">
        <w:t xml:space="preserve"> Reinig v. RBS Citizens, N.A., 386 F. Supp. 3d 602, 607 (W.D. Pa. 2019) (on remand, refusing to reconsider denial of defendant’s decertification motion, emphasizing that Third Circuit held that “Rule 23 analysis did not apply to the issue of FLSA certification because the two standards are ‘fundamentally different’”). </w:t>
      </w:r>
    </w:p>
  </w:footnote>
  <w:footnote w:id="911">
    <w:p w14:paraId="748B039F" w14:textId="77777777" w:rsidR="00721CCF" w:rsidRPr="00AD2F44" w:rsidRDefault="00F42107">
      <w:pPr>
        <w:pStyle w:val="14Footnote"/>
      </w:pPr>
      <w:r w:rsidRPr="00AD2F44">
        <w:rPr>
          <w:vertAlign w:val="superscript"/>
        </w:rPr>
        <w:footnoteRef/>
      </w:r>
      <w:r w:rsidRPr="00AD2F44">
        <w:t>For a discussion of the use of offers of judgment in collective actions, see Section VII.A [Pretrial Disposition of Cases; Offers of Judgment in Collective and Class Actions] of this chapter.</w:t>
      </w:r>
    </w:p>
  </w:footnote>
  <w:footnote w:id="912">
    <w:p w14:paraId="1416DCE1" w14:textId="77777777" w:rsidR="00721CCF" w:rsidRPr="00AD2F44" w:rsidRDefault="00F42107">
      <w:pPr>
        <w:pStyle w:val="14Footnote"/>
      </w:pPr>
      <w:r w:rsidRPr="00AD2F44">
        <w:rPr>
          <w:vertAlign w:val="superscript"/>
        </w:rPr>
        <w:footnoteRef/>
      </w:r>
      <w:r w:rsidRPr="00AD2F44">
        <w:t>570 F.3d 1119 (9th Cir. 2009).</w:t>
      </w:r>
    </w:p>
  </w:footnote>
  <w:footnote w:id="913">
    <w:p w14:paraId="4C246FCA" w14:textId="77777777" w:rsidR="00721CCF" w:rsidRPr="00AD2F44" w:rsidRDefault="00F42107">
      <w:pPr>
        <w:pStyle w:val="14Footnote"/>
      </w:pPr>
      <w:r w:rsidRPr="00AD2F44">
        <w:rPr>
          <w:vertAlign w:val="superscript"/>
        </w:rPr>
        <w:footnoteRef/>
      </w:r>
      <w:r w:rsidRPr="00AD2F44">
        <w:rPr>
          <w:i/>
          <w:iCs/>
        </w:rPr>
        <w:t>Id</w:t>
      </w:r>
      <w:r w:rsidRPr="00AD2F44">
        <w:t>. at 1122.</w:t>
      </w:r>
    </w:p>
  </w:footnote>
  <w:footnote w:id="914">
    <w:p w14:paraId="2CE1803C" w14:textId="77777777" w:rsidR="00721CCF" w:rsidRPr="00AD2F44" w:rsidRDefault="00F42107">
      <w:pPr>
        <w:pStyle w:val="14Footnote"/>
      </w:pPr>
      <w:r w:rsidRPr="00AD2F44">
        <w:rPr>
          <w:vertAlign w:val="superscript"/>
        </w:rPr>
        <w:footnoteRef/>
      </w:r>
      <w:r w:rsidRPr="00AD2F44">
        <w:rPr>
          <w:i/>
          <w:iCs/>
        </w:rPr>
        <w:t>Id</w:t>
      </w:r>
      <w:r w:rsidRPr="00AD2F44">
        <w:t>. at 1121.</w:t>
      </w:r>
    </w:p>
  </w:footnote>
  <w:footnote w:id="915">
    <w:p w14:paraId="62014E31" w14:textId="77777777" w:rsidR="00721CCF" w:rsidRPr="00AD2F44" w:rsidRDefault="00F42107">
      <w:pPr>
        <w:pStyle w:val="14Footnote"/>
      </w:pPr>
      <w:r w:rsidRPr="00AD2F44">
        <w:rPr>
          <w:vertAlign w:val="superscript"/>
        </w:rPr>
        <w:footnoteRef/>
      </w:r>
      <w:r w:rsidRPr="00AD2F44">
        <w:rPr>
          <w:i/>
          <w:iCs/>
        </w:rPr>
        <w:t>Id</w:t>
      </w:r>
      <w:r w:rsidRPr="00AD2F44">
        <w:t>. at 1122.</w:t>
      </w:r>
    </w:p>
  </w:footnote>
  <w:footnote w:id="916">
    <w:p w14:paraId="6721AA2E" w14:textId="77777777" w:rsidR="00721CCF" w:rsidRPr="00AD2F44" w:rsidRDefault="00F42107">
      <w:pPr>
        <w:pStyle w:val="14Footnote"/>
      </w:pPr>
      <w:r w:rsidRPr="00AD2F44">
        <w:rPr>
          <w:vertAlign w:val="superscript"/>
        </w:rPr>
        <w:footnoteRef/>
      </w:r>
      <w:r w:rsidRPr="00AD2F44">
        <w:rPr>
          <w:i/>
          <w:iCs/>
        </w:rPr>
        <w:t>Id</w:t>
      </w:r>
      <w:r w:rsidRPr="00AD2F44">
        <w:t>. at 1123.</w:t>
      </w:r>
    </w:p>
  </w:footnote>
  <w:footnote w:id="917">
    <w:p w14:paraId="118A94A2" w14:textId="77777777" w:rsidR="00721CCF" w:rsidRPr="00AD2F44" w:rsidRDefault="00F42107">
      <w:pPr>
        <w:pStyle w:val="14Footnote"/>
      </w:pPr>
      <w:r w:rsidRPr="00AD2F44">
        <w:rPr>
          <w:vertAlign w:val="superscript"/>
        </w:rPr>
        <w:footnoteRef/>
      </w:r>
      <w:r w:rsidRPr="00AD2F44">
        <w:t>688 F.3d 872 (7th Cir. 2012).</w:t>
      </w:r>
    </w:p>
  </w:footnote>
  <w:footnote w:id="918">
    <w:p w14:paraId="0C74D03D" w14:textId="77777777" w:rsidR="00721CCF" w:rsidRPr="00AD2F44" w:rsidRDefault="00F42107">
      <w:pPr>
        <w:pStyle w:val="14Footnote"/>
      </w:pPr>
      <w:r w:rsidRPr="00AD2F44">
        <w:rPr>
          <w:vertAlign w:val="superscript"/>
        </w:rPr>
        <w:footnoteRef/>
      </w:r>
      <w:r w:rsidRPr="00AD2F44">
        <w:rPr>
          <w:i/>
          <w:iCs/>
        </w:rPr>
        <w:t>Id.</w:t>
      </w:r>
      <w:r w:rsidRPr="00AD2F44">
        <w:t xml:space="preserve"> at 877–78.</w:t>
      </w:r>
    </w:p>
  </w:footnote>
  <w:footnote w:id="919">
    <w:p w14:paraId="78656F47" w14:textId="77777777" w:rsidR="00721CCF" w:rsidRPr="00AD2F44" w:rsidRDefault="00F42107">
      <w:pPr>
        <w:pStyle w:val="14Footnote"/>
      </w:pPr>
      <w:r w:rsidRPr="00AD2F44">
        <w:rPr>
          <w:vertAlign w:val="superscript"/>
        </w:rPr>
        <w:footnoteRef/>
      </w:r>
      <w:r w:rsidRPr="00AD2F44">
        <w:rPr>
          <w:i/>
        </w:rPr>
        <w:t>Id.</w:t>
      </w:r>
    </w:p>
  </w:footnote>
  <w:footnote w:id="920">
    <w:p w14:paraId="666ADCB2" w14:textId="77777777" w:rsidR="00721CCF" w:rsidRPr="00AD2F44" w:rsidRDefault="00F42107" w:rsidP="000B6C5F">
      <w:pPr>
        <w:pStyle w:val="FootnoteText"/>
      </w:pPr>
      <w:r w:rsidRPr="00AD2F44">
        <w:rPr>
          <w:rStyle w:val="FootnoteReference"/>
        </w:rPr>
        <w:footnoteRef/>
      </w:r>
      <w:r w:rsidRPr="00AD2F44">
        <w:t xml:space="preserve">Jin v. Shanghai Original Inc., 990 F.3d 251, 261 (2d Cir. 2021). </w:t>
      </w:r>
    </w:p>
  </w:footnote>
  <w:footnote w:id="921">
    <w:p w14:paraId="2CA173B4" w14:textId="16913228" w:rsidR="00721CCF" w:rsidRPr="00AD2F44" w:rsidRDefault="00F42107">
      <w:pPr>
        <w:pStyle w:val="14Footnote"/>
      </w:pPr>
      <w:r w:rsidRPr="00AD2F44">
        <w:rPr>
          <w:vertAlign w:val="superscript"/>
        </w:rPr>
        <w:footnoteRef/>
      </w:r>
      <w:r w:rsidRPr="00AD2F44">
        <w:rPr>
          <w:i/>
          <w:iCs/>
        </w:rPr>
        <w:t>In re</w:t>
      </w:r>
      <w:r w:rsidRPr="00AD2F44">
        <w:t xml:space="preserve"> New Albertsons, Inc., 2021 BL 38816, 2021 WL 4028428 (7th Cir. Sept. 1, 2021); McElmurry v. U.S. Bank Nat’l Ass’n, 495 F.3d 1136, 1142 (9th Cir. 2007); Lusardi v. Lechner (</w:t>
      </w:r>
      <w:r w:rsidRPr="00AD2F44">
        <w:rPr>
          <w:i/>
          <w:iCs/>
        </w:rPr>
        <w:t>Lusardi II</w:t>
      </w:r>
      <w:r w:rsidRPr="00AD2F44">
        <w:t>), 855 F.2d 1062, 1064 (3d Cir. 1988).</w:t>
      </w:r>
    </w:p>
  </w:footnote>
  <w:footnote w:id="922">
    <w:p w14:paraId="48E08E77" w14:textId="2E316186" w:rsidR="00721CCF" w:rsidRPr="00AD2F44" w:rsidRDefault="00F42107">
      <w:pPr>
        <w:pStyle w:val="14Footnote"/>
      </w:pPr>
      <w:r w:rsidRPr="00AD2F44">
        <w:rPr>
          <w:vertAlign w:val="superscript"/>
        </w:rPr>
        <w:footnoteRef/>
      </w:r>
      <w:r w:rsidRPr="00AD2F44">
        <w:rPr>
          <w:i/>
          <w:iCs/>
        </w:rPr>
        <w:t>In re New Albertsons, Inc.,</w:t>
      </w:r>
      <w:r w:rsidRPr="00AD2F44">
        <w:t xml:space="preserve"> 2021 BL 38816, 2021 WL 4028428 (holding that because district courts have wide discretion to manage collective actions, lower court’s use of widely approved two-step process was not patently erroneous); </w:t>
      </w:r>
      <w:r w:rsidRPr="00AD2F44">
        <w:rPr>
          <w:i/>
          <w:iCs/>
        </w:rPr>
        <w:t xml:space="preserve">McElmurry, </w:t>
      </w:r>
      <w:r w:rsidRPr="00AD2F44">
        <w:t xml:space="preserve">495 F.3d at 1142 (petitioner had other adequate means to attain relief and any error could be corrected on appeal); </w:t>
      </w:r>
      <w:r w:rsidRPr="00AD2F44">
        <w:rPr>
          <w:i/>
          <w:iCs/>
        </w:rPr>
        <w:t>Lusardi II</w:t>
      </w:r>
      <w:r w:rsidRPr="00AD2F44">
        <w:t xml:space="preserve">, 855 F.2d at 1068, 1070–71 (petitioner had other adequate means to attain relief and district court did not commit clear error of law; rejecting argument that decision to decertify violated law of case doctrine given that initial certification decision was expressly conditional and court had made clear it might decertify conditional collective action). </w:t>
      </w:r>
      <w:r w:rsidRPr="00AD2F44">
        <w:rPr>
          <w:i/>
          <w:iCs/>
        </w:rPr>
        <w:t>But see</w:t>
      </w:r>
      <w:r w:rsidRPr="00AD2F44">
        <w:t xml:space="preserve"> </w:t>
      </w:r>
      <w:r w:rsidRPr="00AD2F44">
        <w:rPr>
          <w:i/>
          <w:iCs/>
        </w:rPr>
        <w:t>In re</w:t>
      </w:r>
      <w:r w:rsidRPr="00AD2F44">
        <w:t xml:space="preserve"> Citizens Bank, 15 F.4th 607 (3d Cir. 2021) (where Third Circuit previously stayed case pending writ of mandamus on issue of whether Rule 23 class certification decision should precede individual FLSA trial, lifting stay and holding writ moot due to pending reassignment of case for trial). </w:t>
      </w:r>
    </w:p>
  </w:footnote>
  <w:footnote w:id="923">
    <w:p w14:paraId="0D2227B7" w14:textId="1391AD46" w:rsidR="008D4DF3" w:rsidRDefault="00F42107" w:rsidP="000B6C5F">
      <w:pPr>
        <w:pStyle w:val="FootnoteText"/>
      </w:pPr>
      <w:r>
        <w:rPr>
          <w:rStyle w:val="FootnoteReference"/>
        </w:rPr>
        <w:footnoteRef/>
      </w:r>
      <w:r>
        <w:t>Babbi</w:t>
      </w:r>
      <w:r w:rsidR="00505F53">
        <w:t>t</w:t>
      </w:r>
      <w:r>
        <w:t>t</w:t>
      </w:r>
      <w:r>
        <w:t xml:space="preserve"> v. Target Corp., </w:t>
      </w:r>
      <w:r w:rsidR="00505F53" w:rsidRPr="00505F53">
        <w:t>2023 BL 85557</w:t>
      </w:r>
      <w:r w:rsidR="00505F53">
        <w:t xml:space="preserve">, </w:t>
      </w:r>
      <w:r>
        <w:t xml:space="preserve">2023 WL 2540450 (D. Minn. Mar. 16, 2023) (denying motion for interlocutory appeal, finding the Fifth Circuit decision in </w:t>
      </w:r>
      <w:r w:rsidRPr="002F69CA">
        <w:rPr>
          <w:i/>
          <w:iCs/>
        </w:rPr>
        <w:t>Swales</w:t>
      </w:r>
      <w:r>
        <w:t xml:space="preserve"> only changed the timing of notice and thus none of the three criteria for immediate appeal were met).</w:t>
      </w:r>
    </w:p>
  </w:footnote>
  <w:footnote w:id="924">
    <w:p w14:paraId="77E1435C" w14:textId="53E86128" w:rsidR="00721CCF" w:rsidRPr="00AD2F44" w:rsidRDefault="00F42107" w:rsidP="000B6C5F">
      <w:pPr>
        <w:pStyle w:val="FootnoteText"/>
      </w:pPr>
      <w:r w:rsidRPr="00AD2F44">
        <w:rPr>
          <w:rStyle w:val="FootnoteReference"/>
        </w:rPr>
        <w:footnoteRef/>
      </w:r>
      <w:r w:rsidRPr="00AD2F44">
        <w:rPr>
          <w:rFonts w:eastAsia="Times New Roman"/>
          <w:i/>
          <w:iCs/>
          <w:bdr w:val="none" w:sz="0" w:space="0" w:color="auto" w:frame="1"/>
        </w:rPr>
        <w:t xml:space="preserve">In re </w:t>
      </w:r>
      <w:r w:rsidRPr="00AD2F44">
        <w:rPr>
          <w:rFonts w:eastAsia="Times New Roman"/>
          <w:bdr w:val="none" w:sz="0" w:space="0" w:color="auto" w:frame="1"/>
        </w:rPr>
        <w:t>A&amp;D Interests, Inc</w:t>
      </w:r>
      <w:r w:rsidRPr="00AD2F44">
        <w:rPr>
          <w:rFonts w:eastAsia="Times New Roman"/>
          <w:i/>
          <w:iCs/>
          <w:bdr w:val="none" w:sz="0" w:space="0" w:color="auto" w:frame="1"/>
        </w:rPr>
        <w:t>.</w:t>
      </w:r>
      <w:r w:rsidRPr="00AD2F44">
        <w:rPr>
          <w:rFonts w:eastAsia="Times New Roman"/>
        </w:rPr>
        <w:t>, 33 F.4th 254 (5th Cir. 2022).</w:t>
      </w:r>
    </w:p>
  </w:footnote>
  <w:footnote w:id="925">
    <w:p w14:paraId="17E226EC" w14:textId="77777777" w:rsidR="00721CCF" w:rsidRPr="00AD2F44" w:rsidRDefault="00F42107" w:rsidP="00E24E29">
      <w:pPr>
        <w:pStyle w:val="14Footnote"/>
      </w:pPr>
      <w:r w:rsidRPr="00AD2F44">
        <w:rPr>
          <w:vertAlign w:val="superscript"/>
        </w:rPr>
        <w:footnoteRef/>
      </w:r>
      <w:r w:rsidRPr="00AD2F44">
        <w:t>Redmond v. NPC Int’l, Inc.,</w:t>
      </w:r>
      <w:r w:rsidRPr="00AD2F44">
        <w:rPr>
          <w:i/>
          <w:iCs/>
        </w:rPr>
        <w:t xml:space="preserve"> </w:t>
      </w:r>
      <w:r w:rsidRPr="00AD2F44">
        <w:t xml:space="preserve">2015 WL 3537428, at *4 (W.D. Tenn. June 4, 2015) (acknowledging circuit split over whether district court retains jurisdiction following filing of appeal concerning motion to compel arbitration, but electing to follow majority view of Third, Fourth, Seventh, Tenth, and Eleventh Circuits that such appeal divests district court of jurisdiction, and rejecting views of Fifth and Ninth Circuits). </w:t>
      </w:r>
    </w:p>
  </w:footnote>
  <w:footnote w:id="926">
    <w:p w14:paraId="59FBE102" w14:textId="77777777" w:rsidR="00721CCF" w:rsidRPr="00AD2F44" w:rsidRDefault="00F42107">
      <w:pPr>
        <w:pStyle w:val="14Footnote"/>
      </w:pPr>
      <w:r w:rsidRPr="00AD2F44">
        <w:rPr>
          <w:vertAlign w:val="superscript"/>
        </w:rPr>
        <w:footnoteRef/>
      </w:r>
      <w:r w:rsidRPr="00AD2F44">
        <w:t xml:space="preserve">Taylor v. Pilot Corp., 697 F. App’x 854, 858 (6th Cir. 2017), </w:t>
      </w:r>
      <w:r w:rsidRPr="00AD2F44">
        <w:rPr>
          <w:i/>
          <w:iCs/>
        </w:rPr>
        <w:t xml:space="preserve">upheld on appeal of reconsideration order, </w:t>
      </w:r>
      <w:r w:rsidRPr="00AD2F44">
        <w:t xml:space="preserve">955 F.3d 972 (6th Cir. 2020) (holding court lacked subject matter jurisdiction over claim that lower court delayed decision on motion to compel because it did not constitute denial of petition to arbitrate). </w:t>
      </w:r>
    </w:p>
  </w:footnote>
  <w:footnote w:id="927">
    <w:p w14:paraId="2EF3E930" w14:textId="77777777" w:rsidR="00721CCF" w:rsidRPr="00AD2F44" w:rsidRDefault="00F42107">
      <w:pPr>
        <w:pStyle w:val="14Footnote"/>
      </w:pPr>
      <w:r w:rsidRPr="00AD2F44">
        <w:rPr>
          <w:vertAlign w:val="superscript"/>
        </w:rPr>
        <w:footnoteRef/>
      </w:r>
      <w:r w:rsidRPr="00AD2F44">
        <w:rPr>
          <w:i/>
          <w:iCs/>
        </w:rPr>
        <w:t>See, e.g.</w:t>
      </w:r>
      <w:r w:rsidRPr="00AD2F44">
        <w:t>, Beltran v. AuPairCare, Inc., 907 F.3d 1240 (10th Cir. 2018) (overturning lower court’s refusal to sever offending clause from arbitration agreement and not compelling arbitration); Cohen v. UBS Fin. Servs., Inc., 799 F.3d 174 (2d Cir. 2015) (reviewing de novo district court’s grant of motion to compel individual arbitrations before Financial Industry Regulatory Authority (FINRA)); Sutherland v. Ernst &amp; Young LLP, 726 F.3d 290, 295 (2d Cir. 2013) (explaining Federal Arbitration Act authorizes interlocutory appeals from denials of motions to compel arbitration and review is de novo).</w:t>
      </w:r>
    </w:p>
  </w:footnote>
  <w:footnote w:id="928">
    <w:p w14:paraId="5E4599A6" w14:textId="77777777" w:rsidR="00721CCF" w:rsidRPr="00AD2F44" w:rsidRDefault="00F42107">
      <w:pPr>
        <w:pStyle w:val="14Footnote"/>
      </w:pPr>
      <w:r w:rsidRPr="00AD2F44">
        <w:rPr>
          <w:vertAlign w:val="superscript"/>
        </w:rPr>
        <w:footnoteRef/>
      </w:r>
      <w:r w:rsidRPr="00AD2F44">
        <w:t xml:space="preserve">Reinig v. RBS Citizens, N.A., 912 F.3d 115, 131 (3d Cir. 2018) (citing Myers v. Hertz Corp., 624 F.3d 537 (2d Cir. 2010)). </w:t>
      </w:r>
    </w:p>
  </w:footnote>
  <w:footnote w:id="929">
    <w:p w14:paraId="2F244C86" w14:textId="77777777" w:rsidR="00721CCF" w:rsidRPr="00AD2F44" w:rsidRDefault="00F42107">
      <w:pPr>
        <w:pStyle w:val="14Footnote"/>
      </w:pPr>
      <w:r w:rsidRPr="00AD2F44">
        <w:rPr>
          <w:vertAlign w:val="superscript"/>
        </w:rPr>
        <w:footnoteRef/>
      </w:r>
      <w:r w:rsidRPr="00AD2F44">
        <w:t>912 F.3d at 133.</w:t>
      </w:r>
      <w:r w:rsidRPr="00AD2F44">
        <w:rPr>
          <w:b/>
          <w:bCs/>
        </w:rPr>
        <w:t xml:space="preserve"> </w:t>
      </w:r>
    </w:p>
  </w:footnote>
  <w:footnote w:id="930">
    <w:p w14:paraId="1E9874A4" w14:textId="77777777" w:rsidR="00721CCF" w:rsidRPr="00AD2F44" w:rsidRDefault="00F42107">
      <w:pPr>
        <w:pStyle w:val="14Footnote"/>
      </w:pPr>
      <w:r w:rsidRPr="00AD2F44">
        <w:rPr>
          <w:vertAlign w:val="superscript"/>
        </w:rPr>
        <w:footnoteRef/>
      </w:r>
      <w:r w:rsidRPr="00AD2F44">
        <w:t xml:space="preserve">9 U.S.C. §2. </w:t>
      </w:r>
    </w:p>
  </w:footnote>
  <w:footnote w:id="931">
    <w:p w14:paraId="59BF87C0" w14:textId="77777777" w:rsidR="00721CCF" w:rsidRPr="00AD2F44" w:rsidRDefault="00F42107">
      <w:pPr>
        <w:pStyle w:val="14Footnote"/>
      </w:pPr>
      <w:r w:rsidRPr="00AD2F44">
        <w:rPr>
          <w:vertAlign w:val="superscript"/>
        </w:rPr>
        <w:footnoteRef/>
      </w:r>
      <w:r w:rsidRPr="00AD2F44">
        <w:t>A general discussion of arbitration in the context of FLSA litigation appears in Chapter 16, Litigation Issues §III [FLSA Claims in Arbitration].</w:t>
      </w:r>
    </w:p>
  </w:footnote>
  <w:footnote w:id="932">
    <w:p w14:paraId="23C7B83A" w14:textId="77777777" w:rsidR="00721CCF" w:rsidRPr="00AD2F44" w:rsidRDefault="00F42107">
      <w:pPr>
        <w:pStyle w:val="14Footnote"/>
      </w:pPr>
      <w:r w:rsidRPr="00AD2F44">
        <w:rPr>
          <w:vertAlign w:val="superscript"/>
        </w:rPr>
        <w:footnoteRef/>
      </w:r>
      <w:r w:rsidRPr="00AD2F44">
        <w:rPr>
          <w:i/>
          <w:iCs/>
        </w:rPr>
        <w:t>See, e.g.</w:t>
      </w:r>
      <w:r w:rsidRPr="00AD2F44">
        <w:t xml:space="preserve">, Walthour v. Chipio Windshield Repair, LLC, 745 F.3d 1326, 22 W&amp;H Cas. 2d 310 (11th Cir. 2014), </w:t>
      </w:r>
      <w:r w:rsidRPr="00AD2F44">
        <w:rPr>
          <w:i/>
          <w:iCs/>
        </w:rPr>
        <w:t>cert. denied</w:t>
      </w:r>
      <w:r w:rsidRPr="00AD2F44">
        <w:t>, 134 S. Ct. 2886 (2014).</w:t>
      </w:r>
    </w:p>
  </w:footnote>
  <w:footnote w:id="933">
    <w:p w14:paraId="56DB59D6" w14:textId="77777777" w:rsidR="00721CCF" w:rsidRPr="00AD2F44" w:rsidRDefault="00F42107">
      <w:pPr>
        <w:pStyle w:val="14Footnote"/>
      </w:pPr>
      <w:r w:rsidRPr="00AD2F44">
        <w:rPr>
          <w:vertAlign w:val="superscript"/>
        </w:rPr>
        <w:footnoteRef/>
      </w:r>
      <w:r w:rsidRPr="00AD2F44">
        <w:rPr>
          <w:i/>
          <w:iCs/>
        </w:rPr>
        <w:t>See, e.g., id</w:t>
      </w:r>
      <w:r w:rsidRPr="00AD2F44">
        <w:t xml:space="preserve">. </w:t>
      </w:r>
      <w:r w:rsidRPr="00AD2F44">
        <w:rPr>
          <w:i/>
          <w:iCs/>
        </w:rPr>
        <w:t>See also</w:t>
      </w:r>
      <w:r w:rsidRPr="00AD2F44">
        <w:t xml:space="preserve"> </w:t>
      </w:r>
    </w:p>
    <w:p w14:paraId="21CAB3A3" w14:textId="5524B665" w:rsidR="00721CCF" w:rsidRPr="00AD2F44" w:rsidRDefault="00F42107">
      <w:pPr>
        <w:pStyle w:val="14Footnote"/>
      </w:pPr>
      <w:r w:rsidRPr="00AD2F44">
        <w:rPr>
          <w:i/>
          <w:iCs/>
        </w:rPr>
        <w:t xml:space="preserve">Second Circuit: </w:t>
      </w:r>
      <w:r w:rsidRPr="00AD2F44">
        <w:t>Lusk v. Serve U Brands, Inc., 2019 BL 346307, 2019 WL 4415122 (W.D.N.Y. Sept. 16, 2019) (recognizing that class and collective waivers outside arbitration context have been found unenforceable in Sixth Circuit but enforceable in other circuits because right to proceed collectively may be waived) (citing Killion v. KeHE Distribs., LLC, 761 F.3d 574 (6th Cir. 2014)).</w:t>
      </w:r>
    </w:p>
    <w:p w14:paraId="6D84DA4D" w14:textId="4CD45B2A" w:rsidR="00721CCF" w:rsidRPr="00AD2F44" w:rsidRDefault="00F42107">
      <w:pPr>
        <w:pStyle w:val="14Footnote"/>
      </w:pPr>
      <w:r w:rsidRPr="00AD2F44">
        <w:rPr>
          <w:i/>
          <w:iCs/>
        </w:rPr>
        <w:t>Third Circuit:</w:t>
      </w:r>
      <w:r w:rsidRPr="00AD2F44">
        <w:t xml:space="preserve"> Vaughn v. Pittsburgh Fondue, LLC, 2021 BL 263418, 2021 WL 2952902 (W.D. Pa. July 14, 2021) (finding separate signed class waiver enforceable and consistent with FLSA case law despite being outside</w:t>
      </w:r>
      <w:r>
        <w:t xml:space="preserve"> </w:t>
      </w:r>
      <w:r w:rsidRPr="00AD2F44">
        <w:t xml:space="preserve">arbitration context). </w:t>
      </w:r>
    </w:p>
    <w:p w14:paraId="1D7D5A23" w14:textId="77777777" w:rsidR="00721CCF" w:rsidRDefault="00F42107">
      <w:pPr>
        <w:pStyle w:val="14Footnote"/>
      </w:pPr>
      <w:r w:rsidRPr="00AD2F44">
        <w:rPr>
          <w:i/>
          <w:iCs/>
        </w:rPr>
        <w:t xml:space="preserve">Fourth Circuit: </w:t>
      </w:r>
      <w:r w:rsidRPr="00AD2F44">
        <w:t>Hutchens v. Capital One Servs. LLC, 2020 BL 212194, 2020 WL 3053657 (E.D. Va. June 8, 2020) (dismissing plaintiff’s collective FLSA claims where plaintiff signed severance agreement containing collective action waiver).</w:t>
      </w:r>
    </w:p>
    <w:p w14:paraId="72FBD27D" w14:textId="4AD7CAB3" w:rsidR="00721CCF" w:rsidRPr="00AE02E3" w:rsidRDefault="00F42107">
      <w:pPr>
        <w:pStyle w:val="14Footnote"/>
      </w:pPr>
      <w:r>
        <w:rPr>
          <w:i/>
          <w:iCs/>
        </w:rPr>
        <w:t>Ninth Circuit</w:t>
      </w:r>
      <w:r>
        <w:t xml:space="preserve">: </w:t>
      </w:r>
      <w:r w:rsidRPr="00AE02E3">
        <w:t>Barnett v. Concentrix Sols</w:t>
      </w:r>
      <w:r w:rsidR="00CA6DD8">
        <w:t>.</w:t>
      </w:r>
      <w:r w:rsidRPr="00AE02E3">
        <w:t xml:space="preserve"> Corp</w:t>
      </w:r>
      <w:r>
        <w:t xml:space="preserve">., </w:t>
      </w:r>
      <w:r w:rsidR="00237357" w:rsidRPr="00237357">
        <w:t>2022 BL 437975</w:t>
      </w:r>
      <w:r w:rsidR="00237357">
        <w:t xml:space="preserve">, </w:t>
      </w:r>
      <w:r w:rsidRPr="00AE02E3">
        <w:t>2022 WL 17486813 (D. Ariz. Dec. 7, 2022)</w:t>
      </w:r>
      <w:r>
        <w:t xml:space="preserve"> (holding</w:t>
      </w:r>
      <w:r w:rsidRPr="00AE02E3">
        <w:t xml:space="preserve"> class and collective action waiver was valid and enforceable</w:t>
      </w:r>
      <w:r>
        <w:t xml:space="preserve">, dismissing </w:t>
      </w:r>
      <w:r w:rsidRPr="00AE02E3">
        <w:t xml:space="preserve">plaintiff’s </w:t>
      </w:r>
      <w:r>
        <w:t xml:space="preserve">FLSA </w:t>
      </w:r>
      <w:r w:rsidRPr="00AE02E3">
        <w:t>claims</w:t>
      </w:r>
      <w:r>
        <w:t>).</w:t>
      </w:r>
    </w:p>
    <w:p w14:paraId="3FF35CFE" w14:textId="576BC903" w:rsidR="00721CCF" w:rsidRPr="00AD2F44" w:rsidRDefault="00F42107">
      <w:pPr>
        <w:pStyle w:val="14Footnote"/>
      </w:pPr>
      <w:r w:rsidRPr="00CA6DD8">
        <w:rPr>
          <w:i/>
          <w:iCs/>
        </w:rPr>
        <w:t xml:space="preserve">Eleventh Circuit: </w:t>
      </w:r>
      <w:r w:rsidRPr="00CA6DD8">
        <w:t xml:space="preserve">Figueredo-Chavez v. RCI Hosp. </w:t>
      </w:r>
      <w:r w:rsidRPr="00AD2F44">
        <w:t xml:space="preserve">Holdings, Inc., 574 F. Supp. 3d 1175 (S.D. Fla. 2021), </w:t>
      </w:r>
      <w:r w:rsidRPr="00AD2F44">
        <w:rPr>
          <w:i/>
          <w:iCs/>
        </w:rPr>
        <w:t>reconsideration denied</w:t>
      </w:r>
      <w:r w:rsidRPr="00AD2F44">
        <w:t xml:space="preserve">, 2022 WL 457848 (S.D. Fla. Jan. 6, 2022) (holding where arbitration agreement was found unenforceable that class action waiver in arbitration agreement was severable and enforceable to preclude collective treatment); Bailey v. Vulcan Materials Co., 2021 BL 469329, 2021 WL 5860743 (N.D. Ga. Nov. 16, 2021) (dismissing plaintiff’s FLSA collective claim where plaintiff signed “independent contractor service agreement” including collective action waiver, reasoning it was not inconsistent with FLSA). </w:t>
      </w:r>
    </w:p>
  </w:footnote>
  <w:footnote w:id="934">
    <w:p w14:paraId="76434088" w14:textId="77777777" w:rsidR="00721CCF" w:rsidRPr="00AD2F44" w:rsidRDefault="00F42107">
      <w:pPr>
        <w:pStyle w:val="14Footnote"/>
      </w:pPr>
      <w:r w:rsidRPr="00AD2F44">
        <w:rPr>
          <w:vertAlign w:val="superscript"/>
        </w:rPr>
        <w:footnoteRef/>
      </w:r>
      <w:r w:rsidRPr="00AD2F44">
        <w:rPr>
          <w:i/>
          <w:iCs/>
        </w:rPr>
        <w:t>See</w:t>
      </w:r>
      <w:r w:rsidRPr="00AD2F44">
        <w:t xml:space="preserve"> Skirchak v. Dynamics Rsch. Corp., 432 F. Supp. 2d 175, 179 (D. Mass. 2006), </w:t>
      </w:r>
      <w:r w:rsidRPr="00AD2F44">
        <w:rPr>
          <w:i/>
          <w:iCs/>
        </w:rPr>
        <w:t>aff’d and remanded</w:t>
      </w:r>
      <w:r w:rsidRPr="00AD2F44">
        <w:t>, 508 F.3d 49, 62 (1st Cir. 2007) (recognizing “policy debate about whether class action waivers essentially act as exculpatory clauses, allowing for violations of laws where individual cases involve low dollar amounts and so will not adequately address or prevent illegality”);</w:t>
      </w:r>
      <w:r w:rsidRPr="00AD2F44">
        <w:rPr>
          <w:i/>
          <w:iCs/>
        </w:rPr>
        <w:t xml:space="preserve"> </w:t>
      </w:r>
      <w:r w:rsidRPr="00AD2F44">
        <w:t>Walker v. Ryan’s Family Steak Houses, Inc., 289 F. Supp. 2d 916, 922–23 (M.D. Tenn. 2003) (noting that the preclusion of class actions in an arbitral forum was “troublesome and support[s] a finding of structural bias in favor of employers … particularly [in an FLSA case where] often each individual claim results in a small monetary remedy, whereas class actions often result in practice and programmatic change that benefit all employees”).</w:t>
      </w:r>
    </w:p>
  </w:footnote>
  <w:footnote w:id="935">
    <w:p w14:paraId="0D0F8D75" w14:textId="77777777" w:rsidR="00721CCF" w:rsidRPr="00AD2F44" w:rsidRDefault="00F42107">
      <w:pPr>
        <w:pStyle w:val="14Footnote"/>
      </w:pPr>
      <w:r w:rsidRPr="00AD2F44">
        <w:rPr>
          <w:vertAlign w:val="superscript"/>
        </w:rPr>
        <w:footnoteRef/>
      </w:r>
      <w:r w:rsidRPr="00AD2F44">
        <w:t>362 F.3d 294 (5th Cir. 2004).</w:t>
      </w:r>
    </w:p>
  </w:footnote>
  <w:footnote w:id="936">
    <w:p w14:paraId="28B27249" w14:textId="77777777" w:rsidR="00721CCF" w:rsidRPr="00AD2F44" w:rsidRDefault="00F42107">
      <w:pPr>
        <w:pStyle w:val="14Footnote"/>
      </w:pPr>
      <w:r w:rsidRPr="00AD2F44">
        <w:rPr>
          <w:vertAlign w:val="superscript"/>
        </w:rPr>
        <w:footnoteRef/>
      </w:r>
      <w:r w:rsidRPr="00AD2F44">
        <w:rPr>
          <w:i/>
          <w:iCs/>
        </w:rPr>
        <w:t>Id.</w:t>
      </w:r>
      <w:r w:rsidRPr="00AD2F44">
        <w:t xml:space="preserve"> at 297–98 (affirming district court’s decision to compel arbitration).</w:t>
      </w:r>
    </w:p>
  </w:footnote>
  <w:footnote w:id="937">
    <w:p w14:paraId="60D71782" w14:textId="77777777" w:rsidR="00721CCF" w:rsidRPr="00AD2F44" w:rsidRDefault="00F42107">
      <w:pPr>
        <w:pStyle w:val="14Footnote"/>
      </w:pPr>
      <w:r w:rsidRPr="00AD2F44">
        <w:rPr>
          <w:vertAlign w:val="superscript"/>
        </w:rPr>
        <w:footnoteRef/>
      </w:r>
      <w:r w:rsidRPr="00AD2F44">
        <w:t>428 F.3d 1359 (11th Cir. 2005).</w:t>
      </w:r>
    </w:p>
  </w:footnote>
  <w:footnote w:id="938">
    <w:p w14:paraId="36ADD0E3" w14:textId="77777777" w:rsidR="00721CCF" w:rsidRPr="00AD2F44" w:rsidRDefault="00F42107">
      <w:pPr>
        <w:pStyle w:val="14Footnote"/>
      </w:pPr>
      <w:r w:rsidRPr="00AD2F44">
        <w:rPr>
          <w:vertAlign w:val="superscript"/>
        </w:rPr>
        <w:footnoteRef/>
      </w:r>
      <w:r w:rsidRPr="00AD2F44">
        <w:rPr>
          <w:i/>
          <w:iCs/>
        </w:rPr>
        <w:t>Id</w:t>
      </w:r>
      <w:r w:rsidRPr="00AD2F44">
        <w:t xml:space="preserve">. at 1378 (internal citation omitted). In </w:t>
      </w:r>
      <w:r w:rsidRPr="00AD2F44">
        <w:rPr>
          <w:i/>
          <w:iCs/>
        </w:rPr>
        <w:t>Gilmer v</w:t>
      </w:r>
      <w:r w:rsidRPr="00AD2F44">
        <w:t>.</w:t>
      </w:r>
      <w:r w:rsidRPr="00AD2F44">
        <w:rPr>
          <w:i/>
          <w:iCs/>
        </w:rPr>
        <w:t xml:space="preserve"> Interstate/Johnson Lane Corp</w:t>
      </w:r>
      <w:r w:rsidRPr="00AD2F44">
        <w:t>., 500 U.S. 20, 32 (1991), a case that paved the way for arbitration of statutory employment claims, the Court stated that “even if the arbitration could not go forward as a class action or class relief could not be granted by the arbitrator, the fact that the [ADEA] provides for the possibility of bringing a collective action does not mean that the individual attempts at conciliation were intended to be barred.”</w:t>
      </w:r>
    </w:p>
  </w:footnote>
  <w:footnote w:id="939">
    <w:p w14:paraId="45335534" w14:textId="77777777" w:rsidR="00721CCF" w:rsidRPr="00AD2F44" w:rsidRDefault="00F42107">
      <w:pPr>
        <w:pStyle w:val="14Footnote"/>
      </w:pPr>
      <w:r w:rsidRPr="00AD2F44">
        <w:rPr>
          <w:vertAlign w:val="superscript"/>
        </w:rPr>
        <w:footnoteRef/>
      </w:r>
      <w:r w:rsidRPr="00AD2F44">
        <w:t xml:space="preserve">Adkins v. Labor Ready, Inc., 303 F.3d 496, 502–03 (4th Cir. 2002) (inability of FLSA plaintiff to bring class action “cannot by itself suffice to defeat the strong congressional preference for an arbitral forum”). In </w:t>
      </w:r>
      <w:r w:rsidRPr="00AD2F44">
        <w:rPr>
          <w:i/>
          <w:iCs/>
        </w:rPr>
        <w:t>Adams v</w:t>
      </w:r>
      <w:r w:rsidRPr="00AD2F44">
        <w:t>.</w:t>
      </w:r>
      <w:r w:rsidRPr="00AD2F44">
        <w:rPr>
          <w:i/>
          <w:iCs/>
        </w:rPr>
        <w:t xml:space="preserve"> Citicorp Credit Services, Inc</w:t>
      </w:r>
      <w:r w:rsidRPr="00AD2F44">
        <w:t xml:space="preserve">., 93 F. Supp. 3d 441 (M.D.N.C. 2015), the district court considered “textual and intent-based arguments that were neither before the </w:t>
      </w:r>
      <w:r w:rsidRPr="00AD2F44">
        <w:rPr>
          <w:i/>
          <w:iCs/>
        </w:rPr>
        <w:t>Adkins</w:t>
      </w:r>
      <w:r w:rsidRPr="00AD2F44">
        <w:t xml:space="preserve"> panel, nor considered by that court” and concluded that they did not change </w:t>
      </w:r>
      <w:r w:rsidRPr="00AD2F44">
        <w:rPr>
          <w:i/>
          <w:iCs/>
        </w:rPr>
        <w:t>Adkins</w:t>
      </w:r>
      <w:r w:rsidRPr="00AD2F44">
        <w:t xml:space="preserve">’ holding that arbitration agreements prohibiting collective actions are enforceable. </w:t>
      </w:r>
      <w:r w:rsidRPr="00AD2F44">
        <w:rPr>
          <w:i/>
          <w:iCs/>
        </w:rPr>
        <w:t>Adams</w:t>
      </w:r>
      <w:r w:rsidRPr="00AD2F44">
        <w:t xml:space="preserve">, 93 F. Supp. 3d at 449–51. </w:t>
      </w:r>
    </w:p>
  </w:footnote>
  <w:footnote w:id="940">
    <w:p w14:paraId="5D588355" w14:textId="77777777" w:rsidR="00721CCF" w:rsidRPr="00AD2F44" w:rsidRDefault="00F42107">
      <w:pPr>
        <w:pStyle w:val="14Footnote"/>
      </w:pPr>
      <w:r w:rsidRPr="00AD2F44">
        <w:rPr>
          <w:vertAlign w:val="superscript"/>
        </w:rPr>
        <w:footnoteRef/>
      </w:r>
      <w:r w:rsidRPr="00AD2F44">
        <w:t xml:space="preserve">Horenstein v. Mortgage Mkt., Inc., 9 F. App’x 618, 619 (9th Cir. 2001) (holding arbitration agreement’s elimination of statutory right to collective action is insufficient to render agreement unenforceable). </w:t>
      </w:r>
    </w:p>
  </w:footnote>
  <w:footnote w:id="941">
    <w:p w14:paraId="27B32CBF" w14:textId="77777777" w:rsidR="00721CCF" w:rsidRPr="00AD2F44" w:rsidRDefault="00F42107">
      <w:pPr>
        <w:pStyle w:val="14Footnote"/>
      </w:pPr>
      <w:r w:rsidRPr="00AD2F44">
        <w:rPr>
          <w:vertAlign w:val="superscript"/>
        </w:rPr>
        <w:footnoteRef/>
      </w:r>
      <w:r w:rsidRPr="00AD2F44">
        <w:t>563 U.S. 333 (2011).</w:t>
      </w:r>
    </w:p>
  </w:footnote>
  <w:footnote w:id="942">
    <w:p w14:paraId="1FC85F33" w14:textId="77777777" w:rsidR="00721CCF" w:rsidRPr="00AD2F44" w:rsidRDefault="00F42107">
      <w:pPr>
        <w:pStyle w:val="14Footnote"/>
      </w:pPr>
      <w:r w:rsidRPr="00AD2F44">
        <w:rPr>
          <w:vertAlign w:val="superscript"/>
        </w:rPr>
        <w:footnoteRef/>
      </w:r>
      <w:r w:rsidRPr="00AD2F44">
        <w:t>563 U.S. at 352.</w:t>
      </w:r>
    </w:p>
  </w:footnote>
  <w:footnote w:id="943">
    <w:p w14:paraId="64F8E9C3" w14:textId="77777777" w:rsidR="00721CCF" w:rsidRPr="00AD2F44" w:rsidRDefault="00F42107">
      <w:pPr>
        <w:pStyle w:val="14Footnote"/>
      </w:pPr>
      <w:r w:rsidRPr="00AD2F44">
        <w:rPr>
          <w:vertAlign w:val="superscript"/>
        </w:rPr>
        <w:footnoteRef/>
      </w:r>
      <w:r w:rsidRPr="00AD2F44">
        <w:rPr>
          <w:i/>
          <w:iCs/>
        </w:rPr>
        <w:t>Id</w:t>
      </w:r>
      <w:r w:rsidRPr="00AD2F44">
        <w:t>. at 344 (emphasis in original).</w:t>
      </w:r>
    </w:p>
  </w:footnote>
  <w:footnote w:id="944">
    <w:p w14:paraId="3C2CCD8F" w14:textId="77777777" w:rsidR="00721CCF" w:rsidRPr="00AD2F44" w:rsidRDefault="00F42107">
      <w:pPr>
        <w:pStyle w:val="14Footnote"/>
      </w:pPr>
      <w:r w:rsidRPr="00AD2F44">
        <w:rPr>
          <w:vertAlign w:val="superscript"/>
        </w:rPr>
        <w:footnoteRef/>
      </w:r>
      <w:r w:rsidRPr="00AD2F44">
        <w:rPr>
          <w:i/>
          <w:iCs/>
        </w:rPr>
        <w:t>Id</w:t>
      </w:r>
      <w:r w:rsidRPr="00AD2F44">
        <w:t>. at 345.</w:t>
      </w:r>
    </w:p>
  </w:footnote>
  <w:footnote w:id="945">
    <w:p w14:paraId="1DD6BA1F" w14:textId="77777777" w:rsidR="00721CCF" w:rsidRPr="00AD2F44" w:rsidRDefault="00F42107">
      <w:pPr>
        <w:pStyle w:val="14Footnote"/>
      </w:pPr>
      <w:r w:rsidRPr="00AD2F44">
        <w:rPr>
          <w:vertAlign w:val="superscript"/>
        </w:rPr>
        <w:footnoteRef/>
      </w:r>
      <w:r w:rsidRPr="00AD2F44">
        <w:rPr>
          <w:i/>
          <w:iCs/>
        </w:rPr>
        <w:t>Id</w:t>
      </w:r>
      <w:r w:rsidRPr="00AD2F44">
        <w:t>. at 348.</w:t>
      </w:r>
    </w:p>
  </w:footnote>
  <w:footnote w:id="946">
    <w:p w14:paraId="51AF0290" w14:textId="77777777" w:rsidR="00721CCF" w:rsidRPr="00AD2F44" w:rsidRDefault="00F42107">
      <w:pPr>
        <w:pStyle w:val="14Footnote"/>
      </w:pPr>
      <w:r w:rsidRPr="00AD2F44">
        <w:rPr>
          <w:vertAlign w:val="superscript"/>
        </w:rPr>
        <w:footnoteRef/>
      </w:r>
      <w:r w:rsidRPr="00AD2F44">
        <w:rPr>
          <w:i/>
          <w:iCs/>
        </w:rPr>
        <w:t>Id.</w:t>
      </w:r>
      <w:r w:rsidRPr="00AD2F44">
        <w:t xml:space="preserve"> at 349 (emphasis in original).</w:t>
      </w:r>
    </w:p>
  </w:footnote>
  <w:footnote w:id="947">
    <w:p w14:paraId="42023D35" w14:textId="77777777" w:rsidR="00721CCF" w:rsidRPr="00AD2F44" w:rsidRDefault="00F42107">
      <w:pPr>
        <w:pStyle w:val="14Footnote"/>
      </w:pPr>
      <w:r w:rsidRPr="00AD2F44">
        <w:rPr>
          <w:vertAlign w:val="superscript"/>
        </w:rPr>
        <w:footnoteRef/>
      </w:r>
      <w:r w:rsidRPr="00AD2F44">
        <w:rPr>
          <w:i/>
          <w:iCs/>
        </w:rPr>
        <w:t>Id</w:t>
      </w:r>
      <w:r w:rsidRPr="00AD2F44">
        <w:t>. at 350.</w:t>
      </w:r>
    </w:p>
  </w:footnote>
  <w:footnote w:id="948">
    <w:p w14:paraId="6AF2ED7F" w14:textId="77777777" w:rsidR="00721CCF" w:rsidRPr="00AD2F44" w:rsidRDefault="00F42107">
      <w:pPr>
        <w:pStyle w:val="14Footnote"/>
      </w:pPr>
      <w:r w:rsidRPr="00AD2F44">
        <w:rPr>
          <w:vertAlign w:val="superscript"/>
        </w:rPr>
        <w:footnoteRef/>
      </w:r>
      <w:r w:rsidRPr="00AD2F44">
        <w:t>702 F.3d 1050 (8th Cir. 2013).</w:t>
      </w:r>
    </w:p>
  </w:footnote>
  <w:footnote w:id="949">
    <w:p w14:paraId="048E19C6" w14:textId="77777777" w:rsidR="00721CCF" w:rsidRPr="00AD2F44" w:rsidRDefault="00F42107">
      <w:pPr>
        <w:pStyle w:val="14Footnote"/>
      </w:pPr>
      <w:r w:rsidRPr="00AD2F44">
        <w:rPr>
          <w:vertAlign w:val="superscript"/>
        </w:rPr>
        <w:footnoteRef/>
      </w:r>
      <w:r w:rsidRPr="00AD2F44">
        <w:rPr>
          <w:i/>
          <w:iCs/>
        </w:rPr>
        <w:t>Id.</w:t>
      </w:r>
      <w:r w:rsidRPr="00AD2F44">
        <w:t xml:space="preserve"> at 1054 (citing Caley v. Gulfstream Aerospace Corp., 428 F.3d 1359, 1378 (11th Cir. 2005); Carter v. Countrywide Credit Indus., Inc., 362 F.3d 294, 298 (5th Cir. 2004); Adkins v. Labor Ready, Inc., 303 F.3d 496, 503 (4th Cir. 2002)); </w:t>
      </w:r>
      <w:r w:rsidRPr="00AD2F44">
        <w:rPr>
          <w:i/>
          <w:iCs/>
        </w:rPr>
        <w:t>see also</w:t>
      </w:r>
      <w:r w:rsidRPr="00AD2F44">
        <w:t xml:space="preserve"> Quilloin v. Tenet Healthsystem Phila., Inc., 673 F.3d 221, 232 (3d Cir. 2012) (noting “even if the agreement explicitly waived Quilloin’s right to pursue class actions, the Pennsylvania law prohibiting class action waivers [would] surely [be] preempted by the FAA under </w:t>
      </w:r>
      <w:r w:rsidRPr="00AD2F44">
        <w:rPr>
          <w:i/>
          <w:iCs/>
        </w:rPr>
        <w:t>Concepcion</w:t>
      </w:r>
      <w:r w:rsidRPr="00AD2F44">
        <w:t>”).</w:t>
      </w:r>
    </w:p>
  </w:footnote>
  <w:footnote w:id="950">
    <w:p w14:paraId="5A7F857D" w14:textId="77777777" w:rsidR="00721CCF" w:rsidRPr="00AD2F44" w:rsidRDefault="00F42107">
      <w:pPr>
        <w:pStyle w:val="14Footnote"/>
      </w:pPr>
      <w:r w:rsidRPr="00AD2F44">
        <w:rPr>
          <w:vertAlign w:val="superscript"/>
        </w:rPr>
        <w:footnoteRef/>
      </w:r>
      <w:r w:rsidRPr="00AD2F44">
        <w:t>726 F.3d 290 (2d Cir. 2013).</w:t>
      </w:r>
    </w:p>
  </w:footnote>
  <w:footnote w:id="951">
    <w:p w14:paraId="6930EDF7" w14:textId="77777777" w:rsidR="00721CCF" w:rsidRPr="00AD2F44" w:rsidRDefault="00F42107">
      <w:pPr>
        <w:pStyle w:val="14Footnote"/>
      </w:pPr>
      <w:r w:rsidRPr="00AD2F44">
        <w:rPr>
          <w:vertAlign w:val="superscript"/>
        </w:rPr>
        <w:footnoteRef/>
      </w:r>
      <w:r w:rsidRPr="00AD2F44">
        <w:t>533 F. App’x 11 (2d Cir. 2013).</w:t>
      </w:r>
    </w:p>
  </w:footnote>
  <w:footnote w:id="952">
    <w:p w14:paraId="1526099B" w14:textId="77777777" w:rsidR="00721CCF" w:rsidRPr="00AD2F44" w:rsidRDefault="00F42107">
      <w:pPr>
        <w:pStyle w:val="14Footnote"/>
      </w:pPr>
      <w:r w:rsidRPr="00AD2F44">
        <w:rPr>
          <w:vertAlign w:val="superscript"/>
        </w:rPr>
        <w:footnoteRef/>
      </w:r>
      <w:r w:rsidRPr="00AD2F44">
        <w:rPr>
          <w:i/>
          <w:iCs/>
        </w:rPr>
        <w:t>Sutherland</w:t>
      </w:r>
      <w:r w:rsidRPr="00AD2F44">
        <w:t xml:space="preserve">, 726 F.3d at 296. The Second Circuit subsequently held that the rules of the FINRA Code of Arbitration Procedures for Industry Disputes also do not constitute a “contrary congressional command” prohibiting an employee from waiving his or her right to proceed collectively under the FLSA in an arbitration agreement. Cohen v. UBS Fin. Serv., Inc., 799 F.3d 174 (2d Cir. 2015). In </w:t>
      </w:r>
      <w:r w:rsidRPr="00AD2F44">
        <w:rPr>
          <w:i/>
          <w:iCs/>
        </w:rPr>
        <w:t>Cohen</w:t>
      </w:r>
      <w:r w:rsidRPr="00AD2F44">
        <w:t xml:space="preserve">, the court acknowledged that Rule 13204 of FINRA’s arbitration code “bars arbitration of a claim so long as it is embedded in a class action or collective action.” </w:t>
      </w:r>
      <w:r w:rsidRPr="00AD2F44">
        <w:rPr>
          <w:i/>
          <w:iCs/>
        </w:rPr>
        <w:t>Id</w:t>
      </w:r>
      <w:r w:rsidRPr="00AD2F44">
        <w:t xml:space="preserve">. at 178. However, it found that the rule “does not preserve the right to assert a claim in a class or collective form notwithstanding a contractual waiver.” </w:t>
      </w:r>
      <w:r w:rsidRPr="00AD2F44">
        <w:rPr>
          <w:i/>
          <w:iCs/>
        </w:rPr>
        <w:t>Id</w:t>
      </w:r>
      <w:r w:rsidRPr="00AD2F44">
        <w:t xml:space="preserve">. The court distinguished between a “promise to [forgo] certain procedural mechanisms </w:t>
      </w:r>
      <w:r w:rsidRPr="00AD2F44">
        <w:rPr>
          <w:i/>
          <w:iCs/>
        </w:rPr>
        <w:t>in court</w:t>
      </w:r>
      <w:r w:rsidRPr="00AD2F44">
        <w:t xml:space="preserve">” and “[a]n agreement to arbitrate … , [which] is a promise to have a dispute heard in some forum </w:t>
      </w:r>
      <w:r w:rsidRPr="00AD2F44">
        <w:rPr>
          <w:i/>
          <w:iCs/>
        </w:rPr>
        <w:t>other than a court</w:t>
      </w:r>
      <w:r w:rsidRPr="00AD2F44">
        <w:t xml:space="preserve">.” </w:t>
      </w:r>
      <w:r w:rsidRPr="00AD2F44">
        <w:rPr>
          <w:i/>
          <w:iCs/>
        </w:rPr>
        <w:t>Id</w:t>
      </w:r>
      <w:r w:rsidRPr="00AD2F44">
        <w:t xml:space="preserve">. at 179. The court held that “Rule 13204 restricts the latter, but not the former.” </w:t>
      </w:r>
      <w:r w:rsidRPr="00AD2F44">
        <w:rPr>
          <w:i/>
          <w:iCs/>
        </w:rPr>
        <w:t>Id</w:t>
      </w:r>
      <w:r w:rsidRPr="00AD2F44">
        <w:t>.</w:t>
      </w:r>
    </w:p>
  </w:footnote>
  <w:footnote w:id="953">
    <w:p w14:paraId="6F4B2FDC" w14:textId="77777777" w:rsidR="00721CCF" w:rsidRPr="00AD2F44" w:rsidRDefault="00F42107">
      <w:pPr>
        <w:pStyle w:val="14Footnote"/>
      </w:pPr>
      <w:r w:rsidRPr="00AD2F44">
        <w:rPr>
          <w:vertAlign w:val="superscript"/>
        </w:rPr>
        <w:footnoteRef/>
      </w:r>
      <w:r w:rsidRPr="00AD2F44">
        <w:t xml:space="preserve">745 F.3d 1326, 22 WH Cases2d 310 (11th Cir. 2014), </w:t>
      </w:r>
      <w:r w:rsidRPr="00AD2F44">
        <w:rPr>
          <w:i/>
          <w:iCs/>
        </w:rPr>
        <w:t>cert. denied</w:t>
      </w:r>
      <w:r w:rsidRPr="00AD2F44">
        <w:t>, 573 U.S. 948 (2014).</w:t>
      </w:r>
    </w:p>
  </w:footnote>
  <w:footnote w:id="954">
    <w:p w14:paraId="3277FFBC" w14:textId="77777777" w:rsidR="00721CCF" w:rsidRPr="00AD2F44" w:rsidRDefault="00F42107">
      <w:pPr>
        <w:pStyle w:val="14Footnote"/>
      </w:pPr>
      <w:r w:rsidRPr="00AD2F44">
        <w:rPr>
          <w:vertAlign w:val="superscript"/>
        </w:rPr>
        <w:footnoteRef/>
      </w:r>
      <w:r w:rsidRPr="00AD2F44">
        <w:t xml:space="preserve">745 F.3d at 1336. </w:t>
      </w:r>
      <w:r w:rsidRPr="00AD2F44">
        <w:rPr>
          <w:i/>
          <w:iCs/>
        </w:rPr>
        <w:t>But see</w:t>
      </w:r>
      <w:r w:rsidRPr="00AD2F44">
        <w:t xml:space="preserve"> Billingsley v. Citi Trends, Inc. 560 F. App’x 914 (11th Cir. Mar. 25, 2014) (district court refused to enforce arbitration agreement with a class waiver where employer rolled out arbitration agreements to putative class members after the collective action was filed and the court had already held a scheduling conference and issued a scheduling order; Eleventh Circuit affirmed in unpublished opinion).</w:t>
      </w:r>
    </w:p>
  </w:footnote>
  <w:footnote w:id="955">
    <w:p w14:paraId="409AB008" w14:textId="77777777" w:rsidR="00721CCF" w:rsidRPr="00AD2F44" w:rsidRDefault="00F42107">
      <w:pPr>
        <w:pStyle w:val="14Footnote"/>
      </w:pPr>
      <w:r w:rsidRPr="00AD2F44">
        <w:rPr>
          <w:vertAlign w:val="superscript"/>
        </w:rPr>
        <w:footnoteRef/>
      </w:r>
      <w:r w:rsidRPr="00AD2F44">
        <w:t>570 U.S. 228 (2013).</w:t>
      </w:r>
    </w:p>
  </w:footnote>
  <w:footnote w:id="956">
    <w:p w14:paraId="095FE97E" w14:textId="77777777" w:rsidR="00721CCF" w:rsidRPr="00AD2F44" w:rsidRDefault="00F42107">
      <w:pPr>
        <w:pStyle w:val="14Footnote"/>
      </w:pPr>
      <w:r w:rsidRPr="00AD2F44">
        <w:rPr>
          <w:vertAlign w:val="superscript"/>
        </w:rPr>
        <w:footnoteRef/>
      </w:r>
      <w:r w:rsidRPr="00AD2F44">
        <w:rPr>
          <w:i/>
          <w:iCs/>
        </w:rPr>
        <w:t>See, e.g</w:t>
      </w:r>
      <w:r w:rsidRPr="00AD2F44">
        <w:t xml:space="preserve">., </w:t>
      </w:r>
      <w:r w:rsidRPr="00AD2F44">
        <w:rPr>
          <w:i/>
          <w:iCs/>
        </w:rPr>
        <w:t>Walthour</w:t>
      </w:r>
      <w:r w:rsidRPr="00AD2F44">
        <w:t>, 745 F.3d at 1334–35; Sutherland v. Ernst &amp; Young LLP, 726 F.3d 290, 292–93 (2d Cir. 2013).</w:t>
      </w:r>
    </w:p>
  </w:footnote>
  <w:footnote w:id="957">
    <w:p w14:paraId="3F8D3E4C" w14:textId="77777777" w:rsidR="00721CCF" w:rsidRPr="00AD2F44" w:rsidRDefault="00F42107">
      <w:pPr>
        <w:pStyle w:val="14Footnote"/>
      </w:pPr>
      <w:r w:rsidRPr="00AD2F44">
        <w:rPr>
          <w:vertAlign w:val="superscript"/>
        </w:rPr>
        <w:footnoteRef/>
      </w:r>
      <w:r w:rsidRPr="00AD2F44">
        <w:rPr>
          <w:i/>
          <w:iCs/>
        </w:rPr>
        <w:t>Italian Colors</w:t>
      </w:r>
      <w:r w:rsidRPr="00AD2F44">
        <w:t>, 570 U.S. at 231.</w:t>
      </w:r>
    </w:p>
  </w:footnote>
  <w:footnote w:id="958">
    <w:p w14:paraId="289BB3F1" w14:textId="77777777" w:rsidR="00721CCF" w:rsidRPr="00AD2F44" w:rsidRDefault="00F42107">
      <w:pPr>
        <w:pStyle w:val="14Footnote"/>
      </w:pPr>
      <w:r w:rsidRPr="00AD2F44">
        <w:rPr>
          <w:vertAlign w:val="superscript"/>
        </w:rPr>
        <w:footnoteRef/>
      </w:r>
      <w:r w:rsidRPr="00AD2F44">
        <w:rPr>
          <w:i/>
          <w:iCs/>
        </w:rPr>
        <w:t>Id.</w:t>
      </w:r>
      <w:r w:rsidRPr="00AD2F44">
        <w:t xml:space="preserve"> at 233.</w:t>
      </w:r>
    </w:p>
  </w:footnote>
  <w:footnote w:id="959">
    <w:p w14:paraId="7852DF37" w14:textId="77777777" w:rsidR="00721CCF" w:rsidRPr="00AD2F44" w:rsidRDefault="00F42107">
      <w:pPr>
        <w:pStyle w:val="14Footnote"/>
      </w:pPr>
      <w:r w:rsidRPr="00AD2F44">
        <w:rPr>
          <w:vertAlign w:val="superscript"/>
        </w:rPr>
        <w:footnoteRef/>
      </w:r>
      <w:r w:rsidRPr="00AD2F44">
        <w:rPr>
          <w:i/>
          <w:iCs/>
        </w:rPr>
        <w:t>Id.</w:t>
      </w:r>
      <w:r w:rsidRPr="00AD2F44">
        <w:t xml:space="preserve"> at 238.</w:t>
      </w:r>
    </w:p>
  </w:footnote>
  <w:footnote w:id="960">
    <w:p w14:paraId="1E4A49CD" w14:textId="77777777" w:rsidR="00721CCF" w:rsidRPr="00AD2F44" w:rsidRDefault="00F42107">
      <w:pPr>
        <w:pStyle w:val="14Footnote"/>
      </w:pPr>
      <w:r w:rsidRPr="00AD2F44">
        <w:rPr>
          <w:vertAlign w:val="superscript"/>
        </w:rPr>
        <w:footnoteRef/>
      </w:r>
      <w:r w:rsidRPr="00AD2F44">
        <w:rPr>
          <w:i/>
          <w:iCs/>
        </w:rPr>
        <w:t>Id.</w:t>
      </w:r>
      <w:r w:rsidRPr="00AD2F44">
        <w:t xml:space="preserve"> at 253 n.5.</w:t>
      </w:r>
    </w:p>
  </w:footnote>
  <w:footnote w:id="961">
    <w:p w14:paraId="22FE0B07" w14:textId="77777777" w:rsidR="00721CCF" w:rsidRPr="00AD2F44" w:rsidRDefault="00F42107">
      <w:pPr>
        <w:pStyle w:val="14Footnote"/>
      </w:pPr>
      <w:r w:rsidRPr="00AD2F44">
        <w:rPr>
          <w:vertAlign w:val="superscript"/>
        </w:rPr>
        <w:footnoteRef/>
      </w:r>
      <w:r w:rsidRPr="00AD2F44">
        <w:rPr>
          <w:i/>
          <w:iCs/>
        </w:rPr>
        <w:t xml:space="preserve">Compare </w:t>
      </w:r>
      <w:r w:rsidRPr="00AD2F44">
        <w:t>Chavarria v. Ralph’s Grocery Co</w:t>
      </w:r>
      <w:r w:rsidRPr="00AD2F44">
        <w:rPr>
          <w:i/>
          <w:iCs/>
        </w:rPr>
        <w:t>.</w:t>
      </w:r>
      <w:r w:rsidRPr="00AD2F44">
        <w:t>, 733 F.3d 916, 926–27 (9th Cir. 2013) (“[</w:t>
      </w:r>
      <w:r w:rsidRPr="00AD2F44">
        <w:rPr>
          <w:i/>
          <w:iCs/>
        </w:rPr>
        <w:t>Italian Colors</w:t>
      </w:r>
      <w:r w:rsidRPr="00AD2F44">
        <w:t xml:space="preserve">] does not preclude us from considering the cost that [employer’s] arbitration agreement imposes on employees in order for them to bring a claim”; affirming substantive unconscionability of arbitration agreement where administrative and filing costs alone, which were imposed upfront and of which recovery was limited or precluded, dwarfed claims at issue and effectively—not speculatively—foreclosed pursuit of the claim), </w:t>
      </w:r>
      <w:r w:rsidRPr="00AD2F44">
        <w:rPr>
          <w:i/>
          <w:iCs/>
        </w:rPr>
        <w:t>with</w:t>
      </w:r>
      <w:r w:rsidRPr="00AD2F44">
        <w:t xml:space="preserve"> Sutherland v. Ernst &amp; Young LLP, 726 F.3d 290, 298 (2d Cir. 2013) (citing </w:t>
      </w:r>
      <w:r w:rsidRPr="00AD2F44">
        <w:rPr>
          <w:i/>
          <w:iCs/>
        </w:rPr>
        <w:t>Italian Colors</w:t>
      </w:r>
      <w:r w:rsidRPr="00AD2F44">
        <w:t xml:space="preserve"> as “compel[ling] the conclusion that [a] class-action waiver is not rendered invalid by virtue of the fact that [an employee’s] claim is not economically worth pursuing individually”).</w:t>
      </w:r>
    </w:p>
  </w:footnote>
  <w:footnote w:id="962">
    <w:p w14:paraId="06F9BEF3" w14:textId="77777777" w:rsidR="00721CCF" w:rsidRPr="00AD2F44" w:rsidRDefault="00F42107">
      <w:pPr>
        <w:pStyle w:val="14Footnote"/>
      </w:pPr>
      <w:r w:rsidRPr="00AD2F44">
        <w:rPr>
          <w:vertAlign w:val="superscript"/>
        </w:rPr>
        <w:footnoteRef/>
      </w:r>
      <w:r w:rsidRPr="00AD2F44">
        <w:t xml:space="preserve">Gilmer v. Interstate/Johnson Lane Corp., 500 U.S. 20 (1991). </w:t>
      </w:r>
    </w:p>
  </w:footnote>
  <w:footnote w:id="963">
    <w:p w14:paraId="361F149E" w14:textId="77777777" w:rsidR="00721CCF" w:rsidRPr="00AD2F44" w:rsidRDefault="00F42107">
      <w:pPr>
        <w:pStyle w:val="14Footnote"/>
      </w:pPr>
      <w:r w:rsidRPr="00AD2F44">
        <w:rPr>
          <w:vertAlign w:val="superscript"/>
        </w:rPr>
        <w:footnoteRef/>
      </w:r>
      <w:r w:rsidRPr="00AD2F44">
        <w:t xml:space="preserve">Walthour v. Chipio Windshield Repair, LLC, 745 F.3d 1326, 1335, 22 W&amp;H Cas. 2d 310 (11th Cir. 2014), </w:t>
      </w:r>
      <w:r w:rsidRPr="00AD2F44">
        <w:rPr>
          <w:i/>
          <w:iCs/>
        </w:rPr>
        <w:t>cert. denied</w:t>
      </w:r>
      <w:r w:rsidRPr="00AD2F44">
        <w:t>, 573 U.S. 948 (2014).</w:t>
      </w:r>
    </w:p>
  </w:footnote>
  <w:footnote w:id="964">
    <w:p w14:paraId="6166CEE8" w14:textId="77777777" w:rsidR="00721CCF" w:rsidRPr="00AD2F44" w:rsidRDefault="00F42107">
      <w:pPr>
        <w:pStyle w:val="14Footnote"/>
      </w:pPr>
      <w:r w:rsidRPr="00AD2F44">
        <w:rPr>
          <w:vertAlign w:val="superscript"/>
        </w:rPr>
        <w:footnoteRef/>
      </w:r>
      <w:r w:rsidRPr="00AD2F44">
        <w:t xml:space="preserve">29 U.S.C. §151 </w:t>
      </w:r>
      <w:r w:rsidRPr="00AD2F44">
        <w:rPr>
          <w:i/>
          <w:iCs/>
        </w:rPr>
        <w:t>et seq</w:t>
      </w:r>
      <w:r w:rsidRPr="00AD2F44">
        <w:t xml:space="preserve">. </w:t>
      </w:r>
    </w:p>
  </w:footnote>
  <w:footnote w:id="965">
    <w:p w14:paraId="401C8E7F" w14:textId="77777777" w:rsidR="00721CCF" w:rsidRPr="00AD2F44" w:rsidRDefault="00F42107">
      <w:pPr>
        <w:pStyle w:val="14Footnote"/>
      </w:pPr>
      <w:r w:rsidRPr="00AD2F44">
        <w:rPr>
          <w:vertAlign w:val="superscript"/>
        </w:rPr>
        <w:footnoteRef/>
      </w:r>
      <w:r w:rsidRPr="00AD2F44">
        <w:t xml:space="preserve">357 NLRB No. 184, 2012 WL 36274 (Jan. 3, 2012). </w:t>
      </w:r>
    </w:p>
  </w:footnote>
  <w:footnote w:id="966">
    <w:p w14:paraId="22936D6A" w14:textId="77777777" w:rsidR="00721CCF" w:rsidRPr="00AD2F44" w:rsidRDefault="00F42107">
      <w:pPr>
        <w:pStyle w:val="14Footnote"/>
      </w:pPr>
      <w:r w:rsidRPr="00AD2F44">
        <w:rPr>
          <w:vertAlign w:val="superscript"/>
        </w:rPr>
        <w:footnoteRef/>
      </w:r>
      <w:r w:rsidRPr="00AD2F44">
        <w:t xml:space="preserve">D.R. Horton, Inc. v. NLRB, 737 F.3d 344, 362 (5th Cir. 2013) (enforcing order in part, but concluding that NLRB’s decision did not give proper weight to FAA, and arbitration agreement had to be enforced according to its terms). </w:t>
      </w:r>
    </w:p>
  </w:footnote>
  <w:footnote w:id="967">
    <w:p w14:paraId="0CD935BB" w14:textId="77777777" w:rsidR="00721CCF" w:rsidRPr="00AD2F44" w:rsidRDefault="00F42107">
      <w:pPr>
        <w:pStyle w:val="14Footnote"/>
      </w:pPr>
      <w:r w:rsidRPr="00AD2F44">
        <w:rPr>
          <w:vertAlign w:val="superscript"/>
        </w:rPr>
        <w:footnoteRef/>
      </w:r>
      <w:r w:rsidRPr="00AD2F44">
        <w:t xml:space="preserve">Murphy Oil, Inc. &amp; Sheila M. Hobson, 361 NLRB 774, 201 LRRM 1385 (Oct. 28, 2014). Subsequent decisions suggest that the NLRB is internally divided on this question. </w:t>
      </w:r>
      <w:r w:rsidRPr="00AD2F44">
        <w:rPr>
          <w:i/>
          <w:iCs/>
        </w:rPr>
        <w:t>Compare</w:t>
      </w:r>
      <w:r w:rsidRPr="00AD2F44">
        <w:t xml:space="preserve"> Valley Health Sys., LLC, 2015 WL 1254854 (NLRB Mar. 18, 2015) (distinguishing </w:t>
      </w:r>
      <w:r w:rsidRPr="00AD2F44">
        <w:rPr>
          <w:i/>
          <w:iCs/>
        </w:rPr>
        <w:t>D</w:t>
      </w:r>
      <w:r w:rsidRPr="00AD2F44">
        <w:t>.</w:t>
      </w:r>
      <w:r w:rsidRPr="00AD2F44">
        <w:rPr>
          <w:i/>
          <w:iCs/>
        </w:rPr>
        <w:t>R</w:t>
      </w:r>
      <w:r w:rsidRPr="00AD2F44">
        <w:t>.</w:t>
      </w:r>
      <w:r w:rsidRPr="00AD2F44">
        <w:rPr>
          <w:i/>
          <w:iCs/>
        </w:rPr>
        <w:t xml:space="preserve"> Horton </w:t>
      </w:r>
      <w:r w:rsidRPr="00AD2F44">
        <w:t xml:space="preserve">and </w:t>
      </w:r>
      <w:r w:rsidRPr="00AD2F44">
        <w:rPr>
          <w:i/>
          <w:iCs/>
        </w:rPr>
        <w:t>Murphy Oil</w:t>
      </w:r>
      <w:r w:rsidRPr="00AD2F44">
        <w:t xml:space="preserve"> on basis that unlawful agreements there were mandatory; holding that employer’s arbitration program requiring individual arbitration but containing written opt-out provision was voluntary, thus not unlawful), </w:t>
      </w:r>
      <w:r w:rsidRPr="00AD2F44">
        <w:rPr>
          <w:i/>
          <w:iCs/>
        </w:rPr>
        <w:t>with</w:t>
      </w:r>
      <w:r w:rsidRPr="00AD2F44">
        <w:t xml:space="preserve"> Kenai Drilling Ltd. &amp; Eddie Stewart III, an Individual, 2015 WL 1647909 (NLRB Apr. 13, 2015) (recognizing obligation to follow NLRB’s holding in </w:t>
      </w:r>
      <w:r w:rsidRPr="00AD2F44">
        <w:rPr>
          <w:i/>
          <w:iCs/>
        </w:rPr>
        <w:t>D</w:t>
      </w:r>
      <w:r w:rsidRPr="00AD2F44">
        <w:t>.</w:t>
      </w:r>
      <w:r w:rsidRPr="00AD2F44">
        <w:rPr>
          <w:i/>
          <w:iCs/>
        </w:rPr>
        <w:t>R</w:t>
      </w:r>
      <w:r w:rsidRPr="00AD2F44">
        <w:t>.</w:t>
      </w:r>
      <w:r w:rsidRPr="00AD2F44">
        <w:rPr>
          <w:i/>
          <w:iCs/>
        </w:rPr>
        <w:t xml:space="preserve"> Horton </w:t>
      </w:r>
      <w:r w:rsidRPr="00AD2F44">
        <w:t xml:space="preserve">and </w:t>
      </w:r>
      <w:r w:rsidRPr="00AD2F44">
        <w:rPr>
          <w:i/>
          <w:iCs/>
        </w:rPr>
        <w:t>Murphy Oil</w:t>
      </w:r>
      <w:r w:rsidRPr="00AD2F44">
        <w:t xml:space="preserve">; declining to distinguish on grounds recognized in </w:t>
      </w:r>
      <w:r w:rsidRPr="00AD2F44">
        <w:rPr>
          <w:i/>
          <w:iCs/>
        </w:rPr>
        <w:t>Valley Health</w:t>
      </w:r>
      <w:r w:rsidRPr="00AD2F44">
        <w:t xml:space="preserve">; concluding that opt-out provision did not render agreement “voluntary”). Consistent with its decision in </w:t>
      </w:r>
      <w:r w:rsidRPr="00AD2F44">
        <w:rPr>
          <w:i/>
          <w:iCs/>
        </w:rPr>
        <w:t>D</w:t>
      </w:r>
      <w:r w:rsidRPr="00AD2F44">
        <w:t>.</w:t>
      </w:r>
      <w:r w:rsidRPr="00AD2F44">
        <w:rPr>
          <w:i/>
          <w:iCs/>
        </w:rPr>
        <w:t>R</w:t>
      </w:r>
      <w:r w:rsidRPr="00AD2F44">
        <w:t>.</w:t>
      </w:r>
      <w:r w:rsidRPr="00AD2F44">
        <w:rPr>
          <w:i/>
          <w:iCs/>
        </w:rPr>
        <w:t xml:space="preserve"> Horton</w:t>
      </w:r>
      <w:r w:rsidRPr="00AD2F44">
        <w:t xml:space="preserve">, the Fifth Circuit has since overruled the NLRB’s </w:t>
      </w:r>
      <w:r w:rsidRPr="00AD2F44">
        <w:rPr>
          <w:i/>
          <w:iCs/>
        </w:rPr>
        <w:t xml:space="preserve">Murphy Oil </w:t>
      </w:r>
      <w:r w:rsidRPr="00AD2F44">
        <w:t xml:space="preserve">decision. Murphy Oil USA, Inc. v. NLRB, 808 F.3d 1013, 1021 (5th Cir. 2015). </w:t>
      </w:r>
    </w:p>
  </w:footnote>
  <w:footnote w:id="968">
    <w:p w14:paraId="03EEFF95" w14:textId="77777777" w:rsidR="00721CCF" w:rsidRPr="00AD2F44" w:rsidRDefault="00F42107">
      <w:pPr>
        <w:pStyle w:val="14Footnote"/>
      </w:pPr>
      <w:r w:rsidRPr="00AD2F44">
        <w:rPr>
          <w:vertAlign w:val="superscript"/>
        </w:rPr>
        <w:footnoteRef/>
      </w:r>
      <w:r w:rsidRPr="00AD2F44">
        <w:rPr>
          <w:i/>
          <w:iCs/>
        </w:rPr>
        <w:t xml:space="preserve">Compare </w:t>
      </w:r>
      <w:r w:rsidRPr="00AD2F44">
        <w:t xml:space="preserve">Sutherland v. Ernst &amp; Young LLP, 726 F.3d 290, 297–98 n.8 (2d Cir. 2013) (rejecting </w:t>
      </w:r>
      <w:r w:rsidRPr="00AD2F44">
        <w:rPr>
          <w:i/>
          <w:iCs/>
        </w:rPr>
        <w:t>D</w:t>
      </w:r>
      <w:r w:rsidRPr="00AD2F44">
        <w:t>.</w:t>
      </w:r>
      <w:r w:rsidRPr="00AD2F44">
        <w:rPr>
          <w:i/>
          <w:iCs/>
        </w:rPr>
        <w:t>R</w:t>
      </w:r>
      <w:r w:rsidRPr="00AD2F44">
        <w:t>.</w:t>
      </w:r>
      <w:r w:rsidRPr="00AD2F44">
        <w:rPr>
          <w:i/>
          <w:iCs/>
        </w:rPr>
        <w:t xml:space="preserve"> Horton</w:t>
      </w:r>
      <w:r w:rsidRPr="00AD2F44">
        <w:t xml:space="preserve"> and upholding employee’s arbitration agreement with class and collective action waiver), Murphy Oil USA Inc. v. NLRB, 808 F.3d 1013 (5th Cir. 2015) (same), </w:t>
      </w:r>
      <w:r w:rsidRPr="00AD2F44">
        <w:rPr>
          <w:i/>
          <w:iCs/>
        </w:rPr>
        <w:t>and</w:t>
      </w:r>
      <w:r w:rsidRPr="00AD2F44">
        <w:t xml:space="preserve"> Owen v. Bristol Care, Inc., 702 F.3d 1050, 1055 (8th Cir. 2013) (same), </w:t>
      </w:r>
      <w:r w:rsidRPr="00AD2F44">
        <w:rPr>
          <w:i/>
          <w:iCs/>
        </w:rPr>
        <w:t xml:space="preserve">with </w:t>
      </w:r>
      <w:r w:rsidRPr="00AD2F44">
        <w:t xml:space="preserve">Lewis v. Epic Sys. Corp., 823 F.3d 1147 (7th Cir. 2016) (following </w:t>
      </w:r>
      <w:r w:rsidRPr="00AD2F44">
        <w:rPr>
          <w:i/>
          <w:iCs/>
        </w:rPr>
        <w:t>D</w:t>
      </w:r>
      <w:r w:rsidRPr="00AD2F44">
        <w:t>.</w:t>
      </w:r>
      <w:r w:rsidRPr="00AD2F44">
        <w:rPr>
          <w:i/>
          <w:iCs/>
        </w:rPr>
        <w:t>R</w:t>
      </w:r>
      <w:r w:rsidRPr="00AD2F44">
        <w:t>.</w:t>
      </w:r>
      <w:r w:rsidRPr="00AD2F44">
        <w:rPr>
          <w:i/>
          <w:iCs/>
        </w:rPr>
        <w:t xml:space="preserve"> Horton </w:t>
      </w:r>
      <w:r w:rsidRPr="00AD2F44">
        <w:t xml:space="preserve">and holding that arbitration provision prohibiting employees from seeking collective, representative, or class legal remedies violated NLRA), </w:t>
      </w:r>
      <w:r w:rsidRPr="00AD2F44">
        <w:rPr>
          <w:i/>
          <w:iCs/>
        </w:rPr>
        <w:t>and</w:t>
      </w:r>
      <w:r w:rsidRPr="00AD2F44">
        <w:t xml:space="preserve"> Morris v. Ernst &amp; Young, LLP, 834 F.3d 975 (9th Cir. 2016) (same). </w:t>
      </w:r>
    </w:p>
  </w:footnote>
  <w:footnote w:id="969">
    <w:p w14:paraId="02CFB6E6" w14:textId="77777777" w:rsidR="00721CCF" w:rsidRPr="00AD2F44" w:rsidRDefault="00F42107">
      <w:pPr>
        <w:pStyle w:val="14Footnote"/>
      </w:pPr>
      <w:r w:rsidRPr="00AD2F44">
        <w:rPr>
          <w:vertAlign w:val="superscript"/>
        </w:rPr>
        <w:footnoteRef/>
      </w:r>
      <w:r w:rsidRPr="00AD2F44">
        <w:t xml:space="preserve">138 S. Ct. 1612 (2018). </w:t>
      </w:r>
    </w:p>
  </w:footnote>
  <w:footnote w:id="970">
    <w:p w14:paraId="75A838C5" w14:textId="77777777" w:rsidR="00721CCF" w:rsidRPr="00AD2F44" w:rsidRDefault="00F42107">
      <w:pPr>
        <w:pStyle w:val="14Footnote"/>
      </w:pPr>
      <w:r w:rsidRPr="00AD2F44">
        <w:rPr>
          <w:vertAlign w:val="superscript"/>
        </w:rPr>
        <w:footnoteRef/>
      </w:r>
      <w:r w:rsidRPr="00AD2F44">
        <w:rPr>
          <w:i/>
          <w:iCs/>
        </w:rPr>
        <w:t>Id</w:t>
      </w:r>
      <w:r w:rsidRPr="00AD2F44">
        <w:t xml:space="preserve">. at 1625. </w:t>
      </w:r>
    </w:p>
  </w:footnote>
  <w:footnote w:id="971">
    <w:p w14:paraId="5196C5A5" w14:textId="77777777" w:rsidR="00721CCF" w:rsidRPr="00AD2F44" w:rsidRDefault="00F42107">
      <w:pPr>
        <w:pStyle w:val="14Footnote"/>
      </w:pPr>
      <w:r w:rsidRPr="00AD2F44">
        <w:rPr>
          <w:vertAlign w:val="superscript"/>
        </w:rPr>
        <w:footnoteRef/>
      </w:r>
      <w:r w:rsidRPr="00AD2F44">
        <w:rPr>
          <w:i/>
          <w:iCs/>
        </w:rPr>
        <w:t>Id</w:t>
      </w:r>
      <w:r w:rsidRPr="00AD2F44">
        <w:t xml:space="preserve">. </w:t>
      </w:r>
    </w:p>
  </w:footnote>
  <w:footnote w:id="972">
    <w:p w14:paraId="202920E3" w14:textId="77777777" w:rsidR="00721CCF" w:rsidRPr="00AD2F44" w:rsidRDefault="00F42107">
      <w:pPr>
        <w:pStyle w:val="14Footnote"/>
      </w:pPr>
      <w:r w:rsidRPr="00AD2F44">
        <w:rPr>
          <w:vertAlign w:val="superscript"/>
        </w:rPr>
        <w:footnoteRef/>
      </w:r>
      <w:r w:rsidRPr="00AD2F44">
        <w:rPr>
          <w:i/>
          <w:iCs/>
        </w:rPr>
        <w:t>Id</w:t>
      </w:r>
      <w:r w:rsidRPr="00AD2F44">
        <w:t xml:space="preserve">. at 1625–26. </w:t>
      </w:r>
    </w:p>
  </w:footnote>
  <w:footnote w:id="973">
    <w:p w14:paraId="64DF650D" w14:textId="77777777" w:rsidR="00721CCF" w:rsidRPr="00AD2F44" w:rsidRDefault="00F42107">
      <w:pPr>
        <w:pStyle w:val="14Footnote"/>
      </w:pPr>
      <w:r w:rsidRPr="00AD2F44">
        <w:rPr>
          <w:vertAlign w:val="superscript"/>
        </w:rPr>
        <w:footnoteRef/>
      </w:r>
      <w:r w:rsidRPr="00AD2F44">
        <w:rPr>
          <w:i/>
          <w:iCs/>
        </w:rPr>
        <w:t>Id</w:t>
      </w:r>
      <w:r w:rsidRPr="00AD2F44">
        <w:t xml:space="preserve">. at 1629–30. Justice Thomas joined the majority’s opinion, but wrote a separate concurring opinion in which he concluded that the “plain meaning” of the FAA precluded a court from invalidating an arbitration agreement with a class waiver. </w:t>
      </w:r>
      <w:r w:rsidRPr="00AD2F44">
        <w:rPr>
          <w:i/>
          <w:iCs/>
        </w:rPr>
        <w:t>Id</w:t>
      </w:r>
      <w:r w:rsidRPr="00AD2F44">
        <w:t xml:space="preserve">. at 1632–33. Justice Thomas based his conclusion on the FAA’s savings clause, which allows for invalidation of arbitration agreements “upon such grounds as exist at law or in equity for the revocation of any contract.” </w:t>
      </w:r>
      <w:r w:rsidRPr="00AD2F44">
        <w:rPr>
          <w:i/>
          <w:iCs/>
        </w:rPr>
        <w:t>Id</w:t>
      </w:r>
      <w:r w:rsidRPr="00AD2F44">
        <w:t xml:space="preserve">. Because illegality under the NLRA “is a public policy defense,” and such a defense did not “concern whether the contract was properly made,” the FAA’s savings clause did not apply by its terms. </w:t>
      </w:r>
      <w:r w:rsidRPr="00AD2F44">
        <w:rPr>
          <w:i/>
          <w:iCs/>
        </w:rPr>
        <w:t>Id</w:t>
      </w:r>
      <w:r w:rsidRPr="00AD2F44">
        <w:t xml:space="preserve">. </w:t>
      </w:r>
    </w:p>
  </w:footnote>
  <w:footnote w:id="974">
    <w:p w14:paraId="69349397" w14:textId="77777777" w:rsidR="00721CCF" w:rsidRPr="00AD2F44" w:rsidRDefault="00F42107">
      <w:pPr>
        <w:pStyle w:val="14Footnote"/>
      </w:pPr>
      <w:r w:rsidRPr="00AD2F44">
        <w:rPr>
          <w:vertAlign w:val="superscript"/>
        </w:rPr>
        <w:footnoteRef/>
      </w:r>
      <w:r w:rsidRPr="00AD2F44">
        <w:rPr>
          <w:i/>
          <w:iCs/>
        </w:rPr>
        <w:t>Id</w:t>
      </w:r>
      <w:r w:rsidRPr="00AD2F44">
        <w:t xml:space="preserve">. at 1633–49. </w:t>
      </w:r>
    </w:p>
  </w:footnote>
  <w:footnote w:id="975">
    <w:p w14:paraId="210EE8F7" w14:textId="77777777" w:rsidR="00721CCF" w:rsidRPr="00AD2F44" w:rsidRDefault="00F42107">
      <w:pPr>
        <w:pStyle w:val="14Footnote"/>
      </w:pPr>
      <w:r w:rsidRPr="00AD2F44">
        <w:rPr>
          <w:vertAlign w:val="superscript"/>
        </w:rPr>
        <w:footnoteRef/>
      </w:r>
      <w:r w:rsidRPr="00AD2F44">
        <w:rPr>
          <w:i/>
          <w:iCs/>
        </w:rPr>
        <w:t>Epic Systems</w:t>
      </w:r>
      <w:r w:rsidRPr="00AD2F44">
        <w:t xml:space="preserve">, 138 S. Ct. at 1633. </w:t>
      </w:r>
    </w:p>
  </w:footnote>
  <w:footnote w:id="976">
    <w:p w14:paraId="540C0ECA" w14:textId="77777777" w:rsidR="00721CCF" w:rsidRPr="00AD2F44" w:rsidRDefault="00F42107">
      <w:pPr>
        <w:pStyle w:val="14Footnote"/>
      </w:pPr>
      <w:r w:rsidRPr="00AD2F44">
        <w:rPr>
          <w:vertAlign w:val="superscript"/>
        </w:rPr>
        <w:footnoteRef/>
      </w:r>
      <w:r w:rsidRPr="00AD2F44">
        <w:rPr>
          <w:i/>
          <w:iCs/>
        </w:rPr>
        <w:t>Id</w:t>
      </w:r>
      <w:r w:rsidRPr="00AD2F44">
        <w:t xml:space="preserve">. at 1637–38. </w:t>
      </w:r>
    </w:p>
  </w:footnote>
  <w:footnote w:id="977">
    <w:p w14:paraId="6DA04B06" w14:textId="77777777" w:rsidR="00721CCF" w:rsidRPr="00AD2F44" w:rsidRDefault="00F42107">
      <w:pPr>
        <w:pStyle w:val="14Footnote"/>
      </w:pPr>
      <w:r w:rsidRPr="00AD2F44">
        <w:rPr>
          <w:vertAlign w:val="superscript"/>
        </w:rPr>
        <w:footnoteRef/>
      </w:r>
      <w:r w:rsidRPr="00AD2F44">
        <w:rPr>
          <w:i/>
          <w:iCs/>
        </w:rPr>
        <w:t>Id</w:t>
      </w:r>
      <w:r w:rsidRPr="00AD2F44">
        <w:t xml:space="preserve">. at 1645–46. </w:t>
      </w:r>
    </w:p>
  </w:footnote>
  <w:footnote w:id="978">
    <w:p w14:paraId="396B17BF" w14:textId="77777777" w:rsidR="00721CCF" w:rsidRPr="00AD2F44" w:rsidRDefault="00F42107">
      <w:pPr>
        <w:pStyle w:val="14Footnote"/>
      </w:pPr>
      <w:r w:rsidRPr="00AD2F44">
        <w:rPr>
          <w:vertAlign w:val="superscript"/>
        </w:rPr>
        <w:footnoteRef/>
      </w:r>
      <w:r w:rsidRPr="00AD2F44">
        <w:rPr>
          <w:i/>
          <w:iCs/>
        </w:rPr>
        <w:t>Id</w:t>
      </w:r>
      <w:r w:rsidRPr="00AD2F44">
        <w:t xml:space="preserve">. at 1646. </w:t>
      </w:r>
    </w:p>
  </w:footnote>
  <w:footnote w:id="979">
    <w:p w14:paraId="5C7AC9E2" w14:textId="77777777" w:rsidR="00721CCF" w:rsidRPr="00AD2F44" w:rsidRDefault="00F42107">
      <w:pPr>
        <w:pStyle w:val="14Footnote"/>
        <w:rPr>
          <w:i/>
          <w:iCs/>
        </w:rPr>
      </w:pPr>
      <w:r w:rsidRPr="00AD2F44">
        <w:rPr>
          <w:rStyle w:val="FootnoteReference"/>
        </w:rPr>
        <w:footnoteRef/>
      </w:r>
      <w:r w:rsidRPr="00AD2F44">
        <w:rPr>
          <w:i/>
          <w:iCs/>
        </w:rPr>
        <w:t xml:space="preserve">See, e.g., </w:t>
      </w:r>
    </w:p>
    <w:p w14:paraId="6D9FD896" w14:textId="1484E39A" w:rsidR="00721CCF" w:rsidRPr="00AD2F44" w:rsidRDefault="00F42107">
      <w:pPr>
        <w:pStyle w:val="14Footnote"/>
        <w:rPr>
          <w:i/>
          <w:iCs/>
        </w:rPr>
      </w:pPr>
      <w:r w:rsidRPr="00AD2F44">
        <w:rPr>
          <w:i/>
          <w:iCs/>
        </w:rPr>
        <w:t>Sixth Circuit:</w:t>
      </w:r>
      <w:r w:rsidRPr="00AD2F44">
        <w:t xml:space="preserve"> Townsend v. Stand Up Mgmt., Inc., 2019 BL 295715, 2019 WL 3729266 (N.D. Ohio Aug. 8, 2019).</w:t>
      </w:r>
    </w:p>
    <w:p w14:paraId="2844EB81" w14:textId="107E87DF" w:rsidR="00721CCF" w:rsidRPr="00AD2F44" w:rsidRDefault="00F42107">
      <w:pPr>
        <w:pStyle w:val="14Footnote"/>
      </w:pPr>
      <w:r w:rsidRPr="00AD2F44">
        <w:rPr>
          <w:i/>
          <w:iCs/>
        </w:rPr>
        <w:t xml:space="preserve">Seventh Circuit: </w:t>
      </w:r>
      <w:r w:rsidRPr="00AD2F44">
        <w:t xml:space="preserve">O’Shea v. Maplebear, Inc., 508 F. Supp. 3d 279 (N.D. Ill. 2020). </w:t>
      </w:r>
    </w:p>
    <w:p w14:paraId="770B74D3" w14:textId="6B401C18" w:rsidR="00721CCF" w:rsidRPr="00AD2F44" w:rsidRDefault="00F42107">
      <w:pPr>
        <w:pStyle w:val="14Footnote"/>
      </w:pPr>
      <w:r w:rsidRPr="00AD2F44">
        <w:rPr>
          <w:i/>
          <w:iCs/>
        </w:rPr>
        <w:t xml:space="preserve">Ninth Circuit: </w:t>
      </w:r>
      <w:r w:rsidRPr="00AD2F44">
        <w:t>Reno v Western Cab Co., 2020 BL 359171, 2020 WL 5606897 (D. Nev. Sept. 18, 2020);</w:t>
      </w:r>
      <w:r w:rsidRPr="00AD2F44">
        <w:rPr>
          <w:i/>
          <w:iCs/>
        </w:rPr>
        <w:t xml:space="preserve"> </w:t>
      </w:r>
      <w:r w:rsidRPr="00AD2F44">
        <w:t>Bryant v. Tristate Logistics of Ariz. LLC, 2020 WL 1455770 (D. Ariz. Mar. 25, 2020).</w:t>
      </w:r>
    </w:p>
  </w:footnote>
  <w:footnote w:id="980">
    <w:p w14:paraId="0D8DAF01" w14:textId="77777777" w:rsidR="00721CCF" w:rsidRPr="00AD2F44" w:rsidRDefault="00F42107">
      <w:pPr>
        <w:pStyle w:val="14Footnote"/>
      </w:pPr>
      <w:r w:rsidRPr="00AD2F44">
        <w:rPr>
          <w:vertAlign w:val="superscript"/>
        </w:rPr>
        <w:footnoteRef/>
      </w:r>
      <w:r w:rsidRPr="00AD2F44">
        <w:rPr>
          <w:i/>
        </w:rPr>
        <w:t xml:space="preserve">See </w:t>
      </w:r>
    </w:p>
    <w:p w14:paraId="0F7F5FA8" w14:textId="77777777" w:rsidR="00721CCF" w:rsidRPr="00AD2F44" w:rsidRDefault="00F42107">
      <w:pPr>
        <w:pStyle w:val="14Footnote"/>
      </w:pPr>
      <w:r w:rsidRPr="00AD2F44">
        <w:rPr>
          <w:i/>
          <w:iCs/>
        </w:rPr>
        <w:t>First Circuit</w:t>
      </w:r>
      <w:r w:rsidRPr="00AD2F44">
        <w:t xml:space="preserve">: Oliviera v. New Prime, Inc., 424 F. Supp. 3d 206, 208 (D. Mass. 2019) (upon remand from U.S. Supreme Court, holding that defendant’s actions representing that it would not seek to compel arbitration and spending years appealing issue were inconsistent with right to arbitrate). </w:t>
      </w:r>
    </w:p>
    <w:p w14:paraId="24855C8A" w14:textId="77777777" w:rsidR="00721CCF" w:rsidRPr="00AD2F44" w:rsidRDefault="00F42107">
      <w:pPr>
        <w:pStyle w:val="14Footnote"/>
      </w:pPr>
      <w:r w:rsidRPr="00AD2F44">
        <w:rPr>
          <w:i/>
          <w:iCs/>
        </w:rPr>
        <w:t>Fifth Circuit</w:t>
      </w:r>
      <w:r w:rsidRPr="00AD2F44">
        <w:t xml:space="preserve">: Qazi v. Stage Stores, Inc., 2020 WL 1321538 (S.D. Tex. Mar. 17, 2020) (holding employers waived their right to compel arbitration by invoking judicial process). </w:t>
      </w:r>
    </w:p>
    <w:p w14:paraId="2B3BEFED" w14:textId="77777777" w:rsidR="00721CCF" w:rsidRPr="00AD2F44" w:rsidRDefault="00F42107">
      <w:pPr>
        <w:pStyle w:val="14Footnote"/>
      </w:pPr>
      <w:r w:rsidRPr="00AD2F44">
        <w:rPr>
          <w:i/>
          <w:iCs/>
        </w:rPr>
        <w:t xml:space="preserve">Ninth Circuit: </w:t>
      </w:r>
      <w:r w:rsidRPr="00AD2F44">
        <w:t>Martin v. Yasuda, 829 F.3d 1118, 1124–28 (9th Cir. 2016) (holding that defendant waived right to compel arbitration of FLSA claims by “actively litigating” case in federal court for 17 months); Ambrosio v. Cogent Commc’ns, Inc., 2016 WL 4436091, at *5–7 (N.D. Cal. Aug. 5, 2016) (holding defendant waived right to compel arbitration of FLSA claims by waiting “more than twenty months” to represent that it “intended to compel arbitration,” during which it opposed plaintiff’s motion for conditional certification).</w:t>
      </w:r>
    </w:p>
    <w:p w14:paraId="3570301D" w14:textId="77777777" w:rsidR="00721CCF" w:rsidRPr="00AD2F44" w:rsidRDefault="00F42107">
      <w:pPr>
        <w:pStyle w:val="14Footnote"/>
      </w:pPr>
      <w:r w:rsidRPr="00AD2F44">
        <w:rPr>
          <w:i/>
          <w:iCs/>
        </w:rPr>
        <w:t>Eleventh Circuit:</w:t>
      </w:r>
      <w:r w:rsidRPr="00AD2F44">
        <w:t xml:space="preserve"> Prowant v. Federal Nat’l Mortg. Ass’n, 255 F. Supp. 3d 1291, 1296–1301 (N.D. Ga. 2017) (holding that defendant waived right to compel arbitration of FLSA claims by instituting declaratory judgment action to stay arbitration and have federal court determine whether collective arbitration was permitted by agreement, including as to plaintiffs who opted in to federal lawsuit).</w:t>
      </w:r>
    </w:p>
    <w:p w14:paraId="4635B8D0" w14:textId="77777777" w:rsidR="00721CCF" w:rsidRDefault="00F42107">
      <w:pPr>
        <w:pStyle w:val="14Footnote"/>
      </w:pPr>
      <w:r w:rsidRPr="00AD2F44">
        <w:t xml:space="preserve"> </w:t>
      </w:r>
      <w:r w:rsidRPr="00AD2F44">
        <w:rPr>
          <w:i/>
          <w:iCs/>
        </w:rPr>
        <w:t>But see</w:t>
      </w:r>
      <w:r w:rsidRPr="00AD2F44">
        <w:t xml:space="preserve"> </w:t>
      </w:r>
    </w:p>
    <w:p w14:paraId="4E4D88F9" w14:textId="63A19AC0" w:rsidR="00721CCF" w:rsidRPr="002F69CA" w:rsidRDefault="00F42107">
      <w:pPr>
        <w:pStyle w:val="14Footnote"/>
      </w:pPr>
      <w:r>
        <w:rPr>
          <w:i/>
          <w:iCs/>
        </w:rPr>
        <w:t>Fifth Circuit:</w:t>
      </w:r>
      <w:r>
        <w:t xml:space="preserve"> </w:t>
      </w:r>
      <w:r w:rsidRPr="007B57A0">
        <w:t>Naranjo v. Nick</w:t>
      </w:r>
      <w:r w:rsidR="00237357">
        <w:t>’</w:t>
      </w:r>
      <w:r w:rsidRPr="007B57A0">
        <w:t>'s M</w:t>
      </w:r>
      <w:r>
        <w:t xml:space="preserve">gmt., </w:t>
      </w:r>
      <w:r w:rsidRPr="007B57A0">
        <w:t>652 F. Supp. 3d 737 (N.D. Tex. 2023)</w:t>
      </w:r>
      <w:r>
        <w:t xml:space="preserve"> (holding</w:t>
      </w:r>
      <w:r w:rsidRPr="007B57A0">
        <w:t xml:space="preserve"> defendants’ seven-month delay in production of agreement did not constitute waiver</w:t>
      </w:r>
      <w:r>
        <w:t xml:space="preserve">). </w:t>
      </w:r>
    </w:p>
    <w:p w14:paraId="25E9FFF2" w14:textId="37E0665D" w:rsidR="00721CCF" w:rsidRDefault="00F42107">
      <w:pPr>
        <w:pStyle w:val="14Footnote"/>
      </w:pPr>
      <w:r>
        <w:rPr>
          <w:i/>
          <w:iCs/>
        </w:rPr>
        <w:t xml:space="preserve">Ninth Circuit: </w:t>
      </w:r>
      <w:r w:rsidRPr="00AD2F44">
        <w:t xml:space="preserve">Conde v. Open Door Mktg., LLC, </w:t>
      </w:r>
      <w:r w:rsidR="00237357" w:rsidRPr="00237357">
        <w:t>2017 BL 402039</w:t>
      </w:r>
      <w:r w:rsidR="00237357">
        <w:t xml:space="preserve">, </w:t>
      </w:r>
      <w:r w:rsidRPr="00AD2F44">
        <w:t>2017 WL 5172271 (N.D. Cal. Nov. 8, 2017) (holding defendants did not waive their right to arbitration by continuing to litigate in court where they did not act inconsistently and plaintiffs were not prejudiced).</w:t>
      </w:r>
    </w:p>
    <w:p w14:paraId="2BF29A49" w14:textId="36C3C74A" w:rsidR="00721CCF" w:rsidRPr="00AD2F44" w:rsidRDefault="00F42107">
      <w:pPr>
        <w:pStyle w:val="14Footnote"/>
      </w:pPr>
      <w:r>
        <w:rPr>
          <w:i/>
          <w:iCs/>
        </w:rPr>
        <w:t xml:space="preserve">Tenth Circuit: </w:t>
      </w:r>
      <w:r w:rsidRPr="00AD2F44">
        <w:t>Roybal v. Community Options, 2020 WL 871579 (D.N.M. Feb. 21, 2020) (staying action and ordering arbitration, finding defendant had not effectively waived its arbitration right because it had not substantially invoked litigation process through use of dispositive motions)</w:t>
      </w:r>
      <w:r>
        <w:t xml:space="preserve">. </w:t>
      </w:r>
    </w:p>
  </w:footnote>
  <w:footnote w:id="981">
    <w:p w14:paraId="6E568DFB" w14:textId="77777777" w:rsidR="00721CCF" w:rsidRPr="00AD2F44" w:rsidRDefault="00F42107">
      <w:pPr>
        <w:pStyle w:val="14Footnote"/>
      </w:pPr>
      <w:r w:rsidRPr="00AD2F44">
        <w:rPr>
          <w:vertAlign w:val="superscript"/>
        </w:rPr>
        <w:footnoteRef/>
      </w:r>
      <w:r w:rsidRPr="00AD2F44">
        <w:t>559 U.S. 662 (2010).</w:t>
      </w:r>
    </w:p>
  </w:footnote>
  <w:footnote w:id="982">
    <w:p w14:paraId="0991D2F1" w14:textId="77777777" w:rsidR="00721CCF" w:rsidRPr="00AD2F44" w:rsidRDefault="00F42107">
      <w:pPr>
        <w:pStyle w:val="14Footnote"/>
      </w:pPr>
      <w:r w:rsidRPr="00AD2F44">
        <w:rPr>
          <w:vertAlign w:val="superscript"/>
        </w:rPr>
        <w:footnoteRef/>
      </w:r>
      <w:r w:rsidRPr="00AD2F44">
        <w:rPr>
          <w:i/>
          <w:iCs/>
        </w:rPr>
        <w:t>Id</w:t>
      </w:r>
      <w:r w:rsidRPr="00AD2F44">
        <w:t>. at 676.</w:t>
      </w:r>
    </w:p>
  </w:footnote>
  <w:footnote w:id="983">
    <w:p w14:paraId="3A562BA9" w14:textId="77777777" w:rsidR="00721CCF" w:rsidRPr="00AD2F44" w:rsidRDefault="00F42107">
      <w:pPr>
        <w:pStyle w:val="14Footnote"/>
      </w:pPr>
      <w:r w:rsidRPr="00AD2F44">
        <w:rPr>
          <w:vertAlign w:val="superscript"/>
        </w:rPr>
        <w:footnoteRef/>
      </w:r>
      <w:r w:rsidRPr="00AD2F44">
        <w:rPr>
          <w:i/>
          <w:iCs/>
        </w:rPr>
        <w:t>Id</w:t>
      </w:r>
      <w:r w:rsidRPr="00AD2F44">
        <w:t>. at 687 (emphasis in original).</w:t>
      </w:r>
    </w:p>
  </w:footnote>
  <w:footnote w:id="984">
    <w:p w14:paraId="315AF455" w14:textId="77777777" w:rsidR="00721CCF" w:rsidRPr="00AD2F44" w:rsidRDefault="00F42107">
      <w:pPr>
        <w:pStyle w:val="14Footnote"/>
      </w:pPr>
      <w:r w:rsidRPr="00AD2F44">
        <w:rPr>
          <w:vertAlign w:val="superscript"/>
        </w:rPr>
        <w:footnoteRef/>
      </w:r>
      <w:r w:rsidRPr="00AD2F44">
        <w:rPr>
          <w:i/>
        </w:rPr>
        <w:t xml:space="preserve">See, e.g., </w:t>
      </w:r>
    </w:p>
    <w:p w14:paraId="095C23B8" w14:textId="77777777" w:rsidR="00721CCF" w:rsidRPr="00AD2F44" w:rsidRDefault="00F42107">
      <w:pPr>
        <w:pStyle w:val="14Footnote"/>
      </w:pPr>
      <w:r w:rsidRPr="00AD2F44">
        <w:rPr>
          <w:i/>
          <w:iCs/>
        </w:rPr>
        <w:t>Third Circuit:</w:t>
      </w:r>
      <w:r w:rsidRPr="00AD2F44">
        <w:t xml:space="preserve"> Opalinski v. Robert Half Int’l, Inc., 2015 WL 7306420, at *4–6 (D.N.J. Nov. 18, 2015) (holding that arbitration agreements that were silent on issue of classwide arbitration and limited arbitrable claims to those “arising out of or relating to” each employee’s relationship with employer could not be arbitrated as class or collective action), </w:t>
      </w:r>
      <w:r w:rsidRPr="00AD2F44">
        <w:rPr>
          <w:i/>
          <w:iCs/>
        </w:rPr>
        <w:t>aff’d</w:t>
      </w:r>
      <w:r w:rsidRPr="00AD2F44">
        <w:t>, 677 F. App’x 738 (3d Cir. 2017); Herzfeld v. 1416 Chancellor, Inc., 2015 WL 4480829, at *5–8 (E.D. Pa. July 22, 2015) (holding that arbitration agreement that was silent on issue of class or collective arbitration did not permit collective arbitration of claims because there was no “‘meeting of the minds’ on this monumental change to the parties’ agreement,” but later finding agreement unconscionable in part because plaintiff “did not consent” to loss of her right to proceed collectively).</w:t>
      </w:r>
    </w:p>
    <w:p w14:paraId="2ED2FE38" w14:textId="77777777" w:rsidR="00721CCF" w:rsidRPr="00AD2F44" w:rsidRDefault="00F42107">
      <w:pPr>
        <w:pStyle w:val="14Footnote"/>
      </w:pPr>
      <w:r w:rsidRPr="00AD2F44">
        <w:rPr>
          <w:i/>
          <w:iCs/>
        </w:rPr>
        <w:t xml:space="preserve">Fifth Circuit: </w:t>
      </w:r>
      <w:r w:rsidRPr="00AD2F44">
        <w:t>Robinson v. J&amp;K Admin. Mgmt. Serv., Inc., 2015 WL 1310213, at *5 (N.D. Tex. Mar. 24, 2015) (holding on motion to compel that arbitration agreement gave arbitrator authority to determine whether it permitted collective arbitration because agreement stated “claims challenging the validity or enforceability of this Agreement … or challenging the applicability of the Agreement to a particular dispute of claim” were covered by agreement); International Bancshares Corp. v. Lopez, 57 F. Supp. 3d 784, 791 (S.D. Tex. 2014) (upholding arbitration award permitting collective action in arbitration of FLSA claims, where arbitrator determined that agreement “explicitly barred only class actions, not collective actions,” and AAA rules incorporated into agreement distinguished between two types of actions).</w:t>
      </w:r>
    </w:p>
    <w:p w14:paraId="6F6F82E8" w14:textId="77777777" w:rsidR="00721CCF" w:rsidRPr="00AD2F44" w:rsidRDefault="00F42107">
      <w:pPr>
        <w:pStyle w:val="14Footnote"/>
      </w:pPr>
      <w:r w:rsidRPr="00AD2F44">
        <w:rPr>
          <w:i/>
          <w:iCs/>
        </w:rPr>
        <w:t xml:space="preserve">Sixth Circuit: </w:t>
      </w:r>
      <w:r w:rsidRPr="00AD2F44">
        <w:t xml:space="preserve">Taylor v. American Income Life Ins. Co., 2013 WL 2087359 (N.D. Ohio May 14, 2013) (on motion to compel, finding that arbitration contract contained no language to indicate that plaintiffs had right to arbitrate collectively, and otherwise finding agreement enforceable, granting defendants’ motion to compel arbitration and dismiss plaintiffs’ claims); Porter v. MC Equities, LLC, 2012 WL 3778973 (N.D. Ohio Aug. 30, 2012) (finding that agreements did not require plaintiffs to submit to class or collective arbitration, but did require arbitration of their individual claims). </w:t>
      </w:r>
    </w:p>
    <w:p w14:paraId="23FDF2F2" w14:textId="5AAC3A9F" w:rsidR="00721CCF" w:rsidRPr="00AD2F44" w:rsidRDefault="00F42107">
      <w:pPr>
        <w:pStyle w:val="14Footnote"/>
      </w:pPr>
      <w:r w:rsidRPr="00AD2F44">
        <w:rPr>
          <w:i/>
          <w:iCs/>
        </w:rPr>
        <w:t>Ninth Circuit:</w:t>
      </w:r>
      <w:r w:rsidRPr="00AD2F44">
        <w:t xml:space="preserve"> Bufford v. VXI Global Sols. LLC, 2021 BL 21927, 2021 WL 229240 (D. Ariz. Jan. 22, 2021) (rejecting plaintiffs’ argument that class could proceed as collective action where arbitration agreement was silent on collective and class claims, holding named plaintiff could not represent collective in case she cannot litigate individually); Cobarruviaz v. Maplebear, Inc., 143 F. Supp. 3d 930, 944–46 (N.D. Cal. 2015) (concluding that arbitration agreement did not permit class or collective arbitration because there was “no evidence that the parties contemplated or agreed to class-wide arbitration”).</w:t>
      </w:r>
    </w:p>
    <w:p w14:paraId="605E00B5" w14:textId="77777777" w:rsidR="00721CCF" w:rsidRPr="00AD2F44" w:rsidRDefault="00F42107">
      <w:pPr>
        <w:pStyle w:val="14Footnote"/>
      </w:pPr>
      <w:r w:rsidRPr="00AD2F44">
        <w:rPr>
          <w:i/>
          <w:iCs/>
        </w:rPr>
        <w:t xml:space="preserve">Eleventh Circuit: </w:t>
      </w:r>
      <w:r w:rsidRPr="00AD2F44">
        <w:t xml:space="preserve">Chambers v. Groome Transp. of Ala., 41 F. Supp. 3d 1327, 1350 (M.D. Ala. 2014) (concluding that arbitration agreement did not permit classwide arbitration “because the Arbitration Agreement does not expressly provide for it” and “consent to class arbitration cannot be inferred where the agreement is silent as to the availability of class-action procedures”). </w:t>
      </w:r>
    </w:p>
    <w:p w14:paraId="114E14F2" w14:textId="77777777" w:rsidR="00721CCF" w:rsidRPr="00AD2F44" w:rsidRDefault="00F42107">
      <w:pPr>
        <w:pStyle w:val="14Footnote"/>
      </w:pPr>
      <w:r w:rsidRPr="00AD2F44">
        <w:rPr>
          <w:i/>
          <w:iCs/>
        </w:rPr>
        <w:t>See also</w:t>
      </w:r>
      <w:r w:rsidRPr="00AD2F44">
        <w:t xml:space="preserve"> </w:t>
      </w:r>
      <w:r w:rsidRPr="00AD2F44">
        <w:rPr>
          <w:i/>
          <w:iCs/>
        </w:rPr>
        <w:t>Class Action Case Docket</w:t>
      </w:r>
      <w:r w:rsidRPr="00AD2F44">
        <w:t xml:space="preserve">, </w:t>
      </w:r>
      <w:r w:rsidRPr="00AD2F44">
        <w:rPr>
          <w:smallCaps/>
        </w:rPr>
        <w:t>American Arbitration Ass’n</w:t>
      </w:r>
      <w:r w:rsidRPr="00AD2F44">
        <w:t xml:space="preserve"> (searchable database of, among other things, clause construction awards in AAA employment class cases), https://www.adr.org/casedockets (last visited Oct. 10, 2020). </w:t>
      </w:r>
    </w:p>
  </w:footnote>
  <w:footnote w:id="985">
    <w:p w14:paraId="7B863EAF" w14:textId="77777777" w:rsidR="00721CCF" w:rsidRPr="00AD2F44" w:rsidRDefault="00F42107">
      <w:pPr>
        <w:pStyle w:val="14Footnote"/>
      </w:pPr>
      <w:r w:rsidRPr="00AD2F44">
        <w:rPr>
          <w:vertAlign w:val="superscript"/>
        </w:rPr>
        <w:footnoteRef/>
      </w:r>
      <w:r w:rsidRPr="00AD2F44">
        <w:t xml:space="preserve">139 S. Ct. 1407 (2019). </w:t>
      </w:r>
    </w:p>
  </w:footnote>
  <w:footnote w:id="986">
    <w:p w14:paraId="681FB74F" w14:textId="77777777" w:rsidR="00721CCF" w:rsidRPr="00AD2F44" w:rsidRDefault="00F42107">
      <w:pPr>
        <w:pStyle w:val="14Footnote"/>
      </w:pPr>
      <w:r w:rsidRPr="00AD2F44">
        <w:rPr>
          <w:vertAlign w:val="superscript"/>
        </w:rPr>
        <w:footnoteRef/>
      </w:r>
      <w:r w:rsidRPr="00AD2F44">
        <w:rPr>
          <w:i/>
          <w:iCs/>
        </w:rPr>
        <w:t xml:space="preserve">Id. </w:t>
      </w:r>
      <w:r w:rsidRPr="00AD2F44">
        <w:t>at 1419.</w:t>
      </w:r>
    </w:p>
  </w:footnote>
  <w:footnote w:id="987">
    <w:p w14:paraId="23C835BB" w14:textId="77777777" w:rsidR="00721CCF" w:rsidRPr="00AD2F44" w:rsidRDefault="00F42107">
      <w:pPr>
        <w:pStyle w:val="14Footnote"/>
      </w:pPr>
      <w:r w:rsidRPr="00AD2F44">
        <w:rPr>
          <w:vertAlign w:val="superscript"/>
        </w:rPr>
        <w:footnoteRef/>
      </w:r>
      <w:r w:rsidRPr="00AD2F44">
        <w:rPr>
          <w:i/>
        </w:rPr>
        <w:t>Id.</w:t>
      </w:r>
    </w:p>
  </w:footnote>
  <w:footnote w:id="988">
    <w:p w14:paraId="3AFEA8DB" w14:textId="77777777" w:rsidR="00721CCF" w:rsidRPr="00AD2F44" w:rsidRDefault="00F42107">
      <w:pPr>
        <w:pStyle w:val="14Footnote"/>
      </w:pPr>
      <w:r w:rsidRPr="00AD2F44">
        <w:rPr>
          <w:vertAlign w:val="superscript"/>
        </w:rPr>
        <w:footnoteRef/>
      </w:r>
      <w:r w:rsidRPr="00AD2F44">
        <w:t>Other alternative dispute resolution services have their own specialized rules, such as FINRA (governing ADR for securities-related disputes).</w:t>
      </w:r>
    </w:p>
  </w:footnote>
  <w:footnote w:id="989">
    <w:p w14:paraId="56A0C036" w14:textId="77777777" w:rsidR="00721CCF" w:rsidRPr="00AD2F44" w:rsidRDefault="00F42107">
      <w:pPr>
        <w:pStyle w:val="14Footnote"/>
      </w:pPr>
      <w:r w:rsidRPr="00AD2F44">
        <w:rPr>
          <w:vertAlign w:val="superscript"/>
        </w:rPr>
        <w:footnoteRef/>
      </w:r>
      <w:r w:rsidRPr="00AD2F44">
        <w:t xml:space="preserve">409 F. Supp. 2d 682 (D.S.C. 2006), </w:t>
      </w:r>
      <w:r w:rsidRPr="00AD2F44">
        <w:rPr>
          <w:i/>
          <w:iCs/>
        </w:rPr>
        <w:t>aff’d</w:t>
      </w:r>
      <w:r w:rsidRPr="00AD2F44">
        <w:t>, 514 F.3d 345 (4th Cir. 2008).</w:t>
      </w:r>
    </w:p>
  </w:footnote>
  <w:footnote w:id="990">
    <w:p w14:paraId="6FFAAB9C" w14:textId="77777777" w:rsidR="00721CCF" w:rsidRPr="00AD2F44" w:rsidRDefault="00F42107">
      <w:pPr>
        <w:pStyle w:val="14Footnote"/>
      </w:pPr>
      <w:r w:rsidRPr="00AD2F44">
        <w:rPr>
          <w:vertAlign w:val="superscript"/>
        </w:rPr>
        <w:footnoteRef/>
      </w:r>
      <w:r w:rsidRPr="00AD2F44">
        <w:t>Stolt-Nielsen S.A. v. AnimalFeeds Int’l Corp.,</w:t>
      </w:r>
      <w:r w:rsidRPr="00AD2F44">
        <w:rPr>
          <w:i/>
          <w:iCs/>
        </w:rPr>
        <w:t xml:space="preserve"> </w:t>
      </w:r>
      <w:r w:rsidRPr="00AD2F44">
        <w:t xml:space="preserve">559 U.S. 662 (2010). </w:t>
      </w:r>
    </w:p>
  </w:footnote>
  <w:footnote w:id="991">
    <w:p w14:paraId="7E967142" w14:textId="77777777" w:rsidR="00721CCF" w:rsidRPr="00AD2F44" w:rsidRDefault="00F42107">
      <w:pPr>
        <w:pStyle w:val="14Footnote"/>
      </w:pPr>
      <w:r w:rsidRPr="00AD2F44">
        <w:rPr>
          <w:vertAlign w:val="superscript"/>
        </w:rPr>
        <w:footnoteRef/>
      </w:r>
      <w:r w:rsidRPr="00AD2F44">
        <w:t>409 F. Supp. 2d at 678–88.</w:t>
      </w:r>
    </w:p>
  </w:footnote>
  <w:footnote w:id="992">
    <w:p w14:paraId="6C83FF43" w14:textId="77777777" w:rsidR="00721CCF" w:rsidRPr="00AD2F44" w:rsidRDefault="00F42107">
      <w:pPr>
        <w:pStyle w:val="14Footnote"/>
      </w:pPr>
      <w:r w:rsidRPr="00AD2F44">
        <w:rPr>
          <w:vertAlign w:val="superscript"/>
        </w:rPr>
        <w:footnoteRef/>
      </w:r>
      <w:r w:rsidRPr="00AD2F44">
        <w:t>Long John Silver’s Restaurants, Inc. v. Cole, 514 F.3d 345 (4th Cir. 2008).</w:t>
      </w:r>
    </w:p>
  </w:footnote>
  <w:footnote w:id="993">
    <w:p w14:paraId="1EE4AB26" w14:textId="77777777" w:rsidR="00721CCF" w:rsidRPr="00AD2F44" w:rsidRDefault="00F42107">
      <w:pPr>
        <w:pStyle w:val="14Footnote"/>
      </w:pPr>
      <w:r w:rsidRPr="00AD2F44">
        <w:rPr>
          <w:vertAlign w:val="superscript"/>
        </w:rPr>
        <w:footnoteRef/>
      </w:r>
      <w:r w:rsidRPr="00AD2F44">
        <w:rPr>
          <w:i/>
          <w:iCs/>
        </w:rPr>
        <w:t>Id</w:t>
      </w:r>
      <w:r w:rsidRPr="00AD2F44">
        <w:t>. at 351–52.</w:t>
      </w:r>
    </w:p>
  </w:footnote>
  <w:footnote w:id="994">
    <w:p w14:paraId="45868362" w14:textId="77777777" w:rsidR="00721CCF" w:rsidRPr="00AD2F44" w:rsidRDefault="00F42107">
      <w:pPr>
        <w:pStyle w:val="14Footnote"/>
      </w:pPr>
      <w:r w:rsidRPr="00AD2F44">
        <w:rPr>
          <w:vertAlign w:val="superscript"/>
        </w:rPr>
        <w:footnoteRef/>
      </w:r>
      <w:r w:rsidRPr="00AD2F44">
        <w:rPr>
          <w:i/>
          <w:iCs/>
        </w:rPr>
        <w:t>Id</w:t>
      </w:r>
      <w:r w:rsidRPr="00AD2F44">
        <w:t>. at 352.</w:t>
      </w:r>
    </w:p>
  </w:footnote>
  <w:footnote w:id="995">
    <w:p w14:paraId="546B1161" w14:textId="77777777" w:rsidR="00721CCF" w:rsidRPr="00AD2F44" w:rsidRDefault="00F42107">
      <w:pPr>
        <w:pStyle w:val="14Footnote"/>
      </w:pPr>
      <w:r w:rsidRPr="00AD2F44">
        <w:rPr>
          <w:vertAlign w:val="superscript"/>
        </w:rPr>
        <w:footnoteRef/>
      </w:r>
      <w:r w:rsidRPr="00AD2F44">
        <w:rPr>
          <w:i/>
          <w:iCs/>
        </w:rPr>
        <w:t xml:space="preserve">Id. </w:t>
      </w:r>
      <w:r w:rsidRPr="00AD2F44">
        <w:t>at 353;</w:t>
      </w:r>
      <w:r w:rsidRPr="00AD2F44">
        <w:rPr>
          <w:i/>
          <w:iCs/>
        </w:rPr>
        <w:t xml:space="preserve"> see</w:t>
      </w:r>
      <w:r w:rsidRPr="00AD2F44">
        <w:t xml:space="preserve"> American Arbitration Ass’n, Supplementary Class Rules, Rule 3.</w:t>
      </w:r>
    </w:p>
  </w:footnote>
  <w:footnote w:id="996">
    <w:p w14:paraId="2A869AB8" w14:textId="77777777" w:rsidR="00721CCF" w:rsidRPr="00AD2F44" w:rsidRDefault="00F42107">
      <w:pPr>
        <w:pStyle w:val="14Footnote"/>
      </w:pPr>
      <w:r w:rsidRPr="00AD2F44">
        <w:rPr>
          <w:vertAlign w:val="superscript"/>
        </w:rPr>
        <w:footnoteRef/>
      </w:r>
      <w:r w:rsidRPr="00AD2F44">
        <w:t>Bowen v. Hovnanian Commc’ns, Inc., JAMS, No. 1220038720, p. 2 (Dec. 29, 2008); Bryant v. Joel Antunes, LLC, AAA, No. 11 160 01783 05, p. 2 (Sept. 17, 2007) (partial final award of class certification); Johnson v. Morton’s Rest. Grp., Inc., AAA, No. 11 160 01513 05, p. 19, n.28 (June 27, 2007) (class determination award, partial final award).</w:t>
      </w:r>
    </w:p>
  </w:footnote>
  <w:footnote w:id="997">
    <w:p w14:paraId="08EA4E94" w14:textId="77777777" w:rsidR="00721CCF" w:rsidRPr="00AD2F44" w:rsidRDefault="00F42107">
      <w:pPr>
        <w:pStyle w:val="14Footnote"/>
      </w:pPr>
      <w:r w:rsidRPr="00AD2F44">
        <w:rPr>
          <w:rStyle w:val="FootnoteReference"/>
        </w:rPr>
        <w:footnoteRef/>
      </w:r>
      <w:r w:rsidRPr="00AD2F44">
        <w:t xml:space="preserve">Sun Coast Res. Inc. v. Conrad, 956 F.3d 335, 337 (5th Cir. 2020). </w:t>
      </w:r>
    </w:p>
  </w:footnote>
  <w:footnote w:id="998">
    <w:p w14:paraId="1FD52D0E" w14:textId="77777777" w:rsidR="00721CCF" w:rsidRPr="00AD2F44" w:rsidRDefault="00F42107">
      <w:pPr>
        <w:pStyle w:val="14Footnote"/>
      </w:pPr>
      <w:r w:rsidRPr="00AD2F44">
        <w:rPr>
          <w:vertAlign w:val="superscript"/>
        </w:rPr>
        <w:footnoteRef/>
      </w:r>
      <w:r w:rsidRPr="00AD2F44">
        <w:t>Smith v. TeleTech Holdings, Inc., AAA, No. 11 16002726 04, p. 2 (Dec. 26, 2006) (partial final class certification award).</w:t>
      </w:r>
    </w:p>
  </w:footnote>
  <w:footnote w:id="999">
    <w:p w14:paraId="502E28C8" w14:textId="277CF0EC" w:rsidR="00721CCF" w:rsidRPr="00AD2F44" w:rsidRDefault="00F42107">
      <w:pPr>
        <w:pStyle w:val="14Footnote"/>
      </w:pPr>
      <w:r w:rsidRPr="00AD2F44">
        <w:rPr>
          <w:vertAlign w:val="superscript"/>
        </w:rPr>
        <w:footnoteRef/>
      </w:r>
      <w:r w:rsidRPr="00AD2F44">
        <w:rPr>
          <w:i/>
          <w:iCs/>
        </w:rPr>
        <w:t>In re</w:t>
      </w:r>
      <w:r w:rsidRPr="00AD2F44">
        <w:t xml:space="preserve"> JPMorgan Chase &amp; Co., 916 F.3d 494, 501 (5th Cir. 2019). </w:t>
      </w:r>
      <w:r w:rsidRPr="00AD2F44">
        <w:rPr>
          <w:i/>
          <w:iCs/>
        </w:rPr>
        <w:t>See also</w:t>
      </w:r>
      <w:r w:rsidRPr="00AD2F44">
        <w:t xml:space="preserve"> </w:t>
      </w:r>
      <w:r w:rsidRPr="00AD2F44">
        <w:rPr>
          <w:i/>
          <w:iCs/>
        </w:rPr>
        <w:t>In re</w:t>
      </w:r>
      <w:r w:rsidRPr="00AD2F44">
        <w:t xml:space="preserve"> A&amp;D Ints., Inc., 33 F.4th 254 (5th Cir. 2022) (reversing district court’s grant of conditional certification where enforceable arbitration agreement precluded class actions). </w:t>
      </w:r>
    </w:p>
  </w:footnote>
  <w:footnote w:id="1000">
    <w:p w14:paraId="15DF716D" w14:textId="77777777" w:rsidR="00721CCF" w:rsidRPr="00AD2F44" w:rsidRDefault="00F42107">
      <w:pPr>
        <w:pStyle w:val="14Footnote"/>
      </w:pPr>
      <w:r w:rsidRPr="00AD2F44">
        <w:rPr>
          <w:vertAlign w:val="superscript"/>
        </w:rPr>
        <w:footnoteRef/>
      </w:r>
      <w:r w:rsidRPr="00AD2F44">
        <w:rPr>
          <w:i/>
          <w:iCs/>
        </w:rPr>
        <w:t>Id.</w:t>
      </w:r>
      <w:r w:rsidRPr="00AD2F44">
        <w:t xml:space="preserve"> at 503.</w:t>
      </w:r>
    </w:p>
  </w:footnote>
  <w:footnote w:id="1001">
    <w:p w14:paraId="380F243C" w14:textId="77777777" w:rsidR="00721CCF" w:rsidRPr="00AD2F44" w:rsidRDefault="00F42107">
      <w:pPr>
        <w:pStyle w:val="14Footnote"/>
      </w:pPr>
      <w:r w:rsidRPr="00AD2F44">
        <w:rPr>
          <w:vertAlign w:val="superscript"/>
        </w:rPr>
        <w:footnoteRef/>
      </w:r>
      <w:r w:rsidRPr="00AD2F44">
        <w:t xml:space="preserve">Bigger v. Facebook, Inc., 947 F.3d 1043, 1047 (7th Cir. 2020). </w:t>
      </w:r>
    </w:p>
  </w:footnote>
  <w:footnote w:id="1002">
    <w:p w14:paraId="37EDF022" w14:textId="7E109E33" w:rsidR="00721CCF" w:rsidRPr="00AD2F44" w:rsidRDefault="00F42107">
      <w:pPr>
        <w:pStyle w:val="14Footnote"/>
      </w:pPr>
      <w:r w:rsidRPr="00AD2F44">
        <w:rPr>
          <w:vertAlign w:val="superscript"/>
        </w:rPr>
        <w:footnoteRef/>
      </w:r>
      <w:r w:rsidRPr="00AD2F44">
        <w:rPr>
          <w:i/>
          <w:iCs/>
        </w:rPr>
        <w:t>Second Circuit:</w:t>
      </w:r>
      <w:r w:rsidRPr="00AD2F44">
        <w:t xml:space="preserve"> DeSimone v. TIAA Bank, 2021 BL 346860, 2021 WL 4198274 (S.D.N.Y. Sept. 14, 2021) (granting plaintiffs’ conditional certification motion and ordering notice where arbitration was compelled); Guzman v. Three Amigos SJL, Inc., 117 F. Supp. 3d 516, 526 (S.D.N.Y. 2015) (permitting notice to be sent to all putative class members, including those who allegedly were subject to arbitration agreements, because defendant had not produced such agreement for named plaintiff or moved to compel arbitration, and thus “the validity of the arbitration clause defense is speculative at this stage”); Hernandez v. Immortal Rise, Inc., 2012 WL 4369746, at *5 (E.D.N.Y. Sept. 24, 2012) (concluding “the existence of arbitration agreements is irrelevant to class certification, because it raises a merits-based determination”); D’Antuono v. C &amp; G of Groton, Inc., 2011 WL 5878045, at *4 (D. Conn. Nov. 23, 2011) (granting conditional certification despite allegation that some putative class members would have signed arbitration agreements).</w:t>
      </w:r>
    </w:p>
    <w:p w14:paraId="3E221621" w14:textId="77777777" w:rsidR="00721CCF" w:rsidRPr="00AD2F44" w:rsidRDefault="00F42107">
      <w:pPr>
        <w:pStyle w:val="14Footnote"/>
      </w:pPr>
      <w:r w:rsidRPr="00AD2F44">
        <w:rPr>
          <w:i/>
          <w:iCs/>
        </w:rPr>
        <w:t>Third Circuit:</w:t>
      </w:r>
      <w:r w:rsidRPr="00AD2F44">
        <w:t xml:space="preserve"> Krstic v. J.R. Contracting &amp; Envtl. Consulting, 2011 WL 1042732 (D.N.J. Mar. 16, 2011) (granting motion for conditional certification where some employees signed arbitration agreements and some did not, noting court could subdivide employees and compel arbitration for those who signed arbitration agreements while keeping claims of nonsigners in federal court).</w:t>
      </w:r>
    </w:p>
    <w:p w14:paraId="3CB7B84B" w14:textId="1ABF5F9D" w:rsidR="00721CCF" w:rsidRPr="00AD2F44" w:rsidRDefault="00F42107">
      <w:pPr>
        <w:pStyle w:val="14Footnote"/>
      </w:pPr>
      <w:r w:rsidRPr="00AD2F44">
        <w:rPr>
          <w:i/>
          <w:iCs/>
        </w:rPr>
        <w:t>Sixth Circuit:</w:t>
      </w:r>
      <w:r w:rsidRPr="00AD2F44">
        <w:t xml:space="preserve"> Holder v. A&amp;L Home Care &amp; Training Ctr., LLC, 552 F. Supp. 3d 731 (S.D. Ohio 2021) (granting conditional certification but limiting notice sent to workers for whom defendants could not produce evidence of signed arbitration agreements); Colley v. Scherzinger Corp., 176 F. Supp. 3d 730, 734–35 (S.D. Ohio 2016) (permitting notice to be sent to all putative class members, including those who allegedly were subject to arbitration agreements, because issue of enforceability of arbitration agreements “goes to the merits of Scherzinger’s contention, [and] is not before the Court at this juncture”). </w:t>
      </w:r>
      <w:r w:rsidRPr="00AD2F44">
        <w:rPr>
          <w:i/>
          <w:iCs/>
        </w:rPr>
        <w:t>Cf</w:t>
      </w:r>
      <w:r w:rsidRPr="00AD2F44">
        <w:t>.</w:t>
      </w:r>
      <w:r w:rsidRPr="00AD2F44">
        <w:rPr>
          <w:i/>
          <w:iCs/>
        </w:rPr>
        <w:t xml:space="preserve"> </w:t>
      </w:r>
      <w:r w:rsidRPr="00AD2F44">
        <w:t>Taylor v. Pilot Corp., 697 F. App’x 854 (6th Cir. 2017) (declining to reconsider lower court’s decision granting conditional certification and refusing to dismiss collective members who signed arbitration agreements or stay proceedings; holding that decision was not final order subject to appeal under 28 U.S.C. §1291).</w:t>
      </w:r>
    </w:p>
    <w:p w14:paraId="6F25F9F2" w14:textId="77777777" w:rsidR="00721CCF" w:rsidRPr="00AD2F44" w:rsidRDefault="00F42107">
      <w:pPr>
        <w:pStyle w:val="14Footnote"/>
      </w:pPr>
      <w:r w:rsidRPr="00AD2F44">
        <w:rPr>
          <w:i/>
          <w:iCs/>
        </w:rPr>
        <w:t>Eighth Circuit:</w:t>
      </w:r>
      <w:r w:rsidRPr="00AD2F44">
        <w:t xml:space="preserve"> Bowman v. Doe Run Res. Corp., 2014 WL 3579885, at *4 (E.D. Mo. July 21, 2014) (holding fact that some potential class members are subject to a mandatory arbitration provision is insufficient to defeat conditional certification); Davis v. NovaStar Mortg., Inc., 408 F. Supp. 2d 811, 818 (W.D. Mo. 2005) (granting conditional certification and approving notice to the entire putative class even though the defendants asserted that “most, if not all” of the purported class signed arbitration agreements; court would consider arbitral issues after conditional certification was granted and the identities of class members were known, or if the defendants moved to compel arbitration).</w:t>
      </w:r>
    </w:p>
    <w:p w14:paraId="1EF2BDEA" w14:textId="2DB45E76" w:rsidR="00721CCF" w:rsidRPr="00AD2F44" w:rsidRDefault="00F42107">
      <w:pPr>
        <w:pStyle w:val="14Footnote"/>
      </w:pPr>
      <w:r w:rsidRPr="00AD2F44">
        <w:rPr>
          <w:i/>
          <w:iCs/>
        </w:rPr>
        <w:t xml:space="preserve">Ninth Circuit: </w:t>
      </w:r>
      <w:r w:rsidRPr="00AD2F44">
        <w:t>Agerkop v. Sisyphian LLC, 2021 BL 377197, 2021 WL 4348733 (C.D. Cal. Aug. 4, 2021) (granting conditional certification and denying defendants’ argument that notice should issue only to putative opt-in plaintiffs who had not signed arbitration agreements; denying defendants’ motion for interlocutory appeal on issue); Campanelli v. Image First Healthcare Laundry Specialists, Inc., 2018 WL 6727825, at *9 (N.D. Cal. Dec. 21, 2018) (denying defendant’s preemptive motion to deny FLSA conditional certification, holding that arbitration-related motions must come after notice); Conde v. Open Door Mktg., LLC, 2016 WL 1427641, at *10 (N.D. Cal. Apr. 12, 2016) (granting motion to facilitate notice and noting that “[t]o the extent any employee working directly for [defendant] did sign an arbitration agreement, the company will be free to move to dismiss the claims of any such employee who attempts to join this collective action”); Shaia v. Harvest Mgmt. Sub LLC, 306 F.R.D. 268, 276 (N.D. Cal. 2015) (permitting notice to be sent to all putative class members, including those who allegedly were subject to arbitration or waiver agreements, because “[t]he question whether certain employees are precluded from participating as members of the collective action by virtue of the arbitration/settlement agreements is not properly before the court at this first stage of the certification”); Saravia v. Dynamex, Inc., 310 F.R.D. 412, 424–25 (N.D. Cal. 2015) (granting motion to facilitate notice to putative class that may have signed arbitration agreements, but limiting class to California plaintiffs to “ensure that the arbitration clauses are subject to only one state’s laws” and noting that defendant may seek to compel arbitration of opt-in plaintiffs); Mowdy v. Beneto Bulk Transport, 2008 WL 901546, at *19–22 (N.D. Cal. Mar. 31, 2008) (where defendants failed to adequately develop the record and court could not determine the nature of the arbitration agreement, how many employees may have signed it, or whether the agreement was valid, court reserved its determination as to the validity of the agreement until the second stage of certification).</w:t>
      </w:r>
    </w:p>
    <w:p w14:paraId="616C7D5E" w14:textId="0FC142FE" w:rsidR="00721CCF" w:rsidRPr="00AD2F44" w:rsidRDefault="00F42107">
      <w:pPr>
        <w:pStyle w:val="14Footnote"/>
      </w:pPr>
      <w:r w:rsidRPr="00AD2F44">
        <w:rPr>
          <w:i/>
          <w:iCs/>
        </w:rPr>
        <w:t xml:space="preserve">Tenth Circuit: </w:t>
      </w:r>
      <w:r w:rsidRPr="009A6132">
        <w:t>Stoddard v. Love</w:t>
      </w:r>
      <w:r w:rsidR="00237357">
        <w:t>’</w:t>
      </w:r>
      <w:r w:rsidRPr="009A6132">
        <w:t>s</w:t>
      </w:r>
      <w:r w:rsidRPr="009A6132">
        <w:t xml:space="preserve"> Travel Stops &amp; Country Stores, Inc., </w:t>
      </w:r>
      <w:r w:rsidR="00237357" w:rsidRPr="00237357">
        <w:t>2022 BL 259104</w:t>
      </w:r>
      <w:r w:rsidR="00237357">
        <w:t xml:space="preserve">, </w:t>
      </w:r>
      <w:r w:rsidRPr="009A6132">
        <w:t>2022 WL 2960131 (W.D. Ok</w:t>
      </w:r>
      <w:r w:rsidR="00D55238">
        <w:t>la</w:t>
      </w:r>
      <w:r w:rsidRPr="009A6132">
        <w:t xml:space="preserve">. July 26, 2022) </w:t>
      </w:r>
      <w:r>
        <w:t xml:space="preserve">(granting notice despite fact that some putative plaintiffs may have signed arbitration agreements, noting the trend in the Tenth Circuit); </w:t>
      </w:r>
      <w:r w:rsidRPr="00AD2F44">
        <w:t>Pogue v. Chisholm Energy Operating, LLC, 2021 BL 471829, 2021 WL 5861184 (D.N.M. Dec. 10, 2021) (granting conditional certification despite existence of enforceable arbitration agreements);</w:t>
      </w:r>
      <w:r w:rsidRPr="00AD2F44">
        <w:rPr>
          <w:i/>
          <w:iCs/>
        </w:rPr>
        <w:t xml:space="preserve"> </w:t>
      </w:r>
      <w:r w:rsidRPr="00AD2F44">
        <w:t xml:space="preserve">Judd v. Keypoint Gov’t Sols., Inc., 2018 WL 7142193, at *6 (D. Colo. Dec. 4, 2018) (“The fact that claims not presently before the Court may be ordered to arbitration at a later date does not require that notice be withheld from potential members of the collective, under the FLSA’s long-established procedures for doing so, merely because some members signed an arbitration agreement.”), </w:t>
      </w:r>
      <w:r w:rsidRPr="00AD2F44">
        <w:rPr>
          <w:i/>
          <w:iCs/>
        </w:rPr>
        <w:t>order amended</w:t>
      </w:r>
      <w:r w:rsidRPr="00AD2F44">
        <w:t xml:space="preserve"> </w:t>
      </w:r>
      <w:r w:rsidRPr="00AD2F44">
        <w:rPr>
          <w:i/>
          <w:iCs/>
        </w:rPr>
        <w:t xml:space="preserve">sub nom. </w:t>
      </w:r>
      <w:r w:rsidRPr="00AD2F44">
        <w:t xml:space="preserve">Brayman v. Keypoint Gov’t. Sols., Inc., 2019 WL 3714773 (D. Colo. Aug. 7, 2019) (limiting notice to employees that were not subject to arbitration notice upon finding that plaintiffs failed to timely object to class action waiver). </w:t>
      </w:r>
    </w:p>
    <w:p w14:paraId="1A12644E" w14:textId="77777777" w:rsidR="00721CCF" w:rsidRPr="00AD2F44" w:rsidRDefault="00F42107">
      <w:pPr>
        <w:pStyle w:val="14Footnote"/>
      </w:pPr>
      <w:r w:rsidRPr="00AD2F44">
        <w:rPr>
          <w:i/>
          <w:iCs/>
        </w:rPr>
        <w:t>Eleventh Circuit:</w:t>
      </w:r>
      <w:r w:rsidRPr="00AD2F44">
        <w:t xml:space="preserve"> Williams v. Omainsky, 2016 WL 297718, at *7–8 (S.D. Ala. Jan. 21, 2016) (“By signing the [arbitration] Agreement, putative opt-in plaintiffs did not forfeit the right to receive notice of this litigation or to pursue FLSA claims … ; rather, they merely agreed to a different forum and procedure for resolving such disputes”; granting notice to putative class members who had signed arbitration agreement but noting that “defendants may move to compel mediation/arbitration of their claims” if they opt in)</w:t>
      </w:r>
    </w:p>
  </w:footnote>
  <w:footnote w:id="1003">
    <w:p w14:paraId="4E9EC00E" w14:textId="6D912993" w:rsidR="00721CCF" w:rsidRPr="00AD2F44" w:rsidRDefault="00F42107">
      <w:pPr>
        <w:pStyle w:val="14Footnote"/>
      </w:pPr>
      <w:r w:rsidRPr="00AD2F44">
        <w:rPr>
          <w:vertAlign w:val="superscript"/>
        </w:rPr>
        <w:footnoteRef/>
      </w:r>
      <w:r w:rsidRPr="00AD2F44">
        <w:rPr>
          <w:i/>
          <w:iCs/>
        </w:rPr>
        <w:t xml:space="preserve">Second Circuit: </w:t>
      </w:r>
      <w:r w:rsidRPr="00AD2F44">
        <w:t xml:space="preserve">Filho v. OTG Mgmt., LLC, 2021 BL 115064, 2021 WL 1191817 (S.D.N.Y. Mar. 30, 2021) (providing notice to employees with allegedly enforceable arbitration agreements); </w:t>
      </w:r>
      <w:r w:rsidRPr="00AD2F44">
        <w:rPr>
          <w:i/>
          <w:iCs/>
        </w:rPr>
        <w:t>D’Antuono</w:t>
      </w:r>
      <w:r w:rsidRPr="00AD2F44">
        <w:t>, 2011 WL 5878045, at *2 (conditionally certifying class, refusing to consider validity of arbitration agreements until close of discovery).</w:t>
      </w:r>
    </w:p>
    <w:p w14:paraId="3B3AAA02" w14:textId="7AFDD811" w:rsidR="00721CCF" w:rsidRPr="00AD2F44" w:rsidRDefault="00F42107">
      <w:pPr>
        <w:pStyle w:val="14Footnote"/>
        <w:rPr>
          <w:i/>
          <w:iCs/>
        </w:rPr>
      </w:pPr>
      <w:r w:rsidRPr="00AD2F44">
        <w:rPr>
          <w:i/>
          <w:iCs/>
        </w:rPr>
        <w:t xml:space="preserve">Third Circuit: </w:t>
      </w:r>
      <w:r w:rsidRPr="00AD2F44">
        <w:rPr>
          <w:bCs/>
        </w:rPr>
        <w:t>Bruno v. Wells Fargo Bank, N.A., 2021 BL 91043, 2021 WL 964938 (W.D. Pa. Mar. 15, 2021) (refusing to adopt defendant’s argument that arbitration issue forestalls sending notice after conditional certification determination).</w:t>
      </w:r>
    </w:p>
    <w:p w14:paraId="5498EF29" w14:textId="7B4DA39C" w:rsidR="00721CCF" w:rsidRPr="00AD2F44" w:rsidRDefault="00F42107">
      <w:pPr>
        <w:pStyle w:val="14Footnote"/>
      </w:pPr>
      <w:r w:rsidRPr="00AD2F44">
        <w:rPr>
          <w:i/>
          <w:iCs/>
        </w:rPr>
        <w:t>Fourth Circuit:</w:t>
      </w:r>
      <w:r w:rsidRPr="00AD2F44">
        <w:t xml:space="preserve"> </w:t>
      </w:r>
      <w:r w:rsidRPr="004C050F">
        <w:t xml:space="preserve">Deryas v. Biscuitville, Inc., </w:t>
      </w:r>
      <w:r w:rsidR="00237357" w:rsidRPr="00237357">
        <w:t>2023 BL 80547</w:t>
      </w:r>
      <w:r w:rsidR="00237357">
        <w:t xml:space="preserve">, </w:t>
      </w:r>
      <w:r w:rsidRPr="004C050F">
        <w:t>2023 WL 2447882, at *2 (M.D.N.C. Jan. 24, 2023)</w:t>
      </w:r>
      <w:r>
        <w:t xml:space="preserve"> (authorizing notice despite arbitration agreements); </w:t>
      </w:r>
      <w:r w:rsidRPr="00AD2F44">
        <w:t xml:space="preserve">Lancaster v. FQSR, 2020 BL 347852, 2020 WL 5500227 (D. Md. Sept. 11, 2020) (holding that existence and enforceability of arbitration agreement is merit-based inquiry not addressed at conditional certification stage). </w:t>
      </w:r>
    </w:p>
    <w:p w14:paraId="0A1BC8F8" w14:textId="6936B86B" w:rsidR="00721CCF" w:rsidRPr="00AD2F44" w:rsidRDefault="00F42107">
      <w:pPr>
        <w:pStyle w:val="14Footnote"/>
      </w:pPr>
      <w:r w:rsidRPr="00AD2F44">
        <w:rPr>
          <w:i/>
          <w:iCs/>
        </w:rPr>
        <w:t xml:space="preserve">Sixth Circuit: </w:t>
      </w:r>
      <w:r w:rsidRPr="00AD2F44">
        <w:t>Bradford v. Team Pizza, Inc., 2020 BL 242132, 2020 WL 3496150 (S.D. Ohio June 29, 2020) (in granting conditional certification, refusing to determine existence and enforceability of arbitration agreements).</w:t>
      </w:r>
    </w:p>
    <w:p w14:paraId="66F99A19" w14:textId="5DC62C36" w:rsidR="00721CCF" w:rsidRPr="00AD2F44" w:rsidRDefault="00F42107">
      <w:pPr>
        <w:pStyle w:val="14Footnote"/>
      </w:pPr>
      <w:r w:rsidRPr="00AD2F44">
        <w:rPr>
          <w:i/>
          <w:iCs/>
        </w:rPr>
        <w:t xml:space="preserve">Eighth Circuit: </w:t>
      </w:r>
      <w:r w:rsidRPr="00AD2F44">
        <w:t xml:space="preserve">Grove v. Meltech, Inc. 2020 BL 471997, 2020 WL 7133568, at *5 (D. Neb. Dec. 3, 2020) (holding that “withholding notice because of the existence of an arbitration agreement would presuppose the enforceability of the agreement”); </w:t>
      </w:r>
      <w:r w:rsidRPr="00AD2F44">
        <w:rPr>
          <w:i/>
          <w:iCs/>
        </w:rPr>
        <w:t>Davis</w:t>
      </w:r>
      <w:r w:rsidRPr="00AD2F44">
        <w:t>, 408 F. Supp. 2d at 818 (holding court would consider arbitration issues once the identity of the class members had been determined).</w:t>
      </w:r>
    </w:p>
    <w:p w14:paraId="1099A047" w14:textId="6DF56993" w:rsidR="00721CCF" w:rsidRPr="00AD2F44" w:rsidRDefault="00F42107">
      <w:pPr>
        <w:pStyle w:val="14Footnote"/>
      </w:pPr>
      <w:r w:rsidRPr="00AD2F44">
        <w:rPr>
          <w:i/>
          <w:iCs/>
        </w:rPr>
        <w:t>Ninth Circuit:</w:t>
      </w:r>
      <w:r w:rsidRPr="00AD2F44">
        <w:t xml:space="preserve"> Pittmon v. CACI Int’l, Inc., 2021 BL 387982, 2021 WL 4642022 (C.D. Cal. Aug. 27, 2021) (granting conditional certification and rejecting defendant’s argument to exclude putative collective members who might be subject to arbitration agreements); </w:t>
      </w:r>
      <w:r w:rsidRPr="00AD2F44">
        <w:rPr>
          <w:bCs/>
        </w:rPr>
        <w:t>Droesch v. Wells Fargo Bank N.A.</w:t>
      </w:r>
      <w:r w:rsidRPr="00AD2F44">
        <w:t xml:space="preserve">, 2021 BL 168635, </w:t>
      </w:r>
      <w:r w:rsidRPr="00AD2F44">
        <w:rPr>
          <w:bCs/>
        </w:rPr>
        <w:t xml:space="preserve">2021 WL 1817058 (N.D. Cal. May 6, 2021) (refusing to address arbitration issue during conditional certification stage); </w:t>
      </w:r>
      <w:r w:rsidRPr="00AD2F44">
        <w:t xml:space="preserve">Conde v. Open Door Mktg., LLC, 223 F. Supp. 3d 949, 966–70 (N.D. Cal. 2017) (granting motion to facilitate notice to putative class that included individuals who allegedly signed arbitration agreements and noting that “[s]hould individuals who have signed arbitration agreements opt into the collective action, [defendant] may then bring a motion to compel arbitration against those individuals, who would then have standing to dispute whether the agreement should be enforced against them”); </w:t>
      </w:r>
      <w:r w:rsidRPr="00AD2F44">
        <w:rPr>
          <w:i/>
          <w:iCs/>
        </w:rPr>
        <w:t>Saravia</w:t>
      </w:r>
      <w:r w:rsidRPr="00AD2F44">
        <w:t>, 310 F.R.D. at 424–25 (granting motion to facilitate notice to putative class that may have signed arbitration agreements, but noting that defendant may seek to compel arbitration of opt-in plaintiffs).</w:t>
      </w:r>
    </w:p>
    <w:p w14:paraId="70A68C8C" w14:textId="77777777" w:rsidR="00721CCF" w:rsidRPr="00AD2F44" w:rsidRDefault="00F42107">
      <w:pPr>
        <w:pStyle w:val="14Footnote"/>
      </w:pPr>
      <w:r w:rsidRPr="00AD2F44">
        <w:rPr>
          <w:i/>
          <w:iCs/>
        </w:rPr>
        <w:t>Tenth Circuit:</w:t>
      </w:r>
      <w:r w:rsidRPr="00AD2F44">
        <w:t xml:space="preserve"> Whittington v. Taco Bell of Am., Inc., 2011 WL 1772401, at *5 (D. Colo. May 10, 2011) (concluding that determination regarding arbitration agreements is premature where parties to agreement are not before the court).</w:t>
      </w:r>
    </w:p>
    <w:p w14:paraId="406ABF03" w14:textId="77777777" w:rsidR="00721CCF" w:rsidRPr="00AD2F44" w:rsidRDefault="00F42107">
      <w:pPr>
        <w:pStyle w:val="14Footnote"/>
      </w:pPr>
      <w:r w:rsidRPr="00AD2F44">
        <w:rPr>
          <w:i/>
          <w:iCs/>
        </w:rPr>
        <w:t xml:space="preserve">Eleventh Circuit: </w:t>
      </w:r>
      <w:r w:rsidRPr="00AD2F44">
        <w:t>Compagnone v. DL Pool Serv., LLC, 2016 WL 6575087, at *3–4 (M.D. Fla. Nov. 7, 2016) (granting motion to facilitate notice to putative class of approximately 40–80 individuals, where defendant alleged that more than 10 putative class members had signed arbitration agreements, but noting that defendant could address issue in later motion to compel arbitration or decertify class)</w:t>
      </w:r>
    </w:p>
  </w:footnote>
  <w:footnote w:id="1004">
    <w:p w14:paraId="5A2E9C26" w14:textId="77777777" w:rsidR="00721CCF" w:rsidRPr="00AD2F44" w:rsidRDefault="00F42107">
      <w:pPr>
        <w:pStyle w:val="14Footnote"/>
      </w:pPr>
      <w:r w:rsidRPr="00AD2F44">
        <w:rPr>
          <w:vertAlign w:val="superscript"/>
        </w:rPr>
        <w:footnoteRef/>
      </w:r>
      <w:r w:rsidRPr="00AD2F44">
        <w:rPr>
          <w:i/>
        </w:rPr>
        <w:t>See</w:t>
      </w:r>
    </w:p>
    <w:p w14:paraId="49293146" w14:textId="1F9FCF10" w:rsidR="00721CCF" w:rsidRPr="00AD2F44" w:rsidRDefault="00F42107">
      <w:pPr>
        <w:pStyle w:val="14Footnote"/>
      </w:pPr>
      <w:r w:rsidRPr="00AD2F44">
        <w:rPr>
          <w:i/>
          <w:iCs/>
        </w:rPr>
        <w:t xml:space="preserve">Second Circuit: </w:t>
      </w:r>
      <w:r w:rsidRPr="00AD2F44">
        <w:t>McLean v. Cornucopia Logistics, LLC, 2021 BL 315391, 2021 WL 3709260 (E.D.N.Y. Aug. 20, 2021) (denying conditional certification where putative opt-in plaintiffs would be subject to enforceable arbitration agreement);</w:t>
      </w:r>
      <w:r w:rsidRPr="00AD2F44">
        <w:rPr>
          <w:i/>
          <w:iCs/>
        </w:rPr>
        <w:t xml:space="preserve"> </w:t>
      </w:r>
      <w:r w:rsidRPr="00AD2F44">
        <w:t>Errickson v. Paychex, Inc., 447 F. Supp. 3d 14 (W.D.N.Y. 2020</w:t>
      </w:r>
      <w:r w:rsidRPr="00AD2F44">
        <w:rPr>
          <w:iCs/>
        </w:rPr>
        <w:t>)</w:t>
      </w:r>
      <w:r w:rsidRPr="00AD2F44">
        <w:t xml:space="preserve"> (declining to authorize notice to employees who signed arbitration agreements); Lanqing Lin v. Everyday Beauty Amore Inc., 2018 WL 6492741, at *5 (E.D.N.Y. Dec. 10, 2018) (denying motion for conditional certification as to employees who worked after defendant implemented its arbitration protocols, based on “defendants’ attestation that every retail sales employee has signed this [enforceable arbitration] provision as a condition of new or continued employment”); Hamaoudeh v. UnitedHealth Grp., Inc., 2016 WL 2894870, at *1–3 (E.D.N.Y. May 17, 2016) (denying motion to facilitate notice prior to resolution of motion to compel arbitration as to all named plaintiffs because “the stirring up of potential litigation in this manner would be an improper use of judicial authority”).</w:t>
      </w:r>
    </w:p>
    <w:p w14:paraId="4C54319B" w14:textId="77777777" w:rsidR="00721CCF" w:rsidRPr="00AD2F44" w:rsidRDefault="00F42107">
      <w:pPr>
        <w:pStyle w:val="14Footnote"/>
      </w:pPr>
      <w:r w:rsidRPr="00AD2F44">
        <w:rPr>
          <w:i/>
          <w:iCs/>
        </w:rPr>
        <w:t xml:space="preserve">Fifth Circuit: </w:t>
      </w:r>
      <w:r w:rsidRPr="00AD2F44">
        <w:t>White v. Turner, 2016 WL 1090107, at *4–6 (S.D. Tex. Mar. 21, 2016) (denying plaintiffs’ motion for conditional certification against defendant where court had compelled arbitration of all plaintiffs who had been employed by defendant, and thus “court lacks subject matter jurisdiction over the FLSA action against [defendant]”).</w:t>
      </w:r>
    </w:p>
    <w:p w14:paraId="54FFE5B8" w14:textId="5E5296C3" w:rsidR="00721CCF" w:rsidRPr="00AD2F44" w:rsidRDefault="00F42107">
      <w:pPr>
        <w:pStyle w:val="14Footnote"/>
      </w:pPr>
      <w:r w:rsidRPr="00AD2F44">
        <w:rPr>
          <w:i/>
          <w:iCs/>
        </w:rPr>
        <w:t>Ninth Circuit:</w:t>
      </w:r>
      <w:r w:rsidRPr="00AD2F44">
        <w:t xml:space="preserve"> Droesch v. Wells Fargo Bank, N.A., 2021 BL 252260, 2021 WL 2805604 (N.D. Cal. July 6, 2021) (refusing to authorize notice to 27,000 putative collective members that defendant claimed had signed arbitration agreements that was previously found enforceable, and permitting discovery on issue); Longnecker v. American Express Co., 2014 WL 4071662, at *6–7 (D. Ariz. Aug. 18, 2014) (refusing to authorize notice to employees subject to arbitration agreement because court had “already determined that the Arbitration Policy is valid” and thus “there is no reason to give notice to any employee” subject to policy); Castle v. Wells Fargo Fin., Inc., 2007 WL 703609 (N.D. Cal. Mar. 5, 2007) (denying plaintiffs’ motion for conditional certification where all named plaintiffs and most opt-ins had signed arbitration agreements and defendant had filed motion to compel arbitration).</w:t>
      </w:r>
    </w:p>
    <w:p w14:paraId="781C9896" w14:textId="77777777" w:rsidR="00721CCF" w:rsidRPr="00AD2F44" w:rsidRDefault="00F42107">
      <w:pPr>
        <w:pStyle w:val="14Footnote"/>
      </w:pPr>
      <w:r w:rsidRPr="00AD2F44">
        <w:rPr>
          <w:i/>
          <w:iCs/>
        </w:rPr>
        <w:t>Tenth Circuit: Brayman,</w:t>
      </w:r>
      <w:r w:rsidRPr="00AD2F44">
        <w:t xml:space="preserve"> 2019 WL 3714773 (reversing decision to provide notice after finding valid arbitration agreements). </w:t>
      </w:r>
    </w:p>
  </w:footnote>
  <w:footnote w:id="1005">
    <w:p w14:paraId="4258F221" w14:textId="31C99E71" w:rsidR="00721CCF" w:rsidRPr="00AD2F44" w:rsidRDefault="00F42107">
      <w:pPr>
        <w:pStyle w:val="14Footnote"/>
      </w:pPr>
      <w:r w:rsidRPr="00AD2F44">
        <w:rPr>
          <w:vertAlign w:val="superscript"/>
        </w:rPr>
        <w:footnoteRef/>
      </w:r>
      <w:r w:rsidRPr="00AD2F44">
        <w:rPr>
          <w:i/>
          <w:iCs/>
        </w:rPr>
        <w:t>See</w:t>
      </w:r>
    </w:p>
    <w:p w14:paraId="694DB8AC" w14:textId="441329D8" w:rsidR="00721CCF" w:rsidRPr="00AD2F44" w:rsidRDefault="00F42107">
      <w:pPr>
        <w:pStyle w:val="14Footnote"/>
      </w:pPr>
      <w:r w:rsidRPr="00AD2F44">
        <w:rPr>
          <w:i/>
          <w:iCs/>
        </w:rPr>
        <w:t xml:space="preserve">Fifth Circuit: </w:t>
      </w:r>
      <w:r w:rsidRPr="00AD2F44">
        <w:t xml:space="preserve">Kalenga v. Irving Holdings Inc., 2020 BL 203019, 2020 WL 2841396 (N.D. Tex. June 1, 2020) (granting defendant’s motion to compel arbitration over plaintiff’s arguments that implementation of arbitration agreements post-conditional certification was coercive or misleading). </w:t>
      </w:r>
    </w:p>
    <w:p w14:paraId="65B292C5" w14:textId="77777777" w:rsidR="00721CCF" w:rsidRPr="00AD2F44" w:rsidRDefault="00F42107">
      <w:pPr>
        <w:pStyle w:val="14Footnote"/>
      </w:pPr>
      <w:r w:rsidRPr="00AD2F44">
        <w:rPr>
          <w:i/>
          <w:iCs/>
        </w:rPr>
        <w:t xml:space="preserve">Ninth Circuit: </w:t>
      </w:r>
      <w:r w:rsidRPr="00AD2F44">
        <w:t>Hose v. Washington Inventory Servs., Inc., 2017 WL 3085846 (S.D. Cal. July 19, 2017) (declining to compel arbitration for employees who signed agreements after date of conditional certification).</w:t>
      </w:r>
    </w:p>
    <w:p w14:paraId="0EB58C2D" w14:textId="1ED0180A" w:rsidR="00721CCF" w:rsidRPr="00AD2F44" w:rsidRDefault="00F42107">
      <w:pPr>
        <w:pStyle w:val="14Footnote"/>
      </w:pPr>
      <w:r w:rsidRPr="00AD2F44">
        <w:rPr>
          <w:i/>
          <w:iCs/>
        </w:rPr>
        <w:t>Eleventh Circuit:</w:t>
      </w:r>
      <w:r w:rsidRPr="00AD2F44">
        <w:t xml:space="preserve"> Billingsley v. Citi Trends, Inc., 560 F. App’x 914 (11th Cir. 2014) (affirming district court order refusing to enforce arbitration agreements obtained during pendency of litigation as proper exercise of district court’s authority to manage collective actions); Espinoza v. Galardi S. Enters., 2014 WL 6473236 (S.D. Fla. Nov. 18, 2014) (acknowledging authority of district court to refuse to enforce agreement, but denying motion to send corrective notice or declare agreements unenforceable based on current record). </w:t>
      </w:r>
    </w:p>
  </w:footnote>
  <w:footnote w:id="1006">
    <w:p w14:paraId="65CF5072" w14:textId="77777777" w:rsidR="00721CCF" w:rsidRPr="00AD2F44" w:rsidRDefault="00F42107">
      <w:pPr>
        <w:pStyle w:val="14Footnote"/>
      </w:pPr>
      <w:r w:rsidRPr="00AD2F44">
        <w:rPr>
          <w:vertAlign w:val="superscript"/>
        </w:rPr>
        <w:footnoteRef/>
      </w:r>
      <w:r w:rsidRPr="00AD2F44">
        <w:t xml:space="preserve">Degidio v. Crazy Horse Saloon &amp; Rest., Inc., 880 F.3d 135 (4th Cir. 2018). </w:t>
      </w:r>
    </w:p>
  </w:footnote>
  <w:footnote w:id="1007">
    <w:p w14:paraId="5D4E04CC" w14:textId="77777777" w:rsidR="00721CCF" w:rsidRPr="00AD2F44" w:rsidRDefault="00F42107">
      <w:pPr>
        <w:pStyle w:val="14Footnote"/>
      </w:pPr>
      <w:r w:rsidRPr="00AD2F44">
        <w:rPr>
          <w:vertAlign w:val="superscript"/>
        </w:rPr>
        <w:footnoteRef/>
      </w:r>
      <w:r w:rsidRPr="00AD2F44">
        <w:t xml:space="preserve">Conners v. Gusano’s Chi. Style Pizzeria, 779 F.3d 835 (8th Cir. 2015) (plaintiffs lacked standing to obtain preliminary injunction prohibiting employer from obtaining arbitration agreements from current employees; plaintiffs were all former employees and failed to show that anyone subject to new arbitration agreement wanted to join lawsuit). </w:t>
      </w:r>
    </w:p>
  </w:footnote>
  <w:footnote w:id="1008">
    <w:p w14:paraId="151AE8B8" w14:textId="77777777" w:rsidR="00721CCF" w:rsidRPr="00AD2F44" w:rsidRDefault="00F42107">
      <w:pPr>
        <w:pStyle w:val="14Footnote"/>
      </w:pPr>
      <w:r w:rsidRPr="00AD2F44">
        <w:rPr>
          <w:vertAlign w:val="superscript"/>
        </w:rPr>
        <w:footnoteRef/>
      </w:r>
      <w:r w:rsidRPr="00AD2F44">
        <w:rPr>
          <w:i/>
          <w:iCs/>
        </w:rPr>
        <w:t>See, e.g.,</w:t>
      </w:r>
    </w:p>
    <w:p w14:paraId="445E8FD1" w14:textId="77777777" w:rsidR="00721CCF" w:rsidRPr="00AD2F44" w:rsidRDefault="00F42107">
      <w:pPr>
        <w:pStyle w:val="14Footnote"/>
      </w:pPr>
      <w:r w:rsidRPr="00AD2F44">
        <w:rPr>
          <w:i/>
          <w:iCs/>
        </w:rPr>
        <w:t>First Circuit:</w:t>
      </w:r>
      <w:r w:rsidRPr="00AD2F44">
        <w:t xml:space="preserve"> McCormick v. Festiva Dev. Grp., LLC, 2010 WL 582218, at *5 (D. Me. Feb. 11, 2010) (describing this category of case as “so-called ‘hybrid’ actions, combining FLSA collective actions with state law wage and hour Rule 23 class actions”).</w:t>
      </w:r>
    </w:p>
    <w:p w14:paraId="7AC02EDF" w14:textId="77777777" w:rsidR="00721CCF" w:rsidRPr="00AD2F44" w:rsidRDefault="00F42107">
      <w:pPr>
        <w:pStyle w:val="14Footnote"/>
      </w:pPr>
      <w:r w:rsidRPr="00AD2F44">
        <w:rPr>
          <w:i/>
          <w:iCs/>
        </w:rPr>
        <w:t xml:space="preserve">Third Circuit: </w:t>
      </w:r>
      <w:r w:rsidRPr="00AD2F44">
        <w:t>Zelinksy v. Staples, Inc., 2008 WL 4425814, at *5 (W.D. Pa. Sept. 29, 2008).</w:t>
      </w:r>
    </w:p>
    <w:p w14:paraId="39D31B12" w14:textId="77777777" w:rsidR="00721CCF" w:rsidRPr="00AD2F44" w:rsidRDefault="00F42107">
      <w:pPr>
        <w:pStyle w:val="14Footnote"/>
      </w:pPr>
      <w:r w:rsidRPr="00AD2F44">
        <w:rPr>
          <w:i/>
          <w:iCs/>
        </w:rPr>
        <w:t>Eighth Circuit:</w:t>
      </w:r>
      <w:r w:rsidRPr="00AD2F44">
        <w:t xml:space="preserve"> Bouaphakeo v. Tyson Foods, Inc., 564 F. Supp. 2d 870, 880 (N.D. Iowa 2008).</w:t>
      </w:r>
    </w:p>
    <w:p w14:paraId="72C25754" w14:textId="52EECDDA" w:rsidR="00721CCF" w:rsidRPr="00AD2F44" w:rsidRDefault="00F42107">
      <w:pPr>
        <w:pStyle w:val="14Footnote"/>
      </w:pPr>
      <w:r w:rsidRPr="00AD2F44">
        <w:t xml:space="preserve">Such cases have also been referred to as “dual filed” actions; </w:t>
      </w:r>
      <w:r w:rsidRPr="00AD2F44">
        <w:rPr>
          <w:i/>
          <w:iCs/>
        </w:rPr>
        <w:t>see, e.g</w:t>
      </w:r>
      <w:r w:rsidRPr="00AD2F44">
        <w:t>., Musch v. Domtar Indus., Inc., 252 F.R.D. 456, 462 n.2 (W.D. Wis. 2008); Lehman v. Legg Mason, Inc., 532 F. Supp. 2d 726, 732 (M.D. Pa. 2007); Riddle v. National Sec. Agency, Inc., 2007 WL 2746597, at *8 (N.D. Ill. Sept. 13, 2007) (history omitted). Such cases have also been referred to as “‘combined’ actions.” Ervin v. OS Rest. Servs., Inc., 632 F.3d 971, 973–74 (7th Cir. 2011) (noting that “[w]e refer to these as ‘combined’ actions, rather than ‘hybrid’ actions, to avoid confusion with other uses of the term ‘hybrid’—</w:t>
      </w:r>
      <w:r w:rsidRPr="00AD2F44">
        <w:rPr>
          <w:i/>
          <w:iCs/>
        </w:rPr>
        <w:t>e</w:t>
      </w:r>
      <w:r w:rsidRPr="00AD2F44">
        <w:t>.</w:t>
      </w:r>
      <w:r w:rsidRPr="00AD2F44">
        <w:rPr>
          <w:i/>
          <w:iCs/>
        </w:rPr>
        <w:t>g</w:t>
      </w:r>
      <w:r w:rsidRPr="00AD2F44">
        <w:t xml:space="preserve">., for cases certified under more than one subsection of Rule 23(b)”); </w:t>
      </w:r>
      <w:r w:rsidRPr="00AD2F44">
        <w:rPr>
          <w:i/>
          <w:iCs/>
        </w:rPr>
        <w:t>see also</w:t>
      </w:r>
      <w:r w:rsidRPr="00AD2F44">
        <w:t xml:space="preserve"> Rachel K. Alexander, </w:t>
      </w:r>
      <w:r w:rsidRPr="00AD2F44">
        <w:rPr>
          <w:i/>
          <w:iCs/>
        </w:rPr>
        <w:t>Federal Tails and State Puppy Dogs: Preempting Parallel State Wage Claims to Preserve the Integrity of Federal Group Wage Actions</w:t>
      </w:r>
      <w:r w:rsidRPr="00AD2F44">
        <w:t xml:space="preserve">, 58 </w:t>
      </w:r>
      <w:r w:rsidRPr="00AD2F44">
        <w:rPr>
          <w:smallCaps/>
        </w:rPr>
        <w:t xml:space="preserve">Am. U. L. Rev. </w:t>
      </w:r>
      <w:r w:rsidRPr="00AD2F44">
        <w:t>515 (2009).</w:t>
      </w:r>
    </w:p>
  </w:footnote>
  <w:footnote w:id="1009">
    <w:p w14:paraId="249D30E5" w14:textId="77777777" w:rsidR="00721CCF" w:rsidRPr="00AD2F44" w:rsidRDefault="00F42107">
      <w:pPr>
        <w:pStyle w:val="14Footnote"/>
      </w:pPr>
      <w:r w:rsidRPr="00AD2F44">
        <w:rPr>
          <w:vertAlign w:val="superscript"/>
        </w:rPr>
        <w:footnoteRef/>
      </w:r>
      <w:r w:rsidRPr="00AD2F44">
        <w:t>A relatively simple example of a hybrid action would involve employees in New York who assert that their employer has failed to pay overtime wages that are required by both the FLSA and New York law. Plaintiffs would be seeking to have their FLSA claims certified as an opt-in collective action and their New York claims certified as an opt-out class action. Individuals who opted in to the FLSA action and did not opt out of the New York action would be members of both classes. Individuals who did not opt in to the FLSA action or opt out of the New York action would be included in the New York class, but not the FLSA class.</w:t>
      </w:r>
    </w:p>
  </w:footnote>
  <w:footnote w:id="1010">
    <w:p w14:paraId="3D6992F0" w14:textId="77777777" w:rsidR="00721CCF" w:rsidRPr="00AD2F44" w:rsidRDefault="00F42107">
      <w:pPr>
        <w:pStyle w:val="14Footnote"/>
      </w:pPr>
      <w:r w:rsidRPr="00AD2F44">
        <w:rPr>
          <w:vertAlign w:val="superscript"/>
        </w:rPr>
        <w:footnoteRef/>
      </w:r>
      <w:r w:rsidRPr="00AD2F44">
        <w:t xml:space="preserve">Pub. L. No. 109-2 (2005). </w:t>
      </w:r>
    </w:p>
  </w:footnote>
  <w:footnote w:id="1011">
    <w:p w14:paraId="1636E18C" w14:textId="77777777" w:rsidR="00721CCF" w:rsidRPr="00AD2F44" w:rsidRDefault="00F42107">
      <w:pPr>
        <w:pStyle w:val="14Footnote"/>
      </w:pPr>
      <w:r w:rsidRPr="00AD2F44">
        <w:rPr>
          <w:vertAlign w:val="superscript"/>
        </w:rPr>
        <w:footnoteRef/>
      </w:r>
      <w:r w:rsidRPr="00AD2F44">
        <w:rPr>
          <w:i/>
          <w:iCs/>
        </w:rPr>
        <w:t>See</w:t>
      </w:r>
      <w:r w:rsidRPr="00AD2F44">
        <w:t xml:space="preserve"> Osby v. Citigroup, Inc., 2008 WL 2074102, at *3 n.2 (W.D. Mo. May 14, 2008) (noting that “[d]istrict court cases permitting FLSA collective actions to proceed simultaneously with Rule 23 state actions are legion”). This section does not cite all hybrid actions, but rather focuses on those decisions that have expressly considered one or more of the recurring challenges that employers have raised to hybrid actions.</w:t>
      </w:r>
    </w:p>
  </w:footnote>
  <w:footnote w:id="1012">
    <w:p w14:paraId="527781F6" w14:textId="77777777" w:rsidR="00721CCF" w:rsidRPr="00AD2F44" w:rsidRDefault="00F42107">
      <w:pPr>
        <w:pStyle w:val="14Footnote"/>
      </w:pPr>
      <w:r w:rsidRPr="00AD2F44">
        <w:rPr>
          <w:vertAlign w:val="superscript"/>
        </w:rPr>
        <w:footnoteRef/>
      </w:r>
      <w:r w:rsidRPr="00AD2F44">
        <w:t xml:space="preserve">28 U.S.C. §2072. </w:t>
      </w:r>
    </w:p>
  </w:footnote>
  <w:footnote w:id="1013">
    <w:p w14:paraId="4DC1ACDB" w14:textId="77777777" w:rsidR="00721CCF" w:rsidRPr="00AD2F44" w:rsidRDefault="00F42107">
      <w:pPr>
        <w:pStyle w:val="14Footnote"/>
      </w:pPr>
      <w:r w:rsidRPr="00AD2F44">
        <w:rPr>
          <w:vertAlign w:val="superscript"/>
        </w:rPr>
        <w:footnoteRef/>
      </w:r>
      <w:r w:rsidRPr="00AD2F44">
        <w:t xml:space="preserve">For discussions of some of the reasons plaintiffs may have to include state law class claims, </w:t>
      </w:r>
      <w:r w:rsidRPr="00AD2F44">
        <w:rPr>
          <w:i/>
          <w:iCs/>
        </w:rPr>
        <w:t>see</w:t>
      </w:r>
      <w:r w:rsidRPr="00AD2F44">
        <w:t xml:space="preserve"> Matthew W. Lampe and E. Michael Rossman, </w:t>
      </w:r>
      <w:r w:rsidRPr="00AD2F44">
        <w:rPr>
          <w:i/>
          <w:iCs/>
        </w:rPr>
        <w:t>Procedural Approaches for Countering the Dual-Filed FLSA Collective Action and State-Law Wage Class Action</w:t>
      </w:r>
      <w:r w:rsidRPr="00AD2F44">
        <w:t xml:space="preserve">, 20 </w:t>
      </w:r>
      <w:r w:rsidRPr="00AD2F44">
        <w:rPr>
          <w:smallCaps/>
        </w:rPr>
        <w:t>The Labor Lawyer</w:t>
      </w:r>
      <w:r w:rsidRPr="00AD2F44">
        <w:t xml:space="preserve"> 311, 311–16 (2005), </w:t>
      </w:r>
      <w:r w:rsidRPr="00AD2F44">
        <w:rPr>
          <w:i/>
          <w:iCs/>
        </w:rPr>
        <w:t>and</w:t>
      </w:r>
      <w:r w:rsidRPr="00AD2F44">
        <w:t xml:space="preserve"> Noah A. Finkel, </w:t>
      </w:r>
      <w:r w:rsidRPr="00AD2F44">
        <w:rPr>
          <w:i/>
          <w:iCs/>
        </w:rPr>
        <w:t>State Wage-And-Hour Law Class Actions: The Real Wave of ‘FLSA’ Litigation?</w:t>
      </w:r>
      <w:r w:rsidRPr="00AD2F44">
        <w:t xml:space="preserve">, 7 </w:t>
      </w:r>
      <w:r w:rsidRPr="00AD2F44">
        <w:rPr>
          <w:smallCaps/>
        </w:rPr>
        <w:t xml:space="preserve">Emp. Rights &amp; Pol’y J. </w:t>
      </w:r>
      <w:r w:rsidRPr="00AD2F44">
        <w:t xml:space="preserve">159, 160–66, 180–82 (2003). On state wage and hour statutes and regulations generally, </w:t>
      </w:r>
      <w:r w:rsidRPr="00AD2F44">
        <w:rPr>
          <w:i/>
          <w:iCs/>
        </w:rPr>
        <w:t>see</w:t>
      </w:r>
      <w:r w:rsidRPr="00AD2F44">
        <w:t xml:space="preserve"> </w:t>
      </w:r>
      <w:r w:rsidRPr="00AD2F44">
        <w:rPr>
          <w:smallCaps/>
        </w:rPr>
        <w:t>Wage and Hour Laws: A State-by-State Survey</w:t>
      </w:r>
      <w:r w:rsidRPr="00AD2F44">
        <w:t xml:space="preserve"> (Gregory K. McGillivary, ed., Bloomberg L., 3d ed. 2016 &amp; Supp.).</w:t>
      </w:r>
    </w:p>
  </w:footnote>
  <w:footnote w:id="1014">
    <w:p w14:paraId="1A113C61" w14:textId="77777777" w:rsidR="00721CCF" w:rsidRPr="00AD2F44" w:rsidRDefault="00F42107">
      <w:pPr>
        <w:pStyle w:val="14Footnote"/>
      </w:pPr>
      <w:r w:rsidRPr="00AD2F44">
        <w:rPr>
          <w:vertAlign w:val="superscript"/>
        </w:rPr>
        <w:footnoteRef/>
      </w:r>
      <w:r w:rsidRPr="00AD2F44">
        <w:t>Whether the FLSA ever preempts state law as a general matter and when such preemption may occur is beyond the scope of this section. See Chapter 16, Litigation Issues, §IX.A [Remedies; Scope of Remedies Under the FLSA in Minimum Wage and Overtime Actions].</w:t>
      </w:r>
    </w:p>
  </w:footnote>
  <w:footnote w:id="1015">
    <w:p w14:paraId="22462184" w14:textId="77777777" w:rsidR="00721CCF" w:rsidRPr="00AD2F44" w:rsidRDefault="00F42107">
      <w:pPr>
        <w:pStyle w:val="14Footnote"/>
      </w:pPr>
      <w:r w:rsidRPr="00AD2F44">
        <w:rPr>
          <w:vertAlign w:val="superscript"/>
        </w:rPr>
        <w:footnoteRef/>
      </w:r>
      <w:r w:rsidRPr="00AD2F44">
        <w:rPr>
          <w:i/>
          <w:iCs/>
        </w:rPr>
        <w:t>See, e.g</w:t>
      </w:r>
      <w:r w:rsidRPr="00AD2F44">
        <w:t xml:space="preserve">., </w:t>
      </w:r>
      <w:r w:rsidRPr="00AD2F44">
        <w:rPr>
          <w:i/>
          <w:iCs/>
        </w:rPr>
        <w:t>In re</w:t>
      </w:r>
      <w:r w:rsidRPr="00AD2F44">
        <w:t xml:space="preserve"> Farmers Ins. Exch. Claims Reps. Overtime Pay Litig., 336 F. Supp. 2d 1077, 1112 (D. Or. 2004) (noting that the seven states at issue did not provide good faith defense to liability, so that court’s analysis of employer’s FLSA good faith defense to liability under 29 U.S.C. §259 did not apply to state law class actions) (subsequent history omitted).</w:t>
      </w:r>
    </w:p>
  </w:footnote>
  <w:footnote w:id="1016">
    <w:p w14:paraId="77809B58" w14:textId="77777777" w:rsidR="00721CCF" w:rsidRPr="00AD2F44" w:rsidRDefault="00F42107">
      <w:pPr>
        <w:pStyle w:val="14Footnote"/>
      </w:pPr>
      <w:r w:rsidRPr="00AD2F44">
        <w:rPr>
          <w:vertAlign w:val="superscript"/>
        </w:rPr>
        <w:footnoteRef/>
      </w:r>
      <w:r w:rsidRPr="00AD2F44">
        <w:t xml:space="preserve">For example, Minnesota and New Mexico have statutory liquidated damage provisions that neither require proof of willfulness nor provide for any good faith defense. </w:t>
      </w:r>
      <w:r w:rsidRPr="00AD2F44">
        <w:rPr>
          <w:smallCaps/>
        </w:rPr>
        <w:t>Minn. Stat.</w:t>
      </w:r>
      <w:r w:rsidRPr="00AD2F44">
        <w:t xml:space="preserve"> §177.27(8); </w:t>
      </w:r>
      <w:r w:rsidRPr="00AD2F44">
        <w:rPr>
          <w:smallCaps/>
        </w:rPr>
        <w:t>N.M. Stat. Ann.</w:t>
      </w:r>
      <w:r w:rsidRPr="00AD2F44">
        <w:t xml:space="preserve"> §50-4-26(B)(1).</w:t>
      </w:r>
    </w:p>
  </w:footnote>
  <w:footnote w:id="1017">
    <w:p w14:paraId="1BD4695F" w14:textId="77777777" w:rsidR="00721CCF" w:rsidRPr="00AD2F44" w:rsidRDefault="00F42107">
      <w:pPr>
        <w:pStyle w:val="14Footnote"/>
      </w:pPr>
      <w:r w:rsidRPr="00AD2F44">
        <w:rPr>
          <w:vertAlign w:val="superscript"/>
        </w:rPr>
        <w:footnoteRef/>
      </w:r>
      <w:r w:rsidRPr="00AD2F44">
        <w:rPr>
          <w:i/>
          <w:iCs/>
        </w:rPr>
        <w:t>See, e.g</w:t>
      </w:r>
      <w:r w:rsidRPr="00AD2F44">
        <w:t xml:space="preserve">., Milner v. Farmers Ins. Exch., 748 N.W.2d 608, 616 (Minn. 2008) (Minnesota Fair Labor Standards Act); </w:t>
      </w:r>
      <w:r w:rsidRPr="00AD2F44">
        <w:rPr>
          <w:smallCaps/>
        </w:rPr>
        <w:t>R.I. Gen. Stat.</w:t>
      </w:r>
      <w:r w:rsidRPr="00AD2F44">
        <w:t xml:space="preserve"> §28-14-18.1(a) (Rhode Island wage payment statute).</w:t>
      </w:r>
    </w:p>
  </w:footnote>
  <w:footnote w:id="1018">
    <w:p w14:paraId="3EDB124A" w14:textId="77777777" w:rsidR="00721CCF" w:rsidRPr="00AD2F44" w:rsidRDefault="00F42107">
      <w:pPr>
        <w:pStyle w:val="14Footnote"/>
      </w:pPr>
      <w:r w:rsidRPr="00AD2F44">
        <w:rPr>
          <w:vertAlign w:val="superscript"/>
        </w:rPr>
        <w:footnoteRef/>
      </w:r>
      <w:r w:rsidRPr="00AD2F44">
        <w:rPr>
          <w:i/>
          <w:iCs/>
        </w:rPr>
        <w:t>See, e.g</w:t>
      </w:r>
      <w:r w:rsidRPr="00AD2F44">
        <w:t>., Bailey v. Gulf Coast Transp., Inc., 280 F.3d 1333, 1335–37 (11th Cir. 2002).</w:t>
      </w:r>
    </w:p>
  </w:footnote>
  <w:footnote w:id="1019">
    <w:p w14:paraId="7559843C" w14:textId="77777777" w:rsidR="00721CCF" w:rsidRPr="00AD2F44" w:rsidRDefault="00F42107">
      <w:pPr>
        <w:pStyle w:val="14Footnote"/>
      </w:pPr>
      <w:r w:rsidRPr="00AD2F44">
        <w:rPr>
          <w:vertAlign w:val="superscript"/>
        </w:rPr>
        <w:footnoteRef/>
      </w:r>
      <w:r w:rsidRPr="00AD2F44">
        <w:rPr>
          <w:i/>
          <w:iCs/>
        </w:rPr>
        <w:t>See, e.g</w:t>
      </w:r>
      <w:r w:rsidRPr="00AD2F44">
        <w:t xml:space="preserve">., Jones v. United States, 88 Fed. Cl. 789, 791 (2009) (noting that </w:t>
      </w:r>
      <w:r w:rsidRPr="00AD2F44">
        <w:br/>
        <w:t>“[u]nlike Federal Rules of Civil Procedure Rule 23 class actions, the commencement of an FLSA collective action does not toll the statute of limitations for putative class members”) (citing 29 U.S.C. §256(b)).</w:t>
      </w:r>
    </w:p>
  </w:footnote>
  <w:footnote w:id="1020">
    <w:p w14:paraId="0632EC75" w14:textId="77777777" w:rsidR="00721CCF" w:rsidRPr="00AD2F44" w:rsidRDefault="00F42107">
      <w:pPr>
        <w:pStyle w:val="14Footnote"/>
      </w:pPr>
      <w:r w:rsidRPr="00AD2F44">
        <w:rPr>
          <w:vertAlign w:val="superscript"/>
        </w:rPr>
        <w:footnoteRef/>
      </w:r>
      <w:r w:rsidRPr="00AD2F44">
        <w:t xml:space="preserve">Wang v. Chinese Daily News, Inc., 623 F.3d 743, 761 (9th Cir. 2010) (finding that “[b]ecause joining an FLSA action requires an affirmative act, an FLSA opt-in action will almost invariably have fewer participants than a closely related state law opt-out action when state and federal claims are brought in the same case.”), </w:t>
      </w:r>
      <w:r w:rsidRPr="00AD2F44">
        <w:rPr>
          <w:i/>
          <w:iCs/>
        </w:rPr>
        <w:t>judgment vacated on other grounds</w:t>
      </w:r>
      <w:r w:rsidRPr="00AD2F44">
        <w:t>, 132 S. Ct. 74 (2011).</w:t>
      </w:r>
    </w:p>
  </w:footnote>
  <w:footnote w:id="1021">
    <w:p w14:paraId="6AA60551" w14:textId="77777777" w:rsidR="00721CCF" w:rsidRPr="00AD2F44" w:rsidRDefault="00F42107">
      <w:pPr>
        <w:pStyle w:val="14Footnote"/>
      </w:pPr>
      <w:r w:rsidRPr="00AD2F44">
        <w:rPr>
          <w:vertAlign w:val="superscript"/>
        </w:rPr>
        <w:footnoteRef/>
      </w:r>
      <w:r w:rsidRPr="00AD2F44">
        <w:t>If there is a settlement of FLSA claims, the employer is likely to insist on a broad release of claims that includes the state law claims. Knowing this may create an impetus for employees to include the state law claims in their complaint in the first instance.</w:t>
      </w:r>
    </w:p>
  </w:footnote>
  <w:footnote w:id="1022">
    <w:p w14:paraId="7E26D2D5" w14:textId="5351BD24" w:rsidR="00721CCF" w:rsidRPr="00AD2F44" w:rsidRDefault="00F42107">
      <w:pPr>
        <w:pStyle w:val="14Footnote"/>
      </w:pPr>
      <w:r w:rsidRPr="00AD2F44">
        <w:rPr>
          <w:vertAlign w:val="superscript"/>
        </w:rPr>
        <w:footnoteRef/>
      </w:r>
      <w:r w:rsidRPr="00AD2F44">
        <w:rPr>
          <w:i/>
          <w:iCs/>
        </w:rPr>
        <w:t>See, e.g</w:t>
      </w:r>
      <w:r w:rsidRPr="00AD2F44">
        <w:t xml:space="preserve">., Bechtel Petroleum, Inc. v. Webster, 796 F.2d 252, 252–53 (9th Cir. 1986) (referring to “difficult questions involving application of res judicata principles” where there was an FLSA action being prosecuted by the Secretary of Labor in federal court and a state law action being prosecuted on behalf of same employees in state court); </w:t>
      </w:r>
      <w:r w:rsidRPr="00E726A2">
        <w:t>Beltran v. InterExchange, Inc.</w:t>
      </w:r>
      <w:r>
        <w:t xml:space="preserve">, </w:t>
      </w:r>
      <w:r w:rsidR="00237357" w:rsidRPr="00237357">
        <w:t>2023 BL 59037</w:t>
      </w:r>
      <w:r w:rsidR="00237357">
        <w:t xml:space="preserve">, </w:t>
      </w:r>
      <w:r w:rsidRPr="00E726A2">
        <w:t>2023 WL 2187477</w:t>
      </w:r>
      <w:r>
        <w:t>, at *11</w:t>
      </w:r>
      <w:r w:rsidRPr="00E726A2">
        <w:t xml:space="preserve"> (D. Colo. Feb. 23, 2023)</w:t>
      </w:r>
      <w:r>
        <w:t xml:space="preserve"> (holding </w:t>
      </w:r>
      <w:r w:rsidRPr="00E726A2">
        <w:t>a final judgment in a hybrid class and collective action precludes Rule 23 class members who failed to opt-in to the FLSA action from pursuing FLSA claims arising from the same facts and time perio</w:t>
      </w:r>
      <w:r>
        <w:t>d; reasoning</w:t>
      </w:r>
      <w:r w:rsidRPr="00E726A2">
        <w:t xml:space="preserve"> that “the FLSA’s opt-in provision alone does not create an exception to the preclusive effects of settlement agreements and the strong policy interests these protect</w:t>
      </w:r>
      <w:r>
        <w:t xml:space="preserve">”); </w:t>
      </w:r>
      <w:r w:rsidRPr="00AD2F44">
        <w:t>Klein v. Ryan Beck Holdings, Inc., 2007 WL 2059828, at *7 (S.D.N.Y. July 13, 2007) (reasoning that adjudication of either FLSA claims or state law claims in proposed hybrid action before court could have preclusive effect on the other).</w:t>
      </w:r>
    </w:p>
  </w:footnote>
  <w:footnote w:id="1023">
    <w:p w14:paraId="3273307D" w14:textId="77777777" w:rsidR="00721CCF" w:rsidRPr="00AD2F44" w:rsidRDefault="00F42107">
      <w:pPr>
        <w:pStyle w:val="14Footnote"/>
      </w:pPr>
      <w:r w:rsidRPr="00AD2F44">
        <w:rPr>
          <w:vertAlign w:val="superscript"/>
        </w:rPr>
        <w:footnoteRef/>
      </w:r>
      <w:r w:rsidRPr="00AD2F44">
        <w:rPr>
          <w:i/>
          <w:iCs/>
        </w:rPr>
        <w:t>See</w:t>
      </w:r>
      <w:r w:rsidRPr="00AD2F44">
        <w:t xml:space="preserve"> Espenscheid v. DirectSAT USA, LLC, 708 F. Supp. 2d 781, 789, 792 (W.D. Wis. 2010) (noting that same concerns that some have expressed about potential preclusive effect of Rule 23 state law judgment on FLSA claims of class members who did not opt in to FLSA action in hybrid case are also present in pure Rule 23 state law class action); Kuncl v. International Bus. Mach. Corp., 660 F. Supp. 2d 1246, 1249–53 &amp; n.3 (N.D. Okla. 2009) (discussing claim preclusion defense asserted against FLSA claim of individual who did not opt in to FLSA collective action in hybrid case action and did not opt out of Rule 23 state law class action, and observing that same claims preclusion issues would be present if judgment were entered in pure Rule 23 state law class action if facts giving rise to state law claim were same facts that formed basis of subsequent FLSA action).</w:t>
      </w:r>
    </w:p>
  </w:footnote>
  <w:footnote w:id="1024">
    <w:p w14:paraId="0817EFAC" w14:textId="77777777" w:rsidR="00721CCF" w:rsidRPr="00AD2F44" w:rsidRDefault="00F42107">
      <w:pPr>
        <w:pStyle w:val="14Footnote"/>
      </w:pPr>
      <w:r w:rsidRPr="00AD2F44">
        <w:rPr>
          <w:vertAlign w:val="superscript"/>
        </w:rPr>
        <w:footnoteRef/>
      </w:r>
      <w:r w:rsidRPr="00AD2F44">
        <w:rPr>
          <w:i/>
          <w:iCs/>
        </w:rPr>
        <w:t>See, e.g</w:t>
      </w:r>
      <w:r w:rsidRPr="00AD2F44">
        <w:t xml:space="preserve">., Rose v. Wildflower Bread Co., 2010 WL 1781011 (D. Ariz. May 4, 2010) (arguing that employer violated provision of Arizona Wage Act requiring timely payment of wages when it failed to pay overtime wages that were due under FLSA), </w:t>
      </w:r>
      <w:r w:rsidRPr="00AD2F44">
        <w:rPr>
          <w:i/>
          <w:iCs/>
        </w:rPr>
        <w:t>vacated in part by</w:t>
      </w:r>
      <w:r w:rsidRPr="00AD2F44">
        <w:t xml:space="preserve"> 2011 WL 196842 (D. Ariz. Jan 20, 2011); Spieth v. Adasen Distrib., Inc., 1989 WL 61187 (D. Ariz. Jan. 24, 1989) (holding Arizona law did not create any right to overtime pay, but an Arizona statute provided for treble damages where wages are due and demanded but not paid; employee sought to apply Arizona treble damages provision to demand for overtime that was allegedly due under FLSA); Smith v. Batchelor, 832 P.2d 467, 471–72 (Utah 1992) (involving employee who sought to apply a Utah penalty provision for late payment of wages that were allegedly due under the FLSA).</w:t>
      </w:r>
    </w:p>
  </w:footnote>
  <w:footnote w:id="1025">
    <w:p w14:paraId="19525F2C" w14:textId="77777777" w:rsidR="00721CCF" w:rsidRPr="00AD2F44" w:rsidRDefault="00F42107">
      <w:pPr>
        <w:pStyle w:val="14Footnote"/>
      </w:pPr>
      <w:r w:rsidRPr="00AD2F44">
        <w:rPr>
          <w:vertAlign w:val="superscript"/>
        </w:rPr>
        <w:footnoteRef/>
      </w:r>
      <w:r w:rsidRPr="00AD2F44">
        <w:rPr>
          <w:i/>
          <w:iCs/>
        </w:rPr>
        <w:t>See, e.g</w:t>
      </w:r>
      <w:r w:rsidRPr="00AD2F44">
        <w:t>., Ellis v. Edward D. Jones &amp; Co., L.P., 527 F. Supp. 2d 439, 443 (W.D. Pa. 2007) (history omitted) (describing complaint in proposed settlement class action that pleaded violations of state unfair and deceptive practices laws, alleging that employer’s failure to abide by FLSA resulted in violation of all such state laws); Barnett v. Washington Mut. Bank, FA, 2004 WL 2011462, at *4–7 (N.D. Cal. Sept. 9, 2004) (discussing claim brought under California’s unfair competition law where one component of alleged unfair competition was the failure to pay wages that were due under FLSA).</w:t>
      </w:r>
    </w:p>
  </w:footnote>
  <w:footnote w:id="1026">
    <w:p w14:paraId="0819CB9E" w14:textId="77777777" w:rsidR="00721CCF" w:rsidRPr="00AD2F44" w:rsidRDefault="00F42107">
      <w:pPr>
        <w:pStyle w:val="14Footnote"/>
      </w:pPr>
      <w:r w:rsidRPr="00AD2F44">
        <w:rPr>
          <w:vertAlign w:val="superscript"/>
        </w:rPr>
        <w:footnoteRef/>
      </w:r>
      <w:r w:rsidRPr="00AD2F44">
        <w:t>As discussed in §II.B [Procedural Requirements of Section 216(b); The Consent Requirement] of this chapter, the FLSA, as amended by the Portal-to-Portal Act of 1947, requires that an individual file a written consent with the court in order to be included in an action brought by one or more employees under the FLSA “in behalf” of themselves and “other employees similarly situated.” 29 U.S.C. §216(b). Under Rule 23(b)(3) of the Federal Rules of Civil Procedure, in contrast, class members are included in the action unless they request to exclude themselves.</w:t>
      </w:r>
    </w:p>
  </w:footnote>
  <w:footnote w:id="1027">
    <w:p w14:paraId="60A51B74" w14:textId="77777777" w:rsidR="00721CCF" w:rsidRPr="00AD2F44" w:rsidRDefault="00F42107">
      <w:pPr>
        <w:pStyle w:val="14Footnote"/>
      </w:pPr>
      <w:r w:rsidRPr="00AD2F44">
        <w:rPr>
          <w:vertAlign w:val="superscript"/>
        </w:rPr>
        <w:footnoteRef/>
      </w:r>
      <w:r w:rsidRPr="00AD2F44">
        <w:t>The terms “incompatibility” and “incompatibility theory” are used herein to describe a recurring line of argument that appears in the decisional law regarding hybrid actions. Not all the relevant decisions in this area actually use the term “incompatibility.” Other terms that have been used to make or describe the same argument include “inherent incompatibility,” “inconsistency,” “irreconcilability,” “conflict,” “preemption,” “implied preemption,” and “quasi-preemption.”</w:t>
      </w:r>
    </w:p>
  </w:footnote>
  <w:footnote w:id="1028">
    <w:p w14:paraId="391B0DAE" w14:textId="77777777" w:rsidR="00721CCF" w:rsidRPr="00AD2F44" w:rsidRDefault="00F42107">
      <w:pPr>
        <w:pStyle w:val="14Footnote"/>
      </w:pPr>
      <w:r w:rsidRPr="00AD2F44">
        <w:rPr>
          <w:vertAlign w:val="superscript"/>
        </w:rPr>
        <w:footnoteRef/>
      </w:r>
      <w:r w:rsidRPr="00AD2F44">
        <w:rPr>
          <w:i/>
          <w:iCs/>
        </w:rPr>
        <w:t>First Circuit:</w:t>
      </w:r>
      <w:r w:rsidRPr="00AD2F44">
        <w:t xml:space="preserve"> McCormick v. Festiva Dev. Grp., LLC, 2010 WL 582218, at *4–8, 13 &amp; n.9 (D. Me. Feb. 11, 2010) (rejecting argument that Rule 23 action and FLSA action are “incompatible” so as to require dismissal of Rule 23 state law claims as a matter of law); Campbell v. Energy Nuclear Operations, Inc., No. 05-11951-JLT, 1–2 (D. Mass. Aug. 7, 2007); McLaughlin v. Liberty Mut. Ins. Co., 224 F.R.D. 304, 307–08 (D. Mass. 2004).</w:t>
      </w:r>
    </w:p>
    <w:p w14:paraId="5DE88C33" w14:textId="77777777" w:rsidR="00721CCF" w:rsidRPr="00AD2F44" w:rsidRDefault="00F42107">
      <w:pPr>
        <w:pStyle w:val="14Footnote"/>
      </w:pPr>
      <w:r w:rsidRPr="00AD2F44">
        <w:rPr>
          <w:i/>
          <w:iCs/>
        </w:rPr>
        <w:t>Second Circuit:</w:t>
      </w:r>
      <w:r w:rsidRPr="00AD2F44">
        <w:t xml:space="preserve"> Shahriar v. Smith &amp; Wollensky Rest. Grp., Inc., 659 F.3d 234, 247–48 (2d Cir. 2011).</w:t>
      </w:r>
    </w:p>
    <w:p w14:paraId="3D575F03" w14:textId="77777777" w:rsidR="00721CCF" w:rsidRPr="00AD2F44" w:rsidRDefault="00F42107">
      <w:pPr>
        <w:pStyle w:val="14Footnote"/>
      </w:pPr>
      <w:r w:rsidRPr="00AD2F44">
        <w:rPr>
          <w:i/>
          <w:iCs/>
        </w:rPr>
        <w:t>Third Circuit:</w:t>
      </w:r>
      <w:r w:rsidRPr="00AD2F44">
        <w:t xml:space="preserve"> Knepper v. Rite Aid Corp., 675 F.3d 249, 261–62 (3d Cir. 2012) (reversing dismissal of Rule 23 class action for state law overtime wages filed in federal court pursuant to court’s CAFA jurisdiction and resolving split among district court decisions by explicitly rejecting “inherent incompatibility” argument, despite pendency of separate FLSA lawsuit by same plaintiffs asserting similar FLSA overtime claims).</w:t>
      </w:r>
    </w:p>
    <w:p w14:paraId="5BE4D1CD" w14:textId="77777777" w:rsidR="00721CCF" w:rsidRPr="00AD2F44" w:rsidRDefault="00F42107">
      <w:pPr>
        <w:pStyle w:val="14Footnote"/>
      </w:pPr>
      <w:r w:rsidRPr="00AD2F44">
        <w:rPr>
          <w:i/>
          <w:iCs/>
        </w:rPr>
        <w:t>Fourth Circuit:</w:t>
      </w:r>
      <w:r w:rsidRPr="00AD2F44">
        <w:t xml:space="preserve"> Calderon v. GEICO Gen. Ins. Co., 279 F.R.D. 337, 342 (D. Md. 2012) (recognizing Fourth Circuit has not spoken, finding no conflict); McLaurin v. Prestage Foods, Inc., 271 F.R.D. 465, 472–74 (E.D.N.C. 2010) (rejecting “procedural tension” between opt-out procedure for Rule 23 action and opt-in procedure for FLSA action as basis for declining to exercise supplemental jurisdiction over Rule 23 state law claims); Westfall v. Kendle Int’l, CPU, LLC, 2007 WL 486606, at *7 (N.D. W. Va. Feb. 15, 2007); Beltran-Benitez v. Sea Safari, Ltd., 180 F. Supp. 2d 772, 773–74 (E.D.N.C. 2001).</w:t>
      </w:r>
    </w:p>
    <w:p w14:paraId="74518BE6" w14:textId="77777777" w:rsidR="00721CCF" w:rsidRPr="00AD2F44" w:rsidRDefault="00F42107">
      <w:pPr>
        <w:pStyle w:val="14Footnote"/>
      </w:pPr>
      <w:r w:rsidRPr="00AD2F44">
        <w:rPr>
          <w:i/>
          <w:iCs/>
        </w:rPr>
        <w:t>Fifth Circuit:</w:t>
      </w:r>
      <w:r w:rsidRPr="00AD2F44">
        <w:t xml:space="preserve"> Lang v. DirecTV, Inc., 735 F. Supp. 2d 421, 429 (E.D. La. 2010) (in denying motion to remand state law claims to state court following removal to federal court by defendant, court observed: “In cases with both FLSA collective action claims and Rule 23 class action claims based on state law, most courts have held that the differences between opt-in and opt-out procedures do not justify remanding the state law claims.”); Jackson v. City of San Antonio, 220 F.R.D. 55, 59–60 (W.D. Tex. 2003).</w:t>
      </w:r>
    </w:p>
    <w:p w14:paraId="7770DC01" w14:textId="77777777" w:rsidR="00721CCF" w:rsidRPr="00AD2F44" w:rsidRDefault="00F42107">
      <w:pPr>
        <w:pStyle w:val="14Footnote"/>
      </w:pPr>
      <w:r w:rsidRPr="00AD2F44">
        <w:rPr>
          <w:i/>
          <w:iCs/>
        </w:rPr>
        <w:t>Sixth Circuit:</w:t>
      </w:r>
      <w:r w:rsidRPr="00AD2F44">
        <w:t xml:space="preserve"> Peterson v. Cleveland Inst. of Art, 2011 WL 1297097, at *4–5 (N.D. Ohio Mar. 31, 2011) (discussing split among courts and holding that hearing state law and FLSA claims together “promotes judicial economy”); Wade v. Werner Trucking Co., 2011 WL 320233, at *2 (S.D. Ohio Jan. 28, 2011) (finding no inherent incompatibility).</w:t>
      </w:r>
    </w:p>
    <w:p w14:paraId="3FB51078" w14:textId="77777777" w:rsidR="00721CCF" w:rsidRPr="00AD2F44" w:rsidRDefault="00F42107">
      <w:pPr>
        <w:pStyle w:val="14Footnote"/>
      </w:pPr>
      <w:r w:rsidRPr="00AD2F44">
        <w:rPr>
          <w:i/>
          <w:iCs/>
        </w:rPr>
        <w:t>Seventh Circuit:</w:t>
      </w:r>
      <w:r w:rsidRPr="00AD2F44">
        <w:t xml:space="preserve"> Ervin v. OS Rest. Servs., Inc., 632 F.3d 971, 976–81 (7th Cir. 2011).</w:t>
      </w:r>
    </w:p>
    <w:p w14:paraId="20459A0C" w14:textId="77777777" w:rsidR="00721CCF" w:rsidRPr="00AD2F44" w:rsidRDefault="00F42107">
      <w:pPr>
        <w:pStyle w:val="14Footnote"/>
      </w:pPr>
      <w:r w:rsidRPr="00AD2F44">
        <w:rPr>
          <w:i/>
          <w:iCs/>
        </w:rPr>
        <w:t>Eighth Circuit:</w:t>
      </w:r>
      <w:r w:rsidRPr="00AD2F44">
        <w:t xml:space="preserve"> Donatti v. Charter Commc’ns, LLC, 2012 WL 5207585 (W.D. Mo. Oct. 22, 2012) (rejecting incompatibility argument and reaffirming that Rule 23 state law wage actions can coexist in same case with FLSA collective actions, emphasizing that two actions remain separate and subject to different joinder rules); Garner v. Butterball, LLC, 2012 WL 570000, at *6 (E.D. Ark. Feb. 22, 2012) (deciding with the majority of district courts within this circuit and majority of circuits, the court rejected defendant’s inherent incompatibility argument); Ondes v. Monsanto Co., 2011 WL 6152858, at *8 (E.D. Mo. Dec. 12, 2011) (denying motion to dismiss based on similarities of the FLSA and state claims); Perrin v. Papa John’s Int’l, Inc., 2011 U.S. Dist. LEXIS 22957, at *20 (E.D. Mo. Mar. 8, 2011) (holding that the better approach is to allow FLSA and state claims to proceed together); Arnold v. DirecTV, Inc., 2011 WL 839636, at *7 (E.D. Mo. Mar. 7, 2011) (following “weight of authority” in allowing FLSA and state law wage claims to proceed together because facts of claims overlap); Cortez v. Nebraska Beef, Inc., 266 F.R.D. 275, 281, 284 (D. Neb. 2010) (rejecting motion to dismiss Rule 23 state law claims based on “‘inherent incompatibility’ between Rule 23 and the FLSA”); Robertson v. LTS Mgmt. Servs. LLC, 642 F. Supp. 2d 922, 929 (W.D. Mo. 2008) (rejecting inherent incompatibility); Bouaphakeo v. Tyson Foods, Inc., 564 F. Supp. 2d 870, 886–89 (N.D. Iowa 2008); Osby v. Citigroup, Inc., 2008 WL 2074102, at *2–3 (W.D. Mo. May 14, 2008); Salazar v. Agriprocessors, Inc., 527 F. Supp. 2d 873, 886–87 (N.D. Iowa 2007); Frank v. Gold’n Plump Poultry, Inc., 2005 WL 2240336, at *5 (D. Minn. Sept. 14, 2005).</w:t>
      </w:r>
    </w:p>
    <w:p w14:paraId="293378A8" w14:textId="77777777" w:rsidR="00721CCF" w:rsidRPr="00AD2F44" w:rsidRDefault="00F42107">
      <w:pPr>
        <w:pStyle w:val="14Footnote"/>
      </w:pPr>
      <w:r w:rsidRPr="00AD2F44">
        <w:rPr>
          <w:i/>
          <w:iCs/>
        </w:rPr>
        <w:t>Ninth Circuit:</w:t>
      </w:r>
      <w:r w:rsidRPr="00AD2F44">
        <w:t xml:space="preserve"> Busk v. Integrity Staffing Sols., 713 F.3d 525, 528 (9th Cir. 2013) (reversing dismissal of state law claims and rejecting incompatibility theory, finding that FLSA claims can “peacefully coexist” with state wage and hour claims),</w:t>
      </w:r>
      <w:r w:rsidRPr="00AD2F44">
        <w:rPr>
          <w:i/>
          <w:iCs/>
        </w:rPr>
        <w:t xml:space="preserve"> rev’d on other grounds, </w:t>
      </w:r>
      <w:r w:rsidRPr="00AD2F44">
        <w:t>Integrity Staffing Sols., Inc. v. Busk, 135 S. Ct. 513 (2014).</w:t>
      </w:r>
    </w:p>
    <w:p w14:paraId="36A884A5" w14:textId="77777777" w:rsidR="00721CCF" w:rsidRPr="00AD2F44" w:rsidRDefault="00F42107">
      <w:pPr>
        <w:pStyle w:val="14Footnote"/>
      </w:pPr>
      <w:r w:rsidRPr="00AD2F44">
        <w:rPr>
          <w:i/>
          <w:iCs/>
        </w:rPr>
        <w:t xml:space="preserve">Tenth Circuit: </w:t>
      </w:r>
      <w:r w:rsidRPr="00AD2F44">
        <w:t xml:space="preserve">Young v. Dollar Tree Stores, Inc., 2012 WL 3704994 (D. Colo. Aug. 24, 2012) (rejecting incompatibility argument, citing Seventh Circuit decision in </w:t>
      </w:r>
      <w:r w:rsidRPr="00AD2F44">
        <w:rPr>
          <w:i/>
          <w:iCs/>
        </w:rPr>
        <w:t>Ervin v. OS Restaurant Services, Inc.,</w:t>
      </w:r>
      <w:r w:rsidRPr="00AD2F44">
        <w:t xml:space="preserve"> 632 F.3d 971 (7th Cir. 2011)).</w:t>
      </w:r>
    </w:p>
    <w:p w14:paraId="79F58FF2" w14:textId="77777777" w:rsidR="00721CCF" w:rsidRPr="00AD2F44" w:rsidRDefault="00F42107">
      <w:pPr>
        <w:pStyle w:val="14Footnote"/>
      </w:pPr>
      <w:r w:rsidRPr="00AD2F44">
        <w:rPr>
          <w:i/>
          <w:iCs/>
        </w:rPr>
        <w:t xml:space="preserve">Eleventh Circuit: </w:t>
      </w:r>
      <w:r w:rsidRPr="00AD2F44">
        <w:t>Calderone v. Scott, 838 F.3d 1101, 1104–07 (11th Cir. 2016) (“[a]n FLSA collective action and a Rule 23(b)(3) class action may be fundamentally different creatures, but they are not ‘irreconcilable’ … .”); Resnick v. Oppenheimer &amp; Co., 2008 WL 113665, at *4 (S.D. Fla. Jan. 8, 2008) (rejecting inherent incompatibility argument where FLSA claim sought unpaid overtime compensation and state law claim sought unpaid minimum wage compensation).</w:t>
      </w:r>
    </w:p>
    <w:p w14:paraId="5CA0273B" w14:textId="5DA201A7" w:rsidR="00721CCF" w:rsidRPr="00AD2F44" w:rsidRDefault="00F42107">
      <w:pPr>
        <w:pStyle w:val="14Footnote"/>
      </w:pPr>
      <w:r w:rsidRPr="00AD2F44">
        <w:rPr>
          <w:i/>
          <w:iCs/>
        </w:rPr>
        <w:t>D.C. Circuit: See</w:t>
      </w:r>
      <w:r w:rsidRPr="00AD2F44">
        <w:t xml:space="preserve"> Lindsay v. Government Emps. Ins. Co., 448 F.3d 416 (D.C. Cir. 2006); Cryer v. InterSolutions, Inc., 2007 WL 1191928, at *1–2 (D.D.C. Apr. 20, 2007).</w:t>
      </w:r>
    </w:p>
  </w:footnote>
  <w:footnote w:id="1029">
    <w:p w14:paraId="070DE711" w14:textId="77777777" w:rsidR="00721CCF" w:rsidRPr="00AD2F44" w:rsidRDefault="00F42107">
      <w:pPr>
        <w:pStyle w:val="14Footnote"/>
      </w:pPr>
      <w:r w:rsidRPr="00AD2F44">
        <w:rPr>
          <w:vertAlign w:val="superscript"/>
        </w:rPr>
        <w:footnoteRef/>
      </w:r>
      <w:r w:rsidRPr="00AD2F44">
        <w:t xml:space="preserve">Lindsey v. Government Emp. Ins. Co., 448 F.3d 416, 424 (D.C. Cir. 2006). </w:t>
      </w:r>
      <w:r w:rsidRPr="00AD2F44">
        <w:rPr>
          <w:i/>
          <w:iCs/>
        </w:rPr>
        <w:t>Accord Busk</w:t>
      </w:r>
      <w:r w:rsidRPr="00AD2F44">
        <w:t>, 713 F.3d at 528 (agreeing that “[o]ur sister circuits have correctly reasoned that FLSA’s plain text does not suggest that a district court must dismiss a state law claim that would be certified using an opt-out procedure”),</w:t>
      </w:r>
      <w:r w:rsidRPr="00AD2F44">
        <w:rPr>
          <w:i/>
          <w:iCs/>
        </w:rPr>
        <w:t xml:space="preserve"> rev’d on other grounds, </w:t>
      </w:r>
      <w:r w:rsidRPr="00AD2F44">
        <w:t xml:space="preserve">Integrity Staffing Sols., Inc. v. Busk, 135 S. Ct. 513 (2014); Shahriar v. Smith &amp; Wollensky Rest. Grp., Inc., 659 F.3d 234, 247 (2d Cir. 2011) (rejecting argument that “‘conflict’ between the opt-in procedure under the FLSA and the opt-out procedure under Rule 23” is basis for declining supplemental jurisdiction in hybrid actions); </w:t>
      </w:r>
      <w:r w:rsidRPr="00AD2F44">
        <w:rPr>
          <w:i/>
          <w:iCs/>
        </w:rPr>
        <w:t>see also</w:t>
      </w:r>
      <w:r w:rsidRPr="00AD2F44">
        <w:t xml:space="preserve"> Knepper v. Rite Aid Corp., 675 F.3d 249, 261–62 (3d Cir. 2012) (reversing district court’s dismissal of Rule 23 state law class action under “inherent incompatibility” theory where separately filed parallel FLSA opt-in collective action based on same facts was also pending; Third Circuit rejected all arguments that opt-out class action based on state law claims that parallel FLSA is inherently incompatible with FLSA opt-in procedure, particularly where there is independent federal jurisdiction under CAFA).</w:t>
      </w:r>
    </w:p>
  </w:footnote>
  <w:footnote w:id="1030">
    <w:p w14:paraId="3B66287B" w14:textId="77777777" w:rsidR="00721CCF" w:rsidRPr="00AD2F44" w:rsidRDefault="00F42107">
      <w:pPr>
        <w:pStyle w:val="14Footnote"/>
      </w:pPr>
      <w:r w:rsidRPr="00AD2F44">
        <w:rPr>
          <w:vertAlign w:val="superscript"/>
        </w:rPr>
        <w:footnoteRef/>
      </w:r>
      <w:r w:rsidRPr="00AD2F44">
        <w:t xml:space="preserve">Wang v. Chinese Daily News, Inc., 623 F.3d 743, 761 (9th Cir. 2010), </w:t>
      </w:r>
      <w:r w:rsidRPr="00AD2F44">
        <w:rPr>
          <w:i/>
          <w:iCs/>
        </w:rPr>
        <w:t>judgment vacated on other grounds</w:t>
      </w:r>
      <w:r w:rsidRPr="00AD2F44">
        <w:t xml:space="preserve">, 132 S. Ct. 74 (2011); </w:t>
      </w:r>
      <w:r w:rsidRPr="00AD2F44">
        <w:rPr>
          <w:i/>
          <w:iCs/>
        </w:rPr>
        <w:t>see also</w:t>
      </w:r>
      <w:r w:rsidRPr="00AD2F44">
        <w:t xml:space="preserve"> </w:t>
      </w:r>
      <w:r w:rsidRPr="00AD2F44">
        <w:rPr>
          <w:i/>
          <w:iCs/>
        </w:rPr>
        <w:t>Busk</w:t>
      </w:r>
      <w:r w:rsidRPr="00AD2F44">
        <w:t xml:space="preserve">, 713 F.3d at 528–29 (“agree[ing] with all other circuits to consider the issue that such actions can peacefully coexist” and finding that neither the FLSA’s text nor legislative history indicated any congressional intent to preclude the use of Rule 23’s opt-out mechanism in an action also asserting opt-in FLSA claims), </w:t>
      </w:r>
      <w:r w:rsidRPr="00AD2F44">
        <w:rPr>
          <w:i/>
          <w:iCs/>
        </w:rPr>
        <w:t xml:space="preserve">rev’d on other grounds, </w:t>
      </w:r>
      <w:r w:rsidRPr="00AD2F44">
        <w:t xml:space="preserve">Integrity Staffing Sols., Inc. v. Busk, 135 S. Ct. 513 (2014). </w:t>
      </w:r>
    </w:p>
  </w:footnote>
  <w:footnote w:id="1031">
    <w:p w14:paraId="592BBE17" w14:textId="77777777" w:rsidR="00721CCF" w:rsidRPr="00AD2F44" w:rsidRDefault="00F42107">
      <w:pPr>
        <w:pStyle w:val="14Footnote"/>
      </w:pPr>
      <w:r w:rsidRPr="00AD2F44">
        <w:rPr>
          <w:vertAlign w:val="superscript"/>
        </w:rPr>
        <w:footnoteRef/>
      </w:r>
      <w:r w:rsidRPr="00AD2F44">
        <w:t>Ervin v. OS Rest. Servs., Inc., 632 F.3d 971, 976–79 (7th Cir. 2011).</w:t>
      </w:r>
    </w:p>
  </w:footnote>
  <w:footnote w:id="1032">
    <w:p w14:paraId="7E28562A" w14:textId="77777777" w:rsidR="00721CCF" w:rsidRPr="00AD2F44" w:rsidRDefault="00F42107">
      <w:pPr>
        <w:pStyle w:val="14Footnote"/>
      </w:pPr>
      <w:r w:rsidRPr="00AD2F44">
        <w:rPr>
          <w:vertAlign w:val="superscript"/>
        </w:rPr>
        <w:footnoteRef/>
      </w:r>
      <w:r w:rsidRPr="00AD2F44">
        <w:rPr>
          <w:i/>
          <w:iCs/>
        </w:rPr>
        <w:t>Id</w:t>
      </w:r>
      <w:r w:rsidRPr="00AD2F44">
        <w:t>. at 977.</w:t>
      </w:r>
    </w:p>
  </w:footnote>
  <w:footnote w:id="1033">
    <w:p w14:paraId="6C7E72FB" w14:textId="77777777" w:rsidR="00721CCF" w:rsidRPr="00AD2F44" w:rsidRDefault="00F42107">
      <w:pPr>
        <w:pStyle w:val="14Footnote"/>
      </w:pPr>
      <w:r w:rsidRPr="00AD2F44">
        <w:rPr>
          <w:vertAlign w:val="superscript"/>
        </w:rPr>
        <w:footnoteRef/>
      </w:r>
      <w:r w:rsidRPr="00AD2F44">
        <w:rPr>
          <w:i/>
          <w:iCs/>
        </w:rPr>
        <w:t>Id</w:t>
      </w:r>
      <w:r w:rsidRPr="00AD2F44">
        <w:t>. at 978.</w:t>
      </w:r>
    </w:p>
  </w:footnote>
  <w:footnote w:id="1034">
    <w:p w14:paraId="4A0DEC69"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1035">
    <w:p w14:paraId="13336146"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1036">
    <w:p w14:paraId="352767D6" w14:textId="45D2673F" w:rsidR="00721CCF" w:rsidRPr="00AD2F44" w:rsidRDefault="00F42107">
      <w:pPr>
        <w:pStyle w:val="14Footnote"/>
      </w:pPr>
      <w:r w:rsidRPr="00AD2F44">
        <w:rPr>
          <w:vertAlign w:val="superscript"/>
        </w:rPr>
        <w:footnoteRef/>
      </w:r>
      <w:r w:rsidRPr="00AD2F44">
        <w:t>Shahriar v. Smith &amp; Wollensky Rest. Grp., Inc., 659 F.3d 234, 247–50 (2d Cir. 2011) (agreeing with sister circuits and finding that worse confusion could ensue by declining supplemental jurisdiction and forcing action to proceed in two forums);</w:t>
      </w:r>
      <w:r w:rsidRPr="00AD2F44">
        <w:rPr>
          <w:i/>
          <w:iCs/>
        </w:rPr>
        <w:t xml:space="preserve"> </w:t>
      </w:r>
      <w:r w:rsidRPr="00AD2F44">
        <w:t>Knepper v. Rite Aid Corp., 675 F.3d 249, 259 (3d Cir. 2012) (reversing district court and holding that there is no inherent incompat</w:t>
      </w:r>
      <w:r>
        <w:t>i</w:t>
      </w:r>
      <w:r w:rsidRPr="00AD2F44">
        <w:t>bility).</w:t>
      </w:r>
    </w:p>
  </w:footnote>
  <w:footnote w:id="1037">
    <w:p w14:paraId="43C7596E" w14:textId="47A917C5" w:rsidR="00721CCF" w:rsidRPr="00AD2F44" w:rsidRDefault="00F42107">
      <w:pPr>
        <w:pStyle w:val="14Footnote"/>
      </w:pPr>
      <w:r w:rsidRPr="00AD2F44">
        <w:rPr>
          <w:vertAlign w:val="superscript"/>
        </w:rPr>
        <w:footnoteRef/>
      </w:r>
      <w:r w:rsidRPr="00AD2F44">
        <w:t xml:space="preserve">Enger v. Thomas L. Cardella &amp; Assocs., Inc., 2020 BL 514953, </w:t>
      </w:r>
      <w:r w:rsidRPr="00AD2F44">
        <w:rPr>
          <w:iCs/>
        </w:rPr>
        <w:t xml:space="preserve">2020 WL 8225497 (N.D. Iowa Nov. 10, 2020) (holding that FLSA’s collective action mechanism preempts duplicative state law Rule 23 class claims, dismissing state wage and hour claims but declining to dismiss state law unjust enrichment and quantum meruit claims because those claims asserted failure to pay “gap time” not covered by FLSA); </w:t>
      </w:r>
      <w:r w:rsidRPr="00AD2F44">
        <w:t xml:space="preserve">Zanders v. Wells Fargo Bank, N.A., 55 F. Supp. 3d 1163, 1176 (S.D. Iowa 2014) (FLSA’s detailed collective action procedures preempt state law claims that are “[dependent] on, and duplicative of” federal claims, and thus would not allow plaintiffs to utilize Rule 23 class action procedures to recover for FLSA violations). </w:t>
      </w:r>
    </w:p>
  </w:footnote>
  <w:footnote w:id="1038">
    <w:p w14:paraId="51BE9EE3" w14:textId="77777777" w:rsidR="00721CCF" w:rsidRPr="00AD2F44" w:rsidRDefault="00F42107">
      <w:pPr>
        <w:pStyle w:val="14Footnote"/>
      </w:pPr>
      <w:r w:rsidRPr="00AD2F44">
        <w:rPr>
          <w:vertAlign w:val="superscript"/>
        </w:rPr>
        <w:footnoteRef/>
      </w:r>
      <w:r w:rsidRPr="00AD2F44">
        <w:t xml:space="preserve">28 U.S.C. §2072. </w:t>
      </w:r>
    </w:p>
  </w:footnote>
  <w:footnote w:id="1039">
    <w:p w14:paraId="18E240B6" w14:textId="77777777" w:rsidR="00721CCF" w:rsidRPr="00AD2F44" w:rsidRDefault="00F42107">
      <w:pPr>
        <w:pStyle w:val="14Footnote"/>
      </w:pPr>
      <w:r w:rsidRPr="00AD2F44">
        <w:rPr>
          <w:vertAlign w:val="superscript"/>
        </w:rPr>
        <w:footnoteRef/>
      </w:r>
      <w:r w:rsidRPr="00AD2F44">
        <w:rPr>
          <w:i/>
          <w:iCs/>
        </w:rPr>
        <w:t>Id.</w:t>
      </w:r>
      <w:r w:rsidRPr="00AD2F44">
        <w:t xml:space="preserve"> §2072(a) and (b). </w:t>
      </w:r>
    </w:p>
  </w:footnote>
  <w:footnote w:id="1040">
    <w:p w14:paraId="3AD93C37" w14:textId="77777777" w:rsidR="00721CCF" w:rsidRPr="00AD2F44" w:rsidRDefault="00F42107">
      <w:pPr>
        <w:pStyle w:val="14Footnote"/>
      </w:pPr>
      <w:r w:rsidRPr="00AD2F44">
        <w:rPr>
          <w:vertAlign w:val="superscript"/>
        </w:rPr>
        <w:footnoteRef/>
      </w:r>
      <w:r w:rsidRPr="00AD2F44">
        <w:rPr>
          <w:i/>
        </w:rPr>
        <w:t>See</w:t>
      </w:r>
    </w:p>
    <w:p w14:paraId="3AE7E95D" w14:textId="77777777" w:rsidR="00721CCF" w:rsidRPr="00AD2F44" w:rsidRDefault="00F42107">
      <w:pPr>
        <w:pStyle w:val="14Footnote"/>
      </w:pPr>
      <w:r w:rsidRPr="00AD2F44">
        <w:rPr>
          <w:i/>
          <w:iCs/>
        </w:rPr>
        <w:t>First Circuit:</w:t>
      </w:r>
      <w:r w:rsidRPr="00AD2F44">
        <w:t xml:space="preserve"> Campbell v. Energy Nuclear Operations, Inc., Civ. No. 05-11951-JLT, slip op. at 1–2 (D. Mass. Aug. 7, 2007).</w:t>
      </w:r>
    </w:p>
    <w:p w14:paraId="6DF07763" w14:textId="77777777" w:rsidR="00721CCF" w:rsidRPr="00AD2F44" w:rsidRDefault="00F42107">
      <w:pPr>
        <w:pStyle w:val="14Footnote"/>
      </w:pPr>
      <w:r w:rsidRPr="00AD2F44">
        <w:rPr>
          <w:i/>
          <w:iCs/>
        </w:rPr>
        <w:t>Second Circuit:</w:t>
      </w:r>
      <w:r w:rsidRPr="00AD2F44">
        <w:t xml:space="preserve"> Cohen v. Gerson Lehrman Grp., Inc., 686 F. Supp. 2d 317, 324 n.2 (S.D.N.Y. 2010); Damassia v. Duane Reade, Inc., 250 F.R.D. 152, 164–65 (S.D.N.Y. 2008); Hendricks v. JPMorgan Chase Bank, N.A., 2008 WL 5191819, at *3 (D. Conn. Nov. 21, 2008); Morrison v. Staples, Inc., 2008 WL 4911156, at *3–5 (D. Conn. Nov. 13, 2008); Guzman v. VLM, Inc., 2008 WL 597186, at *10 &amp; n.11 (E.D.N.Y. Mar. 2, 2008); Klein v. Ryan Beck Holdings, Inc., 2007 WL 2059828, at *5–7 (S.D.N.Y. July 13, 2007); Neary v. Metropolitan Prop. &amp; Cas. Ins. Co., 472 F. Supp. 2d 247, 249 (D. Conn. 2007); Westerfield v. Washington Mut. Bank, 2007 WL 2162989 (E.D.N.Y. July 26, 2007).</w:t>
      </w:r>
    </w:p>
    <w:p w14:paraId="3D2112AB" w14:textId="77777777" w:rsidR="00721CCF" w:rsidRPr="00AD2F44" w:rsidRDefault="00F42107">
      <w:pPr>
        <w:pStyle w:val="14Footnote"/>
      </w:pPr>
      <w:r w:rsidRPr="00AD2F44">
        <w:rPr>
          <w:i/>
          <w:iCs/>
        </w:rPr>
        <w:t>Third Circuit:</w:t>
      </w:r>
      <w:r w:rsidRPr="00AD2F44">
        <w:t xml:space="preserve"> Knepper v. Rite Aid Corp., 675 F.3d 249, 264–65 (3d Cir. 2012) (finding that the rights granted by §216(b) are procedural and do not abridge, enlarge, or modify any substantive right).</w:t>
      </w:r>
    </w:p>
    <w:p w14:paraId="38D5EDC8" w14:textId="77777777" w:rsidR="00721CCF" w:rsidRPr="00AD2F44" w:rsidRDefault="00F42107">
      <w:pPr>
        <w:pStyle w:val="14Footnote"/>
      </w:pPr>
      <w:r w:rsidRPr="00AD2F44">
        <w:rPr>
          <w:i/>
          <w:iCs/>
        </w:rPr>
        <w:t>Fourth Circuit:</w:t>
      </w:r>
      <w:r w:rsidRPr="00AD2F44">
        <w:t xml:space="preserve"> Calderon v. GEICO Gen. Ins. Co., 279 F.R.D. 337, 343 (D. Md. 2012) (acknowledging split among district courts, the court rejected the inherent incompatibility argument finding that to hold otherwise would be inefficient and would increase the possibility of inconsistent adjudications); Long John Silver’s Rests., Inc. v. Cole, 409 F. Supp. 2d 682, 684–86 (D.S.C. 2006) (upholding arbitrator’s decision to apply opt-out procedure in arbitration for FLSA claims over employer’s objection that FLSA gives employees substantive right to consent to any action filed on their behalf under FLSA), </w:t>
      </w:r>
      <w:r w:rsidRPr="00AD2F44">
        <w:rPr>
          <w:i/>
          <w:iCs/>
        </w:rPr>
        <w:t>aff’d</w:t>
      </w:r>
      <w:r w:rsidRPr="00AD2F44">
        <w:t>, 514 F.3d 345 (4th Cir. 2008).</w:t>
      </w:r>
    </w:p>
    <w:p w14:paraId="020FEC53" w14:textId="77777777" w:rsidR="00721CCF" w:rsidRPr="00AD2F44" w:rsidRDefault="00F42107">
      <w:pPr>
        <w:pStyle w:val="14Footnote"/>
      </w:pPr>
      <w:r w:rsidRPr="00AD2F44">
        <w:rPr>
          <w:i/>
          <w:iCs/>
        </w:rPr>
        <w:t>Seventh Circuit:</w:t>
      </w:r>
      <w:r w:rsidRPr="00AD2F44">
        <w:t xml:space="preserve"> Espenscheid v. DirectSAT USA, LLC, 708 F. Supp. 2d 781, 789, 792–93 (W.D. Wis. 2010); Sjoblom v. Charter Commc’ns, LLC, 2007 WL 4560541, at *4–6 (W.D. Wis. Dec. 19, 2007).</w:t>
      </w:r>
    </w:p>
    <w:p w14:paraId="37E9D763" w14:textId="77777777" w:rsidR="00721CCF" w:rsidRPr="00AD2F44" w:rsidRDefault="00F42107">
      <w:pPr>
        <w:pStyle w:val="14Footnote"/>
      </w:pPr>
      <w:r w:rsidRPr="00AD2F44">
        <w:rPr>
          <w:i/>
          <w:iCs/>
        </w:rPr>
        <w:t>Eighth Circuit:</w:t>
      </w:r>
      <w:r w:rsidRPr="00AD2F44">
        <w:t xml:space="preserve"> Osby v. Citigroup, Inc., 2008 WL 2074102, at *4 (W.D. Mo. May 14, 2008); Robertson v. LTS Mgmt. Servs. LLC, 642 F. Supp. 2d 922, 930 (W.D. Mo. 2008).</w:t>
      </w:r>
    </w:p>
    <w:p w14:paraId="20F8C364" w14:textId="77777777" w:rsidR="00721CCF" w:rsidRPr="00AD2F44" w:rsidRDefault="00F42107">
      <w:pPr>
        <w:pStyle w:val="14Footnote"/>
      </w:pPr>
      <w:r w:rsidRPr="00AD2F44">
        <w:rPr>
          <w:i/>
          <w:iCs/>
        </w:rPr>
        <w:t xml:space="preserve">Eleventh Circuit: </w:t>
      </w:r>
      <w:r w:rsidRPr="00AD2F44">
        <w:t>Scantland v. Jeffry Knight, Inc., 2010 WL 4117683, at *4 (M.D. Fla. Sept. 29, 2010) (denying motion to dismiss based on difference in remedies between FLSA and Florida state claims).</w:t>
      </w:r>
    </w:p>
    <w:p w14:paraId="026C9651" w14:textId="303FE11F" w:rsidR="00721CCF" w:rsidRPr="00AD2F44" w:rsidRDefault="00F42107">
      <w:pPr>
        <w:pStyle w:val="14Footnote"/>
      </w:pPr>
      <w:r w:rsidRPr="00AD2F44">
        <w:rPr>
          <w:i/>
          <w:iCs/>
        </w:rPr>
        <w:t>D.C. Circuit:</w:t>
      </w:r>
      <w:r w:rsidRPr="00AD2F44">
        <w:t xml:space="preserve"> Cryer v. InterSolutions, Inc., 2007 WL 1191928, at *4 (D.D.C. Apr. 20, 2007).</w:t>
      </w:r>
    </w:p>
  </w:footnote>
  <w:footnote w:id="1041">
    <w:p w14:paraId="1ACF63BD" w14:textId="77777777" w:rsidR="00721CCF" w:rsidRPr="00AD2F44" w:rsidRDefault="00F42107">
      <w:pPr>
        <w:pStyle w:val="14Footnote"/>
      </w:pPr>
      <w:r w:rsidRPr="00AD2F44">
        <w:rPr>
          <w:vertAlign w:val="superscript"/>
        </w:rPr>
        <w:footnoteRef/>
      </w:r>
      <w:r w:rsidRPr="00AD2F44">
        <w:rPr>
          <w:i/>
          <w:iCs/>
        </w:rPr>
        <w:t>Damassia</w:t>
      </w:r>
      <w:r w:rsidRPr="00AD2F44">
        <w:t>, 250 F.R.D. at 164–65.</w:t>
      </w:r>
    </w:p>
  </w:footnote>
  <w:footnote w:id="1042">
    <w:p w14:paraId="213219FD" w14:textId="77777777" w:rsidR="00721CCF" w:rsidRPr="00AD2F44" w:rsidRDefault="00F42107">
      <w:pPr>
        <w:pStyle w:val="14Footnote"/>
      </w:pPr>
      <w:r w:rsidRPr="00AD2F44">
        <w:rPr>
          <w:vertAlign w:val="superscript"/>
        </w:rPr>
        <w:footnoteRef/>
      </w:r>
      <w:r w:rsidRPr="00AD2F44">
        <w:rPr>
          <w:i/>
          <w:iCs/>
        </w:rPr>
        <w:t>Id</w:t>
      </w:r>
      <w:r w:rsidRPr="00AD2F44">
        <w:t>. at 164.</w:t>
      </w:r>
    </w:p>
  </w:footnote>
  <w:footnote w:id="1043">
    <w:p w14:paraId="1A1BBE9A"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1044">
    <w:p w14:paraId="356BDC8F"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1045">
    <w:p w14:paraId="05F91FC9"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1046">
    <w:p w14:paraId="41452096" w14:textId="77777777" w:rsidR="00721CCF" w:rsidRPr="00AD2F44" w:rsidRDefault="00F42107">
      <w:pPr>
        <w:pStyle w:val="14Footnote"/>
      </w:pPr>
      <w:r w:rsidRPr="00AD2F44">
        <w:rPr>
          <w:vertAlign w:val="superscript"/>
        </w:rPr>
        <w:footnoteRef/>
      </w:r>
      <w:r w:rsidRPr="00AD2F44">
        <w:rPr>
          <w:i/>
          <w:iCs/>
        </w:rPr>
        <w:t>Id</w:t>
      </w:r>
      <w:r w:rsidRPr="00AD2F44">
        <w:t>. at 165.</w:t>
      </w:r>
    </w:p>
  </w:footnote>
  <w:footnote w:id="1047">
    <w:p w14:paraId="13FFE7AC" w14:textId="77777777" w:rsidR="00721CCF" w:rsidRPr="00AD2F44" w:rsidRDefault="00F42107">
      <w:pPr>
        <w:pStyle w:val="14Footnote"/>
      </w:pPr>
      <w:r w:rsidRPr="00AD2F44">
        <w:rPr>
          <w:vertAlign w:val="superscript"/>
        </w:rPr>
        <w:footnoteRef/>
      </w:r>
      <w:r w:rsidRPr="00AD2F44">
        <w:t>Pub. L. No. 109-2 (2005).</w:t>
      </w:r>
    </w:p>
  </w:footnote>
  <w:footnote w:id="1048">
    <w:p w14:paraId="5B676868" w14:textId="77777777" w:rsidR="00721CCF" w:rsidRPr="00AD2F44" w:rsidRDefault="00F42107">
      <w:pPr>
        <w:pStyle w:val="14Footnote"/>
      </w:pPr>
      <w:r w:rsidRPr="00AD2F44">
        <w:rPr>
          <w:vertAlign w:val="superscript"/>
        </w:rPr>
        <w:footnoteRef/>
      </w:r>
      <w:r w:rsidRPr="00AD2F44">
        <w:t xml:space="preserve">28 U.S.C. §1332(d) (creating diversity jurisdiction over certain class actions); 28 U.S.C. §1453 (authorizing removal). CAFA applies to actions commenced on or after February 18, 2005. </w:t>
      </w:r>
      <w:r w:rsidRPr="00AD2F44">
        <w:rPr>
          <w:i/>
          <w:iCs/>
        </w:rPr>
        <w:t>See, e.g</w:t>
      </w:r>
      <w:r w:rsidRPr="00AD2F44">
        <w:t>., Springman v. AIG Mktg., Inc., 523 F.3d 685, 686 (7th Cir. 2008).</w:t>
      </w:r>
    </w:p>
  </w:footnote>
  <w:footnote w:id="1049">
    <w:p w14:paraId="291D3D17" w14:textId="77777777" w:rsidR="00721CCF" w:rsidRPr="00AD2F44" w:rsidRDefault="00F42107">
      <w:pPr>
        <w:pStyle w:val="14Footnote"/>
      </w:pPr>
      <w:r w:rsidRPr="00AD2F44">
        <w:rPr>
          <w:vertAlign w:val="superscript"/>
        </w:rPr>
        <w:footnoteRef/>
      </w:r>
      <w:r w:rsidRPr="00AD2F44">
        <w:t>28 U.S.C. §1332(d)(1)–(6).</w:t>
      </w:r>
    </w:p>
  </w:footnote>
  <w:footnote w:id="1050">
    <w:p w14:paraId="61BD76FE" w14:textId="77777777" w:rsidR="00721CCF" w:rsidRPr="00AD2F44" w:rsidRDefault="00F42107">
      <w:pPr>
        <w:pStyle w:val="14Footnote"/>
      </w:pPr>
      <w:r w:rsidRPr="00AD2F44">
        <w:rPr>
          <w:vertAlign w:val="superscript"/>
        </w:rPr>
        <w:footnoteRef/>
      </w:r>
      <w:r w:rsidRPr="00AD2F44">
        <w:rPr>
          <w:i/>
          <w:iCs/>
        </w:rPr>
        <w:t>See, e.g.,</w:t>
      </w:r>
    </w:p>
    <w:p w14:paraId="3C8ACDBC" w14:textId="77777777" w:rsidR="00721CCF" w:rsidRPr="00AD2F44" w:rsidRDefault="00F42107">
      <w:pPr>
        <w:pStyle w:val="14Footnote"/>
      </w:pPr>
      <w:r w:rsidRPr="00AD2F44">
        <w:rPr>
          <w:i/>
          <w:iCs/>
        </w:rPr>
        <w:t xml:space="preserve">Second Circuit: </w:t>
      </w:r>
      <w:r w:rsidRPr="00AD2F44">
        <w:t>Cruz v. Hook-Superx, LLC, 2010 WL 3069558 (S.D.N.Y. Aug. 5, 2010) (exercising independent jurisdiction over state law claims under CAFA, which requires only minimal diversity).</w:t>
      </w:r>
    </w:p>
    <w:p w14:paraId="34036882" w14:textId="77777777" w:rsidR="00721CCF" w:rsidRPr="00AD2F44" w:rsidRDefault="00F42107">
      <w:pPr>
        <w:pStyle w:val="14Footnote"/>
      </w:pPr>
      <w:r w:rsidRPr="00AD2F44">
        <w:rPr>
          <w:i/>
          <w:iCs/>
        </w:rPr>
        <w:t>Third Circuit:</w:t>
      </w:r>
      <w:r w:rsidRPr="00AD2F44">
        <w:t xml:space="preserve"> Knepper v. Rite Aid Corp., 675 F.3d 249, 260–61, 265 (3d Cir. 2012) (rejecting “inherent incompatibility” argument and reversing dismissal of free-standing state law class action in federal court pursuant to CAFA jurisdiction despite existence of separate parallel FLSA action raising similar overtime claims); Hickton v. Enterprise Rent-A-Car Co., Inc., 2008 WL 4279818, at *6 (W.D. Pa. Sept. 12, 2008) (rejecting argument that Rule 23 state law claims should be dismissed due to “conflict” between opt-in and opt-out procedures, stating that “[t]he inherent incompatibility doctrine does not pertain to the court’s power to hear the case and does not provide a basis for declining to exercise original jurisdiction when the jurisdictional allegations are sufficiently pled”); Jackson v. Alpharma, Inc., 2008 WL 508664, at *4–5 &amp; n.6 (D.N.J. Feb. 21, 2008) (rejecting incompatibility argument at pleadings stage and stating that it would defer ruling on propriety of proceeding with both opt-in and opt-out claims until class certification stage).</w:t>
      </w:r>
    </w:p>
    <w:p w14:paraId="01CD1A72" w14:textId="77777777" w:rsidR="00721CCF" w:rsidRPr="00AD2F44" w:rsidRDefault="00F42107">
      <w:pPr>
        <w:pStyle w:val="14Footnote"/>
      </w:pPr>
      <w:r w:rsidRPr="00AD2F44">
        <w:rPr>
          <w:i/>
          <w:iCs/>
        </w:rPr>
        <w:t>Seventh Circuit:</w:t>
      </w:r>
      <w:r w:rsidRPr="00AD2F44">
        <w:t xml:space="preserve"> Espenscheid v. DirectSAT USA, LLC, 708 F. Supp. 2d 781, 791–92 (W.D. Wis. 2010) (denying motion to dismiss state law claims that the district court exercised independent jurisdiction over pursuant to CAFA); DeKeyser v. Thyssenkrupp Waupaca, Inc., 589 F. Supp. 2d 1026, 1031–33 (E.D. Wis. 2008) (rejecting argument that state law claims were procedurally preempted in view of different procedures applicable to FLSA and Rule 23 class actions); Sjoblom v. Charter Commc’ns, LLC, 2007 WL 4560541, at *5 (W.D. Wis. Dec. 19, 2007) (rejecting argument that allowing hybrid action to proceed would conflict with congressional intent or violate Rules Enabling Act).</w:t>
      </w:r>
    </w:p>
    <w:p w14:paraId="347C4B60" w14:textId="77777777" w:rsidR="00721CCF" w:rsidRPr="00AD2F44" w:rsidRDefault="00F42107">
      <w:pPr>
        <w:pStyle w:val="14Footnote"/>
      </w:pPr>
      <w:r w:rsidRPr="00AD2F44">
        <w:rPr>
          <w:i/>
          <w:iCs/>
        </w:rPr>
        <w:t>Eighth Circuit:</w:t>
      </w:r>
      <w:r w:rsidRPr="00AD2F44">
        <w:t xml:space="preserve"> Bouaphakeo v. Tyson Foods, Inc., 564 F. Supp. 2d 870, 886–89 (N.D. Iowa 2008) (concluding that differences between opt-in and opt-out procedures do not provide reason to deny, dismiss, or limit class action claims, “especially when such a claim has an independent jurisdictional basis” under CAFA); Osby v. Citigroup, Inc., 2008 WL 2074102, at *2–3 (W.D. Mo. May 14, 2008) (rejecting incompatibility and Rules Enabling Act challenges and finding that argument that claims could not be fairly adjudicated together was prematurely raised at pleadings stage, and that “[t]his is particularly so now that there is an independent basis for federal jurisdiction pursuant to the Class Action Fairness Act”).</w:t>
      </w:r>
    </w:p>
    <w:p w14:paraId="1F64720E" w14:textId="4C11B609" w:rsidR="00721CCF" w:rsidRPr="00AD2F44" w:rsidRDefault="00F42107">
      <w:pPr>
        <w:pStyle w:val="14Footnote"/>
      </w:pPr>
      <w:r w:rsidRPr="00AD2F44">
        <w:rPr>
          <w:i/>
          <w:iCs/>
        </w:rPr>
        <w:t>Ninth Circuit:</w:t>
      </w:r>
      <w:r w:rsidRPr="00AD2F44">
        <w:t xml:space="preserve"> Baas v. Dollar Tree Stores, Inc., 2007 WL 2462150, at *3–4 (N.D. Cal. Aug. 29, 2007) (moving unsuccessfully to dismiss state law claims on ground that Rule 23 opt-out claims and FLSA opt-in claims may not be maintained together in same action); Ellison v. Autozone Inc., 2007 WL 2701923, at *2 (N.D. Cal. Sept. 13, 2007) (same, but noting that it might conclude at later stage in litigation that proceeding with both types of claims would be unworkable).</w:t>
      </w:r>
    </w:p>
  </w:footnote>
  <w:footnote w:id="1051">
    <w:p w14:paraId="6B7834D6" w14:textId="77777777" w:rsidR="00721CCF" w:rsidRPr="00AD2F44" w:rsidRDefault="00F42107">
      <w:pPr>
        <w:pStyle w:val="14Footnote"/>
      </w:pPr>
      <w:r w:rsidRPr="00AD2F44">
        <w:rPr>
          <w:vertAlign w:val="superscript"/>
        </w:rPr>
        <w:footnoteRef/>
      </w:r>
      <w:r w:rsidRPr="00AD2F44">
        <w:t>Adoma v. University of Phoenix, Inc., 270 F.R.D. 543, 547 (E.D. Cal. 2010).</w:t>
      </w:r>
    </w:p>
  </w:footnote>
  <w:footnote w:id="1052">
    <w:p w14:paraId="7D8FE6F5" w14:textId="77777777" w:rsidR="00721CCF" w:rsidRPr="00AD2F44" w:rsidRDefault="00F42107">
      <w:pPr>
        <w:pStyle w:val="14Footnote"/>
      </w:pPr>
      <w:r w:rsidRPr="00AD2F44">
        <w:rPr>
          <w:vertAlign w:val="superscript"/>
        </w:rPr>
        <w:footnoteRef/>
      </w:r>
      <w:r w:rsidRPr="00AD2F44">
        <w:t>28 U.S.C. §1367.</w:t>
      </w:r>
    </w:p>
  </w:footnote>
  <w:footnote w:id="1053">
    <w:p w14:paraId="149C3087" w14:textId="77777777" w:rsidR="00721CCF" w:rsidRPr="00AD2F44" w:rsidRDefault="00F42107">
      <w:pPr>
        <w:pStyle w:val="14Footnote"/>
      </w:pPr>
      <w:r w:rsidRPr="00AD2F44">
        <w:rPr>
          <w:vertAlign w:val="superscript"/>
        </w:rPr>
        <w:footnoteRef/>
      </w:r>
      <w:r w:rsidRPr="00AD2F44">
        <w:rPr>
          <w:i/>
          <w:iCs/>
        </w:rPr>
        <w:t>Id.</w:t>
      </w:r>
      <w:r w:rsidRPr="00AD2F44">
        <w:t xml:space="preserve"> §1367(a) (“Except as … expressly provided otherwise by Federal statute … the district courts shall have supplemental jurisdiction”).</w:t>
      </w:r>
    </w:p>
  </w:footnote>
  <w:footnote w:id="1054">
    <w:p w14:paraId="46FE77B2" w14:textId="77777777" w:rsidR="00721CCF" w:rsidRPr="00AD2F44" w:rsidRDefault="00F42107">
      <w:pPr>
        <w:pStyle w:val="14Footnote"/>
      </w:pPr>
      <w:r w:rsidRPr="00AD2F44">
        <w:rPr>
          <w:vertAlign w:val="superscript"/>
        </w:rPr>
        <w:footnoteRef/>
      </w:r>
      <w:r w:rsidRPr="00AD2F44">
        <w:rPr>
          <w:i/>
          <w:iCs/>
        </w:rPr>
        <w:t>Third Circuit:</w:t>
      </w:r>
      <w:r w:rsidRPr="00AD2F44">
        <w:t xml:space="preserve"> De Asencio v. Tyson Foods, Inc., 342 F.3d 301, 309 (3d Cir. 2003) (finding that the FLSA “does not expressly address supplemental jurisdiction” over state law claims in hybrid actions).</w:t>
      </w:r>
    </w:p>
    <w:p w14:paraId="2B42BA89" w14:textId="77777777" w:rsidR="00721CCF" w:rsidRPr="00AD2F44" w:rsidRDefault="00F42107">
      <w:pPr>
        <w:pStyle w:val="14Footnote"/>
      </w:pPr>
      <w:r w:rsidRPr="00AD2F44">
        <w:rPr>
          <w:i/>
          <w:iCs/>
        </w:rPr>
        <w:t>Seventh Circuit:</w:t>
      </w:r>
      <w:r w:rsidRPr="00AD2F44">
        <w:t xml:space="preserve"> Ervin v. OS Rest. Servs., Inc., 632 F.3d 971, 979 (7th Cir. 2011) (finding that “it is important to emphasize that the FLSA is not a statute that ‘expressly provide[s]’ some limit to supplemental jurisdiction, as section 1367(a) contemplates that some federal statutes might”).</w:t>
      </w:r>
    </w:p>
    <w:p w14:paraId="39FAEF90" w14:textId="2B3F8A35" w:rsidR="00721CCF" w:rsidRPr="00AD2F44" w:rsidRDefault="00F42107">
      <w:pPr>
        <w:pStyle w:val="14Footnote"/>
      </w:pPr>
      <w:r w:rsidRPr="00AD2F44">
        <w:rPr>
          <w:i/>
          <w:iCs/>
        </w:rPr>
        <w:t>D.C. Circuit:</w:t>
      </w:r>
      <w:r w:rsidRPr="00AD2F44">
        <w:t xml:space="preserve"> Lindsay v. Government Emps. Ins. Co., 448 F.3d 416, 422 (D.C. Cir. 2006).</w:t>
      </w:r>
    </w:p>
  </w:footnote>
  <w:footnote w:id="1055">
    <w:p w14:paraId="6AC54053" w14:textId="77777777" w:rsidR="00721CCF" w:rsidRPr="00AD2F44" w:rsidRDefault="00F42107">
      <w:pPr>
        <w:pStyle w:val="14Footnote"/>
      </w:pPr>
      <w:r w:rsidRPr="00AD2F44">
        <w:rPr>
          <w:vertAlign w:val="superscript"/>
        </w:rPr>
        <w:footnoteRef/>
      </w:r>
      <w:r w:rsidRPr="00AD2F44">
        <w:rPr>
          <w:i/>
          <w:iCs/>
        </w:rPr>
        <w:t>Lindsay</w:t>
      </w:r>
      <w:r w:rsidRPr="00AD2F44">
        <w:t>, 448 F.3d at 422.</w:t>
      </w:r>
    </w:p>
  </w:footnote>
  <w:footnote w:id="1056">
    <w:p w14:paraId="2C41A844" w14:textId="77777777" w:rsidR="00721CCF" w:rsidRPr="00AD2F44" w:rsidRDefault="00F42107">
      <w:pPr>
        <w:pStyle w:val="14Footnote"/>
      </w:pPr>
      <w:r w:rsidRPr="00AD2F44">
        <w:rPr>
          <w:vertAlign w:val="superscript"/>
        </w:rPr>
        <w:footnoteRef/>
      </w:r>
      <w:r w:rsidRPr="00AD2F44">
        <w:rPr>
          <w:i/>
          <w:iCs/>
        </w:rPr>
        <w:t>Id</w:t>
      </w:r>
      <w:r w:rsidRPr="00AD2F44">
        <w:t xml:space="preserve">. at 421. </w:t>
      </w:r>
      <w:r w:rsidRPr="00AD2F44">
        <w:rPr>
          <w:i/>
          <w:iCs/>
        </w:rPr>
        <w:t>See also Ervin</w:t>
      </w:r>
      <w:r w:rsidRPr="00AD2F44">
        <w:t>, 632 F.3d at 979 (finding that “the FLSA is not a statute that ‘expressly provide[s]’ some limit to supplemental jurisdiction, as section 1367(a) contemplates that some federal statutes might”).</w:t>
      </w:r>
    </w:p>
  </w:footnote>
  <w:footnote w:id="1057">
    <w:p w14:paraId="6DE0F2C5" w14:textId="77777777" w:rsidR="00721CCF" w:rsidRPr="00AD2F44" w:rsidRDefault="00F42107">
      <w:pPr>
        <w:pStyle w:val="14Footnote"/>
      </w:pPr>
      <w:r w:rsidRPr="00AD2F44">
        <w:rPr>
          <w:vertAlign w:val="superscript"/>
        </w:rPr>
        <w:footnoteRef/>
      </w:r>
      <w:r w:rsidRPr="00AD2F44">
        <w:rPr>
          <w:i/>
          <w:iCs/>
        </w:rPr>
        <w:t>Lindsay</w:t>
      </w:r>
      <w:r w:rsidRPr="00AD2F44">
        <w:t>, 448 F.3d at 422 &amp; n.8.</w:t>
      </w:r>
    </w:p>
  </w:footnote>
  <w:footnote w:id="1058">
    <w:p w14:paraId="69CE6700" w14:textId="77777777" w:rsidR="00721CCF" w:rsidRPr="00AD2F44" w:rsidRDefault="00F42107">
      <w:pPr>
        <w:pStyle w:val="14Footnote"/>
      </w:pPr>
      <w:r w:rsidRPr="00AD2F44">
        <w:rPr>
          <w:vertAlign w:val="superscript"/>
        </w:rPr>
        <w:footnoteRef/>
      </w:r>
      <w:r w:rsidRPr="00AD2F44">
        <w:rPr>
          <w:i/>
          <w:iCs/>
        </w:rPr>
        <w:t>Id</w:t>
      </w:r>
      <w:r w:rsidRPr="00AD2F44">
        <w:t>. (discussing Breuer v. Jim’s Concrete of Brevard, Inc., 538 U.S. 691 (2003)).</w:t>
      </w:r>
    </w:p>
  </w:footnote>
  <w:footnote w:id="1059">
    <w:p w14:paraId="2E525985" w14:textId="77777777" w:rsidR="00721CCF" w:rsidRPr="00AD2F44" w:rsidRDefault="00F42107">
      <w:pPr>
        <w:pStyle w:val="14Footnote"/>
      </w:pPr>
      <w:r w:rsidRPr="00AD2F44">
        <w:rPr>
          <w:vertAlign w:val="superscript"/>
        </w:rPr>
        <w:footnoteRef/>
      </w:r>
      <w:r w:rsidRPr="00AD2F44">
        <w:rPr>
          <w:i/>
          <w:iCs/>
        </w:rPr>
        <w:t>See, e.g.</w:t>
      </w:r>
      <w:r w:rsidRPr="00AD2F44">
        <w:t>, Woodard v. FedEx Freight E., Inc., 250 F.R.D. 178, 183 (M.D. Pa. 2008) (holding that “[t]he FLSA does not expressly address supplemental jurisdiction; §1367(a), therefore, is inapplicable”); Salazar v. Agriprocessors, Inc., 527 F. Supp. 2d 873, 880 (N.D. Iowa 2007) (finding that “[t]he federal statute at issue here—the FLSA, specifically §216(b)—neither expressly prohibits the exercise of supplemental jurisdiction over state law claims of opt-out class members nor mentions supplemental jurisdiction”).</w:t>
      </w:r>
    </w:p>
  </w:footnote>
  <w:footnote w:id="1060">
    <w:p w14:paraId="28411A16" w14:textId="77777777" w:rsidR="00721CCF" w:rsidRPr="00AD2F44" w:rsidRDefault="00F42107">
      <w:pPr>
        <w:pStyle w:val="14Footnote"/>
      </w:pPr>
      <w:r w:rsidRPr="00AD2F44">
        <w:rPr>
          <w:vertAlign w:val="superscript"/>
        </w:rPr>
        <w:footnoteRef/>
      </w:r>
      <w:r w:rsidRPr="00AD2F44">
        <w:t>28 U.S.C. §1367(a).</w:t>
      </w:r>
    </w:p>
  </w:footnote>
  <w:footnote w:id="1061">
    <w:p w14:paraId="64927E81" w14:textId="77777777" w:rsidR="00721CCF" w:rsidRPr="00AD2F44" w:rsidRDefault="00F42107">
      <w:pPr>
        <w:pStyle w:val="14Footnote"/>
      </w:pPr>
      <w:r w:rsidRPr="00AD2F44">
        <w:rPr>
          <w:vertAlign w:val="superscript"/>
        </w:rPr>
        <w:footnoteRef/>
      </w:r>
      <w:r w:rsidRPr="00AD2F44">
        <w:t>342 F.3d 301 (3d Cir. 2003).</w:t>
      </w:r>
    </w:p>
  </w:footnote>
  <w:footnote w:id="1062">
    <w:p w14:paraId="630C03C3" w14:textId="77777777" w:rsidR="00721CCF" w:rsidRPr="00AD2F44" w:rsidRDefault="00F42107">
      <w:pPr>
        <w:pStyle w:val="14Footnote"/>
      </w:pPr>
      <w:r w:rsidRPr="00AD2F44">
        <w:rPr>
          <w:vertAlign w:val="superscript"/>
        </w:rPr>
        <w:footnoteRef/>
      </w:r>
      <w:r w:rsidRPr="00AD2F44">
        <w:rPr>
          <w:i/>
          <w:iCs/>
        </w:rPr>
        <w:t>Id</w:t>
      </w:r>
      <w:r w:rsidRPr="00AD2F44">
        <w:t>. at 307–08.</w:t>
      </w:r>
    </w:p>
  </w:footnote>
  <w:footnote w:id="1063">
    <w:p w14:paraId="5EF93511" w14:textId="6442847C" w:rsidR="00721CCF" w:rsidRPr="00AD2F44" w:rsidRDefault="00F42107">
      <w:pPr>
        <w:pStyle w:val="14Footnote"/>
      </w:pPr>
      <w:r w:rsidRPr="00AD2F44">
        <w:rPr>
          <w:vertAlign w:val="superscript"/>
        </w:rPr>
        <w:footnoteRef/>
      </w:r>
      <w:r w:rsidRPr="00AD2F44">
        <w:rPr>
          <w:i/>
          <w:iCs/>
        </w:rPr>
        <w:t>Id</w:t>
      </w:r>
      <w:r w:rsidRPr="00AD2F44">
        <w:t xml:space="preserve">. (quoting United Mine Workers v. Gibbs, 383 U.S. 715, 725 (1966)); </w:t>
      </w:r>
      <w:r w:rsidRPr="00AD2F44">
        <w:rPr>
          <w:i/>
          <w:iCs/>
        </w:rPr>
        <w:t>see</w:t>
      </w:r>
      <w:r w:rsidRPr="00AD2F44">
        <w:t xml:space="preserve"> Chicago v. International Coll. Of Surgeons, 522 U.S. 156, 164–65 (1997).</w:t>
      </w:r>
    </w:p>
  </w:footnote>
  <w:footnote w:id="1064">
    <w:p w14:paraId="1975B63A" w14:textId="77777777" w:rsidR="00721CCF" w:rsidRPr="00AD2F44" w:rsidRDefault="00F42107">
      <w:pPr>
        <w:pStyle w:val="14Footnote"/>
      </w:pPr>
      <w:r w:rsidRPr="00AD2F44">
        <w:rPr>
          <w:vertAlign w:val="superscript"/>
        </w:rPr>
        <w:footnoteRef/>
      </w:r>
      <w:r w:rsidRPr="00AD2F44">
        <w:rPr>
          <w:i/>
          <w:iCs/>
        </w:rPr>
        <w:t>Id</w:t>
      </w:r>
      <w:r w:rsidRPr="00AD2F44">
        <w:t xml:space="preserve">. at 308. </w:t>
      </w:r>
      <w:r w:rsidRPr="00AD2F44">
        <w:rPr>
          <w:i/>
          <w:iCs/>
        </w:rPr>
        <w:t xml:space="preserve">See also </w:t>
      </w:r>
      <w:r w:rsidRPr="00AD2F44">
        <w:t>Ervin v. OS Rest. Servs., Inc., 632 F.3d 971, 979 (7th Cir. 2011) (agreeing “with those of our sister circuits who have concluded that the requirements of section 1367(a) are satisfied in cases like this one, where state law labor claims [involving pay practices applicable to tipped employees] are closely related to an FLSA collective action”); Shahriar v. Smith &amp; Wollensky Rest. Grp., Inc., 659 F.3d 234, 245 (2d Cir. 2011) (finding that state and federal tip-pooling allegations arise from “common nucleus of operative facts” as required by §1367(a)).</w:t>
      </w:r>
    </w:p>
  </w:footnote>
  <w:footnote w:id="1065">
    <w:p w14:paraId="53DC9BDF" w14:textId="77777777" w:rsidR="00721CCF" w:rsidRPr="00AD2F44" w:rsidRDefault="00F42107">
      <w:pPr>
        <w:pStyle w:val="14Footnote"/>
      </w:pPr>
      <w:r w:rsidRPr="00AD2F44">
        <w:rPr>
          <w:vertAlign w:val="superscript"/>
        </w:rPr>
        <w:footnoteRef/>
      </w:r>
      <w:r w:rsidRPr="00AD2F44">
        <w:t>448 F.3d 416 (D.C. Cir. 2006).</w:t>
      </w:r>
    </w:p>
  </w:footnote>
  <w:footnote w:id="1066">
    <w:p w14:paraId="51549AD1" w14:textId="77777777" w:rsidR="00721CCF" w:rsidRPr="00AD2F44" w:rsidRDefault="00F42107">
      <w:pPr>
        <w:pStyle w:val="14Footnote"/>
      </w:pPr>
      <w:r w:rsidRPr="00AD2F44">
        <w:rPr>
          <w:vertAlign w:val="superscript"/>
        </w:rPr>
        <w:footnoteRef/>
      </w:r>
      <w:r w:rsidRPr="00AD2F44">
        <w:rPr>
          <w:i/>
          <w:iCs/>
        </w:rPr>
        <w:t>Id</w:t>
      </w:r>
      <w:r w:rsidRPr="00AD2F44">
        <w:t>. at 424 (internal quotes omitted).</w:t>
      </w:r>
    </w:p>
  </w:footnote>
  <w:footnote w:id="1067">
    <w:p w14:paraId="35C437D7" w14:textId="77777777" w:rsidR="00721CCF" w:rsidRPr="00AD2F44" w:rsidRDefault="00F42107">
      <w:pPr>
        <w:pStyle w:val="14Footnote"/>
      </w:pPr>
      <w:r w:rsidRPr="00AD2F44">
        <w:rPr>
          <w:vertAlign w:val="superscript"/>
        </w:rPr>
        <w:footnoteRef/>
      </w:r>
      <w:r w:rsidRPr="00AD2F44">
        <w:rPr>
          <w:i/>
          <w:iCs/>
        </w:rPr>
        <w:t>See, e.g.,</w:t>
      </w:r>
    </w:p>
    <w:p w14:paraId="439F0CDF" w14:textId="77777777" w:rsidR="00721CCF" w:rsidRPr="00AD2F44" w:rsidRDefault="00F42107">
      <w:pPr>
        <w:pStyle w:val="14Footnote"/>
      </w:pPr>
      <w:r w:rsidRPr="00AD2F44">
        <w:rPr>
          <w:i/>
          <w:iCs/>
        </w:rPr>
        <w:t xml:space="preserve">First Circuit: </w:t>
      </w:r>
      <w:r w:rsidRPr="00AD2F44">
        <w:t xml:space="preserve">Jean-Pierre v. J&amp;L Cable TV Servs. Inc., 538 F. Supp. 3d 208, 211 (D. Mass. 2021) (exercising supplemental jurisdiction, finding FLSA and state law claims has “similar overlap and can be considered a single case or controversy” in case involving cable technicians). </w:t>
      </w:r>
    </w:p>
    <w:p w14:paraId="47BD91B7" w14:textId="77777777" w:rsidR="00721CCF" w:rsidRPr="00AD2F44" w:rsidRDefault="00F42107">
      <w:pPr>
        <w:pStyle w:val="14Footnote"/>
      </w:pPr>
      <w:r w:rsidRPr="00AD2F44">
        <w:rPr>
          <w:i/>
          <w:iCs/>
        </w:rPr>
        <w:t>Second Circuit:</w:t>
      </w:r>
      <w:r w:rsidRPr="00AD2F44">
        <w:t xml:space="preserve"> Chaluisan v. Simsmetal East LLC, 698 F. Supp. 2d 397, 402–03 (S.D.N.Y. 2010) (holding that FLSA and state law claims arise from same compensation practices and thus a common nucleus of operative facts requiring similar evidence); Patel v. Baluchi’s Indian Rest., 2009 WL 2358620 at *6 (S.D.N.Y. July 30, 2009) (finding that FLSA action would necessarily address facts on which state law breach of contract is based and thus share a common nucleus of operative facts); Brickey v. Dolgencorp., Inc., 244 F.R.D. 176, 178 (W.D.N.Y. 2007) (involving claims for unpaid off-the-clock work and failure to pay overtime at proper rate brought under FLSA and laws of various states); Duchene v. Michael L. Cetta, Inc., 244 F.R.D. 202, 203 (S.D.N.Y. 2007) (involving claims for unpaid wages based on misappropriated tips brought under FLSA and New York Labor Law); Iglesias-Mendoza v. La Belle Farm, Inc., 239 F.R.D. 363, 374 (S.D.N.Y. 2007) (involving unpaid minimum wage and overtime claims under FLSA and New York Labor Law and claim for unpaid spread of hour wages under New York Labor Law); Ouedraogo v. Durso Assocs., Inc., 2005 WL 1423308, at *2 (S.D.N.Y. June 16, 2005) (involving unpaid minimum wage and overtime claims brought under FLSA and New York Labor Law).</w:t>
      </w:r>
    </w:p>
    <w:p w14:paraId="4E8BF6FE" w14:textId="77777777" w:rsidR="00721CCF" w:rsidRPr="00AD2F44" w:rsidRDefault="00F42107">
      <w:pPr>
        <w:pStyle w:val="14Footnote"/>
      </w:pPr>
      <w:r w:rsidRPr="00AD2F44">
        <w:rPr>
          <w:i/>
          <w:iCs/>
        </w:rPr>
        <w:t>Third Circuit:</w:t>
      </w:r>
      <w:r w:rsidRPr="00AD2F44">
        <w:t xml:space="preserve"> Troncone v. Velahos, 2011 WL 3236219, at *5 (D.N.J. July 28, 2011) (finding New Jersey Wage and Hour Law minimum wage and overtime claims identical under FLSA and New Jersey state law);</w:t>
      </w:r>
      <w:r w:rsidRPr="00AD2F44">
        <w:rPr>
          <w:b/>
          <w:bCs/>
        </w:rPr>
        <w:t xml:space="preserve"> </w:t>
      </w:r>
      <w:r w:rsidRPr="00AD2F44">
        <w:t>Woodard v. FedEx Freight E., Inc., 250 F.R.D. 178, 183 (M.D. Pa. 2008) (involving overtime claims based on misclassification brought under FLSA and Pennsylvania Minimum Wage Act and Wage Payment Collection Law).</w:t>
      </w:r>
    </w:p>
    <w:p w14:paraId="6A8F3C1F" w14:textId="77777777" w:rsidR="00721CCF" w:rsidRPr="00AD2F44" w:rsidRDefault="00F42107">
      <w:pPr>
        <w:pStyle w:val="14Footnote"/>
      </w:pPr>
      <w:r w:rsidRPr="00AD2F44">
        <w:rPr>
          <w:i/>
          <w:iCs/>
        </w:rPr>
        <w:t xml:space="preserve">Fourth Circuit: </w:t>
      </w:r>
      <w:r w:rsidRPr="00AD2F44">
        <w:t>Romero v. Mountaire Farms, 796 F. Supp. 2d 700 (E.D.N.C. 2011) (involving claims for unpaid time spent donning, doffing, and maintaining protective gear and walking to and waiting at production line under FLSA and North Carolina Wage and Hour Act); McLaurin v. Prestage Foods, Inc., 271 F.R.D. 465, 468, 471 (E.D.N.C. 2010) (same); Calderon v. GEICO Gen. Ins. Co., 279 F.R.D. 337, 343–44 (D. Md. 2012) (holding state law claims that are predicated on the same facts that are the basis of the FLSA claim constitute the same case or controversy for purposes of extending supplemental jurisdiction).</w:t>
      </w:r>
    </w:p>
    <w:p w14:paraId="140266E7" w14:textId="77777777" w:rsidR="00721CCF" w:rsidRPr="00AD2F44" w:rsidRDefault="00F42107">
      <w:pPr>
        <w:pStyle w:val="14Footnote"/>
      </w:pPr>
      <w:r w:rsidRPr="00AD2F44">
        <w:rPr>
          <w:i/>
          <w:iCs/>
        </w:rPr>
        <w:t>Fifth Circuit:</w:t>
      </w:r>
      <w:r w:rsidRPr="00AD2F44">
        <w:t xml:space="preserve"> Jackson v. City of San Antonio, 220 F.R.D. 55, 56, 59 (W.D. Tex. 2003) (involving unpaid overtime claims brought under FLSA and Texas Government Code).</w:t>
      </w:r>
    </w:p>
    <w:p w14:paraId="3B326623" w14:textId="7186FA05" w:rsidR="00721CCF" w:rsidRPr="00AD2F44" w:rsidRDefault="00F42107">
      <w:pPr>
        <w:pStyle w:val="14Footnote"/>
      </w:pPr>
      <w:r w:rsidRPr="00AD2F44">
        <w:rPr>
          <w:i/>
          <w:iCs/>
        </w:rPr>
        <w:t>Sixth Circuit:</w:t>
      </w:r>
      <w:r w:rsidRPr="00AD2F44">
        <w:t xml:space="preserve"> Stephenson v. Family Sols. Of Ohio, Inc., 2021 BL 124304, 2021 WL 1253459 (N.D. Ohio Apr. 5, 2021) (exercising supplemental jurisdiction on mental health specialist plaintiffs’ state law claims, finding state law claims did not substantially predominate over FLSA claims because they were substantially similar). </w:t>
      </w:r>
    </w:p>
    <w:p w14:paraId="17852BBA" w14:textId="77777777" w:rsidR="00721CCF" w:rsidRPr="00AD2F44" w:rsidRDefault="00F42107">
      <w:pPr>
        <w:pStyle w:val="14Footnote"/>
      </w:pPr>
      <w:r w:rsidRPr="00AD2F44">
        <w:rPr>
          <w:i/>
          <w:iCs/>
        </w:rPr>
        <w:t>Seventh Circuit:</w:t>
      </w:r>
      <w:r w:rsidRPr="00AD2F44">
        <w:t xml:space="preserve"> Pridemore v. Jiffy Mini-Marts, Inc., 2008 WL 5062754, at *2 (S.D. Ind. Nov. 24, 2008) (involving claims for minimum wages and overtime wages brought under the FLSA and Indiana statutes based on improper pay deductions); Schultz v. American Family Mut. Ins. Co., 2005 WL 5909003, at *6 (N.D. Ill. Nov. 1, 2005) (involving unpaid overtime claims based on misclassification brought under FLSA and Illinois Minimum Wage Law).</w:t>
      </w:r>
    </w:p>
    <w:p w14:paraId="6AEB3E55" w14:textId="77777777" w:rsidR="00721CCF" w:rsidRPr="00AD2F44" w:rsidRDefault="00F42107">
      <w:pPr>
        <w:pStyle w:val="14Footnote"/>
      </w:pPr>
      <w:r w:rsidRPr="00AD2F44">
        <w:rPr>
          <w:i/>
          <w:iCs/>
        </w:rPr>
        <w:t>Eighth Circuit:</w:t>
      </w:r>
      <w:r w:rsidRPr="00AD2F44">
        <w:t xml:space="preserve"> Salazar v. Agriprocessors, Inc., 527 F. Supp. 2d 873, 880 (N.D. Iowa 2007) (involving claims for unpaid time spent preparing, donning, doffing, obtaining, and sanitizing safety equipment and gear brought under FLSA and Iowa Wage Payment Collection Law); Nerland v. Caribou Coffee Co., Inc., 564 F. Supp. 2d 1010, 1027 (D. Minn. 2007) (involving unpaid overtime claims based on misclassification brought under FLSA and Minnesota Fair Labor Standards Act).</w:t>
      </w:r>
    </w:p>
    <w:p w14:paraId="5DC332D2" w14:textId="3E8E2B59" w:rsidR="00721CCF" w:rsidRPr="00AD2F44" w:rsidRDefault="00F42107">
      <w:pPr>
        <w:pStyle w:val="14Footnote"/>
      </w:pPr>
      <w:r w:rsidRPr="00AD2F44">
        <w:rPr>
          <w:i/>
          <w:iCs/>
        </w:rPr>
        <w:t>Ninth Circuit:</w:t>
      </w:r>
      <w:r w:rsidRPr="00AD2F44">
        <w:t xml:space="preserve"> Gomez v. Rossi Concrete, Inc., 270 F.R.D. 579, 586 (S.D. Cal. 2010) (finding claims interwoven so that resolution of FLSA claims depended on resolution of state law wage claim and splitting the claims could result in inconsistent rulings and would be inefficient); Bamonte v. City of Mesa, 2007 WL 2022011, at *3 (D. Ariz. July 10, 2007) (involving claims for unpaid donning and doffing time under FLSA and Arizona wage and hour statutes); Silverman v. Smithkline Beecham Corp., 2007 WL 3072274, at *1, 3 (C.D. Cal. Oct. 16, 2007) (involving FLSA overtime claim based on misclassification and state law claims that also turned on question of whether employees were misclassified as exempt).</w:t>
      </w:r>
    </w:p>
    <w:p w14:paraId="24818A84" w14:textId="4733D628" w:rsidR="00721CCF" w:rsidRPr="00AD2F44" w:rsidRDefault="00F42107">
      <w:pPr>
        <w:pStyle w:val="14Footnote"/>
      </w:pPr>
      <w:r w:rsidRPr="00AD2F44">
        <w:rPr>
          <w:i/>
          <w:iCs/>
        </w:rPr>
        <w:t xml:space="preserve">Tenth Circuit: In re </w:t>
      </w:r>
      <w:r w:rsidRPr="00AD2F44">
        <w:t>American Family Mut. Ins. Co. Overtime Pay Litig., 638 F. Supp. 2d 1290, 1297 (D. Colo. 2009) (involving claims for unpaid overtime based on exempt misclassification under FLSA and several states’ overtime pay statutes).</w:t>
      </w:r>
    </w:p>
  </w:footnote>
  <w:footnote w:id="1068">
    <w:p w14:paraId="18ABB6D5" w14:textId="77777777" w:rsidR="00721CCF" w:rsidRPr="00AD2F44" w:rsidRDefault="00F42107">
      <w:pPr>
        <w:pStyle w:val="14Footnote"/>
      </w:pPr>
      <w:r w:rsidRPr="00AD2F44">
        <w:rPr>
          <w:vertAlign w:val="superscript"/>
        </w:rPr>
        <w:footnoteRef/>
      </w:r>
      <w:r w:rsidRPr="00AD2F44">
        <w:rPr>
          <w:i/>
          <w:iCs/>
        </w:rPr>
        <w:t>Third Circuit:</w:t>
      </w:r>
      <w:r w:rsidRPr="00AD2F44">
        <w:t xml:space="preserve"> De Asencio v. Tyson Foods, Inc., 342 F.3d 301, 308–13 (3d Cir. 2003).</w:t>
      </w:r>
    </w:p>
    <w:p w14:paraId="0E91CACB" w14:textId="77777777" w:rsidR="00721CCF" w:rsidRPr="00AD2F44" w:rsidRDefault="00F42107">
      <w:pPr>
        <w:pStyle w:val="14Footnote"/>
      </w:pPr>
      <w:r w:rsidRPr="00AD2F44">
        <w:rPr>
          <w:i/>
          <w:iCs/>
        </w:rPr>
        <w:t>Seventh Circuit:</w:t>
      </w:r>
      <w:r w:rsidRPr="00AD2F44">
        <w:t xml:space="preserve"> Ervin v. OS Rest. Servs., Inc., 632 F.3d 971, 979–81 (7th Cir. 2011) (acknowledging that there will be many more state law class members than FLSA members).</w:t>
      </w:r>
    </w:p>
    <w:p w14:paraId="0A1D972E" w14:textId="4FD53DE6" w:rsidR="00721CCF" w:rsidRPr="00AD2F44" w:rsidRDefault="00F42107">
      <w:pPr>
        <w:pStyle w:val="14Footnote"/>
      </w:pPr>
      <w:r w:rsidRPr="00AD2F44">
        <w:rPr>
          <w:i/>
          <w:iCs/>
        </w:rPr>
        <w:t>D.C. Circuit:</w:t>
      </w:r>
      <w:r w:rsidRPr="00AD2F44">
        <w:t xml:space="preserve"> Lindsay v. Government Emps. Ins. Co., 448 F.3d 416, 421–25 (D.C. Cir. 2006).</w:t>
      </w:r>
    </w:p>
  </w:footnote>
  <w:footnote w:id="1069">
    <w:p w14:paraId="2C3D737D" w14:textId="77777777" w:rsidR="00721CCF" w:rsidRPr="00AD2F44" w:rsidRDefault="00F42107">
      <w:pPr>
        <w:pStyle w:val="14Footnote"/>
      </w:pPr>
      <w:r w:rsidRPr="00AD2F44">
        <w:rPr>
          <w:vertAlign w:val="superscript"/>
        </w:rPr>
        <w:footnoteRef/>
      </w:r>
      <w:r w:rsidRPr="00AD2F44">
        <w:t>448 F.3d 416 (D.C. Cir. 2006).</w:t>
      </w:r>
    </w:p>
  </w:footnote>
  <w:footnote w:id="1070">
    <w:p w14:paraId="4C844997" w14:textId="77777777" w:rsidR="00721CCF" w:rsidRPr="00AD2F44" w:rsidRDefault="00F42107">
      <w:pPr>
        <w:pStyle w:val="14Footnote"/>
      </w:pPr>
      <w:r w:rsidRPr="00AD2F44">
        <w:rPr>
          <w:vertAlign w:val="superscript"/>
        </w:rPr>
        <w:footnoteRef/>
      </w:r>
      <w:r w:rsidRPr="00AD2F44">
        <w:rPr>
          <w:i/>
          <w:iCs/>
        </w:rPr>
        <w:t>Id</w:t>
      </w:r>
      <w:r w:rsidRPr="00AD2F44">
        <w:t>. at 421–25.</w:t>
      </w:r>
    </w:p>
  </w:footnote>
  <w:footnote w:id="1071">
    <w:p w14:paraId="0A081521" w14:textId="77777777" w:rsidR="00721CCF" w:rsidRPr="00AD2F44" w:rsidRDefault="00F42107">
      <w:pPr>
        <w:pStyle w:val="14Footnote"/>
      </w:pPr>
      <w:r w:rsidRPr="00AD2F44">
        <w:rPr>
          <w:vertAlign w:val="superscript"/>
        </w:rPr>
        <w:footnoteRef/>
      </w:r>
      <w:r w:rsidRPr="00AD2F44">
        <w:t>545 U.S. 546 (2005).</w:t>
      </w:r>
    </w:p>
  </w:footnote>
  <w:footnote w:id="1072">
    <w:p w14:paraId="731F3C59" w14:textId="77777777" w:rsidR="00721CCF" w:rsidRPr="00AD2F44" w:rsidRDefault="00F42107">
      <w:pPr>
        <w:pStyle w:val="14Footnote"/>
      </w:pPr>
      <w:r w:rsidRPr="00AD2F44">
        <w:rPr>
          <w:vertAlign w:val="superscript"/>
        </w:rPr>
        <w:footnoteRef/>
      </w:r>
      <w:r w:rsidRPr="00AD2F44">
        <w:rPr>
          <w:i/>
          <w:iCs/>
        </w:rPr>
        <w:t>Id</w:t>
      </w:r>
      <w:r w:rsidRPr="00AD2F44">
        <w:t>. at 549.</w:t>
      </w:r>
    </w:p>
  </w:footnote>
  <w:footnote w:id="1073">
    <w:p w14:paraId="105B065D" w14:textId="77777777" w:rsidR="00721CCF" w:rsidRPr="00AD2F44" w:rsidRDefault="00F42107">
      <w:pPr>
        <w:pStyle w:val="14Footnote"/>
      </w:pPr>
      <w:r w:rsidRPr="00AD2F44">
        <w:rPr>
          <w:vertAlign w:val="superscript"/>
        </w:rPr>
        <w:footnoteRef/>
      </w:r>
      <w:r w:rsidRPr="00AD2F44">
        <w:rPr>
          <w:i/>
          <w:iCs/>
        </w:rPr>
        <w:t>Id</w:t>
      </w:r>
      <w:r w:rsidRPr="00AD2F44">
        <w:t>. at 559.</w:t>
      </w:r>
    </w:p>
  </w:footnote>
  <w:footnote w:id="1074">
    <w:p w14:paraId="0F0FE425"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1075">
    <w:p w14:paraId="6FB0286B" w14:textId="77777777" w:rsidR="00721CCF" w:rsidRPr="00AD2F44" w:rsidRDefault="00F42107">
      <w:pPr>
        <w:pStyle w:val="14Footnote"/>
      </w:pPr>
      <w:r w:rsidRPr="00AD2F44">
        <w:rPr>
          <w:vertAlign w:val="superscript"/>
        </w:rPr>
        <w:footnoteRef/>
      </w:r>
      <w:r w:rsidRPr="00AD2F44">
        <w:t xml:space="preserve">Lindsay v. Government Emps. Ins. Co., 448 F.3d 416, 424 (D.C. Cir. 2006) (quoting </w:t>
      </w:r>
      <w:r w:rsidRPr="00AD2F44">
        <w:rPr>
          <w:i/>
          <w:iCs/>
        </w:rPr>
        <w:t>Exxon Mobil</w:t>
      </w:r>
      <w:r w:rsidRPr="00AD2F44">
        <w:t>, 545 U.S. at 559).</w:t>
      </w:r>
    </w:p>
  </w:footnote>
  <w:footnote w:id="1076">
    <w:p w14:paraId="540B8DED"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1077">
    <w:p w14:paraId="5A509D14"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1078">
    <w:p w14:paraId="61A6FC41" w14:textId="77777777" w:rsidR="00721CCF" w:rsidRPr="00AD2F44" w:rsidRDefault="00F42107">
      <w:pPr>
        <w:pStyle w:val="14Footnote"/>
      </w:pPr>
      <w:r w:rsidRPr="00AD2F44">
        <w:rPr>
          <w:vertAlign w:val="superscript"/>
        </w:rPr>
        <w:footnoteRef/>
      </w:r>
      <w:r w:rsidRPr="00AD2F44">
        <w:t>342 F.3d 301 (3d Cir. 2003).</w:t>
      </w:r>
    </w:p>
  </w:footnote>
  <w:footnote w:id="1079">
    <w:p w14:paraId="5E282A58" w14:textId="77777777" w:rsidR="00721CCF" w:rsidRPr="00AD2F44" w:rsidRDefault="00F42107">
      <w:pPr>
        <w:pStyle w:val="14Footnote"/>
      </w:pPr>
      <w:r w:rsidRPr="00AD2F44">
        <w:rPr>
          <w:vertAlign w:val="superscript"/>
        </w:rPr>
        <w:footnoteRef/>
      </w:r>
      <w:r w:rsidRPr="00AD2F44">
        <w:rPr>
          <w:i/>
          <w:iCs/>
        </w:rPr>
        <w:t>Id</w:t>
      </w:r>
      <w:r w:rsidRPr="00AD2F44">
        <w:t>. at 307–08, 310–11 (upholding district court’s conclusion that it had supplemental jurisdiction over all state law claimants, including those who did not opt in to FLSA action, and then finding it was an abuse of discretion not to decline to exercise that jurisdiction under circumstances presented, including because there were substantially more state law class members than FLSA collective action members).</w:t>
      </w:r>
    </w:p>
  </w:footnote>
  <w:footnote w:id="1080">
    <w:p w14:paraId="45ED5EEA" w14:textId="77777777" w:rsidR="00721CCF" w:rsidRPr="00AD2F44" w:rsidRDefault="00F42107">
      <w:pPr>
        <w:pStyle w:val="14Footnote"/>
      </w:pPr>
      <w:r w:rsidRPr="00AD2F44">
        <w:rPr>
          <w:vertAlign w:val="superscript"/>
        </w:rPr>
        <w:footnoteRef/>
      </w:r>
      <w:r w:rsidRPr="00AD2F44">
        <w:rPr>
          <w:i/>
          <w:iCs/>
        </w:rPr>
        <w:t>Id</w:t>
      </w:r>
      <w:r w:rsidRPr="00AD2F44">
        <w:t>. at 308–09.</w:t>
      </w:r>
    </w:p>
  </w:footnote>
  <w:footnote w:id="1081">
    <w:p w14:paraId="3E5F14E5" w14:textId="77777777" w:rsidR="00721CCF" w:rsidRPr="00AD2F44" w:rsidRDefault="00F42107">
      <w:pPr>
        <w:pStyle w:val="14Footnote"/>
      </w:pPr>
      <w:r w:rsidRPr="00AD2F44">
        <w:rPr>
          <w:vertAlign w:val="superscript"/>
        </w:rPr>
        <w:footnoteRef/>
      </w:r>
      <w:r w:rsidRPr="00AD2F44">
        <w:rPr>
          <w:i/>
          <w:iCs/>
        </w:rPr>
        <w:t>Id</w:t>
      </w:r>
      <w:r w:rsidRPr="00AD2F44">
        <w:t>. at 308–13.</w:t>
      </w:r>
    </w:p>
  </w:footnote>
  <w:footnote w:id="1082">
    <w:p w14:paraId="60B15F85" w14:textId="77777777" w:rsidR="00721CCF" w:rsidRPr="00AD2F44" w:rsidRDefault="00F42107">
      <w:pPr>
        <w:pStyle w:val="14Footnote"/>
      </w:pPr>
      <w:r w:rsidRPr="00AD2F44">
        <w:rPr>
          <w:vertAlign w:val="superscript"/>
        </w:rPr>
        <w:footnoteRef/>
      </w:r>
      <w:r w:rsidRPr="00AD2F44">
        <w:t xml:space="preserve">632 F.3d 971 (7th Cir. 2011). </w:t>
      </w:r>
    </w:p>
  </w:footnote>
  <w:footnote w:id="1083">
    <w:p w14:paraId="0FAA525A" w14:textId="77777777" w:rsidR="00721CCF" w:rsidRPr="00AD2F44" w:rsidRDefault="00F42107">
      <w:pPr>
        <w:pStyle w:val="14Footnote"/>
      </w:pPr>
      <w:r w:rsidRPr="00AD2F44">
        <w:rPr>
          <w:vertAlign w:val="superscript"/>
        </w:rPr>
        <w:footnoteRef/>
      </w:r>
      <w:r w:rsidRPr="00AD2F44">
        <w:rPr>
          <w:i/>
          <w:iCs/>
        </w:rPr>
        <w:t xml:space="preserve">Id. </w:t>
      </w:r>
      <w:r w:rsidRPr="00AD2F44">
        <w:t>at 979–81.</w:t>
      </w:r>
    </w:p>
  </w:footnote>
  <w:footnote w:id="1084">
    <w:p w14:paraId="142602CA" w14:textId="77777777" w:rsidR="00721CCF" w:rsidRPr="00AD2F44" w:rsidRDefault="00F42107">
      <w:pPr>
        <w:pStyle w:val="14Footnote"/>
      </w:pPr>
      <w:r w:rsidRPr="00AD2F44">
        <w:rPr>
          <w:vertAlign w:val="superscript"/>
        </w:rPr>
        <w:footnoteRef/>
      </w:r>
      <w:r w:rsidRPr="00AD2F44">
        <w:rPr>
          <w:i/>
          <w:iCs/>
        </w:rPr>
        <w:t>Second Circuit:</w:t>
      </w:r>
      <w:r w:rsidRPr="00AD2F44">
        <w:t xml:space="preserve"> Levy v. HSBC Bank, USA, N.A., 2011 WL 5978656 (W.D.N.Y. Nov. 27, 2011) (denying employer’s motion to dismiss or strike state law claim as premature in determining whether state class members will predominate and because procedural conflict does not preclude exercising supplemental jurisdiction); Hart v. Rick’s Cabaret Int’l Inc., 2010 WL 5297221, at *8 (S.D.N.Y. Dec. 20, 2010) (rejecting employer’s motion to not certify state law claims because there were substantially more members than for the FLSA claims); Scholtisek v. Eldre Corp., 229 F.R.D. 381, 394–95 (W.D.N.Y. 2005) (rejecting argument that Rule 23 class would have to be limited to FLSA opt-in plaintiffs, reasoning in part that state law claims “unquestionably form part of the same case or controversy as the FLSA claims”); Scott v. Aetna Servs., Inc., 210 F.R.D. 261, 263–64 (D. Conn. 2002) (noting court’s earlier decision that it was appropriate to exercise supplemental jurisdiction over non-opt-in plaintiffs’ state law claims because they arose from the same employment relationship that gave rise to FLSA claims); Ansoumana v. Gristede’s Operating Corp., 201 F.R.D. 81, 89–94 (S.D.N.Y. 2001) (interpreting scope of pendent party jurisdiction conferred by §1367(a) as encompassing putative state law class members whose state claims were closely related to federal claims giving rise to court’s original jurisdiction, even if those individuals had not opted in to FLSA action).</w:t>
      </w:r>
    </w:p>
    <w:p w14:paraId="1145CCC9" w14:textId="77777777" w:rsidR="00721CCF" w:rsidRPr="00AD2F44" w:rsidRDefault="00F42107">
      <w:pPr>
        <w:pStyle w:val="14Footnote"/>
      </w:pPr>
      <w:r w:rsidRPr="00AD2F44">
        <w:rPr>
          <w:i/>
          <w:iCs/>
        </w:rPr>
        <w:t>Fifth Circuit:</w:t>
      </w:r>
      <w:r w:rsidRPr="00AD2F44">
        <w:t xml:space="preserve"> Jackson v. City of San Antonio, 220 F.R.D. 55, 58–59 (W.D. Tex. 2003) (relying on expansion of supplemental jurisdiction under §1367(a) to encompass claims arising from same operative facts, even if party is claiming only under state law).</w:t>
      </w:r>
    </w:p>
    <w:p w14:paraId="3DCE06D9" w14:textId="77777777" w:rsidR="00721CCF" w:rsidRPr="00AD2F44" w:rsidRDefault="00F42107">
      <w:pPr>
        <w:pStyle w:val="14Footnote"/>
      </w:pPr>
      <w:r w:rsidRPr="00AD2F44">
        <w:rPr>
          <w:i/>
          <w:iCs/>
        </w:rPr>
        <w:t>Sixth Circuit:</w:t>
      </w:r>
      <w:r w:rsidRPr="00AD2F44">
        <w:t xml:space="preserve"> Carnevale v. GE Aircraft Engines, 492 F. Supp. 2d 763, 768–70 (S.D. Ohio 2003) (rejecting proposition that supplemental jurisdiction cannot be exercised over state law claims of employees who do not opt in to FLSA action); Hasken v. City of Louisville, 213 F.R.D. 280, 283 (W.D. Ky. 2003) (holding state law claims of non-opt-in plaintiffs are part of same case or controversy and court has jurisdiction over them).</w:t>
      </w:r>
    </w:p>
    <w:p w14:paraId="23E985C8" w14:textId="77777777" w:rsidR="00721CCF" w:rsidRPr="00AD2F44" w:rsidRDefault="00F42107">
      <w:pPr>
        <w:pStyle w:val="14Footnote"/>
      </w:pPr>
      <w:r w:rsidRPr="00AD2F44">
        <w:rPr>
          <w:i/>
          <w:iCs/>
        </w:rPr>
        <w:t>Eighth Circuit:</w:t>
      </w:r>
      <w:r w:rsidRPr="00AD2F44">
        <w:t xml:space="preserve"> Nerland v. Caribou Coffee Co., Inc., 564 F. Supp. 2d 1010, 1027–28 (D. Minn. 2007) (relying on </w:t>
      </w:r>
      <w:r w:rsidRPr="00AD2F44">
        <w:rPr>
          <w:i/>
          <w:iCs/>
        </w:rPr>
        <w:t>Exxon Mobil Corp. v. Allapattah Servs., Inc</w:t>
      </w:r>
      <w:r w:rsidRPr="00AD2F44">
        <w:t>., 545 U.S. 546 (2005), and citing decisions concluding that supplemental jurisdiction reaches state law overtime claims of Rule 23 class members who did not join FLSA collective action); Salazar v. Agriprocessors, Inc., 527 F. Supp. 2d 873, 877, 880 (N.D. Iowa 2007) (employer argued that court could only exercise supplemental jurisdiction over claims of those who opted in to the FLSA action; finding there was supplemental jurisdiction over all claims because they arose out of a common nucleus of operative fact).</w:t>
      </w:r>
    </w:p>
    <w:p w14:paraId="50BE000E" w14:textId="77777777" w:rsidR="00721CCF" w:rsidRPr="00AD2F44" w:rsidRDefault="00F42107">
      <w:pPr>
        <w:pStyle w:val="14Footnote"/>
      </w:pPr>
      <w:r w:rsidRPr="00AD2F44">
        <w:rPr>
          <w:i/>
          <w:iCs/>
        </w:rPr>
        <w:t>Ninth Circuit: In re</w:t>
      </w:r>
      <w:r w:rsidRPr="00AD2F44">
        <w:t xml:space="preserve"> Farmers Ins. Exch. Claims Reps. Overtime Pay Litig., 2003 WL 23669376, at *2 (D. Or. May 19, 2003) (holding supplemental jurisdiction over state law claims of non-opt-in plaintiffs); Chavez v. IBP Corp., 2002 WL 31662302, at *1 (E.D. Wash. Oct. 28, 2002).</w:t>
      </w:r>
    </w:p>
    <w:p w14:paraId="2414EDFB" w14:textId="77777777" w:rsidR="00721CCF" w:rsidRPr="00AD2F44" w:rsidRDefault="00F42107">
      <w:pPr>
        <w:pStyle w:val="14Footnote"/>
      </w:pPr>
      <w:r w:rsidRPr="00AD2F44">
        <w:rPr>
          <w:i/>
        </w:rPr>
        <w:t>See also</w:t>
      </w:r>
    </w:p>
    <w:p w14:paraId="51FA884E" w14:textId="77777777" w:rsidR="00721CCF" w:rsidRPr="00AD2F44" w:rsidRDefault="00F42107">
      <w:pPr>
        <w:pStyle w:val="14Footnote"/>
      </w:pPr>
      <w:r w:rsidRPr="00AD2F44">
        <w:rPr>
          <w:i/>
          <w:iCs/>
        </w:rPr>
        <w:t>Second Circuit:</w:t>
      </w:r>
      <w:r w:rsidRPr="00AD2F44">
        <w:t xml:space="preserve"> Chen v. Street Beat Sportswear, Inc., 364 F. Supp. 2d 269, 276–77 (E.D.N.Y. 2005) (rejecting defendant’s argument that court should refuse to exercise jurisdiction over state law claims of proposed class members whose FLSA claims were barred by statute of limitations, reasoning that their state law claims and FLSA claims derived from common nucleus of operative fact).</w:t>
      </w:r>
    </w:p>
    <w:p w14:paraId="134BF52D" w14:textId="1B362FA9" w:rsidR="00721CCF" w:rsidRPr="00AD2F44" w:rsidRDefault="00F42107">
      <w:pPr>
        <w:pStyle w:val="14Footnote"/>
      </w:pPr>
      <w:r w:rsidRPr="00AD2F44">
        <w:rPr>
          <w:i/>
          <w:iCs/>
        </w:rPr>
        <w:t>Oregon:</w:t>
      </w:r>
      <w:r w:rsidRPr="00AD2F44">
        <w:t xml:space="preserve"> Aguirre v. Albertson’s, Inc., 117 P.3d 1012, 1020 (Or. Ct. App. 2005) (finding that “[t]he clear weight of federal authority holds that federal courts </w:t>
      </w:r>
      <w:r w:rsidRPr="00AD2F44">
        <w:rPr>
          <w:i/>
          <w:iCs/>
        </w:rPr>
        <w:t>can</w:t>
      </w:r>
      <w:r w:rsidRPr="00AD2F44">
        <w:t xml:space="preserve"> exercise jurisdiction over the state law claims of persons who do not or cannot opt into the federal representative action”).</w:t>
      </w:r>
    </w:p>
  </w:footnote>
  <w:footnote w:id="1085">
    <w:p w14:paraId="640974D8" w14:textId="77777777" w:rsidR="00721CCF" w:rsidRPr="00AD2F44" w:rsidRDefault="00F42107">
      <w:pPr>
        <w:pStyle w:val="14Footnote"/>
      </w:pPr>
      <w:r w:rsidRPr="00AD2F44">
        <w:rPr>
          <w:vertAlign w:val="superscript"/>
        </w:rPr>
        <w:footnoteRef/>
      </w:r>
      <w:r w:rsidRPr="00AD2F44">
        <w:t xml:space="preserve">Veerkamp v. United States Sec. Assocs., Inc., 2006 WL 2850020, at *8 (S.D. Ind. Sept. 29, 2006); Bartleson v. Winnebago Indus., Inc., 219 F.R.D. 629, 635–37 (N.D. Iowa 2003) (relying on </w:t>
      </w:r>
      <w:r w:rsidRPr="00AD2F44">
        <w:rPr>
          <w:i/>
          <w:iCs/>
        </w:rPr>
        <w:t>Fielder v. Credit Acceptance Corp</w:t>
      </w:r>
      <w:r w:rsidRPr="00AD2F44">
        <w:t xml:space="preserve">., 188 F.3d 1031 (8th Cir. 1999), for proposition that where federal jurisdiction is premised on federal law class claim, supplemental jurisdiction over companion state law class claim extends only to those members of state law class who also have federal class claim); </w:t>
      </w:r>
      <w:r w:rsidRPr="00AD2F44">
        <w:rPr>
          <w:i/>
          <w:iCs/>
        </w:rPr>
        <w:t>see also</w:t>
      </w:r>
      <w:r w:rsidRPr="00AD2F44">
        <w:t xml:space="preserve"> Riddle v. National Sec. Agency, Inc., 2007 WL 2746597, at *9 n.3 (N.D. Ill. Sept. 13, 2007) (taking note of the issue and some of the authority but declining to reach the issue); Zelaya v. J.M. Macias, Inc., 999 F. Supp. 778, 782–83 (E.D.N.C. 1998) (finding arguments against exercising jurisdiction over state law class action “more persuasive” because Supreme Court had not considered constitutionality of pendent plaintiff jurisdiction, the court was not aware of cases in which §1367(a) had been interpreted to allow pendent plaintiff jurisdiction, and FLSA and state law class claims were not claims that would be expected to be tried in one proceeding because they would involve separate sets of plaintiffs, but resting final decision on ground that court would exercise its discretion under 28 U.S.C. §1367(c) to decline jurisdiction); Rodriguez v. The Texan, Inc., 2001 WL 1829490, at *2 (N.D. Ill. Mar. 7, 2001) (doubting whether §1367(a) extends to absent class members, as opposed to plaintiffs who intervene in or join the action); McLain v. Leona’s Pizzeria, Inc., 222 F.R.D. 574, 577 (N.D. Ill. 2004) (holding that “while Section 1367(a) allows parties to join their state claims to federal claims where appropriate, it does not contemplate a plaintiff using supplemental jurisdiction as a rake to drag as many members as possible into what would otherwise be a federal collective action”).</w:t>
      </w:r>
    </w:p>
  </w:footnote>
  <w:footnote w:id="1086">
    <w:p w14:paraId="59D476D5" w14:textId="77777777" w:rsidR="00721CCF" w:rsidRPr="00AD2F44" w:rsidRDefault="00F42107">
      <w:pPr>
        <w:pStyle w:val="14Footnote"/>
      </w:pPr>
      <w:r w:rsidRPr="00AD2F44">
        <w:rPr>
          <w:vertAlign w:val="superscript"/>
        </w:rPr>
        <w:footnoteRef/>
      </w:r>
      <w:r w:rsidRPr="00AD2F44">
        <w:rPr>
          <w:i/>
          <w:iCs/>
        </w:rPr>
        <w:t>See</w:t>
      </w:r>
      <w:r w:rsidRPr="00AD2F44">
        <w:t xml:space="preserve"> Nerland v. Caribou Coffee Co., Inc., 564 F. Supp. 2d 1010, 1027–28 (D. Minn. 2007) (observing that </w:t>
      </w:r>
      <w:r w:rsidRPr="00AD2F44">
        <w:rPr>
          <w:i/>
          <w:iCs/>
        </w:rPr>
        <w:t>Exxon Mobil</w:t>
      </w:r>
      <w:r w:rsidRPr="00AD2F44">
        <w:t xml:space="preserve"> “implicitly overruled” </w:t>
      </w:r>
      <w:r w:rsidRPr="00AD2F44">
        <w:rPr>
          <w:i/>
          <w:iCs/>
        </w:rPr>
        <w:t>Fielder</w:t>
      </w:r>
      <w:r w:rsidRPr="00AD2F44">
        <w:t>, 188 F.3d 1031).</w:t>
      </w:r>
    </w:p>
  </w:footnote>
  <w:footnote w:id="1087">
    <w:p w14:paraId="46DFA697" w14:textId="77777777" w:rsidR="00721CCF" w:rsidRPr="00AD2F44" w:rsidRDefault="00F42107">
      <w:pPr>
        <w:pStyle w:val="14Footnote"/>
      </w:pPr>
      <w:r w:rsidRPr="00AD2F44">
        <w:rPr>
          <w:vertAlign w:val="superscript"/>
        </w:rPr>
        <w:footnoteRef/>
      </w:r>
      <w:r w:rsidRPr="00AD2F44">
        <w:t>28 U.S.C. §1367(c)(1).</w:t>
      </w:r>
    </w:p>
  </w:footnote>
  <w:footnote w:id="1088">
    <w:p w14:paraId="0D06C733" w14:textId="77777777" w:rsidR="00721CCF" w:rsidRPr="00AD2F44" w:rsidRDefault="00F42107">
      <w:pPr>
        <w:pStyle w:val="14Footnote"/>
      </w:pPr>
      <w:r w:rsidRPr="00AD2F44">
        <w:rPr>
          <w:vertAlign w:val="superscript"/>
        </w:rPr>
        <w:footnoteRef/>
      </w:r>
      <w:r w:rsidRPr="00AD2F44">
        <w:rPr>
          <w:i/>
          <w:iCs/>
        </w:rPr>
        <w:t>Id</w:t>
      </w:r>
      <w:r w:rsidRPr="00AD2F44">
        <w:t>. §1367(c)(2).</w:t>
      </w:r>
    </w:p>
  </w:footnote>
  <w:footnote w:id="1089">
    <w:p w14:paraId="5814A8EC" w14:textId="77777777" w:rsidR="00721CCF" w:rsidRPr="00AD2F44" w:rsidRDefault="00F42107">
      <w:pPr>
        <w:pStyle w:val="14Footnote"/>
      </w:pPr>
      <w:r w:rsidRPr="00AD2F44">
        <w:rPr>
          <w:vertAlign w:val="superscript"/>
        </w:rPr>
        <w:footnoteRef/>
      </w:r>
      <w:r w:rsidRPr="00AD2F44">
        <w:rPr>
          <w:i/>
          <w:iCs/>
        </w:rPr>
        <w:t>Id</w:t>
      </w:r>
      <w:r w:rsidRPr="00AD2F44">
        <w:t>. §1367(c)(3).</w:t>
      </w:r>
    </w:p>
  </w:footnote>
  <w:footnote w:id="1090">
    <w:p w14:paraId="2BA144D2" w14:textId="77777777" w:rsidR="00721CCF" w:rsidRPr="00AD2F44" w:rsidRDefault="00F42107">
      <w:pPr>
        <w:pStyle w:val="14Footnote"/>
      </w:pPr>
      <w:r w:rsidRPr="00AD2F44">
        <w:rPr>
          <w:vertAlign w:val="superscript"/>
        </w:rPr>
        <w:footnoteRef/>
      </w:r>
      <w:r w:rsidRPr="00AD2F44">
        <w:rPr>
          <w:i/>
          <w:iCs/>
        </w:rPr>
        <w:t>Id</w:t>
      </w:r>
      <w:r w:rsidRPr="00AD2F44">
        <w:t>. §1367(c)(4).</w:t>
      </w:r>
    </w:p>
  </w:footnote>
  <w:footnote w:id="1091">
    <w:p w14:paraId="64D9F305" w14:textId="0F87B334" w:rsidR="00721CCF" w:rsidRPr="00AD2F44" w:rsidRDefault="00F42107">
      <w:pPr>
        <w:pStyle w:val="14Footnote"/>
      </w:pPr>
      <w:r w:rsidRPr="00AD2F44">
        <w:rPr>
          <w:vertAlign w:val="superscript"/>
        </w:rPr>
        <w:footnoteRef/>
      </w:r>
      <w:r w:rsidRPr="00AD2F44">
        <w:rPr>
          <w:i/>
          <w:iCs/>
        </w:rPr>
        <w:t>Id</w:t>
      </w:r>
      <w:r w:rsidRPr="00AD2F44">
        <w:t xml:space="preserve">. §1367(c) (“The district courts </w:t>
      </w:r>
      <w:r w:rsidRPr="00AD2F44">
        <w:rPr>
          <w:i/>
          <w:iCs/>
        </w:rPr>
        <w:t>may</w:t>
      </w:r>
      <w:r w:rsidRPr="00AD2F44">
        <w:t xml:space="preserve"> decline to exercise supplemental jurisdiction … .”) (emphasis added); </w:t>
      </w:r>
      <w:r w:rsidRPr="00AD2F44">
        <w:rPr>
          <w:i/>
          <w:iCs/>
        </w:rPr>
        <w:t>see, e.g</w:t>
      </w:r>
      <w:r w:rsidRPr="00AD2F44">
        <w:t xml:space="preserve">., City of Chi. v. International Coll. of Surgeons, 522 U.S. 156, 174 (1997). Some circuits have expressly held that where §1367(a) is satisfied, the district court is required to exercise supplemental jurisdiction unless one of the factors set forth in §1367(c) is present. </w:t>
      </w:r>
      <w:r w:rsidRPr="00AD2F44">
        <w:rPr>
          <w:i/>
          <w:iCs/>
        </w:rPr>
        <w:t>See, e.g</w:t>
      </w:r>
      <w:r w:rsidRPr="00AD2F44">
        <w:t>.,</w:t>
      </w:r>
    </w:p>
    <w:p w14:paraId="184CF2A4" w14:textId="77777777" w:rsidR="00721CCF" w:rsidRPr="00AD2F44" w:rsidRDefault="00F42107">
      <w:pPr>
        <w:pStyle w:val="14Footnote"/>
      </w:pPr>
      <w:r w:rsidRPr="00AD2F44">
        <w:rPr>
          <w:i/>
          <w:iCs/>
        </w:rPr>
        <w:t xml:space="preserve">Eighth Circuit: </w:t>
      </w:r>
      <w:r w:rsidRPr="00AD2F44">
        <w:t>Innovative Home Health Care, Inc. v. P.T.-O.T. Assocs. of the Black Hills, 141 F.3d 1284, 1287 (8th Cir. 1998).</w:t>
      </w:r>
    </w:p>
    <w:p w14:paraId="5B053FAA" w14:textId="77777777" w:rsidR="00721CCF" w:rsidRPr="00AD2F44" w:rsidRDefault="00F42107">
      <w:pPr>
        <w:pStyle w:val="14Footnote"/>
      </w:pPr>
      <w:r w:rsidRPr="00AD2F44">
        <w:rPr>
          <w:i/>
          <w:iCs/>
        </w:rPr>
        <w:t xml:space="preserve">Eleventh Circuit: </w:t>
      </w:r>
      <w:r w:rsidRPr="00AD2F44">
        <w:t>Palmer v. Hospital Auth. of Randolph Cnty., 22 F.3d 1559, 1569 (11th Cir. 1994).</w:t>
      </w:r>
    </w:p>
    <w:p w14:paraId="73683E89" w14:textId="423C369B" w:rsidR="00721CCF" w:rsidRPr="00AD2F44" w:rsidRDefault="00F42107">
      <w:pPr>
        <w:pStyle w:val="14Footnote"/>
      </w:pPr>
      <w:r w:rsidRPr="00AD2F44">
        <w:rPr>
          <w:i/>
          <w:iCs/>
        </w:rPr>
        <w:t xml:space="preserve">D.C. Circuit: </w:t>
      </w:r>
      <w:r w:rsidRPr="00AD2F44">
        <w:t>Lindsay v. Government Emps. Ins. Co., 448 F.3d 416, 421 (D.C. Cir. 2006).</w:t>
      </w:r>
    </w:p>
  </w:footnote>
  <w:footnote w:id="1092">
    <w:p w14:paraId="01340F8D" w14:textId="77777777" w:rsidR="00721CCF" w:rsidRPr="00AD2F44" w:rsidRDefault="00F42107">
      <w:pPr>
        <w:pStyle w:val="14Footnote"/>
      </w:pPr>
      <w:r w:rsidRPr="00AD2F44">
        <w:rPr>
          <w:vertAlign w:val="superscript"/>
        </w:rPr>
        <w:footnoteRef/>
      </w:r>
      <w:r w:rsidRPr="00AD2F44">
        <w:rPr>
          <w:i/>
          <w:iCs/>
        </w:rPr>
        <w:t>International College of Surgeons</w:t>
      </w:r>
      <w:r w:rsidRPr="00AD2F44">
        <w:t>, 522 U.S. at 172–73; United Mine Workers of Am. v. Gibbs, 383 U.S. 715, 726 (1966).</w:t>
      </w:r>
    </w:p>
  </w:footnote>
  <w:footnote w:id="1093">
    <w:p w14:paraId="4545386A" w14:textId="77777777" w:rsidR="00721CCF" w:rsidRPr="00AD2F44" w:rsidRDefault="00F42107">
      <w:pPr>
        <w:pStyle w:val="14Footnote"/>
      </w:pPr>
      <w:r w:rsidRPr="00AD2F44">
        <w:rPr>
          <w:vertAlign w:val="superscript"/>
        </w:rPr>
        <w:footnoteRef/>
      </w:r>
      <w:r w:rsidRPr="00AD2F44">
        <w:t>International College of Surgeons, 522 U.S. at 173.</w:t>
      </w:r>
    </w:p>
  </w:footnote>
  <w:footnote w:id="1094">
    <w:p w14:paraId="0B920A16" w14:textId="77777777" w:rsidR="00721CCF" w:rsidRPr="00AD2F44" w:rsidRDefault="00F42107">
      <w:pPr>
        <w:pStyle w:val="14Footnote"/>
      </w:pPr>
      <w:r w:rsidRPr="00AD2F44">
        <w:rPr>
          <w:vertAlign w:val="superscript"/>
        </w:rPr>
        <w:footnoteRef/>
      </w:r>
      <w:r w:rsidRPr="00AD2F44">
        <w:t xml:space="preserve">Bamonte v. City of Mesa, 2007 WL 2022011, at *4 (D. Ariz. July 10, 2007) (citations omitted). </w:t>
      </w:r>
      <w:r w:rsidRPr="00AD2F44">
        <w:rPr>
          <w:i/>
          <w:iCs/>
        </w:rPr>
        <w:t>See</w:t>
      </w:r>
      <w:r w:rsidRPr="00AD2F44">
        <w:t xml:space="preserve"> Gessele v. Jack in the Box, Inc., 2013 WL 1326563 (D. Or. Jan 28, 2013), adopted by 2013 WL 1326538 (D. Or. Apr. 1, 2013) (rejecting defendant’s argument that court should conditionally certify FLSA class and postpone addressing propriety of Rule 23 certification until after opt-in period closed; holding that supplemental jurisdiction over plaintiffs’ state law claims was proper because (1) plaintiffs’ FLSA and state law claims were substantially similar factually and legally; (2) case did not present novel issues of state law; and (3) court did not otherwise believe that state law claims would predominate over FLSA claims); McLaurin v. Prestage Foods, Inc., 271 F.R.D. 465, 473 (E.D.N.C. 2010) (quoting </w:t>
      </w:r>
      <w:r w:rsidRPr="00AD2F44">
        <w:rPr>
          <w:i/>
          <w:iCs/>
        </w:rPr>
        <w:t>Bamonte</w:t>
      </w:r>
      <w:r w:rsidRPr="00AD2F44">
        <w:t>).</w:t>
      </w:r>
    </w:p>
  </w:footnote>
  <w:footnote w:id="1095">
    <w:p w14:paraId="7C99A92F" w14:textId="77777777" w:rsidR="00721CCF" w:rsidRPr="00AD2F44" w:rsidRDefault="00F42107">
      <w:pPr>
        <w:pStyle w:val="14Footnote"/>
      </w:pPr>
      <w:r w:rsidRPr="00AD2F44">
        <w:rPr>
          <w:vertAlign w:val="superscript"/>
        </w:rPr>
        <w:footnoteRef/>
      </w:r>
      <w:r w:rsidRPr="00AD2F44">
        <w:t>28 U.S.C. §1367(c)(1).</w:t>
      </w:r>
    </w:p>
  </w:footnote>
  <w:footnote w:id="1096">
    <w:p w14:paraId="2DFC5CF2" w14:textId="77777777" w:rsidR="00721CCF" w:rsidRPr="00AD2F44" w:rsidRDefault="00F42107">
      <w:pPr>
        <w:pStyle w:val="14Footnote"/>
      </w:pPr>
      <w:r w:rsidRPr="00AD2F44">
        <w:rPr>
          <w:vertAlign w:val="superscript"/>
        </w:rPr>
        <w:footnoteRef/>
      </w:r>
      <w:r w:rsidRPr="00AD2F44">
        <w:rPr>
          <w:i/>
        </w:rPr>
        <w:t>See</w:t>
      </w:r>
    </w:p>
    <w:p w14:paraId="458686E8" w14:textId="77777777" w:rsidR="00721CCF" w:rsidRPr="00AD2F44" w:rsidRDefault="00F42107">
      <w:pPr>
        <w:pStyle w:val="14Footnote"/>
      </w:pPr>
      <w:r w:rsidRPr="00AD2F44">
        <w:rPr>
          <w:i/>
          <w:iCs/>
        </w:rPr>
        <w:t>Third Circuit:</w:t>
      </w:r>
      <w:r w:rsidRPr="00AD2F44">
        <w:t xml:space="preserve"> De Asencio v. Tyson Foods, Inc., 342 F.3d 301, 311 (3d Cir. 2003) (involving questions of whether Pennsylvania Wage Payment and Collection Law claim can rest on implied employment contract based on verbal representations by managers and whether statute applied to at-will, non-collective bargaining employees; finding that state law claims would substantially predominate and that state law claims were added to action long after FLSA opt-in period had closed).</w:t>
      </w:r>
    </w:p>
    <w:p w14:paraId="54F247B3" w14:textId="77777777" w:rsidR="00721CCF" w:rsidRPr="00AD2F44" w:rsidRDefault="00F42107">
      <w:pPr>
        <w:pStyle w:val="14Footnote"/>
      </w:pPr>
      <w:r w:rsidRPr="00AD2F44">
        <w:rPr>
          <w:i/>
          <w:iCs/>
        </w:rPr>
        <w:t>Sixth Circuit:</w:t>
      </w:r>
      <w:r w:rsidRPr="00AD2F44">
        <w:t xml:space="preserve"> Aguilera v. Michigan Turkey Processors Coop., Inc., 2009 WL 3585722, at *2 (W.D. Mich. Oct. 28, 2009) (reasoning that novel or complex issues of state law were presented where parties disputed interpretation and impact of amendment to Michigan Minimum Wage Law, each party’s interpretation was “central to its theory of the case,” and there was no Michigan decision resolving questions raised).</w:t>
      </w:r>
    </w:p>
    <w:p w14:paraId="6DB57A90" w14:textId="77777777" w:rsidR="00721CCF" w:rsidRPr="00AD2F44" w:rsidRDefault="00F42107">
      <w:pPr>
        <w:pStyle w:val="14Footnote"/>
      </w:pPr>
      <w:r w:rsidRPr="00AD2F44">
        <w:rPr>
          <w:i/>
          <w:iCs/>
        </w:rPr>
        <w:t>Ninth Circuit:</w:t>
      </w:r>
      <w:r w:rsidRPr="00AD2F44">
        <w:t xml:space="preserve"> Wiley v. Trendwest Resorts, Inc., 2005 WL 1030220, at *4 (N.D. Cal. May 3, 2005) (holding that unlawful deductions claim presented novel issue of law because there were no reported California state court decisions on point).</w:t>
      </w:r>
    </w:p>
    <w:p w14:paraId="662BCCAA" w14:textId="77777777" w:rsidR="00721CCF" w:rsidRPr="00AD2F44" w:rsidRDefault="00F42107">
      <w:pPr>
        <w:pStyle w:val="14Footnote"/>
        <w:rPr>
          <w:i/>
          <w:iCs/>
        </w:rPr>
      </w:pPr>
      <w:r w:rsidRPr="00AD2F44">
        <w:rPr>
          <w:i/>
          <w:iCs/>
        </w:rPr>
        <w:t>Cf.</w:t>
      </w:r>
    </w:p>
    <w:p w14:paraId="39577465" w14:textId="77777777" w:rsidR="00721CCF" w:rsidRPr="00AD2F44" w:rsidRDefault="00F42107">
      <w:pPr>
        <w:pStyle w:val="14Footnote"/>
      </w:pPr>
      <w:r w:rsidRPr="00AD2F44">
        <w:rPr>
          <w:i/>
          <w:iCs/>
        </w:rPr>
        <w:t xml:space="preserve">Third Circuit: </w:t>
      </w:r>
      <w:r w:rsidRPr="00AD2F44">
        <w:t xml:space="preserve">Shah v. Hyatt Corp., 2010 WL 365632, at *3 (E.D. Pa. Feb. 1, 2010) (finding novel and complex issues of state law regarding application of Pennsylvania Wage Payment Collection Law also presented novel and complex issue as described in </w:t>
      </w:r>
      <w:r w:rsidRPr="00AD2F44">
        <w:rPr>
          <w:i/>
          <w:iCs/>
        </w:rPr>
        <w:t>De Asencio</w:t>
      </w:r>
      <w:r w:rsidRPr="00AD2F44">
        <w:t>),</w:t>
      </w:r>
      <w:r w:rsidRPr="00AD2F44">
        <w:rPr>
          <w:i/>
          <w:iCs/>
        </w:rPr>
        <w:t xml:space="preserve"> rev’d on other grounds</w:t>
      </w:r>
      <w:r w:rsidRPr="00AD2F44">
        <w:t>, 425 F. App’x 121 (3d Cir. 2011) (holding that district court could not decline to exercise jurisdiction over claims over which original jurisdiction under 28 U.S.C. §1332 existed).</w:t>
      </w:r>
    </w:p>
    <w:p w14:paraId="6B1909FA" w14:textId="77777777" w:rsidR="00721CCF" w:rsidRPr="00AD2F44" w:rsidRDefault="00F42107">
      <w:pPr>
        <w:pStyle w:val="14Footnote"/>
      </w:pPr>
      <w:r w:rsidRPr="00AD2F44">
        <w:rPr>
          <w:i/>
          <w:iCs/>
        </w:rPr>
        <w:t xml:space="preserve">Ninth Circuit: </w:t>
      </w:r>
      <w:r w:rsidRPr="00AD2F44">
        <w:t>Brigham v. Eugene Water and Elec. Bd., 357 F.3d 931, 942 n.19 (9th Cir. 2004) (instructing district court on remand to consider whether supplemental jurisdiction should be exercised over employees’ state law claim that their on-call time was compensable “given the paucity of state law authority on the precise topic at issue in this litigation”).</w:t>
      </w:r>
    </w:p>
  </w:footnote>
  <w:footnote w:id="1097">
    <w:p w14:paraId="3AA09A01" w14:textId="77777777" w:rsidR="00721CCF" w:rsidRPr="00AD2F44" w:rsidRDefault="00F42107">
      <w:pPr>
        <w:pStyle w:val="14Footnote"/>
      </w:pPr>
      <w:r w:rsidRPr="00AD2F44">
        <w:rPr>
          <w:vertAlign w:val="superscript"/>
        </w:rPr>
        <w:footnoteRef/>
      </w:r>
      <w:r w:rsidRPr="00AD2F44">
        <w:t xml:space="preserve">Ortegon v. Staffing Network Holdings, LLC, 2007 WL 541911, at *2 (N.D. Ill. Feb. 15, 2007) (finding that, to resolve state law claims presented, court would have to construe recently enacted state law, which would include construing it in relation to other state law wage and hour statutes, with potentially significant consequences for large group of employers and employees; interplay of statute at issue with other state laws was best left to state court to hasten binding interpretation of statutory language); </w:t>
      </w:r>
      <w:r w:rsidRPr="00AD2F44">
        <w:rPr>
          <w:i/>
          <w:iCs/>
        </w:rPr>
        <w:t>see also</w:t>
      </w:r>
      <w:r w:rsidRPr="00AD2F44">
        <w:t xml:space="preserve"> Wong v. HSBC Mortg. Corp. (USA), 2009 WL 151014, at *2–3 (N.D. Cal. Jan. 21, 2009) (involving state law claims that raised novel issue of whether agreements to have deductions made from paychecks were enforceable under state law).</w:t>
      </w:r>
    </w:p>
  </w:footnote>
  <w:footnote w:id="1098">
    <w:p w14:paraId="3E40FEA4" w14:textId="77777777" w:rsidR="00721CCF" w:rsidRPr="00AD2F44" w:rsidRDefault="00F42107">
      <w:pPr>
        <w:pStyle w:val="14Footnote"/>
      </w:pPr>
      <w:r w:rsidRPr="00AD2F44">
        <w:rPr>
          <w:vertAlign w:val="superscript"/>
        </w:rPr>
        <w:footnoteRef/>
      </w:r>
      <w:r w:rsidRPr="00AD2F44">
        <w:rPr>
          <w:i/>
          <w:iCs/>
        </w:rPr>
        <w:t>In re</w:t>
      </w:r>
      <w:r w:rsidRPr="00AD2F44">
        <w:t xml:space="preserve"> American Family Mut. Ins. Co. Overtime Pay Litig., 638 F. Supp. 2d 1290 (D. Colo. July 28, 2009); Letouzel v. Eastman Kodak Co., 2006 WL 1455478, at *4 (W.D.N.Y. May 25, 2006).</w:t>
      </w:r>
    </w:p>
  </w:footnote>
  <w:footnote w:id="1099">
    <w:p w14:paraId="5E75B118" w14:textId="77777777" w:rsidR="00721CCF" w:rsidRPr="00AD2F44" w:rsidRDefault="00F42107">
      <w:pPr>
        <w:pStyle w:val="14Footnote"/>
      </w:pPr>
      <w:r w:rsidRPr="00AD2F44">
        <w:rPr>
          <w:vertAlign w:val="superscript"/>
        </w:rPr>
        <w:footnoteRef/>
      </w:r>
      <w:r w:rsidRPr="00AD2F44">
        <w:t>Glewwe v. Eastman Kodak Co., 2006 WL 1455476, at *4 (W.D.N.Y. May 25, 2006) (assuming based on large number of different states’ laws at issue that there would be novel or complex issues); Letouzel v. Eastman Kodak Co., 2006 WL 1455478, at *4 (W.D.N.Y. May 25, 2006); Neary v. Metropolitan Prop. &amp; Cas. Ins. Co., 472 F. Supp. 2d 247, 252–53 (D. Conn. 2007) (finding novel or complex issues under two states’ laws and predicting that there would be novel or complex issues raised by other state law claims as well).</w:t>
      </w:r>
    </w:p>
  </w:footnote>
  <w:footnote w:id="1100">
    <w:p w14:paraId="6417C58D" w14:textId="77777777" w:rsidR="00721CCF" w:rsidRPr="00AD2F44" w:rsidRDefault="00F42107">
      <w:pPr>
        <w:pStyle w:val="14Footnote"/>
      </w:pPr>
      <w:r w:rsidRPr="00AD2F44">
        <w:rPr>
          <w:vertAlign w:val="superscript"/>
        </w:rPr>
        <w:footnoteRef/>
      </w:r>
      <w:r w:rsidRPr="00AD2F44">
        <w:rPr>
          <w:i/>
        </w:rPr>
        <w:t>See</w:t>
      </w:r>
    </w:p>
    <w:p w14:paraId="7F029845" w14:textId="77777777" w:rsidR="00721CCF" w:rsidRPr="00AD2F44" w:rsidRDefault="00F42107">
      <w:pPr>
        <w:pStyle w:val="14Footnote"/>
      </w:pPr>
      <w:r w:rsidRPr="00AD2F44">
        <w:rPr>
          <w:i/>
          <w:iCs/>
        </w:rPr>
        <w:t xml:space="preserve">Second Circuit: </w:t>
      </w:r>
      <w:r w:rsidRPr="00AD2F44">
        <w:t>Whitehorn v. Wolfgang’s Steakhouse, Inc., 275 F.R.D. 193 (S.D.N.Y. 2011) (arguing claim involving tip distribution did not raise novel issue of New York state law); Lynch v. United States Auto. Ass’n, 2007 WL 3355506, at *3 (S.D.N.Y. Nov. 8, 2007) (finding that a distinction in the exemption analysis required by California and federal law does not, without more, establish that there is a novel or complex issue of state law in action involving exemption misclassification and recordkeeping claims where employer failed to show any nuances of California law that were not also implicated by the federal claim).</w:t>
      </w:r>
    </w:p>
    <w:p w14:paraId="21989E68" w14:textId="77777777" w:rsidR="00721CCF" w:rsidRPr="00AD2F44" w:rsidRDefault="00F42107">
      <w:pPr>
        <w:pStyle w:val="14Footnote"/>
      </w:pPr>
      <w:r w:rsidRPr="00AD2F44">
        <w:rPr>
          <w:i/>
          <w:iCs/>
        </w:rPr>
        <w:t xml:space="preserve">Third Circuit: </w:t>
      </w:r>
      <w:r w:rsidRPr="00AD2F44">
        <w:t>Bates v. Delaware Health Corp., 874 F. Supp. 2d 405 (D. Del. 2012) (finding state law claim did not appear to involve complex legal issues and, in any event, Delaware Supreme Court provides prompt rulings on questions certified by federal courts).</w:t>
      </w:r>
    </w:p>
    <w:p w14:paraId="7701C1B0" w14:textId="77777777" w:rsidR="00721CCF" w:rsidRPr="00AD2F44" w:rsidRDefault="00F42107">
      <w:pPr>
        <w:pStyle w:val="14Footnote"/>
      </w:pPr>
      <w:r w:rsidRPr="00AD2F44">
        <w:rPr>
          <w:i/>
          <w:iCs/>
        </w:rPr>
        <w:t xml:space="preserve">Ninth Circuit: </w:t>
      </w:r>
      <w:r w:rsidRPr="00AD2F44">
        <w:t>Wang v. Chinese Daily News, Inc., 623 F.3d 743, 761 (9th Cir. 2010) (finding state law unfair competition claim predicated on failure to pay overtime or provide meal periods did not pose novel questions of state law where state law claims closely related),</w:t>
      </w:r>
      <w:r w:rsidRPr="00AD2F44">
        <w:rPr>
          <w:i/>
          <w:iCs/>
        </w:rPr>
        <w:t xml:space="preserve"> vacated on other grounds</w:t>
      </w:r>
      <w:r w:rsidRPr="00AD2F44">
        <w:t>, 132 S. Ct. 74 (2011).</w:t>
      </w:r>
    </w:p>
    <w:p w14:paraId="197068D6" w14:textId="77777777" w:rsidR="00721CCF" w:rsidRPr="00AD2F44" w:rsidRDefault="00F42107">
      <w:pPr>
        <w:pStyle w:val="14Footnote"/>
      </w:pPr>
      <w:r w:rsidRPr="00AD2F44">
        <w:rPr>
          <w:i/>
          <w:iCs/>
        </w:rPr>
        <w:t xml:space="preserve">D.C. Circuit: </w:t>
      </w:r>
      <w:r w:rsidRPr="00AD2F44">
        <w:t>Lindsay v. Government Emps. Ins. Co., 448 F.3d 416, 424 (D.C. Cir. 2006) (agreeing that exemption misclassification claim under New York law did not raise novel or complex issue of state law); Cryer v. InterSolutions, Inc., 2007 WL 1191928, at *4 (D.D.C. Apr. 20, 2007) (finding FLSA and Maryland wage and hour statute similar, that employees all worked for same employer performing same work, and claims were exactly the same).</w:t>
      </w:r>
    </w:p>
  </w:footnote>
  <w:footnote w:id="1101">
    <w:p w14:paraId="0872A2CD" w14:textId="77777777" w:rsidR="00721CCF" w:rsidRPr="00AD2F44" w:rsidRDefault="00F42107">
      <w:pPr>
        <w:pStyle w:val="14Footnote"/>
      </w:pPr>
      <w:r w:rsidRPr="00AD2F44">
        <w:rPr>
          <w:vertAlign w:val="superscript"/>
        </w:rPr>
        <w:footnoteRef/>
      </w:r>
      <w:r w:rsidRPr="00AD2F44">
        <w:rPr>
          <w:i/>
        </w:rPr>
        <w:t>See</w:t>
      </w:r>
    </w:p>
    <w:p w14:paraId="30DC49C5" w14:textId="77777777" w:rsidR="00721CCF" w:rsidRPr="00AD2F44" w:rsidRDefault="00F42107">
      <w:pPr>
        <w:pStyle w:val="14Footnote"/>
      </w:pPr>
      <w:r w:rsidRPr="00AD2F44">
        <w:rPr>
          <w:i/>
          <w:iCs/>
        </w:rPr>
        <w:t xml:space="preserve">Second Circuit: </w:t>
      </w:r>
      <w:r w:rsidRPr="00AD2F44">
        <w:t>Hamelin v. Faxton-St. Luke’s Healthcare, 274 F.R.D. 385, 401 (N.D.N.Y. 2011) (state law meal break and off-the-clock claims); Ouedraogo v. Durso Assocs., Inc., 2005 WL 1423308, at *2 (S.D.N.Y. June 16, 2005) (grocery store deliverymen sought to recover unpaid minimum wages and overtime wages under the FLSA and the New York Labor Law).</w:t>
      </w:r>
    </w:p>
    <w:p w14:paraId="0E06E65B" w14:textId="77777777" w:rsidR="00721CCF" w:rsidRPr="00AD2F44" w:rsidRDefault="00F42107">
      <w:pPr>
        <w:pStyle w:val="14Footnote"/>
      </w:pPr>
      <w:r w:rsidRPr="00AD2F44">
        <w:rPr>
          <w:i/>
          <w:iCs/>
        </w:rPr>
        <w:t xml:space="preserve">Fourth Circuit: </w:t>
      </w:r>
      <w:r w:rsidRPr="00AD2F44">
        <w:t>McLaurin v. Prestage Foods, Inc., 271 F.R.D. 465, 471 (E.D.N.C. 2010) (holding that action under North Carolina wage statute for unpaid wages for time spent donning, doffing, and maintaining protective gear and traveling to and waiting at production line “involve[d] standard claims for regular and overtime pay that do not raise a novel or complex issue of North Carolina law”).</w:t>
      </w:r>
    </w:p>
    <w:p w14:paraId="39BFF817" w14:textId="77777777" w:rsidR="00721CCF" w:rsidRPr="00AD2F44" w:rsidRDefault="00F42107">
      <w:pPr>
        <w:pStyle w:val="14Footnote"/>
      </w:pPr>
      <w:r w:rsidRPr="00AD2F44">
        <w:rPr>
          <w:i/>
          <w:iCs/>
        </w:rPr>
        <w:t>Fifth Circuit:</w:t>
      </w:r>
      <w:r w:rsidRPr="00AD2F44">
        <w:t xml:space="preserve"> Lang v. DirecTV, Inc., 735 F. Supp. 2d 421, 428 (E.D. La. 2010) (state law wage and hour and tort claims not novel or complex).</w:t>
      </w:r>
    </w:p>
    <w:p w14:paraId="149D6BB1" w14:textId="77777777" w:rsidR="00721CCF" w:rsidRPr="00AD2F44" w:rsidRDefault="00F42107">
      <w:pPr>
        <w:pStyle w:val="14Footnote"/>
      </w:pPr>
      <w:r w:rsidRPr="00AD2F44">
        <w:rPr>
          <w:i/>
          <w:iCs/>
        </w:rPr>
        <w:t xml:space="preserve">Seventh Circuit: </w:t>
      </w:r>
      <w:r w:rsidRPr="00AD2F44">
        <w:t>Ervin v. OS Rest. Servs., Inc., 632 F.3d 971, 980 (7th Cir. 2011) (claims that employer violated Illinois statutes by requiring tipped employees to perform tasks for which they could not earn tips, using money that tipped employees were required to deposit into tip pool to make up for shortages in cash registers, and demanding that tipped employees deposit an excessive amount of their tips to tip pool did not present any complex state law issues); Kuhl v. Guitar Ctr. Stores, Inc., 2008 WL 656049, at *5 (N.D. Ill. Mar. 5, 2008) (Illinois law claims for breach of contract, violation of wage payment statutes, and unjust enrichment arising from unpaid wages).</w:t>
      </w:r>
    </w:p>
    <w:p w14:paraId="763916E6" w14:textId="77777777" w:rsidR="00721CCF" w:rsidRPr="00AD2F44" w:rsidRDefault="00F42107">
      <w:pPr>
        <w:pStyle w:val="14Footnote"/>
      </w:pPr>
      <w:r w:rsidRPr="00AD2F44">
        <w:rPr>
          <w:i/>
          <w:iCs/>
        </w:rPr>
        <w:t xml:space="preserve">Eighth Circuit: </w:t>
      </w:r>
      <w:r w:rsidRPr="00AD2F44">
        <w:t>Morales v. Greater Omaha Packing Co., Inc., 2008 WL 5255807, at *2–3 (D. Neb. Dec. 15, 2008) (claims under Nebraska statutes for unpaid time spent donning, doffing, and sanitizing clothing and equipment); Burch v. Qwest Commc’ns Int’l, Inc., 2007 WL 5307978, at *4 (D. Minn. Apr. 10, 2007) (claims under Minnesota law for unpaid time spent performing activities before and after their scheduled shifts); Salazar v. Agriprocessors, Inc., 527 F. Supp. 2d 873, 884 (N.D. Iowa 2007) (claim under Iowa Wage Payment Collection Law seeking unpaid wages and overtime wages for time spent donning and doffing protective gear, walking, and obtaining necessary tools, supplies, and equipment; “[t]here are no issues of first impression in the IWPCL claim that the Iowa courts would be better suited to answer”).</w:t>
      </w:r>
    </w:p>
    <w:p w14:paraId="07307F34" w14:textId="77777777" w:rsidR="00721CCF" w:rsidRPr="00AD2F44" w:rsidRDefault="00F42107">
      <w:pPr>
        <w:pStyle w:val="14Footnote"/>
      </w:pPr>
      <w:r w:rsidRPr="00AD2F44">
        <w:rPr>
          <w:i/>
          <w:iCs/>
        </w:rPr>
        <w:t xml:space="preserve">Ninth Circuit: </w:t>
      </w:r>
      <w:r w:rsidRPr="00AD2F44">
        <w:t>Bamonte v. City of Mesa, 2007 WL 2022011, at *3 (D. Ariz. July 10, 2007) (claims under Arizona wage and hour statutes for time spent donning and doffing clothing and equipment).</w:t>
      </w:r>
    </w:p>
    <w:p w14:paraId="6A8C94ED" w14:textId="77777777" w:rsidR="00721CCF" w:rsidRPr="00AD2F44" w:rsidRDefault="00F42107">
      <w:pPr>
        <w:pStyle w:val="14Footnote"/>
      </w:pPr>
      <w:r w:rsidRPr="00AD2F44">
        <w:rPr>
          <w:i/>
          <w:iCs/>
        </w:rPr>
        <w:t xml:space="preserve">Eleventh Circuit: </w:t>
      </w:r>
      <w:r w:rsidRPr="00AD2F44">
        <w:t>Arriaga-Zacarias v. Lewis Taylor Farms, Inc., 2008 WL 5115005, at *5 (M.D. Ga. Dec. 4, 2008) (breach of contract claim under Georgia law for unpaid wages).</w:t>
      </w:r>
    </w:p>
  </w:footnote>
  <w:footnote w:id="1102">
    <w:p w14:paraId="2E3A3A4A" w14:textId="77777777" w:rsidR="00721CCF" w:rsidRPr="00AD2F44" w:rsidRDefault="00F42107">
      <w:pPr>
        <w:pStyle w:val="14Footnote"/>
      </w:pPr>
      <w:r w:rsidRPr="00AD2F44">
        <w:rPr>
          <w:vertAlign w:val="superscript"/>
        </w:rPr>
        <w:footnoteRef/>
      </w:r>
      <w:r w:rsidRPr="00AD2F44">
        <w:t>28 U.S.C. §1367(c)(2).</w:t>
      </w:r>
    </w:p>
  </w:footnote>
  <w:footnote w:id="1103">
    <w:p w14:paraId="0ADAFBD5" w14:textId="77777777" w:rsidR="00721CCF" w:rsidRPr="00AD2F44" w:rsidRDefault="00F42107">
      <w:pPr>
        <w:pStyle w:val="14Footnote"/>
      </w:pPr>
      <w:r w:rsidRPr="00AD2F44">
        <w:rPr>
          <w:vertAlign w:val="superscript"/>
        </w:rPr>
        <w:footnoteRef/>
      </w:r>
      <w:r w:rsidRPr="00AD2F44">
        <w:t>United Mine Workers of Am. v. Gibbs, 383 U.S. 715, 726 (1966).</w:t>
      </w:r>
    </w:p>
  </w:footnote>
  <w:footnote w:id="1104">
    <w:p w14:paraId="0DFBD0C8" w14:textId="77777777" w:rsidR="00721CCF" w:rsidRPr="00AD2F44" w:rsidRDefault="00F42107">
      <w:pPr>
        <w:pStyle w:val="14Footnote"/>
      </w:pPr>
      <w:r w:rsidRPr="00AD2F44">
        <w:rPr>
          <w:vertAlign w:val="superscript"/>
        </w:rPr>
        <w:footnoteRef/>
      </w:r>
      <w:r w:rsidRPr="00AD2F44">
        <w:t xml:space="preserve">De Asencio v. Tyson Foods, Inc., 342 F.3d 301, 312 (3d Cir. 2003); </w:t>
      </w:r>
      <w:r w:rsidRPr="00AD2F44">
        <w:rPr>
          <w:i/>
          <w:iCs/>
        </w:rPr>
        <w:t>see</w:t>
      </w:r>
      <w:r w:rsidRPr="00AD2F44">
        <w:t xml:space="preserve"> Ruffin v. Entertainment of the E. Panhandle, 2012 WL 5472165 (N.D. W. Va. Nov. 9, 2012) (finding that because substance and basis of FLSA and state law claims were virtually indistinguishable, state law claims did not predominate); White v. Rick Bus Co., 743 F. Supp. 2d 380, 385 (D.N.J. 2010) (“</w:t>
      </w:r>
      <w:r w:rsidRPr="00AD2F44">
        <w:rPr>
          <w:i/>
          <w:iCs/>
        </w:rPr>
        <w:t xml:space="preserve">De Asencio </w:t>
      </w:r>
      <w:r w:rsidRPr="00AD2F44">
        <w:t xml:space="preserve">directs courts faced with the prospect of dual certification of a[n] FLSA class and a state law based class to determine, on a case-by-case basis, whether to exercise supplemental jurisdiction over such state law claims.”); Brothers v. Portage Nat’l Bank, 2007 WL 965835, at *4 (W.D. Pa. Mar. 29, 2007) (citing </w:t>
      </w:r>
      <w:r w:rsidRPr="00AD2F44">
        <w:rPr>
          <w:i/>
          <w:iCs/>
        </w:rPr>
        <w:t>De Asencio</w:t>
      </w:r>
      <w:r w:rsidRPr="00AD2F44">
        <w:t xml:space="preserve">); Freeman v. Hoffmann-LaRoche, Inc., 2007 WL 4440875, at *2 (D.N.J. Dec. 18, 2007) (same); Hyman v. WM Fin. Servs., Inc., 2007 WL 1657392, at *5 (D.N.J. June 7, 2007) (same); </w:t>
      </w:r>
      <w:r w:rsidRPr="00AD2F44">
        <w:rPr>
          <w:i/>
          <w:iCs/>
        </w:rPr>
        <w:t>see also</w:t>
      </w:r>
      <w:r w:rsidRPr="00AD2F44">
        <w:t xml:space="preserve"> Bamonte v. City of Mesa, 2007 WL 2022011, at *3 (D. Ariz. July 10, 2007) (“In applying any of these [28 U.S.C. §1367(c)] factors, a case-specific analysis must be undertaken ‘to determine whether declining supplemental jurisdiction comports with the underlying objective of most sensibly accommodating the values of economy, convenience, fairness and comity.’”) (quoting Bahrampour v. Lampert, 356 F.3d 969, 978 (9th Cir. 2004)).</w:t>
      </w:r>
    </w:p>
  </w:footnote>
  <w:footnote w:id="1105">
    <w:p w14:paraId="10853731" w14:textId="77777777" w:rsidR="00721CCF" w:rsidRPr="00AD2F44" w:rsidRDefault="00F42107">
      <w:pPr>
        <w:pStyle w:val="14Footnote"/>
      </w:pPr>
      <w:r w:rsidRPr="00AD2F44">
        <w:rPr>
          <w:vertAlign w:val="superscript"/>
        </w:rPr>
        <w:footnoteRef/>
      </w:r>
      <w:r w:rsidRPr="00AD2F44">
        <w:rPr>
          <w:i/>
          <w:iCs/>
        </w:rPr>
        <w:t>See, e.g.,</w:t>
      </w:r>
    </w:p>
    <w:p w14:paraId="61A2FE8F" w14:textId="77777777" w:rsidR="00721CCF" w:rsidRPr="00AD2F44" w:rsidRDefault="00F42107">
      <w:pPr>
        <w:pStyle w:val="14Footnote"/>
      </w:pPr>
      <w:r w:rsidRPr="00AD2F44">
        <w:rPr>
          <w:i/>
          <w:iCs/>
        </w:rPr>
        <w:t xml:space="preserve">Second Circuit: </w:t>
      </w:r>
      <w:r w:rsidRPr="00AD2F44">
        <w:t>Patel v. Baluchi’s Indian Rest., 2009 WL 2358620, at *6 (S.D.N.Y. July 30, 2009).</w:t>
      </w:r>
    </w:p>
    <w:p w14:paraId="450C90C9" w14:textId="77777777" w:rsidR="00721CCF" w:rsidRPr="00AD2F44" w:rsidRDefault="00F42107">
      <w:pPr>
        <w:pStyle w:val="14Footnote"/>
      </w:pPr>
      <w:r w:rsidRPr="00AD2F44">
        <w:rPr>
          <w:i/>
          <w:iCs/>
        </w:rPr>
        <w:t xml:space="preserve">Third Circuit: </w:t>
      </w:r>
      <w:r w:rsidRPr="00AD2F44">
        <w:t>Dare v. Comcast Corp., 2010 WL 2557678, at *2–3 (D.N.J. Jun. 23, 2010); Farhy v. Janney Montgomery Scott, LLC, 2007 WL 1455764, at *1 (E.D. Pa. Apr. 26, 2007); Freeman v. Hoffmann-La Roche, Inc., 2007 WL 4440875, at *3 &amp; nn.12, 13 (D.N.J. Dec. 18, 2007).</w:t>
      </w:r>
    </w:p>
    <w:p w14:paraId="0E1B4AE3" w14:textId="77777777" w:rsidR="00721CCF" w:rsidRPr="00AD2F44" w:rsidRDefault="00F42107">
      <w:pPr>
        <w:pStyle w:val="14Footnote"/>
      </w:pPr>
      <w:r w:rsidRPr="00AD2F44">
        <w:rPr>
          <w:i/>
          <w:iCs/>
        </w:rPr>
        <w:t xml:space="preserve">Seventh Circuit: </w:t>
      </w:r>
      <w:r w:rsidRPr="00AD2F44">
        <w:t>Kuhl v. Guitar Ctr. Stores, Inc., 2008 WL 656049, at *5 (N.D. Ill. Mar. 5, 2008); Marquez v. Partylite Worldwide, Inc., 2007 WL 2461667, at *6 &amp; n.5 (N.D. Ill. Aug. 27, 2007).</w:t>
      </w:r>
    </w:p>
    <w:p w14:paraId="48148E1A" w14:textId="77777777" w:rsidR="00721CCF" w:rsidRPr="00AD2F44" w:rsidRDefault="00F42107">
      <w:pPr>
        <w:pStyle w:val="14Footnote"/>
      </w:pPr>
      <w:r w:rsidRPr="00AD2F44">
        <w:rPr>
          <w:i/>
          <w:iCs/>
        </w:rPr>
        <w:t xml:space="preserve">Eighth Circuit: </w:t>
      </w:r>
      <w:r w:rsidRPr="00AD2F44">
        <w:t>Burch v. Qwest Commc’ns Int’l, Inc., 2007 WL 5307978, at *4 (D. Minn. Apr. 10, 2007).</w:t>
      </w:r>
    </w:p>
    <w:p w14:paraId="579C58A8" w14:textId="77777777" w:rsidR="00721CCF" w:rsidRPr="00AD2F44" w:rsidRDefault="00F42107">
      <w:pPr>
        <w:pStyle w:val="14Footnote"/>
      </w:pPr>
      <w:r w:rsidRPr="00AD2F44">
        <w:rPr>
          <w:i/>
          <w:iCs/>
        </w:rPr>
        <w:t xml:space="preserve">Ninth Circuit: </w:t>
      </w:r>
      <w:r w:rsidRPr="00AD2F44">
        <w:t>Silverman v. Smithkline Beecham Corp., 2007 WL 3072274, at *3 (C.D. Cal. Oct. 16, 2007); Hoffman v. Construction Prot. Servs., 2004 WL 5642136, at *7 (C.D. Cal. July 13, 2004).</w:t>
      </w:r>
    </w:p>
    <w:p w14:paraId="2401FD60" w14:textId="77777777" w:rsidR="00721CCF" w:rsidRPr="00AD2F44" w:rsidRDefault="00F42107">
      <w:pPr>
        <w:pStyle w:val="14Footnote"/>
      </w:pPr>
      <w:r w:rsidRPr="00AD2F44">
        <w:rPr>
          <w:i/>
          <w:iCs/>
        </w:rPr>
        <w:t>See also</w:t>
      </w:r>
      <w:r w:rsidRPr="00AD2F44">
        <w:t xml:space="preserve"> Lehman v. Legg Mason, Inc., 532 F. Supp. 2d 726, 732 (M.D. Pa. 2007); Chemi v. Champion Mortg., 2006 WL 454363, at *2–3 (D.N.J. Feb. 23, 2006); </w:t>
      </w:r>
      <w:r w:rsidRPr="00AD2F44">
        <w:rPr>
          <w:i/>
          <w:iCs/>
        </w:rPr>
        <w:t>cf</w:t>
      </w:r>
      <w:r w:rsidRPr="00AD2F44">
        <w:t>. Oetinger v. First Residential Mortg. Network, 2007 WL 734859, at *2 (W.D. Ky. Mar. 6, 2007) (deferring consideration of potential difficulties of hybrid action until motion for class certification was filed).</w:t>
      </w:r>
    </w:p>
  </w:footnote>
  <w:footnote w:id="1106">
    <w:p w14:paraId="7B620544" w14:textId="77777777" w:rsidR="00721CCF" w:rsidRPr="00AD2F44" w:rsidRDefault="00F42107">
      <w:pPr>
        <w:pStyle w:val="14Footnote"/>
      </w:pPr>
      <w:r w:rsidRPr="00AD2F44">
        <w:rPr>
          <w:vertAlign w:val="superscript"/>
        </w:rPr>
        <w:footnoteRef/>
      </w:r>
      <w:r w:rsidRPr="00AD2F44">
        <w:rPr>
          <w:i/>
          <w:iCs/>
        </w:rPr>
        <w:t xml:space="preserve">Third Circuit: </w:t>
      </w:r>
      <w:r w:rsidRPr="00AD2F44">
        <w:t>Warner v. Orleans Home Builders, Inc., 550 F. Supp. 2d 583, 589–90 (E.D. Pa. 2008) (plaintiffs’ state law claim sought to establish right to overtime pay under state law based on implied contract theory); Ramsey v. Ryan Beck &amp; Co., Inc., 2007 WL 2234567, at *4 (E.D. Pa. Aug. 1, 2007) (overtime pay action arising under FLSA and several Pennsylvania statutes; state law claims involved different legal issues and remedies from FLSA claim); Hyman v. WM Fin. Servs., Inc., 2007 WL 1657392, at *5 (D.N.J. June 7, 2007) (state law claims for impermissible deductions, commission charge-backs, late wage payments, failure to keep and maintain records, and breach of contract would predominate over FLSA claim for unpaid overtime because they involved factual and legal issues distinct from FLSA claim); Evans v. Lowe’s Home Ctrs., Inc., 2006 WL 1371073, at *6–7 (M.D. Pa. May 18, 2006) (state law claims would predominate because there were 499 FLSA opt-in plaintiffs and potentially 1,317 state law class members, and state law claims required resolution of two issues FLSA claims did not—whether there was subjective agreement to particular method of compensation, and whether any agreement was reached before work at issue was performed).</w:t>
      </w:r>
    </w:p>
    <w:p w14:paraId="7A710726" w14:textId="77777777" w:rsidR="00721CCF" w:rsidRPr="00AD2F44" w:rsidRDefault="00F42107">
      <w:pPr>
        <w:pStyle w:val="14Footnote"/>
      </w:pPr>
      <w:r w:rsidRPr="00AD2F44">
        <w:rPr>
          <w:i/>
          <w:iCs/>
        </w:rPr>
        <w:t>Fifth Circuit:</w:t>
      </w:r>
      <w:r w:rsidRPr="00AD2F44">
        <w:t xml:space="preserve"> Ridley v. Regency Vill., Inc., 2018 WL 1334813 (S.D. Tex. Mar. 15, 2018) (declining to exercise supplemental jurisdiction over Rule 23 class claims, finding quantum of proof required to assess state law contract claims substantially predominated over and exceeded that required under FLSA; holding claims should be tried separately).</w:t>
      </w:r>
    </w:p>
    <w:p w14:paraId="5D2C29F9" w14:textId="77777777" w:rsidR="00721CCF" w:rsidRPr="00AD2F44" w:rsidRDefault="00F42107">
      <w:pPr>
        <w:pStyle w:val="14Footnote"/>
      </w:pPr>
      <w:r w:rsidRPr="00AD2F44">
        <w:rPr>
          <w:i/>
          <w:iCs/>
        </w:rPr>
        <w:t xml:space="preserve">Ninth Circuit: </w:t>
      </w:r>
      <w:r w:rsidRPr="00AD2F44">
        <w:t>Wong v. HSBC Mortg. Corp., 2009 WL 151014, at *2–3 (N.D. Cal. Jan. 21, 2009) (plaintiffs brought 10 state law claims under laws of 3 states together with FLSA overtime claim; state law overtime claims involved exemption standards that differed from FLSA exemption standard; state law claims included claim for missed meal periods that required resolution of numerous legal and factual issues not implicated by FLSA claim, and state law claims for unlawful deductions from commissions presented a number of issues not presented by FLSA claim).</w:t>
      </w:r>
    </w:p>
    <w:p w14:paraId="02532854" w14:textId="77777777" w:rsidR="00721CCF" w:rsidRPr="00AD2F44" w:rsidRDefault="00F42107">
      <w:pPr>
        <w:pStyle w:val="14Footnote"/>
      </w:pPr>
      <w:r w:rsidRPr="00AD2F44">
        <w:rPr>
          <w:i/>
          <w:iCs/>
        </w:rPr>
        <w:t xml:space="preserve">Tenth Circuit: In re </w:t>
      </w:r>
      <w:r w:rsidRPr="00AD2F44">
        <w:t>American Family Mut. Ins. Co. Overtime Pay Litig., 638 F. Supp. 2d 1290, 1299–1301 (D. Colo. 2009) (holding that state law claims would substantially predominate given difference in class sizes, that plaintiffs were asserting overtime claims under three different states’ overtime pay statutes, that different findings required by the state law claims could potentially cause confusion for fact finder, that plaintiffs sought injunctive relief under state laws, and that issue of entitlement to injunctive relief under different state laws was unsettled and would be best decided by those states’ own courts).</w:t>
      </w:r>
    </w:p>
    <w:p w14:paraId="4B3EBD16" w14:textId="77777777" w:rsidR="00721CCF" w:rsidRPr="00AD2F44" w:rsidRDefault="00F42107">
      <w:pPr>
        <w:pStyle w:val="14Footnote"/>
      </w:pPr>
      <w:r w:rsidRPr="00AD2F44">
        <w:rPr>
          <w:i/>
        </w:rPr>
        <w:t>See also</w:t>
      </w:r>
    </w:p>
    <w:p w14:paraId="40E8D308" w14:textId="77777777" w:rsidR="00721CCF" w:rsidRPr="00AD2F44" w:rsidRDefault="00F42107">
      <w:pPr>
        <w:pStyle w:val="14Footnote"/>
      </w:pPr>
      <w:r w:rsidRPr="00AD2F44">
        <w:rPr>
          <w:i/>
          <w:iCs/>
        </w:rPr>
        <w:t xml:space="preserve">Third Circuit: </w:t>
      </w:r>
      <w:r w:rsidRPr="00AD2F44">
        <w:t>Hickton v. Enterprise Rent-A-Car Co., Inc., 2008 WL 4279818, at *3 (W.D. Pa. Sept. 12, 2008) (comprehensiveness of remedies between FLSA and state claims might be different “because there may be different individuals subject to the different claims” and exercising jurisdiction would implicate Congress’ intent to limit FLSA claims to individuals who opt in).</w:t>
      </w:r>
    </w:p>
    <w:p w14:paraId="3EF4A2D0" w14:textId="77777777" w:rsidR="00721CCF" w:rsidRPr="00AD2F44" w:rsidRDefault="00F42107">
      <w:pPr>
        <w:pStyle w:val="14Footnote"/>
      </w:pPr>
      <w:r w:rsidRPr="00AD2F44">
        <w:rPr>
          <w:i/>
          <w:iCs/>
        </w:rPr>
        <w:t xml:space="preserve">Sixth Circuit: </w:t>
      </w:r>
      <w:r w:rsidRPr="00AD2F44">
        <w:t>Aguilera v. Michigan Turkey Processors Coop., Inc., 2009 WL 3585722, at *2 (W.D. Mich. Oct. 28, 2009) (“Plaintiff’s breach of contract and unjust enrichment claims will require substantial proofs different from its FLSA claim. Few, if any, of the proofs required for the breach of contract and unjust enrichment claims overlap with those required for the FLSA claim.”).</w:t>
      </w:r>
    </w:p>
    <w:p w14:paraId="4A16D549" w14:textId="77777777" w:rsidR="00721CCF" w:rsidRPr="00AD2F44" w:rsidRDefault="00F42107">
      <w:pPr>
        <w:pStyle w:val="14Footnote"/>
      </w:pPr>
      <w:r w:rsidRPr="00AD2F44">
        <w:rPr>
          <w:i/>
          <w:iCs/>
        </w:rPr>
        <w:t xml:space="preserve">Ninth Circuit: </w:t>
      </w:r>
      <w:r w:rsidRPr="00AD2F44">
        <w:t>Wiley v. Trendwest Resorts, Inc., 2005 WL 1030220, at *5 (N.D. Cal. May 3, 2005) (claims for unlawful deductions from commissions, failure to reimburse business expenses, and unjust enrichment would predominate because they were unrelated to FLSA overtime claim).</w:t>
      </w:r>
    </w:p>
  </w:footnote>
  <w:footnote w:id="1107">
    <w:p w14:paraId="6901358C" w14:textId="77777777" w:rsidR="00721CCF" w:rsidRPr="00AD2F44" w:rsidRDefault="00F42107">
      <w:pPr>
        <w:pStyle w:val="14Footnote"/>
      </w:pPr>
      <w:r w:rsidRPr="00AD2F44">
        <w:rPr>
          <w:vertAlign w:val="superscript"/>
        </w:rPr>
        <w:footnoteRef/>
      </w:r>
      <w:r w:rsidRPr="00AD2F44">
        <w:t>342 F.3d 301 (3d Cir. 2003).</w:t>
      </w:r>
    </w:p>
  </w:footnote>
  <w:footnote w:id="1108">
    <w:p w14:paraId="6E702881" w14:textId="77777777" w:rsidR="00721CCF" w:rsidRPr="00AD2F44" w:rsidRDefault="00F42107">
      <w:pPr>
        <w:pStyle w:val="14Footnote"/>
      </w:pPr>
      <w:r w:rsidRPr="00AD2F44">
        <w:rPr>
          <w:vertAlign w:val="superscript"/>
        </w:rPr>
        <w:footnoteRef/>
      </w:r>
      <w:r w:rsidRPr="00AD2F44">
        <w:rPr>
          <w:i/>
          <w:iCs/>
        </w:rPr>
        <w:t>Id</w:t>
      </w:r>
      <w:r w:rsidRPr="00AD2F44">
        <w:t>. at 309.</w:t>
      </w:r>
    </w:p>
  </w:footnote>
  <w:footnote w:id="1109">
    <w:p w14:paraId="5FCEC53D" w14:textId="77777777" w:rsidR="00721CCF" w:rsidRPr="00AD2F44" w:rsidRDefault="00F42107">
      <w:pPr>
        <w:pStyle w:val="14Footnote"/>
      </w:pPr>
      <w:r w:rsidRPr="00AD2F44">
        <w:rPr>
          <w:vertAlign w:val="superscript"/>
        </w:rPr>
        <w:footnoteRef/>
      </w:r>
      <w:r w:rsidRPr="00AD2F44">
        <w:rPr>
          <w:i/>
          <w:iCs/>
        </w:rPr>
        <w:t>Id</w:t>
      </w:r>
      <w:r w:rsidRPr="00AD2F44">
        <w:t>. at 309–10 (footnote omitted).</w:t>
      </w:r>
    </w:p>
  </w:footnote>
  <w:footnote w:id="1110">
    <w:p w14:paraId="1A71900D" w14:textId="77777777" w:rsidR="00721CCF" w:rsidRPr="00AD2F44" w:rsidRDefault="00F42107">
      <w:pPr>
        <w:pStyle w:val="14Footnote"/>
      </w:pPr>
      <w:r w:rsidRPr="00AD2F44">
        <w:rPr>
          <w:vertAlign w:val="superscript"/>
        </w:rPr>
        <w:footnoteRef/>
      </w:r>
      <w:r w:rsidRPr="00AD2F44">
        <w:rPr>
          <w:i/>
          <w:iCs/>
        </w:rPr>
        <w:t>Id</w:t>
      </w:r>
      <w:r w:rsidRPr="00AD2F44">
        <w:t>. at 310–11.</w:t>
      </w:r>
    </w:p>
  </w:footnote>
  <w:footnote w:id="1111">
    <w:p w14:paraId="11B002DD" w14:textId="77777777" w:rsidR="00721CCF" w:rsidRPr="00AD2F44" w:rsidRDefault="00F42107">
      <w:pPr>
        <w:pStyle w:val="14Footnote"/>
      </w:pPr>
      <w:r w:rsidRPr="00AD2F44">
        <w:rPr>
          <w:vertAlign w:val="superscript"/>
        </w:rPr>
        <w:footnoteRef/>
      </w:r>
      <w:r w:rsidRPr="00AD2F44">
        <w:rPr>
          <w:i/>
          <w:iCs/>
        </w:rPr>
        <w:t>Id</w:t>
      </w:r>
      <w:r w:rsidRPr="00AD2F44">
        <w:t>. at 311.</w:t>
      </w:r>
    </w:p>
  </w:footnote>
  <w:footnote w:id="1112">
    <w:p w14:paraId="286A9E58" w14:textId="77777777" w:rsidR="00721CCF" w:rsidRPr="00AD2F44" w:rsidRDefault="00F42107">
      <w:pPr>
        <w:pStyle w:val="14Footnote"/>
      </w:pPr>
      <w:r w:rsidRPr="00AD2F44">
        <w:rPr>
          <w:vertAlign w:val="superscript"/>
        </w:rPr>
        <w:footnoteRef/>
      </w:r>
      <w:r w:rsidRPr="00AD2F44">
        <w:rPr>
          <w:i/>
          <w:iCs/>
        </w:rPr>
        <w:t>Id</w:t>
      </w:r>
      <w:r w:rsidRPr="00AD2F44">
        <w:t>. at 310 (internal quotes omitted).</w:t>
      </w:r>
    </w:p>
  </w:footnote>
  <w:footnote w:id="1113">
    <w:p w14:paraId="1D496971" w14:textId="77777777" w:rsidR="00721CCF" w:rsidRPr="00CA6DD8" w:rsidRDefault="00F42107">
      <w:pPr>
        <w:pStyle w:val="14Footnote"/>
      </w:pPr>
      <w:r w:rsidRPr="00AD2F44">
        <w:rPr>
          <w:vertAlign w:val="superscript"/>
        </w:rPr>
        <w:footnoteRef/>
      </w:r>
      <w:r w:rsidRPr="00CA6DD8">
        <w:t>De Asencio v. Tyson Foods, Inc., 342 F.3d 301, 310–11 (3d Cir. 2003).</w:t>
      </w:r>
    </w:p>
  </w:footnote>
  <w:footnote w:id="1114">
    <w:p w14:paraId="245ED4DE" w14:textId="77777777" w:rsidR="00721CCF" w:rsidRPr="00AD2F44" w:rsidRDefault="00F42107">
      <w:pPr>
        <w:pStyle w:val="14Footnote"/>
      </w:pPr>
      <w:r w:rsidRPr="00AD2F44">
        <w:rPr>
          <w:vertAlign w:val="superscript"/>
        </w:rPr>
        <w:footnoteRef/>
      </w:r>
      <w:r w:rsidRPr="00AD2F44">
        <w:rPr>
          <w:i/>
          <w:iCs/>
        </w:rPr>
        <w:t xml:space="preserve">Id. </w:t>
      </w:r>
      <w:r w:rsidRPr="00AD2F44">
        <w:t xml:space="preserve">at 310. </w:t>
      </w:r>
    </w:p>
  </w:footnote>
  <w:footnote w:id="1115">
    <w:p w14:paraId="651900B1" w14:textId="77777777" w:rsidR="00721CCF" w:rsidRPr="00AD2F44" w:rsidRDefault="00F42107">
      <w:pPr>
        <w:pStyle w:val="14Footnote"/>
      </w:pPr>
      <w:r w:rsidRPr="00AD2F44">
        <w:rPr>
          <w:vertAlign w:val="superscript"/>
        </w:rPr>
        <w:footnoteRef/>
      </w:r>
      <w:r w:rsidRPr="00AD2F44">
        <w:rPr>
          <w:i/>
          <w:iCs/>
        </w:rPr>
        <w:t>Id</w:t>
      </w:r>
      <w:r w:rsidRPr="00AD2F44">
        <w:t>. at 311.</w:t>
      </w:r>
    </w:p>
  </w:footnote>
  <w:footnote w:id="1116">
    <w:p w14:paraId="0B3C8169" w14:textId="77777777" w:rsidR="00721CCF" w:rsidRPr="00AD2F44" w:rsidRDefault="00F42107">
      <w:pPr>
        <w:pStyle w:val="14Footnote"/>
      </w:pPr>
      <w:r w:rsidRPr="00AD2F44">
        <w:rPr>
          <w:vertAlign w:val="superscript"/>
        </w:rPr>
        <w:footnoteRef/>
      </w:r>
      <w:r w:rsidRPr="00AD2F44">
        <w:rPr>
          <w:i/>
          <w:iCs/>
        </w:rPr>
        <w:t>Id</w:t>
      </w:r>
      <w:r w:rsidRPr="00AD2F44">
        <w:t>. at 312.</w:t>
      </w:r>
    </w:p>
  </w:footnote>
  <w:footnote w:id="1117">
    <w:p w14:paraId="2B3D5D55" w14:textId="77777777" w:rsidR="00721CCF" w:rsidRPr="00AD2F44" w:rsidRDefault="00F42107">
      <w:pPr>
        <w:pStyle w:val="14Footnote"/>
      </w:pPr>
      <w:r w:rsidRPr="00AD2F44">
        <w:rPr>
          <w:vertAlign w:val="superscript"/>
        </w:rPr>
        <w:footnoteRef/>
      </w:r>
      <w:r w:rsidRPr="00AD2F44">
        <w:rPr>
          <w:i/>
          <w:iCs/>
        </w:rPr>
        <w:t>Id</w:t>
      </w:r>
      <w:r w:rsidRPr="00AD2F44">
        <w:t>. at 304–05, 311–12.</w:t>
      </w:r>
    </w:p>
  </w:footnote>
  <w:footnote w:id="1118">
    <w:p w14:paraId="6C324497" w14:textId="77777777" w:rsidR="00721CCF" w:rsidRPr="00AD2F44" w:rsidRDefault="00F42107">
      <w:pPr>
        <w:pStyle w:val="14Footnote"/>
      </w:pPr>
      <w:r w:rsidRPr="00AD2F44">
        <w:rPr>
          <w:vertAlign w:val="superscript"/>
        </w:rPr>
        <w:footnoteRef/>
      </w:r>
      <w:r w:rsidRPr="00AD2F44">
        <w:rPr>
          <w:i/>
          <w:iCs/>
        </w:rPr>
        <w:t>Id</w:t>
      </w:r>
      <w:r w:rsidRPr="00AD2F44">
        <w:t xml:space="preserve">. at 312. The Third Circuit also noted that the PWPCL claim came with broader remedies than the FLSA, which provides only for unpaid overtime, and that this factor too supported a finding that the state claims substantially predominated. But the court stated that it was limiting its focus to “the terms of proof and scope of the issues raised” as discussed above. </w:t>
      </w:r>
      <w:r w:rsidRPr="00AD2F44">
        <w:rPr>
          <w:i/>
          <w:iCs/>
        </w:rPr>
        <w:t>Id</w:t>
      </w:r>
      <w:r w:rsidRPr="00AD2F44">
        <w:t>. at 309 n.13.</w:t>
      </w:r>
    </w:p>
  </w:footnote>
  <w:footnote w:id="1119">
    <w:p w14:paraId="5F7E5654" w14:textId="77777777" w:rsidR="00721CCF" w:rsidRPr="00AD2F44" w:rsidRDefault="00F42107">
      <w:pPr>
        <w:pStyle w:val="14Footnote"/>
      </w:pPr>
      <w:r w:rsidRPr="00AD2F44">
        <w:rPr>
          <w:vertAlign w:val="superscript"/>
        </w:rPr>
        <w:footnoteRef/>
      </w:r>
      <w:r w:rsidRPr="00AD2F44">
        <w:rPr>
          <w:i/>
          <w:iCs/>
        </w:rPr>
        <w:t>See</w:t>
      </w:r>
      <w:r w:rsidRPr="00AD2F44">
        <w:t xml:space="preserve"> Hasken v. City of Louisville, 213 F.R.D. 280, 283 (W.D. Ky. 2003) (involving 1,000 state law class members and 20 FLSA class members); Jackson v. City of San Antonio, 220 F.R.D. 55, 60–61 (W.D. Tex. 2003) (finding that state law class would dwarf number of individuals expected to opt in to FLSA claim, retaining jurisdiction would contradict congressional intent requiring individuals to opt in to FLSA claims, and remanding state claims was “the superior means to economy, convenience, fairness, and comity”); </w:t>
      </w:r>
      <w:r w:rsidRPr="00AD2F44">
        <w:rPr>
          <w:i/>
          <w:iCs/>
        </w:rPr>
        <w:t>cf</w:t>
      </w:r>
      <w:r w:rsidRPr="00AD2F44">
        <w:t>. Riddle v. National Sec. Agency, Inc., 2007 WL 2746597, at *3 (N.D. Ill. Sept. 13, 2007) (finding that “in the extremely likely event that the number of employees who choose to opt-in to the FLSA class is significantly smaller than the Rule 23 class, the rationale for exercising supplemental jurisdiction over the state claims disappears”); Leuthold v. Destination Am., Inc., 224 F.R.D. 462, 470 (N.D. Cal. 2004) (noting that request for Rule 23 class certification implicated substantial predominance issue in event Rule 23 class encompassed significantly larger number of individuals than FLSA claim).</w:t>
      </w:r>
    </w:p>
  </w:footnote>
  <w:footnote w:id="1120">
    <w:p w14:paraId="0CC2CFED" w14:textId="77777777" w:rsidR="00721CCF" w:rsidRPr="00AD2F44" w:rsidRDefault="00F42107">
      <w:pPr>
        <w:pStyle w:val="14Footnote"/>
      </w:pPr>
      <w:r w:rsidRPr="00AD2F44">
        <w:rPr>
          <w:vertAlign w:val="superscript"/>
        </w:rPr>
        <w:footnoteRef/>
      </w:r>
      <w:r w:rsidRPr="00AD2F44">
        <w:rPr>
          <w:i/>
          <w:iCs/>
        </w:rPr>
        <w:t>See, e.g</w:t>
      </w:r>
      <w:r w:rsidRPr="00AD2F44">
        <w:t>., Bartleson v. Winnebago Indus., Inc., 219 F.R.D. 629, 635–37 (N.D. Iowa 2003); Zelaya v. J.M. Macias, Inc., 999 F. Supp. 778, 782–83 (E.D.N.C. 1998).</w:t>
      </w:r>
    </w:p>
  </w:footnote>
  <w:footnote w:id="1121">
    <w:p w14:paraId="28AF70CB" w14:textId="77777777" w:rsidR="00721CCF" w:rsidRPr="00AD2F44" w:rsidRDefault="00F42107">
      <w:pPr>
        <w:pStyle w:val="14Footnote"/>
      </w:pPr>
      <w:r w:rsidRPr="00AD2F44">
        <w:rPr>
          <w:vertAlign w:val="superscript"/>
        </w:rPr>
        <w:footnoteRef/>
      </w:r>
      <w:r w:rsidRPr="00AD2F44">
        <w:rPr>
          <w:i/>
          <w:iCs/>
        </w:rPr>
        <w:t>See</w:t>
      </w:r>
      <w:r w:rsidRPr="00AD2F44">
        <w:t xml:space="preserve"> Neary v. Metropolitan Prop. &amp; Cas. Ins. Co., 472 F. Supp. 2d 247, 251–53 (D. Conn. 2007) (involving misclassification claims under all 50 states’ laws, some of which would raise novel or complex issues of state law); Aquilino v. Home Depot U.S.A., Inc., 2006 WL 2023539, at *3 (D.N.J. July 16, 2006) (involving overtime misclassification claims under 25 states’ laws).</w:t>
      </w:r>
    </w:p>
  </w:footnote>
  <w:footnote w:id="1122">
    <w:p w14:paraId="6D86F056" w14:textId="77777777" w:rsidR="00721CCF" w:rsidRPr="00AD2F44" w:rsidRDefault="00F42107">
      <w:pPr>
        <w:pStyle w:val="14Footnote"/>
      </w:pPr>
      <w:r w:rsidRPr="00AD2F44">
        <w:rPr>
          <w:vertAlign w:val="superscript"/>
        </w:rPr>
        <w:footnoteRef/>
      </w:r>
      <w:r w:rsidRPr="00AD2F44">
        <w:rPr>
          <w:i/>
          <w:iCs/>
        </w:rPr>
        <w:t>First Circuit:</w:t>
      </w:r>
      <w:r w:rsidRPr="00AD2F44">
        <w:t xml:space="preserve"> McLaughlin v. Liberty Mut. Ins. Co., 224 F.R.D. 304, 312–13 (D. Mass. 2004) (“sound reasons of judicial economy favor[ed]” exercise of jurisdiction; exercising jurisdiction would allow federal court to hear both federal and state claims, state law claim relied on same set of facts as FLSA claim, there was already another nationwide FLSA action before court that was larger than proposed state law class, and federal court already was familiar with the nationwide action).</w:t>
      </w:r>
    </w:p>
    <w:p w14:paraId="6CBF1637" w14:textId="21AB59E2" w:rsidR="00721CCF" w:rsidRPr="00AD2F44" w:rsidRDefault="00F42107">
      <w:pPr>
        <w:pStyle w:val="14Footnote"/>
      </w:pPr>
      <w:r w:rsidRPr="00AD2F44">
        <w:rPr>
          <w:i/>
          <w:iCs/>
        </w:rPr>
        <w:t>Second Circuit:</w:t>
      </w:r>
      <w:r w:rsidRPr="00AD2F44">
        <w:t xml:space="preserve"> Shahriar v. Smith &amp; Wollensky Rest. Grp., Inc., 659 F.3d 234 (2d Cir. 2011) (state law claim does not substantially predominate over FLSA claim where FLSA and state law use similar standard to determine participation in tip pool); Colozzi v. St. Joseph’s Hosp. Health Ctr., 275 F.R.D. 75, 91 (N.D.N.Y. 2011) (FLSA and state law claims “based on same allegedly unlawful policies” support supplemental jurisdiction); Patel v. Baluchi’s Indian Rest., 2009 WL 2358620, at *5 (S.D.N.Y. July 30, 2009) (at stage when there were 18 FLSA opt-in class members with state law claims for minimum wage and overtime violations, deprivation of tips, failure to pay wages, “spread of hours” violations, and “unlawful deductions,” and FLSA claims for minimum wage and overtime violations and deprivation of tips, court could not find that state law claims would substantially predominate, even though state law claims would undoubtedly require additional discovery beyond what FLSA claims required; court also found that factors of economy, convenience, fairness, and comity dictate that the court hear claims in one action rather than forcing plaintiffs to bring parallel claims in federal and state courts); Guzman v. VLM, Inc., 2008 WL 597186, at *9 (E.D.N.Y. Mar. 2, 2008) (finding that “the values of judicial economy, convenience, and fairness all favor exercising supplemental jurisdiction,” and explaining that “[t]o the extent that employees may feel intimidated about volunteering to participate in an action as suggested by the plaintiffs, fairness counsels in favor of exercising supplemental jurisdiction to hear their claims”); Brickey v. Dolgencorp, 244 F.R.D. 176, 178 (W.D.N.Y. 2007) (concluding that state law claims would not predominate and that exercising jurisdiction over claims that were “largely parallel to the FLSA” was in interests of judicial economy, convenience, and fairness); Duchene v. Michael L. Cetta, Inc., 244 F.R.D. 202, 203 (S.D.N.Y. 2007) (court found no indication that state claims would predominate, noting that similar claims for unlawful diversion of tips had been tried together in other district courts); Chan v. Triple 8 Palace, 2004 WL 1161299, at *3 (S.D.N.Y. May 24, 2004) (“the very same acts of the defendants that are alleged to violate federal law form the basis of the state claims” and “[r]equiring separate federal and state cases to litigate these claims would be wasteful and foolish”; rejecting argument that state law claims would predominate because they had longer statutes of limitations and could yield greater recoveries than FLSA claims); Ansoumana v. Gristede’s Operating Corp., 201 F.R.D. 81, 89–90, 95 (S.D.N.Y. 2001) (reasoning that “the essential facts and issues are likely to be the same [between the state and federal claims], and pre-trial proceedings are not likely to be materially more burdensome, nor is it likely that a trial will be materially prolonged, if supplemental jurisdiction is exercised over related Minimum Wage Act claims”; court rejected argument that state law claims would predominate due to longer statute of limitations, noting that “the existence of a longer statute of limitations in a related state claim is not a unique phenomenon, and district courts commonly exercise supplemental jurisdiction in such circumstances”; further reasoning that exercising jurisdiction was warranted by considerations of efficiency and economy); Brzychnalski v. Unesco, Inc., 35 F. Supp. 2d 351, 353–54 (S.D.N.Y. 1999) (despite different statutes of limitations, and in view of overlap between claims, court found no bar to exercising jurisdiction and no reason why claims should be separately litigated in two different courts).</w:t>
      </w:r>
    </w:p>
    <w:p w14:paraId="79C4294C" w14:textId="77777777" w:rsidR="00721CCF" w:rsidRPr="00AD2F44" w:rsidRDefault="00F42107">
      <w:pPr>
        <w:pStyle w:val="14Footnote"/>
      </w:pPr>
      <w:r w:rsidRPr="00AD2F44">
        <w:rPr>
          <w:i/>
          <w:iCs/>
        </w:rPr>
        <w:t>Third Circuit:</w:t>
      </w:r>
      <w:r w:rsidRPr="00AD2F44">
        <w:t xml:space="preserve"> Bates v. Delaware Health Corp., 874 F. Supp. 2d 405 (D. Del. 2012) (where number of people in FLSA class consisted of more than half of members of state law class, concluding that state law issues did not predominate over federal law issues); Goldman v. Radioshack Corp., 2003 WL 21250571, at *5 (E.D. Pa. Apr. 16, 2003) (where federal and state law claims were parallel, having state law claim litigated in state court could result in one claim having preclusive effects over the other, or alternatively, could result in conflicting outcomes on same legal issue, and declining jurisdiction would “needlessly increase litigation expenses for both parties”).</w:t>
      </w:r>
    </w:p>
    <w:p w14:paraId="75714968" w14:textId="77777777" w:rsidR="00721CCF" w:rsidRPr="00AD2F44" w:rsidRDefault="00F42107">
      <w:pPr>
        <w:pStyle w:val="14Footnote"/>
      </w:pPr>
      <w:r w:rsidRPr="00AD2F44">
        <w:rPr>
          <w:i/>
          <w:iCs/>
        </w:rPr>
        <w:t>Fourth Circuit:</w:t>
      </w:r>
      <w:r w:rsidRPr="00AD2F44">
        <w:t xml:space="preserve"> Ruffin v. Entertainment of the E. Panhandle, 2012 WL 5472165 (N.D. W. Va. Nov. 9, 2012) (finding that because substance and basis of FLSA and state law claims were virtually indistinguishable, state law claims did not predominate); Calderon</w:t>
      </w:r>
      <w:r w:rsidRPr="00AD2F44">
        <w:rPr>
          <w:i/>
          <w:iCs/>
        </w:rPr>
        <w:t xml:space="preserve"> </w:t>
      </w:r>
      <w:r w:rsidRPr="00AD2F44">
        <w:t>v. GEICO Gen. Ins. Co.,</w:t>
      </w:r>
      <w:r w:rsidRPr="00AD2F44">
        <w:rPr>
          <w:i/>
          <w:iCs/>
        </w:rPr>
        <w:t xml:space="preserve"> </w:t>
      </w:r>
      <w:r w:rsidRPr="00AD2F44">
        <w:t>279 F.R.D. 337, 344 (D. Md. 2012) (finding state law claims do not predominate when there are more state class members if the state claims are predicated on the same facts supporting the FLSA claims); McLaurin v. Prestage Foods, Inc., 271 F.R.D. 465, 471–72 (E.D.N.C. 2010) (“[T]he substance and basis of the FLSA claims and the state law claims are virtually indistinguishable. Because the state law claims ‘essentially replicate the FLSA claims[,]’” the state law claims “plainly do not predominate”; efficiency, judicial economy, and convenience of parties would be served by exercise of jurisdiction given that claims were based on same facts and would likely succeed or fail together) (quoting Lindsay v. Government Emps. Ins. Co., 448 F.3d 416, 425 (D.C. Cir. 2006)); Beltran-Benitez v. Sea Safari, Ltd., 180 F. Supp. 2d 772, 774 (E.D.N.C. 2001) (court retained supplemental jurisdiction because both claims raised same basic grievance that plaintiffs were not paid amount required under FLSA or state law, and neither pretrial nor trial proceedings would be materially impacted by proceeding with both federal and state law claims).</w:t>
      </w:r>
    </w:p>
    <w:p w14:paraId="161A2447" w14:textId="77777777" w:rsidR="00721CCF" w:rsidRPr="00AD2F44" w:rsidRDefault="00F42107">
      <w:pPr>
        <w:pStyle w:val="14Footnote"/>
      </w:pPr>
      <w:r w:rsidRPr="00AD2F44">
        <w:rPr>
          <w:i/>
          <w:iCs/>
        </w:rPr>
        <w:t xml:space="preserve">Fifth Circuit: </w:t>
      </w:r>
      <w:r w:rsidRPr="00AD2F44">
        <w:t>Lang v. DirecTV, Inc., 735 F. Supp. 2d 421, 428 (E.D. La. 2010) (state law claims did not predominate over FLSA claims where all claims involved same facts and evidence).</w:t>
      </w:r>
    </w:p>
    <w:p w14:paraId="03EE7743" w14:textId="77777777" w:rsidR="00721CCF" w:rsidRPr="00AD2F44" w:rsidRDefault="00F42107">
      <w:pPr>
        <w:pStyle w:val="14Footnote"/>
      </w:pPr>
      <w:r w:rsidRPr="00AD2F44">
        <w:rPr>
          <w:i/>
          <w:iCs/>
        </w:rPr>
        <w:t>Seventh Circuit:</w:t>
      </w:r>
      <w:r w:rsidRPr="00AD2F44">
        <w:t xml:space="preserve"> Ervin v. OS Rest. Servs., Inc., 632 F.3d 971, 980 (7th Cir. 2011) (holding that disparate numbers of claimants does not control where the state claims virtually replicate the federal claims).</w:t>
      </w:r>
    </w:p>
    <w:p w14:paraId="6E61F30B" w14:textId="77777777" w:rsidR="00721CCF" w:rsidRPr="00AD2F44" w:rsidRDefault="00F42107">
      <w:pPr>
        <w:pStyle w:val="14Footnote"/>
      </w:pPr>
      <w:r w:rsidRPr="00AD2F44">
        <w:rPr>
          <w:i/>
          <w:iCs/>
        </w:rPr>
        <w:t>Eighth Circuit:</w:t>
      </w:r>
      <w:r w:rsidRPr="00AD2F44">
        <w:t xml:space="preserve"> Bass v. PJCOMN Acquisition Corp., 2011 WL 2149602 (D. Colo. June 1, 2011) (evidence relevant to FLSA and state law minimum wage claims essentially same; would be inefficient to force employees to file parallel state law action); Cortez v. Nebraska Beef, Inc., 266 F.R.D. 275, 285–86 (D. Neb. 2010) (state law claims essentially replicate FLSA claims; both sets of claims involve same pay policy or practice, and, under those circumstances, state law claims could not be found to be novel and complex in comparison to FLSA claims); Nerland v. Caribou Coffee Co., Inc., 564 F. Supp. 2d 1010, 1029 (D. Minn. 2007) (state law class would not be much larger than FLSA class and state and federal claims were very similar); Salazar v. Agriprocessors, Inc., 527 F. Supp. 2d 873, 844 &amp; n.4, 887 (N.D. Iowa 2007) (where the size of the FLSA and IWPCL classes unknown, court found that the state law claims did not predominate and that the relevant factors, namely the similarity of the claims, weighed in favor of exercising jurisdiction, as did interest in conserving judicial resources; court noted that it might later consider whether sheer difference in numbers between two classes constituted substantial predomination, but that such examination would be premature at present stage of litigation).</w:t>
      </w:r>
    </w:p>
    <w:p w14:paraId="3EB5E58E" w14:textId="77777777" w:rsidR="00721CCF" w:rsidRPr="00AD2F44" w:rsidRDefault="00F42107">
      <w:pPr>
        <w:pStyle w:val="14Footnote"/>
      </w:pPr>
      <w:r w:rsidRPr="00AD2F44">
        <w:rPr>
          <w:i/>
          <w:iCs/>
        </w:rPr>
        <w:t>Ninth Circuit:</w:t>
      </w:r>
      <w:r w:rsidRPr="00AD2F44">
        <w:t xml:space="preserve"> Wang v. Chinese Daily News, Inc., 623 F.3d 743, 761–62 (9th Cir. 2010), </w:t>
      </w:r>
      <w:r w:rsidRPr="00AD2F44">
        <w:rPr>
          <w:i/>
          <w:iCs/>
        </w:rPr>
        <w:t>vacated on other grounds</w:t>
      </w:r>
      <w:r w:rsidRPr="00AD2F44">
        <w:t xml:space="preserve">, 132 S. Ct. 74 (2011) (“Although the number of claimants and amount of potential damages in the … [state law] claim may have been higher, as </w:t>
      </w:r>
      <w:r w:rsidRPr="00AD2F44">
        <w:rPr>
          <w:i/>
          <w:iCs/>
        </w:rPr>
        <w:t>Lindsay</w:t>
      </w:r>
      <w:r w:rsidRPr="00AD2F44">
        <w:t xml:space="preserve"> states, ‘[p]redomination under section 1367(c)(2) relates to the type of claim and here the state law claims essentially replicate the FLSA claims—they plainly do not predominate’”) (quoting </w:t>
      </w:r>
      <w:r w:rsidRPr="00AD2F44">
        <w:rPr>
          <w:i/>
          <w:iCs/>
        </w:rPr>
        <w:t>Lindsay</w:t>
      </w:r>
      <w:r w:rsidRPr="00AD2F44">
        <w:t>, 448 F.3d at 425); Gomez v. Rossi Concrete, Inc., 270 F.R.D. 579, 587 (S.D. Cal. 2010) (supplemental jurisdiction over state law overtime claims where federal ERISA claims involved largest potential recovery and plaintiffs asserting only individual FLSA claims were not using FLSA claims “merely as a jurisdictional hook to assert state law overtime claims in federal court”); Bamonte v. City of Mesa, 2007 WL 2022011, at *3 (D. Ariz. July 10, 2007) (where substance and basis of the claims are virtually indistinguishable, even though “class action on the state-law claim would involve approximately ten times as many plaintiffs as the FLSA claims … [j]udicial economy weighs against bifurcated state and federal proceedings”); Chavez v. IBP, Inc., 2002 WL 31662302, at *2 (E.D. Wash. Oct. 28, 2002) (rejecting argument that state law claims would predominate because of disparity in size between classes and finding that only difference between FLSA and state law claims was damages at issue, which did not cause the state law claims to substantially predominate); Kelley v. SBC, Inc., 1998 WL 928302, at *15 (N.D. Cal. Nov. 13, 1998) (having two classes would not alter substance of or unduly complicate litigation, and “the efficient administration of justice” supported supplemental jurisdiction since the alternative to a hybrid action would require the parties to litigate two parallel proceedings in different courts addressing virtually identical issues).</w:t>
      </w:r>
    </w:p>
    <w:p w14:paraId="63345C77" w14:textId="77777777" w:rsidR="00721CCF" w:rsidRPr="00AD2F44" w:rsidRDefault="00F42107">
      <w:pPr>
        <w:pStyle w:val="14Footnote"/>
      </w:pPr>
      <w:r w:rsidRPr="00AD2F44">
        <w:rPr>
          <w:i/>
          <w:iCs/>
        </w:rPr>
        <w:t>D.C. Circuit:</w:t>
      </w:r>
      <w:r w:rsidRPr="00AD2F44">
        <w:t xml:space="preserve"> Lindsay v. Government Emps. Ins. Co., 448 F.3d 416, 425 (D.C. Cir. 2006) (“Predomination under section 1367(c)(2) relates to the type of claim and here the state law claims essentially replicate the FLSA claims—they plainly do not predominate.”); Cryer v. InterSolutions, Inc., 2007 WL 1191928, at *4 (D.D.C. Apr. 20, 2007) (no likelihood that there would be “a huge disparity” in numbers such that state law class members would substantially outnumber FLSA opt-ins).</w:t>
      </w:r>
    </w:p>
  </w:footnote>
  <w:footnote w:id="1123">
    <w:p w14:paraId="6ACC1FF0" w14:textId="77777777" w:rsidR="00721CCF" w:rsidRPr="00AD2F44" w:rsidRDefault="00F42107">
      <w:pPr>
        <w:pStyle w:val="14Footnote"/>
      </w:pPr>
      <w:r w:rsidRPr="00AD2F44">
        <w:rPr>
          <w:vertAlign w:val="superscript"/>
        </w:rPr>
        <w:footnoteRef/>
      </w:r>
      <w:r w:rsidRPr="00AD2F44">
        <w:rPr>
          <w:i/>
          <w:iCs/>
        </w:rPr>
        <w:t>See, e.g</w:t>
      </w:r>
      <w:r w:rsidRPr="00AD2F44">
        <w:t xml:space="preserve">., </w:t>
      </w:r>
    </w:p>
    <w:p w14:paraId="33F22ACE" w14:textId="1CCBABBF" w:rsidR="00721CCF" w:rsidRPr="00AD2F44" w:rsidRDefault="00F42107">
      <w:pPr>
        <w:pStyle w:val="14Footnote"/>
        <w:rPr>
          <w:i/>
          <w:iCs/>
        </w:rPr>
      </w:pPr>
      <w:r w:rsidRPr="00AD2F44">
        <w:rPr>
          <w:i/>
          <w:iCs/>
        </w:rPr>
        <w:t>Second Circuit:</w:t>
      </w:r>
      <w:r w:rsidRPr="00AD2F44">
        <w:t xml:space="preserve"> Lynch v. U.S. Auto. Ass’n, 614 F. Supp. 2d 398, 402 (S.D.N.Y. 2007).</w:t>
      </w:r>
    </w:p>
    <w:p w14:paraId="5F891000" w14:textId="4A5E6E51" w:rsidR="00721CCF" w:rsidRPr="00AD2F44" w:rsidRDefault="00F42107">
      <w:pPr>
        <w:pStyle w:val="14Footnote"/>
      </w:pPr>
      <w:r w:rsidRPr="00AD2F44">
        <w:rPr>
          <w:i/>
          <w:iCs/>
        </w:rPr>
        <w:t>Eighth Circuit:</w:t>
      </w:r>
      <w:r w:rsidRPr="00AD2F44">
        <w:t xml:space="preserve"> Morales v. Greater Omaha Packing Co., Inc., 2008 BL 307805, 2008 WL 5255807, at *3 (D. Neb. Dec. 15, 2008).</w:t>
      </w:r>
    </w:p>
    <w:p w14:paraId="2837BF6C" w14:textId="7188ED67" w:rsidR="00721CCF" w:rsidRPr="00AD2F44" w:rsidRDefault="00F42107">
      <w:pPr>
        <w:pStyle w:val="14Footnote"/>
      </w:pPr>
      <w:r w:rsidRPr="00AD2F44">
        <w:rPr>
          <w:i/>
          <w:iCs/>
        </w:rPr>
        <w:t xml:space="preserve">Ninth Circuit: </w:t>
      </w:r>
      <w:r w:rsidRPr="00AD2F44">
        <w:t>Garcia v. NRI USA LLC, 2018 WL 2315962, at *3 (C.D. Cal. May 21, 2018) (holding that court can exercise supplemental jurisdiction over state law wage and hour class claims when original jurisdiction is present due to FLSA claim and state law claims do not predominate over FLSA claims).</w:t>
      </w:r>
    </w:p>
  </w:footnote>
  <w:footnote w:id="1124">
    <w:p w14:paraId="7DB74987" w14:textId="77777777" w:rsidR="00721CCF" w:rsidRPr="00AD2F44" w:rsidRDefault="00F42107">
      <w:pPr>
        <w:pStyle w:val="14Footnote"/>
      </w:pPr>
      <w:r w:rsidRPr="00AD2F44">
        <w:rPr>
          <w:vertAlign w:val="superscript"/>
        </w:rPr>
        <w:footnoteRef/>
      </w:r>
      <w:r w:rsidRPr="00AD2F44">
        <w:t xml:space="preserve">Oldershaw v. Davita Healthcare Partners, Inc., 255 F. Supp. 3d 1110, 1118 (D. Colo. 2017) (in hybrid FLSA and Colorado Wage Claim Act suit, holding that FLSA and state law claims should be bifurcated and that litigation of state law claims should not occur until after resolution of FLSA claims, reasoning that “proceeding with the FLSA claims prior to state law claims accomplishes several objectives”). </w:t>
      </w:r>
    </w:p>
  </w:footnote>
  <w:footnote w:id="1125">
    <w:p w14:paraId="7B8CC231" w14:textId="77777777" w:rsidR="00721CCF" w:rsidRPr="00AD2F44" w:rsidRDefault="00F42107">
      <w:pPr>
        <w:pStyle w:val="14Footnote"/>
      </w:pPr>
      <w:r w:rsidRPr="00AD2F44">
        <w:rPr>
          <w:vertAlign w:val="superscript"/>
        </w:rPr>
        <w:footnoteRef/>
      </w:r>
      <w:r w:rsidRPr="00AD2F44">
        <w:rPr>
          <w:i/>
          <w:iCs/>
        </w:rPr>
        <w:t>See, e.g.,</w:t>
      </w:r>
    </w:p>
    <w:p w14:paraId="6202BF45" w14:textId="334CBFDA" w:rsidR="00721CCF" w:rsidRPr="00AD2F44" w:rsidRDefault="00F42107">
      <w:pPr>
        <w:pStyle w:val="14Footnote"/>
      </w:pPr>
      <w:r w:rsidRPr="00AD2F44">
        <w:rPr>
          <w:i/>
          <w:iCs/>
        </w:rPr>
        <w:t xml:space="preserve">Second Circuit: </w:t>
      </w:r>
      <w:r w:rsidRPr="00AD2F44">
        <w:t>Shahriar v. Smith &amp; Wollensky Rest. Grp., Inc., 659 F.3d 234, 246 (2d Cir. 2011) (“[W]e agree with our sister circuits that the fact that there are more class members in the state law class action than those in the FLSA collective action ‘should not lead a court to the conclusion that a state claim “substantially predominates” over the FLSA action, as section 1367(c) uses that phrase’”); Davis v. 2192 Niagara St., LLC, 2021 BL 217673, 2021 WL 8322485 (W.D.N.Y. June 9, 2021) (holding state law claims did not predominate, rejecting defendant’s argument that FLSA claim had little monetary value in comparison to state law claims, reasoning that monetary value is not valid basis to decline to exercise supplemental jurisdiction); Whitehorn v. Wolfgang’s Steakhouse, Inc., 275 F.R.D. 193, 197 (S.D.N.Y. 2011) (focusing on the type of claims rather than the number of claimants to conclude that state law claims would not predominate as they presented the same issues as the FLSA claims); Damassia v. Duane Reade, Inc., 250 F.R.D. 152, 162–63 (S.D.N.Y. 2008) (“[W]hile a federal court may decline to exercise supplemental jurisdiction where a state law claim ‘substantially predominates’ over the federal claims, such predominance refers to the type of claim, not the number of claimants.”) (citations omitted); Iglesias-Mendoza v. La Belle Farm, Inc., 239 F.R.D. 363, 375 (S.D.N.Y. 2007) (“Predominance under … §1367(c)(2) relates to the type of claim being brought rather than the size of the respective classes.”) (citing cases).</w:t>
      </w:r>
    </w:p>
    <w:p w14:paraId="1E70A272" w14:textId="77777777" w:rsidR="00721CCF" w:rsidRPr="00AD2F44" w:rsidRDefault="00F42107">
      <w:pPr>
        <w:pStyle w:val="14Footnote"/>
      </w:pPr>
      <w:r w:rsidRPr="00AD2F44">
        <w:rPr>
          <w:i/>
          <w:iCs/>
        </w:rPr>
        <w:t xml:space="preserve">Fourth Circuit: </w:t>
      </w:r>
      <w:r w:rsidRPr="00AD2F44">
        <w:t>Calderon v. GEICO Gen. Ins. Co., 279 F.R.D. 337, 339 (D. Md. 2012) (state law claims did not predominate even though state class outnumbered opt-ins 77 to 9).</w:t>
      </w:r>
    </w:p>
    <w:p w14:paraId="6214A3DD" w14:textId="77777777" w:rsidR="00721CCF" w:rsidRPr="00AD2F44" w:rsidRDefault="00F42107">
      <w:pPr>
        <w:pStyle w:val="14Footnote"/>
      </w:pPr>
      <w:r w:rsidRPr="00AD2F44">
        <w:rPr>
          <w:i/>
          <w:iCs/>
        </w:rPr>
        <w:t xml:space="preserve">Seventh Circuit: </w:t>
      </w:r>
      <w:r w:rsidRPr="00AD2F44">
        <w:t>Hawkins v. Securitas Sec. Servs. USA, Inc., 280 F.R.D. 388 (N.D. Ill. 2011) (state law class claims did not “predominate” even though only the two named plaintiffs had FLSA claims); Garcia v. Freedom Mortg. Corp., 274 F.R.D. 513 (D.N.J. 2011) (rejecting argument that predominance test examines number of class members).</w:t>
      </w:r>
    </w:p>
    <w:p w14:paraId="4CDF34D1" w14:textId="77777777" w:rsidR="00721CCF" w:rsidRPr="00AD2F44" w:rsidRDefault="00F42107">
      <w:pPr>
        <w:pStyle w:val="14Footnote"/>
      </w:pPr>
      <w:r w:rsidRPr="00AD2F44">
        <w:rPr>
          <w:i/>
          <w:iCs/>
        </w:rPr>
        <w:t xml:space="preserve">Eighth Circuit: </w:t>
      </w:r>
      <w:r w:rsidRPr="00AD2F44">
        <w:t>Cortez v. Nebraska Beef, Inc., 266 F.R.D. 275, 286 (D. Neb. 2010) (“the relevant consideration for the defendants’ motion to dismiss is the type of claims involved, rather than the potential difference in size of the two classes”; “the potential disparity in the size of the two class[es] is an insufficient ground, by itself, to decline supplemental jurisdiction pursuant to 28 U.S.C. §1367(c)(2)”).</w:t>
      </w:r>
    </w:p>
    <w:p w14:paraId="29FA2678" w14:textId="77777777" w:rsidR="00721CCF" w:rsidRPr="00AD2F44" w:rsidRDefault="00F42107">
      <w:pPr>
        <w:pStyle w:val="14Footnote"/>
      </w:pPr>
      <w:r w:rsidRPr="00AD2F44">
        <w:rPr>
          <w:i/>
        </w:rPr>
        <w:t>See also</w:t>
      </w:r>
    </w:p>
    <w:p w14:paraId="7CA29CB0" w14:textId="77777777" w:rsidR="00721CCF" w:rsidRPr="00AD2F44" w:rsidRDefault="00F42107">
      <w:pPr>
        <w:pStyle w:val="14Footnote"/>
      </w:pPr>
      <w:r w:rsidRPr="00AD2F44">
        <w:rPr>
          <w:i/>
          <w:iCs/>
        </w:rPr>
        <w:t xml:space="preserve">First Circuit: </w:t>
      </w:r>
      <w:r w:rsidRPr="00AD2F44">
        <w:t>McLaughlin v. Liberty Mut. Ins. Co., 224 F.R.D. 304, 313 (D. Mass. 2004) (finding that state law claims did not substantially predominate where there were 51 state law class members and 13 FLSA opt-ins).</w:t>
      </w:r>
    </w:p>
    <w:p w14:paraId="0561F6A4" w14:textId="77777777" w:rsidR="00721CCF" w:rsidRPr="00AD2F44" w:rsidRDefault="00F42107">
      <w:pPr>
        <w:pStyle w:val="14Footnote"/>
      </w:pPr>
      <w:r w:rsidRPr="00AD2F44">
        <w:rPr>
          <w:i/>
          <w:iCs/>
        </w:rPr>
        <w:t xml:space="preserve">Second Circuit: </w:t>
      </w:r>
      <w:r w:rsidRPr="00AD2F44">
        <w:t>Scholtisek v. Eldre Corp., 229 F.R.D. 381, 394 (W.D.N.Y. 2005) (finding that state law claims did not substantially predominate where there were 140 state law class members and 40 FLSA class members).</w:t>
      </w:r>
    </w:p>
    <w:p w14:paraId="1A3F97DE" w14:textId="77777777" w:rsidR="00721CCF" w:rsidRPr="00AD2F44" w:rsidRDefault="00F42107">
      <w:pPr>
        <w:pStyle w:val="14Footnote"/>
      </w:pPr>
      <w:r w:rsidRPr="00AD2F44">
        <w:rPr>
          <w:i/>
          <w:iCs/>
        </w:rPr>
        <w:t xml:space="preserve">Ninth Circuit: </w:t>
      </w:r>
      <w:r w:rsidRPr="00AD2F44">
        <w:t>Chavez v. IBP, Inc., 2002 WL 31662302, at *2 (E.D. Wash. Oct. 28, 2002).</w:t>
      </w:r>
    </w:p>
    <w:p w14:paraId="14B1F286" w14:textId="77777777" w:rsidR="00721CCF" w:rsidRPr="00AD2F44" w:rsidRDefault="00F42107">
      <w:pPr>
        <w:pStyle w:val="14Footnote"/>
        <w:rPr>
          <w:i/>
          <w:iCs/>
        </w:rPr>
      </w:pPr>
      <w:r w:rsidRPr="00AD2F44">
        <w:rPr>
          <w:i/>
          <w:iCs/>
        </w:rPr>
        <w:t>Cf.</w:t>
      </w:r>
    </w:p>
    <w:p w14:paraId="09B1AE1D" w14:textId="77777777" w:rsidR="00721CCF" w:rsidRPr="00AD2F44" w:rsidRDefault="00F42107">
      <w:pPr>
        <w:pStyle w:val="14Footnote"/>
      </w:pPr>
      <w:r w:rsidRPr="00AD2F44">
        <w:rPr>
          <w:i/>
          <w:iCs/>
        </w:rPr>
        <w:t xml:space="preserve">Fourth Circuit: </w:t>
      </w:r>
      <w:r w:rsidRPr="00AD2F44">
        <w:t>McLaurin v. Prestage Foods, Inc., 271 F.R.D. 465, 471 &amp; n.4 (E.D.N.C. 2010) (recognizing that Rule 23 class could contain “many more plaintiffs than the collective action,” but focusing on “type of claims involved” rather than potential size difference at procedural stage of case where it would be premature to make an examination of potential sizes).</w:t>
      </w:r>
    </w:p>
    <w:p w14:paraId="00714131" w14:textId="77777777" w:rsidR="00721CCF" w:rsidRPr="00AD2F44" w:rsidRDefault="00F42107">
      <w:pPr>
        <w:pStyle w:val="14Footnote"/>
      </w:pPr>
      <w:r w:rsidRPr="00AD2F44">
        <w:rPr>
          <w:i/>
          <w:iCs/>
        </w:rPr>
        <w:t xml:space="preserve">D.C. Circuit: </w:t>
      </w:r>
      <w:r w:rsidRPr="00AD2F44">
        <w:t>Lindsay v. Government Emps. Ins. Co., 448 F.3d 416, 425 n.12 (D.C. Cir. 2006) (noting that some courts have concluded that disparity in numbers between FLSA class and proposed state law class may be so great that it becomes dispositive of predomination issue, but concluding that, “[t]he correctness of this interpretation aside, we believe it is inapplicable here where the two classes are almost identical in size”).</w:t>
      </w:r>
    </w:p>
  </w:footnote>
  <w:footnote w:id="1126">
    <w:p w14:paraId="13DEA030" w14:textId="77777777" w:rsidR="00721CCF" w:rsidRPr="00AD2F44" w:rsidRDefault="00F42107">
      <w:pPr>
        <w:pStyle w:val="14Footnote"/>
      </w:pPr>
      <w:r w:rsidRPr="00AD2F44">
        <w:rPr>
          <w:vertAlign w:val="superscript"/>
        </w:rPr>
        <w:footnoteRef/>
      </w:r>
      <w:r w:rsidRPr="00AD2F44">
        <w:t>632 F.3d 971 (7th Cir. 2011).</w:t>
      </w:r>
    </w:p>
  </w:footnote>
  <w:footnote w:id="1127">
    <w:p w14:paraId="5EB40B6E" w14:textId="77777777" w:rsidR="00721CCF" w:rsidRPr="00AD2F44" w:rsidRDefault="00F42107">
      <w:pPr>
        <w:pStyle w:val="14Footnote"/>
      </w:pPr>
      <w:r w:rsidRPr="00AD2F44">
        <w:rPr>
          <w:vertAlign w:val="superscript"/>
        </w:rPr>
        <w:footnoteRef/>
      </w:r>
      <w:r w:rsidRPr="00AD2F44">
        <w:rPr>
          <w:i/>
          <w:iCs/>
        </w:rPr>
        <w:t>Id</w:t>
      </w:r>
      <w:r w:rsidRPr="00AD2F44">
        <w:t>. at 980.</w:t>
      </w:r>
    </w:p>
  </w:footnote>
  <w:footnote w:id="1128">
    <w:p w14:paraId="3C2776EE" w14:textId="77777777" w:rsidR="00721CCF" w:rsidRPr="00AD2F44" w:rsidRDefault="00F42107">
      <w:pPr>
        <w:pStyle w:val="14Footnote"/>
      </w:pPr>
      <w:r w:rsidRPr="00AD2F44">
        <w:rPr>
          <w:vertAlign w:val="superscript"/>
        </w:rPr>
        <w:footnoteRef/>
      </w:r>
      <w:r w:rsidRPr="00AD2F44">
        <w:rPr>
          <w:i/>
          <w:iCs/>
        </w:rPr>
        <w:t>Id</w:t>
      </w:r>
      <w:r w:rsidRPr="00AD2F44">
        <w:t>. at 980–81.</w:t>
      </w:r>
    </w:p>
  </w:footnote>
  <w:footnote w:id="1129">
    <w:p w14:paraId="510A6346" w14:textId="77777777" w:rsidR="00721CCF" w:rsidRPr="00AD2F44" w:rsidRDefault="00F42107">
      <w:pPr>
        <w:pStyle w:val="14Footnote"/>
      </w:pPr>
      <w:r w:rsidRPr="00AD2F44">
        <w:rPr>
          <w:vertAlign w:val="superscript"/>
        </w:rPr>
        <w:footnoteRef/>
      </w:r>
      <w:r w:rsidRPr="00AD2F44">
        <w:rPr>
          <w:i/>
          <w:iCs/>
        </w:rPr>
        <w:t>Id</w:t>
      </w:r>
      <w:r w:rsidRPr="00AD2F44">
        <w:t>.</w:t>
      </w:r>
    </w:p>
  </w:footnote>
  <w:footnote w:id="1130">
    <w:p w14:paraId="168F53F7" w14:textId="77777777" w:rsidR="00721CCF" w:rsidRPr="00AD2F44" w:rsidRDefault="00F42107">
      <w:pPr>
        <w:pStyle w:val="14Footnote"/>
      </w:pPr>
      <w:r w:rsidRPr="00AD2F44">
        <w:rPr>
          <w:vertAlign w:val="superscript"/>
        </w:rPr>
        <w:footnoteRef/>
      </w:r>
      <w:r w:rsidRPr="00AD2F44">
        <w:rPr>
          <w:i/>
          <w:iCs/>
        </w:rPr>
        <w:t>Id</w:t>
      </w:r>
      <w:r w:rsidRPr="00AD2F44">
        <w:t>. at 981.</w:t>
      </w:r>
    </w:p>
  </w:footnote>
  <w:footnote w:id="1131">
    <w:p w14:paraId="1394F4EA" w14:textId="77777777" w:rsidR="00721CCF" w:rsidRPr="00AD2F44" w:rsidRDefault="00F42107">
      <w:pPr>
        <w:pStyle w:val="14Footnote"/>
      </w:pPr>
      <w:r w:rsidRPr="00AD2F44">
        <w:rPr>
          <w:vertAlign w:val="superscript"/>
        </w:rPr>
        <w:footnoteRef/>
      </w:r>
      <w:r w:rsidRPr="00AD2F44">
        <w:t>28 U.S.C. §1367(c)(3).</w:t>
      </w:r>
    </w:p>
  </w:footnote>
  <w:footnote w:id="1132">
    <w:p w14:paraId="548461BD" w14:textId="4C68C548" w:rsidR="00721CCF" w:rsidRPr="00AD2F44" w:rsidRDefault="00F42107">
      <w:pPr>
        <w:pStyle w:val="14Footnote"/>
      </w:pPr>
      <w:r w:rsidRPr="00AD2F44">
        <w:rPr>
          <w:vertAlign w:val="superscript"/>
        </w:rPr>
        <w:footnoteRef/>
      </w:r>
      <w:r w:rsidRPr="00AD2F44">
        <w:t xml:space="preserve">Lundy v. Catholic Health Sys. of Long Island, Inc., 711 F.3d 106, 118 (2d Cir. 2013). </w:t>
      </w:r>
    </w:p>
  </w:footnote>
  <w:footnote w:id="1133">
    <w:p w14:paraId="75A67A5B" w14:textId="11511D83" w:rsidR="00721CCF" w:rsidRPr="00AD2F44" w:rsidRDefault="00F42107">
      <w:pPr>
        <w:pStyle w:val="14Footnote"/>
      </w:pPr>
      <w:r w:rsidRPr="00AD2F44">
        <w:rPr>
          <w:vertAlign w:val="superscript"/>
        </w:rPr>
        <w:footnoteRef/>
      </w:r>
      <w:r w:rsidRPr="00AD2F44">
        <w:t xml:space="preserve">Trujillo v. Winco Foods, LLC, 2007 WL 3054001, at *2 (E.D. Cal. Oct. 19, 2007). </w:t>
      </w:r>
    </w:p>
  </w:footnote>
  <w:footnote w:id="1134">
    <w:p w14:paraId="0EB0E814" w14:textId="472CFFAD" w:rsidR="00721CCF" w:rsidRPr="00AD2F44" w:rsidRDefault="00F42107">
      <w:pPr>
        <w:pStyle w:val="14Footnote"/>
      </w:pPr>
      <w:r w:rsidRPr="00AD2F44">
        <w:rPr>
          <w:vertAlign w:val="superscript"/>
        </w:rPr>
        <w:footnoteRef/>
      </w:r>
      <w:r w:rsidRPr="00AD2F44">
        <w:t>Musarra v. Digital Dish, Inc., 454 F. Supp. 2d 692 (S.D. Ohio 2006) (dismissing FLSA claims because plaintiffs fell under Motor Carrier Act exemption); Alfonso v. Mougis Logistics Corp., 2021 BL 464822, 2021 WL 5771769 (S.D.N.Y. Dec. 6, 2021) (district court declined to exercise supplemental jurisdiction over remaining state law claims after dismissing plaintiff’s FLSA claims for failure to plausibly allege that wages fell below federal minimum wage).</w:t>
      </w:r>
    </w:p>
  </w:footnote>
  <w:footnote w:id="1135">
    <w:p w14:paraId="4CBE44A8" w14:textId="1CD07542" w:rsidR="00721CCF" w:rsidRPr="00AD2F44" w:rsidRDefault="00F42107" w:rsidP="007571ED">
      <w:pPr>
        <w:pStyle w:val="14Footnote"/>
      </w:pPr>
      <w:r w:rsidRPr="00AD2F44">
        <w:rPr>
          <w:rStyle w:val="FootnoteReference"/>
        </w:rPr>
        <w:footnoteRef/>
      </w:r>
      <w:r w:rsidRPr="00AD2F44">
        <w:t xml:space="preserve">454 F. Supp. 2d 692. </w:t>
      </w:r>
    </w:p>
  </w:footnote>
  <w:footnote w:id="1136">
    <w:p w14:paraId="33C3F3D9" w14:textId="77777777" w:rsidR="00721CCF" w:rsidRPr="00AD2F44" w:rsidRDefault="00F42107">
      <w:pPr>
        <w:pStyle w:val="14Footnote"/>
      </w:pPr>
      <w:r w:rsidRPr="00AD2F44">
        <w:rPr>
          <w:vertAlign w:val="superscript"/>
        </w:rPr>
        <w:footnoteRef/>
      </w:r>
      <w:r w:rsidRPr="00AD2F44">
        <w:rPr>
          <w:i/>
          <w:iCs/>
        </w:rPr>
        <w:t>Id</w:t>
      </w:r>
      <w:r w:rsidRPr="00AD2F44">
        <w:t>. at 699, 723–24.</w:t>
      </w:r>
    </w:p>
  </w:footnote>
  <w:footnote w:id="1137">
    <w:p w14:paraId="7F6EA897" w14:textId="77777777" w:rsidR="00721CCF" w:rsidRPr="00AD2F44" w:rsidRDefault="00F42107">
      <w:pPr>
        <w:pStyle w:val="14Footnote"/>
      </w:pPr>
      <w:r w:rsidRPr="00AD2F44">
        <w:rPr>
          <w:rStyle w:val="FootnoteReference"/>
        </w:rPr>
        <w:footnoteRef/>
      </w:r>
      <w:r w:rsidRPr="00AD2F44">
        <w:t xml:space="preserve">Verma v. 3001 Castor, Inc., 937 F.3d 221, 224 (3d Cir. 2019). </w:t>
      </w:r>
      <w:r w:rsidRPr="00AD2F44">
        <w:rPr>
          <w:i/>
          <w:iCs/>
        </w:rPr>
        <w:t>See also</w:t>
      </w:r>
      <w:r w:rsidRPr="00AD2F44">
        <w:t xml:space="preserve"> Green v. Platinum Rests. Mid-Am., LLC, 2020 WL 1452724 (W.D. Ky. Mar. 25, 2020) (retaining jurisdiction over state law claims after dismissal of named plaintiffs’ FLSA claims because claims arose from same conduct and were intertwined with FLSA action). </w:t>
      </w:r>
    </w:p>
  </w:footnote>
  <w:footnote w:id="1138">
    <w:p w14:paraId="5346A41D" w14:textId="77777777" w:rsidR="00721CCF" w:rsidRPr="00AD2F44" w:rsidRDefault="00F42107">
      <w:pPr>
        <w:pStyle w:val="14Footnote"/>
      </w:pPr>
      <w:r w:rsidRPr="00AD2F44">
        <w:rPr>
          <w:vertAlign w:val="superscript"/>
        </w:rPr>
        <w:footnoteRef/>
      </w:r>
      <w:r w:rsidRPr="00AD2F44">
        <w:t>28 U.S.C. §1367(c)(4).</w:t>
      </w:r>
    </w:p>
  </w:footnote>
  <w:footnote w:id="1139">
    <w:p w14:paraId="5812BEBB" w14:textId="447DFB18" w:rsidR="00721CCF" w:rsidRPr="00AD2F44" w:rsidRDefault="00F42107">
      <w:pPr>
        <w:pStyle w:val="14Footnote"/>
      </w:pPr>
      <w:r w:rsidRPr="00AD2F44">
        <w:rPr>
          <w:vertAlign w:val="superscript"/>
        </w:rPr>
        <w:footnoteRef/>
      </w:r>
      <w:r w:rsidRPr="00AD2F44">
        <w:t>This argument and the courts’ analysis are very similar to the incompat</w:t>
      </w:r>
      <w:r>
        <w:t>i</w:t>
      </w:r>
      <w:r w:rsidRPr="00AD2F44">
        <w:t>bility arguments addressed in §XI.C.1 [Hybrid FLSA/State Law Class Actions; Legal Challenges to Hybrid Actions; “Incompatibility”] of this chapter.</w:t>
      </w:r>
    </w:p>
  </w:footnote>
  <w:footnote w:id="1140">
    <w:p w14:paraId="622BEFBC" w14:textId="77777777" w:rsidR="00721CCF" w:rsidRPr="00AD2F44" w:rsidRDefault="00F42107">
      <w:pPr>
        <w:pStyle w:val="14Footnote"/>
        <w:rPr>
          <w:i/>
          <w:iCs/>
        </w:rPr>
      </w:pPr>
      <w:r w:rsidRPr="00AD2F44">
        <w:rPr>
          <w:vertAlign w:val="superscript"/>
        </w:rPr>
        <w:footnoteRef/>
      </w:r>
      <w:r w:rsidRPr="00AD2F44">
        <w:t xml:space="preserve">Lindsay v. Government Emps. Ins. Co., 448 F.3d 416, 424–25 (D.C. Cir. 2006). </w:t>
      </w:r>
      <w:r w:rsidRPr="00AD2F44">
        <w:rPr>
          <w:i/>
          <w:iCs/>
        </w:rPr>
        <w:t>Accord</w:t>
      </w:r>
    </w:p>
    <w:p w14:paraId="4A98FD67" w14:textId="77777777" w:rsidR="00721CCF" w:rsidRPr="00AD2F44" w:rsidRDefault="00F42107">
      <w:pPr>
        <w:pStyle w:val="14Footnote"/>
      </w:pPr>
      <w:r w:rsidRPr="00AD2F44">
        <w:rPr>
          <w:i/>
          <w:iCs/>
        </w:rPr>
        <w:t xml:space="preserve">Second Circuit: </w:t>
      </w:r>
      <w:r w:rsidRPr="00AD2F44">
        <w:t xml:space="preserve">Shahriar v. Smith &amp; Wollensky Rest. Grp., Inc., 659 F.3d 234, 247–49 (2d Cir. 2011) (agreeing with </w:t>
      </w:r>
      <w:r w:rsidRPr="00AD2F44">
        <w:rPr>
          <w:i/>
          <w:iCs/>
        </w:rPr>
        <w:t>Ervin v. OS Rest. Servs., Inc</w:t>
      </w:r>
      <w:r w:rsidRPr="00AD2F44">
        <w:t>., 632 F.3d 971 (7th Cir. 2011)).</w:t>
      </w:r>
    </w:p>
    <w:p w14:paraId="6A3E26CA" w14:textId="77777777" w:rsidR="00721CCF" w:rsidRPr="00AD2F44" w:rsidRDefault="00F42107">
      <w:pPr>
        <w:pStyle w:val="14Footnote"/>
      </w:pPr>
      <w:r w:rsidRPr="00AD2F44">
        <w:rPr>
          <w:i/>
          <w:iCs/>
        </w:rPr>
        <w:t xml:space="preserve">Third Circuit: </w:t>
      </w:r>
      <w:r w:rsidRPr="00AD2F44">
        <w:t xml:space="preserve">Troncone v. Velahos, 2012 WL 3018061, at *3 (D.N.J. July 23, 2012) (granting reconsideration of dismissal of state law claims due to conflict based on finding that Third Circuit in </w:t>
      </w:r>
      <w:r w:rsidRPr="00AD2F44">
        <w:rPr>
          <w:i/>
          <w:iCs/>
        </w:rPr>
        <w:t>Knepper v. Rite Aid Corp</w:t>
      </w:r>
      <w:r w:rsidRPr="00AD2F44">
        <w:t>., 675 F.3d 249 (3d Cir. 2012), held that there was no such conflict).</w:t>
      </w:r>
    </w:p>
    <w:p w14:paraId="6D63136F" w14:textId="77777777" w:rsidR="00721CCF" w:rsidRPr="00AD2F44" w:rsidRDefault="00F42107">
      <w:pPr>
        <w:pStyle w:val="14Footnote"/>
      </w:pPr>
      <w:r w:rsidRPr="00AD2F44">
        <w:rPr>
          <w:i/>
          <w:iCs/>
        </w:rPr>
        <w:t>Seventh Circuit: Ervin</w:t>
      </w:r>
      <w:r w:rsidRPr="00AD2F44">
        <w:t>,</w:t>
      </w:r>
      <w:r w:rsidRPr="00AD2F44">
        <w:rPr>
          <w:i/>
          <w:iCs/>
        </w:rPr>
        <w:t xml:space="preserve"> </w:t>
      </w:r>
      <w:r w:rsidRPr="00AD2F44">
        <w:t>632 F.3d at 980 (recognizing that “while there may in some cases be exceptional circumstances or compelling reasons for declining jurisdiction, the ‘conflict’ between the opt-in procedure under the FLSA and the opt-out procedure under Rule 23 is not a proper reason to decline jurisdiction under section 1367(c)(4)”).</w:t>
      </w:r>
    </w:p>
    <w:p w14:paraId="0CED736D" w14:textId="77777777" w:rsidR="00721CCF" w:rsidRPr="00AD2F44" w:rsidRDefault="00F42107">
      <w:pPr>
        <w:pStyle w:val="14Footnote"/>
      </w:pPr>
      <w:r w:rsidRPr="00AD2F44">
        <w:rPr>
          <w:i/>
          <w:iCs/>
        </w:rPr>
        <w:t>See also</w:t>
      </w:r>
      <w:r w:rsidRPr="00AD2F44">
        <w:t xml:space="preserve"> </w:t>
      </w:r>
      <w:r w:rsidRPr="00AD2F44">
        <w:rPr>
          <w:i/>
          <w:iCs/>
        </w:rPr>
        <w:t>Knepper</w:t>
      </w:r>
      <w:r w:rsidRPr="00AD2F44">
        <w:t>, 675 F.3d at 258, 260–61 (holding no inherent incompatibility and agreeing with Seventh Circuit that “the ‘conflict’ between the opt-in procedure under the FLSA and the opt-out procedure under Rule 23 is not a proper reason to decline jurisdiction”).</w:t>
      </w:r>
    </w:p>
  </w:footnote>
  <w:footnote w:id="1141">
    <w:p w14:paraId="0C71D7DF" w14:textId="77777777" w:rsidR="00721CCF" w:rsidRPr="00AD2F44" w:rsidRDefault="00F42107">
      <w:pPr>
        <w:pStyle w:val="14Footnote"/>
      </w:pPr>
      <w:r w:rsidRPr="00AD2F44">
        <w:rPr>
          <w:vertAlign w:val="superscript"/>
        </w:rPr>
        <w:footnoteRef/>
      </w:r>
      <w:r w:rsidRPr="00AD2F44">
        <w:rPr>
          <w:i/>
        </w:rPr>
        <w:t>See</w:t>
      </w:r>
    </w:p>
    <w:p w14:paraId="06732D21" w14:textId="77777777" w:rsidR="00721CCF" w:rsidRPr="00AD2F44" w:rsidRDefault="00F42107">
      <w:pPr>
        <w:pStyle w:val="14Footnote"/>
      </w:pPr>
      <w:r w:rsidRPr="00AD2F44">
        <w:rPr>
          <w:i/>
          <w:iCs/>
        </w:rPr>
        <w:t xml:space="preserve">Third Circuit: </w:t>
      </w:r>
      <w:r w:rsidRPr="00AD2F44">
        <w:t xml:space="preserve">Gibbons v. Office Depot, Inc., 2013 WL 1890265, at *4 (D.N.J. Feb. 22, 2013) (observing conflict between FLSA’s “opt-in” and Rule 23’s “opt-out” mechanisms and finding it presented a “compelling reason” for the court to decline to exercise supplemental jurisdiction over state law claims under 28 U.S.C. </w:t>
      </w:r>
      <w:r w:rsidRPr="00AD2F44">
        <w:br/>
        <w:t>§1367(c)(4); dismissing plaintiff’s state wage claim but allowing plaintiff’s FLSA claim to proceed); Barnello v. AGC Chems. Ams., Inc., 2009 WL 234142, at *4–5 (D.N.J. Jan. 29, 2009) (holding that §1367(c)(4) criteria satisfied because state law claims mirrored FLSA claims, employer would have to defend in federal court against plaintiffs with no real interest in FLSA suit, and this tactic would defeat Congress’ intent to avoid opt-out collective actions); Hickton v. Enterprise Rent-A-Car Co., Inc., 2008 WL 4279818, at *4 (W.D. Pa. Sept. 12, 2008) (holding that, when the principal claim is under FLSA opt-in procedure, “incompatibility” between opt-in and opt-out claims is “compelling reason” for declining jurisdiction within meaning of §1367(c)(4)); Hyman v. WM Fin. Servs., 2007 WL 1657392, at *6 (D.N.J. June 7, 2007) (holding that, where state law claim mimicked FLSA claim except that former was opt-out claim and latter was opt-in claim, allowing plaintiffs to proceed with state law opt-out claim would circumvent Congress’ intent to ensure that only those plaintiffs with vested interest in outcome of suit actually proceed with action, therefore making it appropriate to decline jurisdiction under §1367(c)(4)).</w:t>
      </w:r>
    </w:p>
    <w:p w14:paraId="0B96F76D" w14:textId="77777777" w:rsidR="00721CCF" w:rsidRPr="00AD2F44" w:rsidRDefault="00F42107">
      <w:pPr>
        <w:pStyle w:val="14Footnote"/>
      </w:pPr>
      <w:r w:rsidRPr="00AD2F44">
        <w:rPr>
          <w:i/>
          <w:iCs/>
        </w:rPr>
        <w:t xml:space="preserve">Fifth Circuit: </w:t>
      </w:r>
      <w:r w:rsidRPr="00AD2F44">
        <w:t>Jackson v. City of San Antonio, 220 F.R.D. 55, 59–60 (W.D. Tex. 2003) (finding compelling reasons for declining jurisdiction because propriety of jurisdiction over non-FLSA opt-in plaintiffs was “murky,” and simultaneous management of two opposite procedures of class formation would detract from efficient resolution of substantive dispute and be frowned on by Fifth Circuit).</w:t>
      </w:r>
    </w:p>
    <w:p w14:paraId="399EB90F" w14:textId="77777777" w:rsidR="00721CCF" w:rsidRPr="00AD2F44" w:rsidRDefault="00F42107">
      <w:pPr>
        <w:pStyle w:val="14Footnote"/>
      </w:pPr>
      <w:r w:rsidRPr="00AD2F44">
        <w:rPr>
          <w:i/>
          <w:iCs/>
        </w:rPr>
        <w:t xml:space="preserve">Tenth Circuit: In re </w:t>
      </w:r>
      <w:r w:rsidRPr="00AD2F44">
        <w:t>American Family Mut. Ins. Co. Overtime Pay Litig., 638 F. Supp. 2d 1290, 1297–99, 1301–02 (D. Colo. 2009).</w:t>
      </w:r>
    </w:p>
    <w:p w14:paraId="192E5196" w14:textId="77777777" w:rsidR="00721CCF" w:rsidRPr="00AD2F44" w:rsidRDefault="00F42107">
      <w:pPr>
        <w:pStyle w:val="14Footnote"/>
        <w:rPr>
          <w:i/>
          <w:iCs/>
        </w:rPr>
      </w:pPr>
      <w:r w:rsidRPr="00AD2F44">
        <w:rPr>
          <w:i/>
          <w:iCs/>
        </w:rPr>
        <w:t>Cf.</w:t>
      </w:r>
    </w:p>
    <w:p w14:paraId="20FCB8DE" w14:textId="77777777" w:rsidR="00721CCF" w:rsidRPr="00AD2F44" w:rsidRDefault="00F42107">
      <w:pPr>
        <w:pStyle w:val="14Footnote"/>
      </w:pPr>
      <w:r w:rsidRPr="00AD2F44">
        <w:rPr>
          <w:i/>
          <w:iCs/>
        </w:rPr>
        <w:t xml:space="preserve">Third Circuit: </w:t>
      </w:r>
      <w:r w:rsidRPr="00AD2F44">
        <w:t>Shah v. Hyatt Corp. 2010 WL 365632, at *3 (E.D. Pa. Feb. 1, 2010) (where the removing defendant had invoked supplemental jurisdiction over Rule 23 state law class action on ground that named plaintiff was diverse from defendant and seeking to recover more than $75,000, court opined that a “compelling reason” not to exercise supplemental jurisdiction was that allowing action to proceed in federal court would give federal venue for claims that “implicat[ed] rights under the FLSA,” which would be “affront to congressional intent” in imposing an opt-in requirement for FLSA collective actions),</w:t>
      </w:r>
      <w:r w:rsidRPr="00AD2F44">
        <w:rPr>
          <w:i/>
          <w:iCs/>
        </w:rPr>
        <w:t xml:space="preserve"> rev’d on other grounds</w:t>
      </w:r>
      <w:r w:rsidRPr="00AD2F44">
        <w:t>, 425 F. App’x 121 (3d Cir. 2011).</w:t>
      </w:r>
    </w:p>
    <w:p w14:paraId="1A4CDA2B" w14:textId="77777777" w:rsidR="00721CCF" w:rsidRPr="00AD2F44" w:rsidRDefault="00F42107">
      <w:pPr>
        <w:pStyle w:val="14Footnote"/>
      </w:pPr>
      <w:r w:rsidRPr="00AD2F44">
        <w:rPr>
          <w:i/>
          <w:iCs/>
        </w:rPr>
        <w:t xml:space="preserve">Eighth Circuit: </w:t>
      </w:r>
      <w:r w:rsidRPr="00AD2F44">
        <w:t>Bartleson v. Winnebago Indus., Inc., 219 F.R.D. 629, 637 (N.D. Iowa 2003) (suggesting that there would be compelling reason for declining jurisdiction under §1367(c)(4) if class members and factual bases for two different claims were not same, because then possibility would arise that opt-out class for state law claim would “circumvent” opt-in limitation for FLSA claim).</w:t>
      </w:r>
    </w:p>
  </w:footnote>
  <w:footnote w:id="1142">
    <w:p w14:paraId="115A5BF8" w14:textId="77777777" w:rsidR="00721CCF" w:rsidRPr="00AD2F44" w:rsidRDefault="00F42107">
      <w:pPr>
        <w:pStyle w:val="14Footnote"/>
      </w:pPr>
      <w:r w:rsidRPr="00AD2F44">
        <w:rPr>
          <w:vertAlign w:val="superscript"/>
        </w:rPr>
        <w:footnoteRef/>
      </w:r>
      <w:r w:rsidRPr="00AD2F44">
        <w:rPr>
          <w:i/>
        </w:rPr>
        <w:t>See</w:t>
      </w:r>
    </w:p>
    <w:p w14:paraId="52870359" w14:textId="77777777" w:rsidR="00721CCF" w:rsidRPr="00AD2F44" w:rsidRDefault="00F42107">
      <w:pPr>
        <w:pStyle w:val="14Footnote"/>
      </w:pPr>
      <w:r w:rsidRPr="00AD2F44">
        <w:rPr>
          <w:i/>
          <w:iCs/>
        </w:rPr>
        <w:t xml:space="preserve">First Circuit: </w:t>
      </w:r>
      <w:r w:rsidRPr="00AD2F44">
        <w:t>McCormick v. Festiva Dev. Group, LLC, 2010 WL 582218, at *7–8 (D. Me. Feb. 11, 2010) (concluding that “a perceived tension between opt-in and opt-out class action mechanisms” does not present exceptional circumstances and compelling reasons for declining to exercise jurisdiction).</w:t>
      </w:r>
    </w:p>
    <w:p w14:paraId="20984766" w14:textId="77777777" w:rsidR="00721CCF" w:rsidRPr="00AD2F44" w:rsidRDefault="00F42107">
      <w:pPr>
        <w:pStyle w:val="14Footnote"/>
      </w:pPr>
      <w:r w:rsidRPr="00AD2F44">
        <w:rPr>
          <w:i/>
          <w:iCs/>
        </w:rPr>
        <w:t xml:space="preserve">Third Circuit: </w:t>
      </w:r>
      <w:r w:rsidRPr="00AD2F44">
        <w:t>Scott v. Bimbo Bakeries, USA Inc., 2012 WL 645905, at *12 (E.D. Pa. Feb. 29, 2012) (exercising supplemental jurisdiction because neither language nor legislative history of FLSA prohibits such jurisdiction).</w:t>
      </w:r>
    </w:p>
    <w:p w14:paraId="0CF7D446" w14:textId="20DDA3CC" w:rsidR="00721CCF" w:rsidRPr="00AD2F44" w:rsidRDefault="00F42107">
      <w:pPr>
        <w:pStyle w:val="14Footnote"/>
      </w:pPr>
      <w:r w:rsidRPr="00AD2F44">
        <w:rPr>
          <w:i/>
          <w:iCs/>
        </w:rPr>
        <w:t xml:space="preserve">Fourth Circuit: </w:t>
      </w:r>
      <w:r w:rsidRPr="00AD2F44">
        <w:t xml:space="preserve">McLaurin v. Prestage Foods, Inc., 271 F.R.D. 465, 471–74 (E.D.N.C. 2010) (reviewing authority and following </w:t>
      </w:r>
      <w:r w:rsidRPr="00AD2F44">
        <w:rPr>
          <w:i/>
          <w:iCs/>
        </w:rPr>
        <w:t>Lindsay</w:t>
      </w:r>
      <w:r w:rsidRPr="00AD2F44">
        <w:t xml:space="preserve">, 448 F.3d 416, and </w:t>
      </w:r>
      <w:r w:rsidRPr="00AD2F44">
        <w:rPr>
          <w:i/>
          <w:iCs/>
        </w:rPr>
        <w:t>Wang v</w:t>
      </w:r>
      <w:r w:rsidRPr="00AD2F44">
        <w:t>.</w:t>
      </w:r>
      <w:r w:rsidRPr="00AD2F44">
        <w:rPr>
          <w:i/>
          <w:iCs/>
        </w:rPr>
        <w:t xml:space="preserve"> Chinese Daily News</w:t>
      </w:r>
      <w:r w:rsidRPr="00AD2F44">
        <w:t>, 623 F.3d 743 (9th Cir. 2010),</w:t>
      </w:r>
      <w:r w:rsidRPr="00AD2F44">
        <w:rPr>
          <w:i/>
          <w:iCs/>
        </w:rPr>
        <w:t xml:space="preserve"> </w:t>
      </w:r>
      <w:r w:rsidRPr="00AD2F44">
        <w:t>to conclude that exercising supplemental jurisdiction would be proper); Beltran-Benitez v. Sea Safari, Ltd., 180 F. Supp. 2d 772, 773–74 (E.D.N.C. 2001) (rejecting argument that “the purported conflict between 29 U.S.C. §216(b) and Fed. R. Civ. P. 23” constitutes “an exceptional circumstance” under §1367(c)(4); FLSA does not prohibit application of Rule 23 to separate cause of action in same complaint and resolving similar federal and state law claims in same action is encouraged by Supreme Court precedent).</w:t>
      </w:r>
    </w:p>
    <w:p w14:paraId="1A972818" w14:textId="77777777" w:rsidR="00721CCF" w:rsidRPr="00AD2F44" w:rsidRDefault="00F42107">
      <w:pPr>
        <w:pStyle w:val="14Footnote"/>
      </w:pPr>
      <w:r w:rsidRPr="00AD2F44">
        <w:rPr>
          <w:i/>
          <w:iCs/>
        </w:rPr>
        <w:t xml:space="preserve">Fifth Circuit: </w:t>
      </w:r>
      <w:r w:rsidRPr="00AD2F44">
        <w:t>Lang v. DirecTV, Inc., 735 F. Supp. 2d 421, 427–28 (E.D. La. 2010) (differences between opt-in and opt-out procedures no basis for remanding state law claims).</w:t>
      </w:r>
    </w:p>
    <w:p w14:paraId="33E9F012" w14:textId="77777777" w:rsidR="00721CCF" w:rsidRPr="00AD2F44" w:rsidRDefault="00F42107">
      <w:pPr>
        <w:pStyle w:val="14Footnote"/>
      </w:pPr>
      <w:r w:rsidRPr="00AD2F44">
        <w:rPr>
          <w:i/>
          <w:iCs/>
        </w:rPr>
        <w:t xml:space="preserve">Eighth Circuit: </w:t>
      </w:r>
      <w:r w:rsidRPr="00AD2F44">
        <w:t xml:space="preserve">Cortez v. Nebraska Beef, 266 F.R.D. 275, 286–87 (D. Neb. 2010) (adopting rationale of </w:t>
      </w:r>
      <w:r w:rsidRPr="00AD2F44">
        <w:rPr>
          <w:i/>
          <w:iCs/>
        </w:rPr>
        <w:t>Lindsay</w:t>
      </w:r>
      <w:r w:rsidRPr="00AD2F44">
        <w:t xml:space="preserve">, 448 F.3d 416, and </w:t>
      </w:r>
      <w:r w:rsidRPr="00AD2F44">
        <w:rPr>
          <w:i/>
          <w:iCs/>
        </w:rPr>
        <w:t>Salazar v. Agriprocessors, Inc.</w:t>
      </w:r>
      <w:r w:rsidRPr="00AD2F44">
        <w:t xml:space="preserve">, 527 F. Supp. 2d 873 (N.D. Iowa 2007) (issue of congressional intent behind FLSA opt-in requirement is not issue of judicial economy, convenience, fairness, or comity, and “values of judicial economy, convenience and fairness all favor exercising supplemental jurisdiction”)); </w:t>
      </w:r>
      <w:r w:rsidRPr="00AD2F44">
        <w:rPr>
          <w:i/>
          <w:iCs/>
        </w:rPr>
        <w:t>Salazar</w:t>
      </w:r>
      <w:r w:rsidRPr="00AD2F44">
        <w:t>, 527 F. Supp. 2d at 884–85 (finding decisions rejecting the congressional “conflict” argument more persuasive and reasoning further that “[s]ince 1947, Congress has done nothing to add language to the FLSA to expressly prohibit the exercise of supplemental jurisdiction over claims based on state wage and hour laws”).</w:t>
      </w:r>
    </w:p>
    <w:p w14:paraId="30ABA3BA" w14:textId="77777777" w:rsidR="00721CCF" w:rsidRPr="00AD2F44" w:rsidRDefault="00F42107">
      <w:pPr>
        <w:pStyle w:val="14Footnote"/>
      </w:pPr>
      <w:r w:rsidRPr="00AD2F44">
        <w:rPr>
          <w:i/>
          <w:iCs/>
        </w:rPr>
        <w:t xml:space="preserve">Ninth Circuit: </w:t>
      </w:r>
      <w:r w:rsidRPr="00AD2F44">
        <w:t>Bamonte v. City of Mesa, 2007 WL 2022011, at *4–5 (D. Ariz. July 10, 2007) (“The issue of congressional intent with respect to the FLSA is not an issue of judicial economy, convenience, fairness to the parties, or federal-state comity. As a result, it may not serve as a ‘compelling reason’ for declining supplemental jurisdiction”; “the values of economy, convenience, fairness, and comity on balance favor retaining supplemental jurisdiction.”).</w:t>
      </w:r>
    </w:p>
    <w:p w14:paraId="43B4F175" w14:textId="77777777" w:rsidR="00721CCF" w:rsidRPr="00AD2F44" w:rsidRDefault="00F42107">
      <w:pPr>
        <w:pStyle w:val="14Footnote"/>
      </w:pPr>
      <w:r w:rsidRPr="00AD2F44">
        <w:rPr>
          <w:i/>
          <w:iCs/>
        </w:rPr>
        <w:t xml:space="preserve">See also </w:t>
      </w:r>
      <w:r w:rsidRPr="00AD2F44">
        <w:t>Espenscheid v. DirectSAT USA, LLC, 708 F. Supp. 2d 781, 789, 791–92 (W.D. Wis. 2010) (addressing argument that Rule 23 opt-out procedure “interferes irreconcilably” with FLSA opt-in procedure and concluding that exercise of supplemental jurisdiction is appropriate: “The parties agree that state and federal claims are closely related. Thus, they are exactly the types of claims that Congress intended to be brought in the same case.”).</w:t>
      </w:r>
    </w:p>
  </w:footnote>
  <w:footnote w:id="1143">
    <w:p w14:paraId="0F9FFC02" w14:textId="77777777" w:rsidR="00721CCF" w:rsidRPr="00AD2F44" w:rsidRDefault="00F42107">
      <w:pPr>
        <w:pStyle w:val="14Footnote"/>
      </w:pPr>
      <w:r w:rsidRPr="00AD2F44">
        <w:rPr>
          <w:vertAlign w:val="superscript"/>
        </w:rPr>
        <w:footnoteRef/>
      </w:r>
      <w:r w:rsidRPr="00AD2F44">
        <w:rPr>
          <w:i/>
          <w:iCs/>
        </w:rPr>
        <w:t>See</w:t>
      </w:r>
      <w:r w:rsidRPr="00AD2F44">
        <w:t xml:space="preserve"> Aguilera v. Michigan Turkey Processors Coop., Inc., 2009 WL 3585722, at *2 (W.D. Mich. Oct. 28, 2009) (“Managing a class action under a state law theory, and a collective action under federal law with divergent procedural postures would place administrative demands on the Court and create the possibility of confusion among potential collective action participants and potential class members. Whether viewed as another way in which state claims predominate, or as an exceptional circumstance, the difference between the opt-in and opt-out mechanisms, and the demands the difference would place on the litigants as well as the Court, strengthen the Court’s decision to decline to exercise supplemental jurisdiction over the state law claims.”); Zelaya v. J.M. Macias, Inc., 999 F. Supp. 778, 783 (E.D.N.C. 1998) (“The distinct possibility of two separate sets of plaintiffs is such an exceptional circumstance. The inclusion of a state law claim involving over 100 plaintiffs with a separate federal law claim involving a separate, distinct and smaller class cannot be permitted. Such claims would undoubtedly confuse a jury, and such confusion is another valid reason to decline supplemental jurisdiction.”). </w:t>
      </w:r>
      <w:r w:rsidRPr="00AD2F44">
        <w:rPr>
          <w:i/>
          <w:iCs/>
        </w:rPr>
        <w:t>Zelaya</w:t>
      </w:r>
      <w:r w:rsidRPr="00AD2F44">
        <w:t xml:space="preserve"> has now been explicitly rejected by the district judge who authored it—</w:t>
      </w:r>
      <w:r w:rsidRPr="00AD2F44">
        <w:rPr>
          <w:i/>
          <w:iCs/>
        </w:rPr>
        <w:t>see</w:t>
      </w:r>
      <w:r w:rsidRPr="00AD2F44">
        <w:t xml:space="preserve"> </w:t>
      </w:r>
      <w:r w:rsidRPr="00AD2F44">
        <w:rPr>
          <w:i/>
          <w:iCs/>
        </w:rPr>
        <w:t>McLaurin v. Prestage Foods, Inc</w:t>
      </w:r>
      <w:r w:rsidRPr="00AD2F44">
        <w:t>., 271 F.R.D. 465 (E.D.N.C. 2010)—as well as by other courts within that district</w:t>
      </w:r>
      <w:r w:rsidRPr="00AD2F44">
        <w:rPr>
          <w:i/>
          <w:iCs/>
        </w:rPr>
        <w:t>—see</w:t>
      </w:r>
      <w:r w:rsidRPr="00AD2F44">
        <w:rPr>
          <w:b/>
          <w:bCs/>
          <w:i/>
          <w:iCs/>
        </w:rPr>
        <w:t xml:space="preserve"> </w:t>
      </w:r>
      <w:r w:rsidRPr="00AD2F44">
        <w:rPr>
          <w:i/>
          <w:iCs/>
        </w:rPr>
        <w:t>Romero v. Mountaire Farms</w:t>
      </w:r>
      <w:r w:rsidRPr="00AD2F44">
        <w:t>, 796 F. Supp. 2d 700, 711–12 (E.D.N.C. 2011).</w:t>
      </w:r>
    </w:p>
  </w:footnote>
  <w:footnote w:id="1144">
    <w:p w14:paraId="07939ECA" w14:textId="77777777" w:rsidR="00721CCF" w:rsidRPr="00AD2F44" w:rsidRDefault="00F42107">
      <w:pPr>
        <w:pStyle w:val="14Footnote"/>
      </w:pPr>
      <w:r w:rsidRPr="00AD2F44">
        <w:rPr>
          <w:vertAlign w:val="superscript"/>
        </w:rPr>
        <w:footnoteRef/>
      </w:r>
      <w:r w:rsidRPr="00AD2F44">
        <w:rPr>
          <w:i/>
        </w:rPr>
        <w:t>See</w:t>
      </w:r>
    </w:p>
    <w:p w14:paraId="453F587D" w14:textId="77777777" w:rsidR="00721CCF" w:rsidRPr="00AD2F44" w:rsidRDefault="00F42107">
      <w:pPr>
        <w:pStyle w:val="14Footnote"/>
      </w:pPr>
      <w:r w:rsidRPr="00AD2F44">
        <w:rPr>
          <w:i/>
          <w:iCs/>
        </w:rPr>
        <w:t>Second Circuit:</w:t>
      </w:r>
      <w:r w:rsidRPr="00AD2F44">
        <w:t xml:space="preserve"> Brickey v. Dolgencorp, 244 F.R.D. 176, 179 (W.D.N.Y. 2007) (“Nor do the discrepancies between the Rule 23 and FLSA opt-in/opt-out procedures present ‘compelling reasons’ to decline jurisdiction. Rule 23 and FLSA actions are routinely prosecuted together, and the complexities of Rule 23 and FLSA hybrid actions are a challenge that the federal judiciary, and properly instructed juries, are generally well-equipped to meet.”); Lynch v. United States Auto. Ass’n, 2007 WL 3355506, at *5 (S.D.N.Y. Nov. 8, 2007) (“The defendant failed to explain why the instant case represents an exceptional circumstance or why the potential for jury confusion is sufficiently compelling that it warrants the court in declining to exercise supplemental jurisdiction. A conclusory assertion of potential jury confusion, without more, does not amount to a compelling reason for declining to exercise supplemental jurisdiction”); Ansoumana v. Gristede’s Operating Corp., 201 F.R.D. 81, 96 (S.D.N.Y. 2001) (“Here, as in many such cases, state and federal claims are similar and arise from the same operative facts. There is no reason why competent counsel, such as those in the case before me, will lack the ability to present the issues to the jury cogently and understandably, or why federal jurors will not be able to understand the issues that will be presented to them.”).</w:t>
      </w:r>
    </w:p>
    <w:p w14:paraId="2A329A97" w14:textId="77777777" w:rsidR="00721CCF" w:rsidRPr="00AD2F44" w:rsidRDefault="00F42107">
      <w:pPr>
        <w:pStyle w:val="14Footnote"/>
      </w:pPr>
      <w:r w:rsidRPr="00AD2F44">
        <w:rPr>
          <w:i/>
          <w:iCs/>
        </w:rPr>
        <w:t xml:space="preserve">Fourth Circuit: </w:t>
      </w:r>
      <w:r w:rsidRPr="00AD2F44">
        <w:t>Beltran-Benitez v. Sea Safari, Ltd., 180 F. Supp. 2d 772, 773–74 (E.D.N.C. 2001) (holding that allowing Rule 23 class action and FLSA collective action would not prohibit the orderly disposition of the litigation or be unduly burdensome; both claims arose from the same basic grievance and the essential facts and issues were likely to be the same).</w:t>
      </w:r>
    </w:p>
    <w:p w14:paraId="72614AE6" w14:textId="77777777" w:rsidR="00721CCF" w:rsidRPr="00AD2F44" w:rsidRDefault="00F42107">
      <w:pPr>
        <w:pStyle w:val="14Footnote"/>
      </w:pPr>
      <w:r w:rsidRPr="00AD2F44">
        <w:rPr>
          <w:i/>
          <w:iCs/>
        </w:rPr>
        <w:t>Fifth Circuit:</w:t>
      </w:r>
      <w:r w:rsidRPr="00AD2F44">
        <w:t xml:space="preserve"> </w:t>
      </w:r>
      <w:r w:rsidRPr="00AD2F44">
        <w:rPr>
          <w:i/>
          <w:iCs/>
        </w:rPr>
        <w:t xml:space="preserve">Lang, </w:t>
      </w:r>
      <w:r w:rsidRPr="00AD2F44">
        <w:t>735 F. Supp. 2d at 430 (holding that action can be better and more efficiently managed in one court than by dividing the claims into state and federal court).</w:t>
      </w:r>
    </w:p>
    <w:p w14:paraId="198354AA" w14:textId="77777777" w:rsidR="00721CCF" w:rsidRPr="00AD2F44" w:rsidRDefault="00F42107">
      <w:pPr>
        <w:pStyle w:val="14Footnote"/>
      </w:pPr>
      <w:r w:rsidRPr="00AD2F44">
        <w:rPr>
          <w:i/>
          <w:iCs/>
        </w:rPr>
        <w:t>Eighth Circuit:</w:t>
      </w:r>
      <w:r w:rsidRPr="00AD2F44">
        <w:t xml:space="preserve"> </w:t>
      </w:r>
      <w:r w:rsidRPr="00AD2F44">
        <w:rPr>
          <w:i/>
          <w:iCs/>
        </w:rPr>
        <w:t>Salazar</w:t>
      </w:r>
      <w:r w:rsidRPr="00AD2F44">
        <w:t>, 527 F. Supp. 2d at 885–86 (recognizing “unique procedural challenges” but finding that “[t]he court is well-equipped to manage a case involving a FLSA collective action and a state-law class action”).</w:t>
      </w:r>
    </w:p>
  </w:footnote>
  <w:footnote w:id="1145">
    <w:p w14:paraId="5E53C204" w14:textId="77777777" w:rsidR="00721CCF" w:rsidRPr="00AD2F44" w:rsidRDefault="00F42107">
      <w:pPr>
        <w:pStyle w:val="14Footnote"/>
        <w:rPr>
          <w:i/>
          <w:iCs/>
        </w:rPr>
      </w:pPr>
      <w:r w:rsidRPr="00AD2F44">
        <w:rPr>
          <w:vertAlign w:val="superscript"/>
        </w:rPr>
        <w:footnoteRef/>
      </w:r>
      <w:r w:rsidRPr="00AD2F44">
        <w:rPr>
          <w:i/>
          <w:iCs/>
        </w:rPr>
        <w:t>See</w:t>
      </w:r>
      <w:r w:rsidRPr="00AD2F44">
        <w:t xml:space="preserve"> Bamonte v. City of Mesa, 2007 WL 2022011, at *5 (D. Ariz. July 10, 2007) (“Defendant is likely correct that simultaneous proceedings under Rule 23 and 29 U.S.C. §216(b) will create some confusion for litigants. … However, the retention of the state-law class action would avoid the more substantial problem of duplication of much of this court’s work at the state level and thereby prevent a significant waste of state judicial resources. It is also far more convenient for the parties to have all of their closely related claims resolved in one forum.”); Ansoumana v. Gristede’s Operating Corp., 201 F.R.D. 81, 96 (S.D.N.Y. 2001) (“Competent counsel will be able to draft appropriate notices, and they and the court should be able to manage this case fairly and efficiently.”); </w:t>
      </w:r>
      <w:r w:rsidRPr="00AD2F44">
        <w:rPr>
          <w:i/>
          <w:iCs/>
        </w:rPr>
        <w:t>see also</w:t>
      </w:r>
    </w:p>
    <w:p w14:paraId="4E46FF80" w14:textId="77777777" w:rsidR="00721CCF" w:rsidRPr="00AD2F44" w:rsidRDefault="00F42107">
      <w:pPr>
        <w:pStyle w:val="14Footnote"/>
      </w:pPr>
      <w:r w:rsidRPr="00AD2F44">
        <w:rPr>
          <w:i/>
          <w:iCs/>
        </w:rPr>
        <w:t xml:space="preserve">Fourth Circuit: </w:t>
      </w:r>
      <w:r w:rsidRPr="00AD2F44">
        <w:t>McLaurin v. Prestage Foods, Inc., 271 F.R.D. 465, 474 (E.D.N.C. 2010) (noting that some courts have declined to exercise supplemental jurisdiction because using opt-in and opt-out procedures in same action “could confuse the class,” but concluding that it would be appropriate to exercise supplemental jurisdiction in view of interests of efficiency and judicial economy, “despite the logistical problems inherent in such a lawsuit”).</w:t>
      </w:r>
    </w:p>
    <w:p w14:paraId="14C4A87F" w14:textId="77777777" w:rsidR="00721CCF" w:rsidRPr="00AD2F44" w:rsidRDefault="00F42107">
      <w:pPr>
        <w:pStyle w:val="14Footnote"/>
      </w:pPr>
      <w:r w:rsidRPr="00AD2F44">
        <w:rPr>
          <w:i/>
          <w:iCs/>
        </w:rPr>
        <w:t xml:space="preserve">Seventh Circuit: </w:t>
      </w:r>
      <w:r w:rsidRPr="00AD2F44">
        <w:t>Ervin v. OS Rest. Servs., Inc., 632 F.3d 971, 978 (7th Cir. 2011) (rejecting potential for class member confusion as basis for concluding that hybrid actions are not permissible, noting in part that problem is not any worse than countless other case-management considerations under Rule 23).</w:t>
      </w:r>
    </w:p>
    <w:p w14:paraId="5780BF31" w14:textId="77777777" w:rsidR="00721CCF" w:rsidRPr="00AD2F44" w:rsidRDefault="00F42107">
      <w:pPr>
        <w:pStyle w:val="14Footnote"/>
      </w:pPr>
      <w:r w:rsidRPr="00AD2F44">
        <w:rPr>
          <w:i/>
          <w:iCs/>
        </w:rPr>
        <w:t xml:space="preserve">Ninth Circuit: </w:t>
      </w:r>
      <w:r w:rsidRPr="00AD2F44">
        <w:t>Gomez v. Rossi Concrete, Inc., 270 F.R.D. 579, 587 (S.D. Cal. 2010) (rejecting “confusion” argument because plaintiffs only asserted individual FLSA and ERISA claims and were not seeking to certify FLSA as a collective action).</w:t>
      </w:r>
    </w:p>
  </w:footnote>
  <w:footnote w:id="1146">
    <w:p w14:paraId="01339757" w14:textId="77777777" w:rsidR="00721CCF" w:rsidRPr="00AD2F44" w:rsidRDefault="00F42107">
      <w:pPr>
        <w:pStyle w:val="14Footnote"/>
      </w:pPr>
      <w:r w:rsidRPr="00AD2F44">
        <w:rPr>
          <w:vertAlign w:val="superscript"/>
        </w:rPr>
        <w:footnoteRef/>
      </w:r>
      <w:r w:rsidRPr="00AD2F44">
        <w:rPr>
          <w:i/>
          <w:iCs/>
        </w:rPr>
        <w:t>Fifth Circuit:</w:t>
      </w:r>
      <w:r w:rsidRPr="00AD2F44">
        <w:t xml:space="preserve"> Lang v. DirecTV, Inc., 735 F. Supp. 2d 421, 430 (E.D. La. 2010) (“Some courts have ruled that proceeding with both an opt-in and an opt-out class action would result in notices that would be confusing to potential class members. While the Court is aware of this possibility, the danger of confusion would also exist if opt-in and opt-out actions were to proceed simultaneously in federal and state court.”).</w:t>
      </w:r>
    </w:p>
    <w:p w14:paraId="3341A498" w14:textId="77777777" w:rsidR="00721CCF" w:rsidRPr="00AD2F44" w:rsidRDefault="00F42107">
      <w:pPr>
        <w:pStyle w:val="14Footnote"/>
      </w:pPr>
      <w:r w:rsidRPr="00AD2F44">
        <w:rPr>
          <w:i/>
          <w:iCs/>
        </w:rPr>
        <w:t>Seventh Circuit:</w:t>
      </w:r>
      <w:r w:rsidRPr="00AD2F44">
        <w:t xml:space="preserve"> Villanueva v. Davis Bancorp, Inc., 2011 WL 2745936, at *3 (N.D. Ill. July 8, 2011) (finding that adequate notice procedures will alleviate confusion and noting that litigating claims separately would create even more confusion); Espenscheid v. DirectSAT USA, LLC, 708 F. Supp. 2d 781, 788, 789, 792 (W.D. Wis. 2010) (“The inherent challenges [in maintaining both actions in one suit], however, are not a reason to deny, dismiss or limit plaintiffs’ state law claims. After all, plaintiffs would still be in the same opt-in versus opt-out predicament even if they brought their state law claims in another court or action”; “requiring the parties to litigate similar claims in different courts could cause confusion to potential class members”).</w:t>
      </w:r>
    </w:p>
    <w:p w14:paraId="785439B4" w14:textId="77777777" w:rsidR="00721CCF" w:rsidRPr="00AD2F44" w:rsidRDefault="00F42107">
      <w:pPr>
        <w:pStyle w:val="14Footnote"/>
      </w:pPr>
      <w:r w:rsidRPr="00AD2F44">
        <w:rPr>
          <w:i/>
          <w:iCs/>
        </w:rPr>
        <w:t>Eighth Circuit:</w:t>
      </w:r>
      <w:r w:rsidRPr="00AD2F44">
        <w:t xml:space="preserve"> Ondes v. Monsanto Co., 2011 WL 6152858 (E.D. Mo. Dec. 12, 2011) (finding that adequate notice procedures will alleviate confusion and noting that litigating claims separately would create even more confusion).</w:t>
      </w:r>
    </w:p>
    <w:p w14:paraId="5236959B" w14:textId="77777777" w:rsidR="00721CCF" w:rsidRPr="00AD2F44" w:rsidRDefault="00F42107">
      <w:pPr>
        <w:pStyle w:val="14Footnote"/>
      </w:pPr>
      <w:r w:rsidRPr="00AD2F44">
        <w:rPr>
          <w:i/>
          <w:iCs/>
        </w:rPr>
        <w:t>D.C. Circuit:</w:t>
      </w:r>
      <w:r w:rsidRPr="00AD2F44">
        <w:t xml:space="preserve"> Cryer v. InterSolutions, Inc., 2007 WL 1191928, at *3 (D.D.C. Apr. 20, 2007) (“This Court is not persuaded that having the FLSA claims and the state law claims in the same lawsuit will inject unacceptable complexities into the lawsuit that cannot be overcome with a well drafted class action notice explaining to potential class members their rights. Moreover, the Court finds that there is even greater cause for concern about confusion of class members if the state law claims proceed in a separate court and class members thereby receive class action notices from two different courts.”).</w:t>
      </w:r>
    </w:p>
  </w:footnote>
  <w:footnote w:id="1147">
    <w:p w14:paraId="13162A10" w14:textId="77777777" w:rsidR="00721CCF" w:rsidRPr="00AD2F44" w:rsidRDefault="00F42107">
      <w:pPr>
        <w:pStyle w:val="14Footnote"/>
      </w:pPr>
      <w:r w:rsidRPr="00AD2F44">
        <w:rPr>
          <w:vertAlign w:val="superscript"/>
        </w:rPr>
        <w:footnoteRef/>
      </w:r>
      <w:r w:rsidRPr="00AD2F44">
        <w:t xml:space="preserve">Ervin v. OS Rest. Servs., Inc., 632 F.3d 971, 978 (7th Cir. 2011) (internal citations omitted); </w:t>
      </w:r>
      <w:r w:rsidRPr="00AD2F44">
        <w:rPr>
          <w:i/>
          <w:iCs/>
        </w:rPr>
        <w:t>see also</w:t>
      </w:r>
      <w:r w:rsidRPr="00AD2F44">
        <w:t xml:space="preserve"> Busk v. Integrity Staffing Sols., Inc., 713 F.3d 525, 530 (9th Cir. 2013) (agreeing with </w:t>
      </w:r>
      <w:r w:rsidRPr="00AD2F44">
        <w:rPr>
          <w:i/>
          <w:iCs/>
        </w:rPr>
        <w:t>Ervin</w:t>
      </w:r>
      <w:r w:rsidRPr="00AD2F44">
        <w:t>), </w:t>
      </w:r>
      <w:r w:rsidRPr="00AD2F44">
        <w:rPr>
          <w:i/>
          <w:iCs/>
        </w:rPr>
        <w:t>rev’d on other grounds,</w:t>
      </w:r>
      <w:r w:rsidRPr="00AD2F44">
        <w:t> 574 U.S. 27 (2014).</w:t>
      </w:r>
    </w:p>
  </w:footnote>
  <w:footnote w:id="1148">
    <w:p w14:paraId="5458579E" w14:textId="77777777" w:rsidR="00721CCF" w:rsidRPr="00AD2F44" w:rsidRDefault="00F42107">
      <w:pPr>
        <w:pStyle w:val="14Footnote"/>
      </w:pPr>
      <w:r w:rsidRPr="00AD2F44">
        <w:rPr>
          <w:vertAlign w:val="superscript"/>
        </w:rPr>
        <w:footnoteRef/>
      </w:r>
      <w:r w:rsidRPr="00AD2F44">
        <w:rPr>
          <w:i/>
          <w:iCs/>
        </w:rPr>
        <w:t>See</w:t>
      </w:r>
      <w:r w:rsidRPr="00AD2F44">
        <w:t xml:space="preserve"> De Luna-Guerrero v. North Carolina Grower’s Ass’n, 338 F. Supp. 2d 649, 653 (E.D.N.C. 2004) (finding existence of three different types and sizes of classes would cause too much confusion: many class members did not speak English or understand the legal system, multiple notifications would be required, and confusion would be compounded by dual use of opt-in and opt-out procedures; judicial efficiency would be better promoted by dismissing state law claims so court could properly and efficiently administer the FLSA collective action); </w:t>
      </w:r>
      <w:r w:rsidRPr="00AD2F44">
        <w:rPr>
          <w:i/>
          <w:iCs/>
        </w:rPr>
        <w:t>cf</w:t>
      </w:r>
      <w:r w:rsidRPr="00AD2F44">
        <w:t>. Salazar v. Agriprocessors, Inc., 527 F. Supp. 2d 873, 885–86 (N.D. Iowa 2007) (recognizing that “the class notices may be confusing to potential class members if care is not taken in crafting the notice language” but finding that the court was “well-equipped” to manage the action).</w:t>
      </w:r>
    </w:p>
  </w:footnote>
  <w:footnote w:id="1149">
    <w:p w14:paraId="5C261DE4" w14:textId="77777777" w:rsidR="00721CCF" w:rsidRPr="00AD2F44" w:rsidRDefault="00F42107">
      <w:pPr>
        <w:pStyle w:val="14Footnote"/>
      </w:pPr>
      <w:r w:rsidRPr="00AD2F44">
        <w:rPr>
          <w:vertAlign w:val="superscript"/>
        </w:rPr>
        <w:footnoteRef/>
      </w:r>
      <w:r w:rsidRPr="00AD2F44">
        <w:rPr>
          <w:i/>
          <w:iCs/>
        </w:rPr>
        <w:t>See, e.g.,</w:t>
      </w:r>
    </w:p>
    <w:p w14:paraId="3D559755" w14:textId="77777777" w:rsidR="00721CCF" w:rsidRPr="00AD2F44" w:rsidRDefault="00F42107">
      <w:pPr>
        <w:pStyle w:val="14Footnote"/>
      </w:pPr>
      <w:r w:rsidRPr="00AD2F44">
        <w:rPr>
          <w:i/>
          <w:iCs/>
        </w:rPr>
        <w:t xml:space="preserve">Second Circuit: </w:t>
      </w:r>
      <w:r w:rsidRPr="00AD2F44">
        <w:t>Parks v. Dick’s Sporting Goods, Inc., 2006 WL 1704477, at *1–3 (W.D.N.Y. June 15, 2006) (dismissing claims under laws of states where named plaintiff did not work; disagreeing that courts must wait until motion for class certification stage).</w:t>
      </w:r>
    </w:p>
    <w:p w14:paraId="179B7A1D" w14:textId="77777777" w:rsidR="00721CCF" w:rsidRPr="00AD2F44" w:rsidRDefault="00F42107">
      <w:pPr>
        <w:pStyle w:val="14Footnote"/>
      </w:pPr>
      <w:r w:rsidRPr="00AD2F44">
        <w:rPr>
          <w:i/>
          <w:iCs/>
        </w:rPr>
        <w:t xml:space="preserve">Sixth Circuit: </w:t>
      </w:r>
      <w:r w:rsidRPr="00AD2F44">
        <w:t>Carnevale v. GE Aircraft Engines, 492 F. Supp. 2d 763, 765 (S.D. Ohio 2003).</w:t>
      </w:r>
    </w:p>
    <w:p w14:paraId="42A86308" w14:textId="77777777" w:rsidR="00721CCF" w:rsidRPr="00AD2F44" w:rsidRDefault="00F42107">
      <w:pPr>
        <w:pStyle w:val="14Footnote"/>
      </w:pPr>
      <w:r w:rsidRPr="00AD2F44">
        <w:rPr>
          <w:i/>
          <w:iCs/>
        </w:rPr>
        <w:t xml:space="preserve">Seventh Circuit: </w:t>
      </w:r>
      <w:r w:rsidRPr="00AD2F44">
        <w:t>Schultz v. American Family Mut. Ins. Co., 2005 WL 5909003, at *6 (N.D. Ill. Nov. 1, 2005) (rejecting argument that standing did not need to be examined until motion for class certification, citing rule that standing must be determined at time suit is filed).</w:t>
      </w:r>
    </w:p>
    <w:p w14:paraId="50EC0219" w14:textId="77777777" w:rsidR="00721CCF" w:rsidRPr="00AD2F44" w:rsidRDefault="00F42107">
      <w:pPr>
        <w:pStyle w:val="14Footnote"/>
      </w:pPr>
      <w:r w:rsidRPr="00AD2F44">
        <w:rPr>
          <w:i/>
          <w:iCs/>
        </w:rPr>
        <w:t xml:space="preserve">Ninth Circuit: </w:t>
      </w:r>
      <w:r w:rsidRPr="00AD2F44">
        <w:t>Self v. TPUSA, Inc., 2009 WL 273326, at *2 (D. Utah. Feb. 4, 2009) (dismissing state law claim for state for which there was no named plaintiff); Ross v. United States Bank Nat’l Ass’n, 542 F. Supp. 2d 1014, 1023 (N.D. Cal. 2008) (dismissing Washington claim because none of named plaintiffs worked in Washington and dismissing California claim because neither of California plaintiffs alleged any injury relating to claim).</w:t>
      </w:r>
    </w:p>
    <w:p w14:paraId="09194AE8" w14:textId="77777777" w:rsidR="00721CCF" w:rsidRPr="00AD2F44" w:rsidRDefault="00F42107">
      <w:pPr>
        <w:pStyle w:val="14Footnote"/>
      </w:pPr>
      <w:r w:rsidRPr="00AD2F44">
        <w:rPr>
          <w:i/>
        </w:rPr>
        <w:t>See also</w:t>
      </w:r>
    </w:p>
    <w:p w14:paraId="2A5B673F" w14:textId="77777777" w:rsidR="00721CCF" w:rsidRPr="00AD2F44" w:rsidRDefault="00F42107">
      <w:pPr>
        <w:pStyle w:val="14Footnote"/>
      </w:pPr>
      <w:r w:rsidRPr="00AD2F44">
        <w:rPr>
          <w:i/>
          <w:iCs/>
        </w:rPr>
        <w:t xml:space="preserve">Eighth Circuit: </w:t>
      </w:r>
      <w:r w:rsidRPr="00AD2F44">
        <w:t>Burch v. Qwest Commc’ns Int’l, Inc., 677 F. Supp. 2d 1101, 1125 (D. Minn. 2009) (agreeing that pertinent question is whether, for each state law count, at least one named plaintiff has alleged a claim).</w:t>
      </w:r>
    </w:p>
    <w:p w14:paraId="0F94A1DF" w14:textId="77777777" w:rsidR="00721CCF" w:rsidRPr="00AD2F44" w:rsidRDefault="00F42107">
      <w:pPr>
        <w:pStyle w:val="14Footnote"/>
      </w:pPr>
      <w:r w:rsidRPr="00AD2F44">
        <w:rPr>
          <w:i/>
          <w:iCs/>
        </w:rPr>
        <w:t xml:space="preserve">Ninth Circuit: </w:t>
      </w:r>
      <w:r w:rsidRPr="00AD2F44">
        <w:t>Fichtner v. American Family Mut. Ins. Co., 2004 WL 3106753, at *7 n.2 (D. Or. Mar. 1, 2004).</w:t>
      </w:r>
    </w:p>
  </w:footnote>
  <w:footnote w:id="1150">
    <w:p w14:paraId="5412B483" w14:textId="77777777" w:rsidR="00721CCF" w:rsidRPr="00AD2F44" w:rsidRDefault="00F42107">
      <w:pPr>
        <w:pStyle w:val="14Footnote"/>
      </w:pPr>
      <w:r w:rsidRPr="00AD2F44">
        <w:rPr>
          <w:vertAlign w:val="superscript"/>
        </w:rPr>
        <w:footnoteRef/>
      </w:r>
      <w:r w:rsidRPr="00AD2F44">
        <w:t xml:space="preserve">Helm v. Alderwoods Grp., Inc. v. Service Corp. Int’l, 2009 WL 2337529, at *16 (N.D. Cal. July 29, 2009) (denying motion to dismiss without prejudice and stating that court would decide issue at class certification “when the Court will be better positioned to determine whether employees in California share the same interests and suffered the same injuries as employees in other jurisdictions”); Kuhl v. Guitar Ctr. Stores, Inc., 2008 WL 656049, at *1–3 (N.D. Ill. Mar. 5, 2008) (plaintiffs brought claims for unpaid time under laws of states where they did not work and employer moved to dismiss on ground that they lacked standing; court held that standing issue is more appropriately addressed at time of class certification, when it could be determined whether there were sufficient similarities between different state law claims to give plaintiffs standing; relying in part on </w:t>
      </w:r>
      <w:r w:rsidRPr="00AD2F44">
        <w:rPr>
          <w:i/>
          <w:iCs/>
        </w:rPr>
        <w:t>Ortiz v. Fibreboard Corp</w:t>
      </w:r>
      <w:r w:rsidRPr="00AD2F44">
        <w:t>., 527 U.S. 815 (1999), wherein the Supreme Court stated that a court may determine class certification before standing in certain circumstances where class certification issues are logically antecedent to Article III concerns and themselves pertain to statutory standing).</w:t>
      </w:r>
    </w:p>
  </w:footnote>
  <w:footnote w:id="1151">
    <w:p w14:paraId="6CA3F0E2" w14:textId="77777777" w:rsidR="00721CCF" w:rsidRPr="00AD2F44" w:rsidRDefault="00F42107">
      <w:pPr>
        <w:pStyle w:val="14Footnote"/>
      </w:pPr>
      <w:r w:rsidRPr="00AD2F44">
        <w:rPr>
          <w:vertAlign w:val="superscript"/>
        </w:rPr>
        <w:footnoteRef/>
      </w:r>
      <w:r w:rsidRPr="00AD2F44">
        <w:rPr>
          <w:i/>
          <w:iCs/>
        </w:rPr>
        <w:t>See, e.g</w:t>
      </w:r>
      <w:r w:rsidRPr="00AD2F44">
        <w:t>., Self v. TPUSA, Inc., 2009 WL 273326, at *2 (D. Utah. Feb. 4, 2009); Carnevale v. GE Aircraft Engines, 492 F. Supp. 2d 763, 765 (S.D. Ohio 2003).</w:t>
      </w:r>
    </w:p>
  </w:footnote>
  <w:footnote w:id="1152">
    <w:p w14:paraId="685D127F" w14:textId="77777777" w:rsidR="00721CCF" w:rsidRPr="00AD2F44" w:rsidRDefault="00F42107">
      <w:pPr>
        <w:pStyle w:val="14Footnote"/>
      </w:pPr>
      <w:r w:rsidRPr="00AD2F44">
        <w:rPr>
          <w:vertAlign w:val="superscript"/>
        </w:rPr>
        <w:footnoteRef/>
      </w:r>
      <w:r w:rsidRPr="00AD2F44">
        <w:rPr>
          <w:smallCaps/>
        </w:rPr>
        <w:t>Fed. R. Civ. Proc.</w:t>
      </w:r>
      <w:r w:rsidRPr="00AD2F44">
        <w:t xml:space="preserve"> 23(a) &amp; 23(b)(3). This chapter is focused on class actions that are predominantly actions for damages, which are generally governed by Rule 23(a) and (b)(3), as opposed to actions that are predominantly for injunctive relief, which are generally governed by Rule 23(a) and (b)(2).</w:t>
      </w:r>
    </w:p>
  </w:footnote>
  <w:footnote w:id="1153">
    <w:p w14:paraId="559B90D7" w14:textId="77777777" w:rsidR="00721CCF" w:rsidRPr="00AD2F44" w:rsidRDefault="00F42107">
      <w:pPr>
        <w:pStyle w:val="14Footnote"/>
      </w:pPr>
      <w:r w:rsidRPr="00AD2F44">
        <w:rPr>
          <w:vertAlign w:val="superscript"/>
        </w:rPr>
        <w:footnoteRef/>
      </w:r>
      <w:r w:rsidRPr="00AD2F44">
        <w:rPr>
          <w:smallCaps/>
        </w:rPr>
        <w:t xml:space="preserve">Fed. R. Civ. P. </w:t>
      </w:r>
      <w:r w:rsidRPr="00AD2F44">
        <w:t>23(a)(1).</w:t>
      </w:r>
    </w:p>
  </w:footnote>
  <w:footnote w:id="1154">
    <w:p w14:paraId="4C1067DD" w14:textId="3A9F16D2" w:rsidR="00721CCF" w:rsidRPr="00AD2F44" w:rsidRDefault="00F42107">
      <w:pPr>
        <w:pStyle w:val="14Footnote"/>
      </w:pPr>
      <w:r w:rsidRPr="00AD2F44">
        <w:rPr>
          <w:vertAlign w:val="superscript"/>
        </w:rPr>
        <w:footnoteRef/>
      </w:r>
      <w:r w:rsidRPr="00AD2F44">
        <w:t xml:space="preserve">Hamelin v. Faxton-St. Luke’s Healthcare, 274 F.R.D. 385, 393–94 (N.D.N.Y. 2011) (rejecting employer’s argument that number of opt-ins should govern numerosity analysis rather than the approximately 2,700 potential Rule 23 members); Colozzi v. St. Joseph’s Hospital Health Ctr., 275 F.R.D. 75, 83 (N.D.N.Y. 2011) (holding that numerosity is based on number of proposed class members rather than number of opt-ins and certified a subclass based on a uniform policy regarding automatic meal breaks deductions, but denied a second subclass that was based on a uniform policy for which the evidence was limited as to how many employees were affected); Meyers v. Crouse Health Sys., Inc., 274 F.R.D. 404, 414 (N.D.N.Y. 2011) (same). </w:t>
      </w:r>
      <w:r w:rsidRPr="00AD2F44">
        <w:rPr>
          <w:i/>
          <w:iCs/>
        </w:rPr>
        <w:t>But see</w:t>
      </w:r>
      <w:r w:rsidRPr="00AD2F44">
        <w:t xml:space="preserve"> McDermott v. Federal Sav. Bank, 2020 BL 307604, 2020 WL 6295058 (E.D.N.Y. Aug. 12, 2020) (denying class certification of state law claims, holding numerosity was not met because it was not impracticable to join 49 members who are geographically concentrated with known addresses). </w:t>
      </w:r>
    </w:p>
  </w:footnote>
  <w:footnote w:id="1155">
    <w:p w14:paraId="2C6D685F" w14:textId="77777777" w:rsidR="00721CCF" w:rsidRPr="00AD2F44" w:rsidRDefault="00F42107">
      <w:pPr>
        <w:pStyle w:val="14Footnote"/>
      </w:pPr>
      <w:r w:rsidRPr="00AD2F44">
        <w:rPr>
          <w:vertAlign w:val="superscript"/>
        </w:rPr>
        <w:footnoteRef/>
      </w:r>
      <w:r w:rsidRPr="00AD2F44">
        <w:rPr>
          <w:i/>
        </w:rPr>
        <w:t>See</w:t>
      </w:r>
    </w:p>
    <w:p w14:paraId="7C49CB3E" w14:textId="77777777" w:rsidR="00721CCF" w:rsidRPr="00AD2F44" w:rsidRDefault="00F42107">
      <w:pPr>
        <w:pStyle w:val="14Footnote"/>
      </w:pPr>
      <w:r w:rsidRPr="00AD2F44">
        <w:rPr>
          <w:i/>
          <w:iCs/>
        </w:rPr>
        <w:t xml:space="preserve">First Circuit: </w:t>
      </w:r>
      <w:r w:rsidRPr="00AD2F44">
        <w:t>McLaughlin v. Liberty Mut. Ins. Co., 224 F.R.D. 304, 308 (D. Mass. 2004) (because numerosity question “must be answered within the analytical framework provided by Rule 23,” the fact that only 13 of 51 potential state law class members had opted in to separate claim under FLSA claim was not material; state law claim provided separate rights from FLSA claim and those separate rights should not be disregarded because an employee did not opt in to FLSA claim).</w:t>
      </w:r>
    </w:p>
    <w:p w14:paraId="3606F559" w14:textId="77777777" w:rsidR="00721CCF" w:rsidRPr="00AD2F44" w:rsidRDefault="00F42107">
      <w:pPr>
        <w:pStyle w:val="14Footnote"/>
      </w:pPr>
      <w:r w:rsidRPr="00AD2F44">
        <w:rPr>
          <w:i/>
          <w:iCs/>
        </w:rPr>
        <w:t xml:space="preserve">Second Circuit: </w:t>
      </w:r>
      <w:r w:rsidRPr="00AD2F44">
        <w:t>Colozzi v. St. Joseph’s Hosp. Health Ctr., 275 F.R.D. 75, 83 (N.D.N.Y. 2011) (rejecting argument that because only 55 out of 2,360 eligible employees opted in to FLSA action, numerosity not satisfied for Rule 23 state law claims; courts in Second Circuit assess numerosity based on number of proposed class members rather than number of opt-ins); Meyers v. Crouse Health Sys., Inc., 274 F.R.D. 404, 414 (N.D.N.Y. 2011); Hamelin v. Faxton-St. Luke’s Healthcare, 274 F.R.D. 385, 393–94 (N.D.N.Y. 2011) (rejecting argument that number of FLSA opt-ins should govern number of proposed state law class members in determining numerosity); Shabazz v. Morgan Funding Corp., 269 F.R.D. 245, 249 (S.D.N.Y. 2010) (where 79 of 355 potential Rule 23 state law class members had opted in to FLSA action, court rejected argument that numerosity requirement was not satisfied, reasoning, in part, that defendants were asking court to speculate that a similarly small fraction of the class would choose to be part of Rule 23 action); Guzman v. VLM, Inc., 2008 WL 597186, at *5 (E.D.N.Y. Mar. 2, 2008) (disagreeing that class should be limited to individuals who opted in for purposes of numerosity analysis; relying on decisions rejecting similar arguments on ground that non-FLSA opt-in plaintiffs may have decided not to opt in due to possibility of intimidation or retaliation by their employers); Jankowski v. Castaldi, 2006 WL 118973, at *2 (E.D.N.Y. Jan. 13, 2006) (holding that, although only 40 out of the 450 potential state law class members had opted in to FLSA action, potential class members might not have opted in to FLSA action due to fear of reprisal, particularly given their citizenship status); Scott v. Aetna Servs., Inc., 210 F.R.D. 261, 267 (D. Conn. 2002) (holding that, despite small number of FLSA opt-ins, proposed Rule 23 class was still sufficiently numerous; “Moreover, especially in light of the evidence that potential class members failed to join the FLSA class action because they feared reprisal, the Court declines to find that every Systems Engineer who desires to participate in this litigation has already joined.”).</w:t>
      </w:r>
    </w:p>
    <w:p w14:paraId="43FF197E" w14:textId="77777777" w:rsidR="00721CCF" w:rsidRPr="00AD2F44" w:rsidRDefault="00F42107">
      <w:pPr>
        <w:pStyle w:val="14Footnote"/>
      </w:pPr>
      <w:r w:rsidRPr="00AD2F44">
        <w:rPr>
          <w:i/>
          <w:iCs/>
        </w:rPr>
        <w:t xml:space="preserve">Seventh Circuit: </w:t>
      </w:r>
      <w:r w:rsidRPr="00AD2F44">
        <w:t>Chavez v. Don Stolzner Mason Contractor, Inc., 272 F.R.D. 450, 454 (N.D. Ill. 2011) (rejecting challenge to numerosity for state law claims where FLSA claims brought only on behalf of named plaintiffs and evidence showed potential state law class of at least 40 individuals).</w:t>
      </w:r>
    </w:p>
    <w:p w14:paraId="2C81DF86" w14:textId="77777777" w:rsidR="00721CCF" w:rsidRPr="00AD2F44" w:rsidRDefault="00F42107">
      <w:pPr>
        <w:pStyle w:val="14Footnote"/>
      </w:pPr>
      <w:r w:rsidRPr="00AD2F44">
        <w:rPr>
          <w:i/>
          <w:iCs/>
        </w:rPr>
        <w:t>Eighth Circuit:</w:t>
      </w:r>
      <w:r w:rsidRPr="00AD2F44">
        <w:t xml:space="preserve"> Tinsley v. Covenant Care Serv., LLC, 2016 WL 393577, at *8 (E.D. Mo. Feb. 2, 2016) (“[t]he size of the FLSA opt-in class is irrelevant to the Rule 23 determination” on numerosity).</w:t>
      </w:r>
    </w:p>
  </w:footnote>
  <w:footnote w:id="1156">
    <w:p w14:paraId="0D68EEF9" w14:textId="77777777" w:rsidR="00721CCF" w:rsidRPr="00AD2F44" w:rsidRDefault="00F42107" w:rsidP="000B6C5F">
      <w:pPr>
        <w:pStyle w:val="FootnoteText"/>
      </w:pPr>
      <w:r w:rsidRPr="00AD2F44">
        <w:rPr>
          <w:rStyle w:val="FootnoteReference"/>
        </w:rPr>
        <w:footnoteRef/>
      </w:r>
      <w:r w:rsidRPr="00AD2F44">
        <w:rPr>
          <w:i/>
          <w:iCs/>
        </w:rPr>
        <w:t xml:space="preserve">See, e.g., </w:t>
      </w:r>
      <w:r w:rsidRPr="00AD2F44">
        <w:t xml:space="preserve">Martin v. BMW of N. Am., LLC, 687 F.3d 583 (3d Cir. 2012). </w:t>
      </w:r>
    </w:p>
  </w:footnote>
  <w:footnote w:id="1157">
    <w:p w14:paraId="0DA49164" w14:textId="77777777" w:rsidR="00721CCF" w:rsidRPr="00AD2F44" w:rsidRDefault="00F42107" w:rsidP="000B6C5F">
      <w:pPr>
        <w:pStyle w:val="FootnoteText"/>
      </w:pPr>
      <w:r w:rsidRPr="00AD2F44">
        <w:rPr>
          <w:rStyle w:val="FootnoteReference"/>
        </w:rPr>
        <w:footnoteRef/>
      </w:r>
      <w:r w:rsidRPr="00AD2F44">
        <w:t xml:space="preserve">Hargrove v. Sleepy’s LLC, 974 F.3d 467 (3d Cir. 2020) (citing Tyson Foods, Inc. v. Bouaphakeo, 136 S. Ct. 1036 (2016) and Anderson v. Mt. Clemens Pottery Co., 328 U.S. 680 (1946)). </w:t>
      </w:r>
    </w:p>
  </w:footnote>
  <w:footnote w:id="1158">
    <w:p w14:paraId="7D6A4F03" w14:textId="77777777" w:rsidR="00721CCF" w:rsidRPr="00AD2F44" w:rsidRDefault="00F42107">
      <w:pPr>
        <w:pStyle w:val="14Footnote"/>
      </w:pPr>
      <w:r w:rsidRPr="00AD2F44">
        <w:rPr>
          <w:vertAlign w:val="superscript"/>
        </w:rPr>
        <w:footnoteRef/>
      </w:r>
      <w:r w:rsidRPr="00AD2F44">
        <w:rPr>
          <w:smallCaps/>
        </w:rPr>
        <w:t>Fed. R. Civ. P.</w:t>
      </w:r>
      <w:r w:rsidRPr="00AD2F44">
        <w:t xml:space="preserve"> 23(b)(3). Matters pertinent to this finding include: “(A) the class members’ interests in individually controlling the prosecution or defense of separate actions; (B) the extent and nature of any litigation concerning the controversy already begun by or against class members; (C) the desirability or undesirability of concentrating the litigation of the claims in the particular forum; and (D) the likely difficulties in managing a class action.” </w:t>
      </w:r>
      <w:r w:rsidRPr="00AD2F44">
        <w:rPr>
          <w:i/>
          <w:iCs/>
        </w:rPr>
        <w:t>Id</w:t>
      </w:r>
      <w:r w:rsidRPr="00AD2F44">
        <w:t>.</w:t>
      </w:r>
    </w:p>
  </w:footnote>
  <w:footnote w:id="1159">
    <w:p w14:paraId="7266344D" w14:textId="77777777" w:rsidR="00721CCF" w:rsidRPr="00AD2F44" w:rsidRDefault="00F42107">
      <w:pPr>
        <w:pStyle w:val="14Footnote"/>
      </w:pPr>
      <w:r w:rsidRPr="00AD2F44">
        <w:rPr>
          <w:vertAlign w:val="superscript"/>
        </w:rPr>
        <w:footnoteRef/>
      </w:r>
      <w:r w:rsidRPr="00AD2F44">
        <w:rPr>
          <w:i/>
          <w:iCs/>
        </w:rPr>
        <w:t xml:space="preserve">See </w:t>
      </w:r>
      <w:r w:rsidRPr="00AD2F44">
        <w:t>Garcia v. Freedom Mortg. Corp., 274 F.R.D. 513, 516–18 (D.N.J. June 10, 2011) (denying motion to certify class action as to New Jersey state law wage and hour claims because notice of FLSA action had been issued to putative class and a high percentage of putative plaintiffs chose not to opt in to the action; the court explained that it would be “unfair to certify an NJWHL class and drag the putative class members into this Court when they have already demonstrated an interest to not be involved in this litigation”).</w:t>
      </w:r>
    </w:p>
  </w:footnote>
  <w:footnote w:id="1160">
    <w:p w14:paraId="55F164E2" w14:textId="77777777" w:rsidR="00721CCF" w:rsidRPr="00AD2F44" w:rsidRDefault="00F42107">
      <w:pPr>
        <w:pStyle w:val="14Footnote"/>
      </w:pPr>
      <w:r w:rsidRPr="00AD2F44">
        <w:rPr>
          <w:vertAlign w:val="superscript"/>
        </w:rPr>
        <w:footnoteRef/>
      </w:r>
      <w:r w:rsidRPr="00AD2F44">
        <w:rPr>
          <w:i/>
        </w:rPr>
        <w:t>See</w:t>
      </w:r>
    </w:p>
    <w:p w14:paraId="28B81622" w14:textId="77777777" w:rsidR="00721CCF" w:rsidRPr="00AD2F44" w:rsidRDefault="00F42107">
      <w:pPr>
        <w:pStyle w:val="14Footnote"/>
      </w:pPr>
      <w:r w:rsidRPr="00AD2F44">
        <w:rPr>
          <w:i/>
          <w:iCs/>
        </w:rPr>
        <w:t xml:space="preserve">First Circuit: </w:t>
      </w:r>
      <w:r w:rsidRPr="00AD2F44">
        <w:t>McLaughlin v. Liberty Mut. Ins. Co., 224 F.R.D. 304, 308, 312 (D. Mass. 2004) (rejecting argument that potential Rule 23 class members’ unwillingness to join the FLSA litigation suggested that class action would not be superior: a low opt-in rate “suggests that many of the class members lack the individual incentive to bring suit, making a class action superior”; the court “will not infer a forfeiture of state remedies, including pursuit of a class action, from the failure to join in the pursuit of federal relief”; “[t]he alternative [to a class action] would be either individual suits brought as pendent claims in the opt-in FLSA litigation or a class action in state court,” and “[t]he former option would result in no relief in this court for those who have not opted in”).</w:t>
      </w:r>
    </w:p>
    <w:p w14:paraId="3935DCA3" w14:textId="77777777" w:rsidR="00721CCF" w:rsidRPr="00AD2F44" w:rsidRDefault="00F42107">
      <w:pPr>
        <w:pStyle w:val="14Footnote"/>
      </w:pPr>
      <w:r w:rsidRPr="00AD2F44">
        <w:rPr>
          <w:i/>
          <w:iCs/>
        </w:rPr>
        <w:t xml:space="preserve">Second Circuit: </w:t>
      </w:r>
      <w:r w:rsidRPr="00AD2F44">
        <w:t>Damassia v. Duane Reade, Inc., 250 F.R.D. 152, 163 (S.D.N.Y. 2008) (“[T]he concern about including class members who do not really want to participate in the class deserves little weight in assessing whether a class action is superior to other available methods of adjudication” because there is essentially an equal likelihood that individuals will fail to opt in or fail to opt out for reasons such as not receiving or understanding the notice, there is no reason to assume that individuals who affirmatively do not want to participate will fail to opt out, and the opt-out feature of a Rule 23 class action may be valuable in the wage context insofar as many employees may be reluctant to participate in an FLSA action due to fears of retaliation.); Guzman v. VLM, Inc., 2008 WL 597186, at *8 (E.D.N.Y. Mar. 2, 2008) (rejecting argument that class action would not be superior because it would not lead to judicial economy in light of fact that FLSA provides employees with easy mechanism to join lawsuit; employees may fear opting in to FLSA claim and Rule 23 opt-out procedure provides better mechanism for employees to participate in lawsuit); Scott v. Aetna Servs., Inc., 210 F.R.D. 261, 266–67, 268 (D. Conn. 2002) (finding that class action was superior method because class members might fear reprisal and not pursue individual actions, cost of individual litigation was prohibitive, and class action would eliminate risk of same question of law being decided differently in different cases, and rejecting argument that class certification was unnecessary because class members had been given opportunity to opt in to FLSA claim).</w:t>
      </w:r>
    </w:p>
    <w:p w14:paraId="625E1B3A" w14:textId="77777777" w:rsidR="00721CCF" w:rsidRPr="00AD2F44" w:rsidRDefault="00F42107">
      <w:pPr>
        <w:pStyle w:val="14Footnote"/>
      </w:pPr>
      <w:r w:rsidRPr="00AD2F44">
        <w:rPr>
          <w:i/>
          <w:iCs/>
        </w:rPr>
        <w:t>Sixth Circuit</w:t>
      </w:r>
      <w:r w:rsidRPr="00AD2F44">
        <w:t>: Green v. Platinum Rests. Mid-Am., LLC, 2020 WL 1452724 (W.D. Ky. Mar. 25, 2020) (determining that class certification under Rule 23 was superior method for adjudication, acknowledging that class members have no interest in prosecuting individual cases for small amount of individual damages).</w:t>
      </w:r>
    </w:p>
    <w:p w14:paraId="4F475AE2" w14:textId="77777777" w:rsidR="00721CCF" w:rsidRPr="00AD2F44" w:rsidRDefault="00F42107">
      <w:pPr>
        <w:pStyle w:val="14Footnote"/>
      </w:pPr>
      <w:r w:rsidRPr="00AD2F44">
        <w:rPr>
          <w:i/>
          <w:iCs/>
        </w:rPr>
        <w:t xml:space="preserve">Eighth Circuit: </w:t>
      </w:r>
      <w:r w:rsidRPr="00AD2F44">
        <w:t>Cortez v. Nebraska Beef, Inc., 266 F.R.D. 275, 293–94 (D. Neb. 2010) (rejecting argument that FLSA collective action was superior procedure for adjudicating class members’ claims because class members who believed they were aggrieved and wanted to join action had already opted in to FLSA action: “[T]here may be a number of reasons why the [other] employees failed to opt-in to the action that had nothing to do with a belief they were not actually aggrieved.”) (discussing Damassia v. Duane Reade, Inc., 250 F.R.D. 152, 161–64 (S.D.N.Y. 2008)).</w:t>
      </w:r>
    </w:p>
    <w:p w14:paraId="7F766FA2" w14:textId="77777777" w:rsidR="00721CCF" w:rsidRPr="00AD2F44" w:rsidRDefault="00F42107">
      <w:pPr>
        <w:pStyle w:val="14Footnote"/>
      </w:pPr>
      <w:r w:rsidRPr="00AD2F44">
        <w:rPr>
          <w:i/>
          <w:iCs/>
        </w:rPr>
        <w:t xml:space="preserve">Ninth Circuit: </w:t>
      </w:r>
      <w:r w:rsidRPr="00AD2F44">
        <w:t>Harris v. Vector Mktg. Corp., 753 F. Supp. 2d 996, 1017–18 (N.D. Cal. 2010) (rejecting argument that superior procedure would be to prosecute state law claims of only those potential class members who had opted in to FLSA action, reasoning in part that “inadvertence, as opposed to a conscious decision not to participate, is a likely factor in opt-in situations. Fear of retaliation is another possibility.”); Ramirez v. RDO-BOS Farms, LLC, 2007 WL 273604, at *2 (D. Or. Jan. 23, 2007) (“I find that a class action is appropriate given the background of class members and that class members may have been fearful to join the FLSA collective action.”).</w:t>
      </w:r>
    </w:p>
    <w:p w14:paraId="7DA58A64" w14:textId="77777777" w:rsidR="00721CCF" w:rsidRPr="00AD2F44" w:rsidRDefault="00F42107">
      <w:pPr>
        <w:pStyle w:val="14Footnote"/>
      </w:pPr>
      <w:r w:rsidRPr="00AD2F44">
        <w:rPr>
          <w:i/>
          <w:iCs/>
        </w:rPr>
        <w:t>See also</w:t>
      </w:r>
      <w:r w:rsidRPr="00AD2F44">
        <w:t xml:space="preserve"> Ganci v. MBF Inspection Servs. Inc., 323 F.R.D. 249 (S.D. Ohio 2017) (finding Rule 23 class superior; acknowledging that opt-out nature of Rule 23 class is important tool for employees who wish to continue working for their employer while avoiding any reprisal that may arise from affirmatively joining collective action or commencing individual action); Lindsay v. Government Emps. Ins. Co., 251 F.R.D. 51, 56–57 (D.D.C. 2008) (holding that, although Congress viewed opt-in suits as superior for FLSA claims, there is no evidence that Congress has made similar determination with respect to state law claims brought in conjunction with FLSA claims; Rule 23 certification would prevent duplicative, wasteful, and inefficient litigation, and would eliminate risk of common questions being decided differently in different suits). </w:t>
      </w:r>
      <w:r w:rsidRPr="00AD2F44">
        <w:rPr>
          <w:i/>
          <w:iCs/>
        </w:rPr>
        <w:t>Cf</w:t>
      </w:r>
      <w:r w:rsidRPr="00AD2F44">
        <w:t>.</w:t>
      </w:r>
      <w:r w:rsidRPr="00AD2F44">
        <w:rPr>
          <w:i/>
          <w:iCs/>
        </w:rPr>
        <w:t xml:space="preserve"> </w:t>
      </w:r>
      <w:r w:rsidRPr="00AD2F44">
        <w:t>McLaughlin v. Harbor Cruises LLC, 2009 WL 890099, at *2 (D. Mass. Mar. 31, 2009) (adjudication of opt-out classes’ state law claims was not incompatible with adjudication of opt-in classes’ claims where construction of relevant state law would follow construction of parallel FLSA provision).</w:t>
      </w:r>
    </w:p>
  </w:footnote>
  <w:footnote w:id="1161">
    <w:p w14:paraId="52BB17F0" w14:textId="77777777" w:rsidR="00721CCF" w:rsidRPr="00AD2F44" w:rsidRDefault="00F42107">
      <w:pPr>
        <w:pStyle w:val="14Footnote"/>
      </w:pPr>
      <w:r w:rsidRPr="00AD2F44">
        <w:rPr>
          <w:vertAlign w:val="superscript"/>
        </w:rPr>
        <w:footnoteRef/>
      </w:r>
      <w:r w:rsidRPr="00AD2F44">
        <w:t>632 F.3d 971 (7th Cir. 2011).</w:t>
      </w:r>
    </w:p>
  </w:footnote>
  <w:footnote w:id="1162">
    <w:p w14:paraId="6E922488" w14:textId="77777777" w:rsidR="00721CCF" w:rsidRPr="00AD2F44" w:rsidRDefault="00F42107">
      <w:pPr>
        <w:pStyle w:val="14Footnote"/>
      </w:pPr>
      <w:r w:rsidRPr="00AD2F44">
        <w:rPr>
          <w:vertAlign w:val="superscript"/>
        </w:rPr>
        <w:footnoteRef/>
      </w:r>
      <w:r w:rsidRPr="00AD2F44">
        <w:rPr>
          <w:i/>
          <w:iCs/>
        </w:rPr>
        <w:t>Id</w:t>
      </w:r>
      <w:r w:rsidRPr="00AD2F44">
        <w:t>. at 975.</w:t>
      </w:r>
    </w:p>
  </w:footnote>
  <w:footnote w:id="1163">
    <w:p w14:paraId="77906725" w14:textId="77777777" w:rsidR="00721CCF" w:rsidRPr="00AD2F44" w:rsidRDefault="00F42107">
      <w:pPr>
        <w:pStyle w:val="14Footnote"/>
      </w:pPr>
      <w:r w:rsidRPr="00AD2F44">
        <w:rPr>
          <w:vertAlign w:val="superscript"/>
        </w:rPr>
        <w:footnoteRef/>
      </w:r>
      <w:r w:rsidRPr="00AD2F44">
        <w:rPr>
          <w:i/>
          <w:iCs/>
        </w:rPr>
        <w:t>Id</w:t>
      </w:r>
      <w:r w:rsidRPr="00AD2F44">
        <w:t>. at 975–78.</w:t>
      </w:r>
    </w:p>
  </w:footnote>
  <w:footnote w:id="1164">
    <w:p w14:paraId="79D1EC73" w14:textId="77777777" w:rsidR="00721CCF" w:rsidRPr="00AD2F44" w:rsidRDefault="00F42107">
      <w:pPr>
        <w:pStyle w:val="14Footnote"/>
      </w:pPr>
      <w:r w:rsidRPr="00AD2F44">
        <w:rPr>
          <w:vertAlign w:val="superscript"/>
        </w:rPr>
        <w:footnoteRef/>
      </w:r>
      <w:r w:rsidRPr="00AD2F44">
        <w:rPr>
          <w:i/>
          <w:iCs/>
        </w:rPr>
        <w:t>Id</w:t>
      </w:r>
      <w:r w:rsidRPr="00AD2F44">
        <w:t>. at 979.</w:t>
      </w:r>
    </w:p>
  </w:footnote>
  <w:footnote w:id="1165">
    <w:p w14:paraId="0568FB48" w14:textId="77777777" w:rsidR="00721CCF" w:rsidRPr="00AD2F44" w:rsidRDefault="00F42107">
      <w:pPr>
        <w:pStyle w:val="14Footnote"/>
      </w:pPr>
      <w:r w:rsidRPr="00AD2F44">
        <w:rPr>
          <w:vertAlign w:val="superscript"/>
        </w:rPr>
        <w:footnoteRef/>
      </w:r>
      <w:r w:rsidRPr="00AD2F44">
        <w:rPr>
          <w:i/>
        </w:rPr>
        <w:t>See</w:t>
      </w:r>
    </w:p>
    <w:p w14:paraId="277CA43E" w14:textId="77777777" w:rsidR="00721CCF" w:rsidRPr="00AD2F44" w:rsidRDefault="00F42107">
      <w:pPr>
        <w:pStyle w:val="14Footnote"/>
      </w:pPr>
      <w:r w:rsidRPr="00AD2F44">
        <w:rPr>
          <w:i/>
          <w:iCs/>
        </w:rPr>
        <w:t xml:space="preserve">Second Circuit: </w:t>
      </w:r>
      <w:r w:rsidRPr="00AD2F44">
        <w:t>Spencer v. No Parking Today, Inc., 2013 WL 1040052 (S.D.N.Y. Mar. 15, 2013) (finding class action procedure was superior because it was desirable to concentrate state statutory class claims in same forum as parallel FLSA claim so that claims could be collectively litigated in one forum); Gortat v. Capala Bros., Inc., 2012 WL 1116495, at *3 (E.D.N.Y. Apr. 3, 2012) (relying, in part, on finding that members had inadequate resources and small claims that would make proceeding individually unlikely); Alonso v. GEICO Gen. Ins. Co., 2011 WL 4389636, at *5 (S.D.N.Y. Sept. 21, 2011) (finding FLSA and state law claims were nearly identical and exercising jurisdiction over state law claims was preferable to allowing hundreds of individual claims to be filed in state court); Aponte v. Comprehensive Health Mgmt., Inc., 2011 WL 2207586, at *11 (S.D.N.Y. June 2, 2011) (finding Rule 23 certification superior as alternative to multiple state actions, which might render inconsistent results and provide modest recoveries in individual lawsuits).</w:t>
      </w:r>
    </w:p>
    <w:p w14:paraId="73B5A301" w14:textId="77777777" w:rsidR="00721CCF" w:rsidRPr="00AD2F44" w:rsidRDefault="00F42107">
      <w:pPr>
        <w:pStyle w:val="14Footnote"/>
      </w:pPr>
      <w:r w:rsidRPr="00AD2F44">
        <w:rPr>
          <w:i/>
          <w:iCs/>
        </w:rPr>
        <w:t xml:space="preserve">Fourth Circuit: </w:t>
      </w:r>
      <w:r w:rsidRPr="00AD2F44">
        <w:t>Harris v. Vector Mktg. Corp., 753 F. Supp. 2d 996, 1018 (N.D. Cal. 2010) (employer argued that superior procedure would be to prosecute state law claims of those who opted in to FLSA action alongside their FLSA claims, but not state law claims of those employees who did not opt in to FLSA action; court rejected argument, reasoning in part that “the rights of the class as a whole to prosecute the state claims would be substantially diminished were Rule 23 class certification denied,” as the likely practical effect of denying Rule 23 class certification would be that state law wage claims would be dropped).</w:t>
      </w:r>
    </w:p>
    <w:p w14:paraId="1A3B5E51" w14:textId="77777777" w:rsidR="00721CCF" w:rsidRPr="00AD2F44" w:rsidRDefault="00F42107">
      <w:pPr>
        <w:pStyle w:val="14Footnote"/>
      </w:pPr>
      <w:r w:rsidRPr="00AD2F44">
        <w:rPr>
          <w:i/>
          <w:iCs/>
        </w:rPr>
        <w:t xml:space="preserve">Seventh Circuit: </w:t>
      </w:r>
      <w:r w:rsidRPr="00AD2F44">
        <w:t>O’Brien v. Encotech Constr. Servs., Inc., 203 F.R.D. 346, 352 (N.D. Ill. 2001) (holding that employer’s argument “does not address the central question of where plaintiffs would be able to file their state claims. If they are denied the opportunity of filing a class suit for their state claims in this court, they could file a suit for these claims in state court. That result, however, would be inefficient. It would be desirable to concentrate all litigation related to plaintiffs’ common set of facts in this forum.”).</w:t>
      </w:r>
    </w:p>
    <w:p w14:paraId="729E1420" w14:textId="77777777" w:rsidR="00721CCF" w:rsidRPr="00AD2F44" w:rsidRDefault="00F42107">
      <w:pPr>
        <w:pStyle w:val="14Footnote"/>
      </w:pPr>
      <w:r w:rsidRPr="00AD2F44">
        <w:rPr>
          <w:i/>
          <w:iCs/>
        </w:rPr>
        <w:t>See also</w:t>
      </w:r>
      <w:r w:rsidRPr="00AD2F44">
        <w:t xml:space="preserve"> Ladegaard v. Hard Rock Concrete Cutters, Inc., 2000 WL 1774091, at *7 (N.D. Ill. Dec. 1, 2000) (“[E]ven with the presence of the FLSA action, individual plaintiffs could bring an action in state court on the state claims. To avoid this result, and to further judicial economy, it is desirable to concentrate the litigation in one forum.”).</w:t>
      </w:r>
    </w:p>
  </w:footnote>
  <w:footnote w:id="1166">
    <w:p w14:paraId="35771380" w14:textId="77777777" w:rsidR="00721CCF" w:rsidRPr="00AD2F44" w:rsidRDefault="00F42107">
      <w:pPr>
        <w:pStyle w:val="14Footnote"/>
      </w:pPr>
      <w:r w:rsidRPr="00AD2F44">
        <w:rPr>
          <w:vertAlign w:val="superscript"/>
        </w:rPr>
        <w:footnoteRef/>
      </w:r>
      <w:r w:rsidRPr="00AD2F44">
        <w:rPr>
          <w:i/>
        </w:rPr>
        <w:t>See</w:t>
      </w:r>
    </w:p>
    <w:p w14:paraId="3433E35A" w14:textId="77777777" w:rsidR="00721CCF" w:rsidRPr="00AD2F44" w:rsidRDefault="00F42107">
      <w:pPr>
        <w:pStyle w:val="14Footnote"/>
      </w:pPr>
      <w:r w:rsidRPr="00AD2F44">
        <w:rPr>
          <w:i/>
          <w:iCs/>
        </w:rPr>
        <w:t xml:space="preserve">Third Circuit: </w:t>
      </w:r>
      <w:r w:rsidRPr="00AD2F44">
        <w:t>Garcia v. Freedom Mortg. Corp., 274 F.R.D. 513, 517 (D.N.J. 2011) (state law class action not superior because significant percentage of putative class members did not opt in to FLSA collective action, demonstrating that a “large number” of potential class members had interest in individual control of FLSA claims; this is important because asserted federal and state law claims were substantively similar and thus it was fair to conclude that such potential class members have interest in the individual control of their state claim as well).</w:t>
      </w:r>
    </w:p>
    <w:p w14:paraId="45A5C2F8" w14:textId="77777777" w:rsidR="00721CCF" w:rsidRPr="00AD2F44" w:rsidRDefault="00F42107">
      <w:pPr>
        <w:pStyle w:val="14Footnote"/>
      </w:pPr>
      <w:r w:rsidRPr="00AD2F44">
        <w:rPr>
          <w:i/>
          <w:iCs/>
        </w:rPr>
        <w:t xml:space="preserve">Seventh Circuit: </w:t>
      </w:r>
      <w:r w:rsidRPr="00AD2F44">
        <w:t>Dorman v. DHL Express (USA), Inc., 2010 WL 446071, at *5 (W.D. Wis. Feb. 3, 2010) (finding that class action would not be superior method; “The superior method in which to address the Wisconsin labor law overtime wage claim applicable to other Consolidated drivers is to have the plaintiffs who opt in to the FLSA portion of this case assert the state law claim as well.”); Muecke v. A-Reliable Auto Parts and Wreckers, 2002 WL 1359411, at *2 (N.D. Ill. June 21, 2002) (seeking to avoid “incongruous situation” that would arise if court certified class action that included all of employer’s current and former employees, but only a few members decided to participate in lawsuit by opting in to FLSA claim).</w:t>
      </w:r>
    </w:p>
    <w:p w14:paraId="033584AE" w14:textId="77777777" w:rsidR="00721CCF" w:rsidRPr="00AD2F44" w:rsidRDefault="00F42107">
      <w:pPr>
        <w:pStyle w:val="14Footnote"/>
      </w:pPr>
      <w:r w:rsidRPr="00AD2F44">
        <w:rPr>
          <w:i/>
          <w:iCs/>
        </w:rPr>
        <w:t xml:space="preserve">Ninth Circuit: </w:t>
      </w:r>
      <w:r w:rsidRPr="00AD2F44">
        <w:t xml:space="preserve">McDonald v. Ricardo’s on the Beach, Inc., 2013 WL 228334 (C.D. Cal. Jan. 22, 2013) (concluding that plaintiffs had failed to satisfy superiority requirement, citing </w:t>
      </w:r>
      <w:r w:rsidRPr="00AD2F44">
        <w:rPr>
          <w:i/>
          <w:iCs/>
        </w:rPr>
        <w:t>Leuthold v. Destination America, Inc.</w:t>
      </w:r>
      <w:r w:rsidRPr="00AD2F44">
        <w:t xml:space="preserve">, 224 F.R.D. 462 (N.D. Cal. 2004), for proposition that class action not superior where plaintiffs can opt in to FLSA collective action); Campanelli v. Hershey Co., 2010 WL 3219501, at *5 (N.D. Cal. Aug. 13, 2010) (state law class action not superior where 90 FLSA opt-ins could resolve state and federal claims in FLSA collective action); Khadera v. ABM Indus. Inc., 701 F. Supp. 2d 1190, 1195–96 (W.D. Wash. 2010) (finding that class action would not be superior method; class members’ interests would be better served by having FLSA opt-ins pursue their state law claims as pendent to their FLSA claims, reasoning that class members who did not opt in to FLSA action could have their FLSA claims precluded if a Rule 23 class was certified for state law claims and they did opt out of that class); </w:t>
      </w:r>
      <w:r w:rsidRPr="00AD2F44">
        <w:rPr>
          <w:i/>
          <w:iCs/>
        </w:rPr>
        <w:t>Leuthold</w:t>
      </w:r>
      <w:r w:rsidRPr="00AD2F44">
        <w:t>, 224 F.R.D. at 469–70 (holding that, given evidence that some employees were hostile to lawsuit, it made more sense to allow employees to opt in to FLSA collective action and litigate their state law claims alongside their FLSA claims, rather than to require them to opt out of class action for their state law claims).</w:t>
      </w:r>
    </w:p>
  </w:footnote>
  <w:footnote w:id="1167">
    <w:p w14:paraId="372FBFDC" w14:textId="77777777" w:rsidR="00721CCF" w:rsidRPr="00AD2F44" w:rsidRDefault="00F42107">
      <w:pPr>
        <w:pStyle w:val="14Footnote"/>
      </w:pPr>
      <w:r w:rsidRPr="00AD2F44">
        <w:rPr>
          <w:vertAlign w:val="superscript"/>
        </w:rPr>
        <w:footnoteRef/>
      </w:r>
      <w:r w:rsidRPr="00AD2F44">
        <w:t>Shoots v. iQor Holdings, Inc.,</w:t>
      </w:r>
      <w:r w:rsidRPr="00AD2F44">
        <w:rPr>
          <w:b/>
          <w:bCs/>
        </w:rPr>
        <w:t xml:space="preserve"> </w:t>
      </w:r>
      <w:r w:rsidRPr="00AD2F44">
        <w:t xml:space="preserve">325 F.R.D. 253 (D. Minn. 2018) (denying Rule 23 certification based on differences in eight different state laws, noting that proposed class action would create jury confusion and difficulties in managing unified action); Khadera v. ABM Indus. Inc., 701 F. Supp. 2d 1190, 1195–96 (W.D. Wash. 2010); De La Cruz v. Gill Corn Farms, Inc., 2005 WL 5419056, at *7 (N.D.N.Y. Jan. 25, 2005); </w:t>
      </w:r>
      <w:r w:rsidRPr="00AD2F44">
        <w:rPr>
          <w:i/>
          <w:iCs/>
        </w:rPr>
        <w:t>Leuthold</w:t>
      </w:r>
      <w:r w:rsidRPr="00AD2F44">
        <w:t xml:space="preserve">, 224 F.R.D. at 469–70; </w:t>
      </w:r>
      <w:r w:rsidRPr="00AD2F44">
        <w:rPr>
          <w:i/>
          <w:iCs/>
        </w:rPr>
        <w:t>accord</w:t>
      </w:r>
      <w:r w:rsidRPr="00AD2F44">
        <w:t xml:space="preserve"> Edwards v. City of Long Beach, 467 F. Supp. 2d 986, 992–93 (C.D. Cal. 2006); </w:t>
      </w:r>
      <w:r w:rsidRPr="00AD2F44">
        <w:rPr>
          <w:i/>
          <w:iCs/>
        </w:rPr>
        <w:t>cf</w:t>
      </w:r>
      <w:r w:rsidRPr="00AD2F44">
        <w:t>. Riddle v. National Sec. Agency, Inc., 2007 WL 2746597, at *3 (N.D. Ill. Sept. 13, 2007) (reasoning, as part of discussion of superiority requirement, that rationale for exercising supplemental jurisdiction over state law class claim would disappear if, as was likely, state law class were much larger than FLSA class).</w:t>
      </w:r>
    </w:p>
  </w:footnote>
  <w:footnote w:id="1168">
    <w:p w14:paraId="3DE01AB0" w14:textId="77777777" w:rsidR="00721CCF" w:rsidRPr="00AD2F44" w:rsidRDefault="00F42107">
      <w:pPr>
        <w:pStyle w:val="14Footnote"/>
      </w:pPr>
      <w:r w:rsidRPr="00AD2F44">
        <w:rPr>
          <w:vertAlign w:val="superscript"/>
        </w:rPr>
        <w:footnoteRef/>
      </w:r>
      <w:r w:rsidRPr="00AD2F44">
        <w:rPr>
          <w:i/>
          <w:iCs/>
        </w:rPr>
        <w:t>See, e.g.,</w:t>
      </w:r>
    </w:p>
    <w:p w14:paraId="596CB285" w14:textId="77777777" w:rsidR="00721CCF" w:rsidRPr="00AD2F44" w:rsidRDefault="00F42107">
      <w:pPr>
        <w:pStyle w:val="14Footnote"/>
      </w:pPr>
      <w:r w:rsidRPr="00AD2F44">
        <w:rPr>
          <w:i/>
          <w:iCs/>
        </w:rPr>
        <w:t xml:space="preserve">Second Circuit: </w:t>
      </w:r>
      <w:r w:rsidRPr="00AD2F44">
        <w:t>Meyers v. Crouse Health Sys., Inc., 274 F.R.D. 404, 418, 420–22 (N.D.N.Y. 2011); Colozzi v. St. Joseph’s Hosp. Health Ctr., 275 F.R.D. 75, 92 (N.D.N.Y. 2011); Hamelin v. Faxton-St. Luke’s Healthcare, 274 F.R.D. 385, 401 (N.D.N.Y. 2011).</w:t>
      </w:r>
    </w:p>
    <w:p w14:paraId="3A097753" w14:textId="77777777" w:rsidR="00721CCF" w:rsidRPr="00AD2F44" w:rsidRDefault="00F42107">
      <w:pPr>
        <w:pStyle w:val="14Footnote"/>
      </w:pPr>
      <w:r w:rsidRPr="00AD2F44">
        <w:rPr>
          <w:i/>
          <w:iCs/>
        </w:rPr>
        <w:t xml:space="preserve">Third Circuit: </w:t>
      </w:r>
      <w:r w:rsidRPr="00AD2F44">
        <w:t xml:space="preserve">Knepper v. Rite Aid Corp., 675 F.3d 249, 258 (3d Cir. 2012) </w:t>
      </w:r>
      <w:r w:rsidRPr="00AD2F44">
        <w:br/>
        <w:t>(“[T]he plain text of §216(b) provides no support for the concept of ‘inherent incompatibility.’ … The references to state law in the FLSA manifest only congressional intent not to preempt state standards.”).</w:t>
      </w:r>
    </w:p>
    <w:p w14:paraId="18339148" w14:textId="77777777" w:rsidR="00721CCF" w:rsidRPr="00AD2F44" w:rsidRDefault="00F42107">
      <w:pPr>
        <w:pStyle w:val="14Footnote"/>
      </w:pPr>
      <w:r w:rsidRPr="00AD2F44">
        <w:rPr>
          <w:i/>
          <w:iCs/>
        </w:rPr>
        <w:t xml:space="preserve">Fourth Circuit: </w:t>
      </w:r>
      <w:r w:rsidRPr="00AD2F44">
        <w:t>Gaxiola v. Williams Seafood of Arapahoe, Inc., 776 F. Supp. 2d 117, 131 (E.D.N.C. 2011).</w:t>
      </w:r>
    </w:p>
    <w:p w14:paraId="0D5940BD" w14:textId="77777777" w:rsidR="00721CCF" w:rsidRPr="00AD2F44" w:rsidRDefault="00F42107">
      <w:pPr>
        <w:pStyle w:val="14Footnote"/>
      </w:pPr>
      <w:r w:rsidRPr="00AD2F44">
        <w:rPr>
          <w:i/>
          <w:iCs/>
        </w:rPr>
        <w:t xml:space="preserve">Seventh Circuit: </w:t>
      </w:r>
      <w:r w:rsidRPr="00AD2F44">
        <w:t>Ervin v. OS Rest. Servs., Inc., 632 F.3d 971, 977 (7th Cir. 2011) (alleged congressional intent no bar to superiority finding for state law class).</w:t>
      </w:r>
    </w:p>
    <w:p w14:paraId="34155460" w14:textId="77777777" w:rsidR="00721CCF" w:rsidRPr="00AD2F44" w:rsidRDefault="00F42107">
      <w:pPr>
        <w:pStyle w:val="14Footnote"/>
      </w:pPr>
      <w:r w:rsidRPr="00AD2F44">
        <w:rPr>
          <w:i/>
          <w:iCs/>
        </w:rPr>
        <w:t xml:space="preserve">Eighth Circuit: </w:t>
      </w:r>
      <w:r w:rsidRPr="00AD2F44">
        <w:t>Cortez v. Nebraska Beef, Inc., 266 F.R.D. 275, 293–94 (D. Neb. 2010); Damassia v. Duane Reade, Inc., 250 F.R.D. 152, 161–64 (S.D.N.Y. 2008).</w:t>
      </w:r>
    </w:p>
    <w:p w14:paraId="3152A5D1" w14:textId="77777777" w:rsidR="00721CCF" w:rsidRPr="00AD2F44" w:rsidRDefault="00F42107">
      <w:pPr>
        <w:pStyle w:val="14Footnote"/>
      </w:pPr>
      <w:r w:rsidRPr="00AD2F44">
        <w:rPr>
          <w:i/>
          <w:iCs/>
        </w:rPr>
        <w:t xml:space="preserve">See also </w:t>
      </w:r>
      <w:r w:rsidRPr="00AD2F44">
        <w:t>Espenscheid v. DirectSAT USA, LLC, 708 F. Supp. 2d 781, 791–92 (W.D. Wis. 2010) (noting in context of supplemental jurisdiction discussion that there is no evidence of congressional intent to preclude Rule 23 state law class actions and that closely related FLSA and state law claims “are exactly the types of claims that Congress intended to be brought in the same case”).</w:t>
      </w:r>
    </w:p>
  </w:footnote>
  <w:footnote w:id="1169">
    <w:p w14:paraId="4AB00C94" w14:textId="77777777" w:rsidR="00721CCF" w:rsidRPr="00AD2F44" w:rsidRDefault="00F42107">
      <w:pPr>
        <w:pStyle w:val="14Footnote"/>
      </w:pPr>
      <w:r w:rsidRPr="00AD2F44">
        <w:rPr>
          <w:vertAlign w:val="superscript"/>
        </w:rPr>
        <w:footnoteRef/>
      </w:r>
      <w:r w:rsidRPr="00AD2F44">
        <w:t xml:space="preserve">See §XI.D.1 [Hybrid FLSA/State Law Class Actions; Federal Jurisdiction Over State Law Claims in Hybrid Actions; Diversity Jurisdiction Under the Class Action Fairness Act] of this chapter. </w:t>
      </w:r>
    </w:p>
  </w:footnote>
  <w:footnote w:id="1170">
    <w:p w14:paraId="5EDF78CF" w14:textId="77777777" w:rsidR="00721CCF" w:rsidRPr="00AD2F44" w:rsidRDefault="00F42107">
      <w:pPr>
        <w:pStyle w:val="14Footnote"/>
      </w:pPr>
      <w:r w:rsidRPr="00AD2F44">
        <w:rPr>
          <w:vertAlign w:val="superscript"/>
        </w:rPr>
        <w:footnoteRef/>
      </w:r>
      <w:r w:rsidRPr="00AD2F44">
        <w:rPr>
          <w:i/>
        </w:rPr>
        <w:t>See</w:t>
      </w:r>
    </w:p>
    <w:p w14:paraId="3E2A7E62" w14:textId="77777777" w:rsidR="00721CCF" w:rsidRPr="00AD2F44" w:rsidRDefault="00F42107">
      <w:pPr>
        <w:pStyle w:val="14Footnote"/>
      </w:pPr>
      <w:r w:rsidRPr="00AD2F44">
        <w:rPr>
          <w:i/>
          <w:iCs/>
        </w:rPr>
        <w:t xml:space="preserve">Second Circuit: </w:t>
      </w:r>
      <w:r w:rsidRPr="00AD2F44">
        <w:t>Colozzi v. St. Joseph’s Hosp. Health Ctr., 275 F.R.D. 75, 92 (N.D.N.Y. 2011) (no indication that potential class members could not read English); Meyers v. Crouse Health Sys., Inc., 274 F.R.D. 404, 418, 422 (N.D.N.Y. 2011); Hamelin v. Faxton-St. Luke’s Healthcare, 274 F.R.D. 385, 402 (N.D.N.Y. 2011).</w:t>
      </w:r>
    </w:p>
    <w:p w14:paraId="7F3F3FA1" w14:textId="77777777" w:rsidR="00721CCF" w:rsidRPr="00AD2F44" w:rsidRDefault="00F42107">
      <w:pPr>
        <w:pStyle w:val="14Footnote"/>
      </w:pPr>
      <w:r w:rsidRPr="00AD2F44">
        <w:rPr>
          <w:i/>
          <w:iCs/>
        </w:rPr>
        <w:t xml:space="preserve">Sixth Circuit: </w:t>
      </w:r>
      <w:r w:rsidRPr="00AD2F44">
        <w:t>Peterson v. Cleveland Inst. of Art, 2011 WL 1297097, at *5 (N.D. Ohio Mar. 31, 2011).</w:t>
      </w:r>
    </w:p>
    <w:p w14:paraId="3878EF03" w14:textId="77777777" w:rsidR="00721CCF" w:rsidRPr="00AD2F44" w:rsidRDefault="00F42107">
      <w:pPr>
        <w:pStyle w:val="14Footnote"/>
      </w:pPr>
      <w:r w:rsidRPr="00AD2F44">
        <w:rPr>
          <w:i/>
          <w:iCs/>
        </w:rPr>
        <w:t xml:space="preserve">Seventh Circuit: </w:t>
      </w:r>
      <w:r w:rsidRPr="00AD2F44">
        <w:t>O’Brien v. Encotech Constr. Servs., Inc., 203 F.R.D. 346, 352 (N.D. Ill. 2001) (determining that need to notify potential class members about procedures for both opting in to and opting out of respective actions could be addressed by appropriate notice); Ladegaard v. Hard Rock Concrete Cutters, Inc., 2000 WL 1774091, at *7 (N.D. Ill. Dec. 1, 2000) (plaintiff would likely be able to contact potential members, and counsel had drafted joint opt-in/opt-out notices under court supervision before).</w:t>
      </w:r>
    </w:p>
  </w:footnote>
  <w:footnote w:id="1171">
    <w:p w14:paraId="127612BF" w14:textId="77777777" w:rsidR="00721CCF" w:rsidRPr="00AD2F44" w:rsidRDefault="00F42107">
      <w:pPr>
        <w:pStyle w:val="14Footnote"/>
      </w:pPr>
      <w:r w:rsidRPr="00AD2F44">
        <w:rPr>
          <w:vertAlign w:val="superscript"/>
        </w:rPr>
        <w:footnoteRef/>
      </w:r>
      <w:r w:rsidRPr="00AD2F44">
        <w:t>Gandhi v. Dell, Inc., 2009 WL 1940144, at *8 (W.D. Tex. July 2, 2009).</w:t>
      </w:r>
    </w:p>
  </w:footnote>
  <w:footnote w:id="1172">
    <w:p w14:paraId="56B9D5E5" w14:textId="77777777" w:rsidR="00721CCF" w:rsidRPr="00AD2F44" w:rsidRDefault="00F42107">
      <w:pPr>
        <w:pStyle w:val="14Footnote"/>
      </w:pPr>
      <w:r w:rsidRPr="00AD2F44">
        <w:rPr>
          <w:vertAlign w:val="superscript"/>
        </w:rPr>
        <w:footnoteRef/>
      </w:r>
      <w:r w:rsidRPr="00AD2F44">
        <w:t>Duchene v. Michael L. Cetta, Inc., 244 F.R.D. 202, 204 (S.D.N.Y. June 18, 2007); Ramirez v. RDO-BOS Farms, LLC, 2007 WL 273604, at *2 (D. Or. Jan. 23, 2007).</w:t>
      </w:r>
    </w:p>
  </w:footnote>
  <w:footnote w:id="1173">
    <w:p w14:paraId="324F87FC" w14:textId="77777777" w:rsidR="00721CCF" w:rsidRPr="00AD2F44" w:rsidRDefault="00F42107">
      <w:pPr>
        <w:pStyle w:val="14Footnote"/>
      </w:pPr>
      <w:r w:rsidRPr="00AD2F44">
        <w:rPr>
          <w:vertAlign w:val="superscript"/>
        </w:rPr>
        <w:footnoteRef/>
      </w:r>
      <w:r w:rsidRPr="00AD2F44">
        <w:rPr>
          <w:i/>
        </w:rPr>
        <w:t>See</w:t>
      </w:r>
    </w:p>
    <w:p w14:paraId="3020A790" w14:textId="77777777" w:rsidR="00721CCF" w:rsidRPr="00AD2F44" w:rsidRDefault="00F42107">
      <w:pPr>
        <w:pStyle w:val="14Footnote"/>
      </w:pPr>
      <w:r w:rsidRPr="00AD2F44">
        <w:rPr>
          <w:i/>
          <w:iCs/>
        </w:rPr>
        <w:t xml:space="preserve">Second Circuit: </w:t>
      </w:r>
      <w:r w:rsidRPr="00AD2F44">
        <w:t>Guzman v. VLM, Inc., 2008 WL 597186, at *10 (E.D.N.Y. Mar. 2, 2008) (downplaying risk of confusion and finding that dual opt-in/opt-out notice would not undermine superiority).</w:t>
      </w:r>
    </w:p>
    <w:p w14:paraId="6FC9110F" w14:textId="77777777" w:rsidR="00721CCF" w:rsidRPr="00AD2F44" w:rsidRDefault="00F42107">
      <w:pPr>
        <w:pStyle w:val="14Footnote"/>
      </w:pPr>
      <w:r w:rsidRPr="00AD2F44">
        <w:rPr>
          <w:i/>
          <w:iCs/>
        </w:rPr>
        <w:t xml:space="preserve">Fourth Circuit: </w:t>
      </w:r>
      <w:r w:rsidRPr="00AD2F44">
        <w:t>Calderon v. GEICO Gen. Ins. Co., 279 F.R.D. 337, 347 (D. Md. 2012).</w:t>
      </w:r>
    </w:p>
    <w:p w14:paraId="0FA04CCF" w14:textId="77777777" w:rsidR="00721CCF" w:rsidRPr="00AD2F44" w:rsidRDefault="00F42107">
      <w:pPr>
        <w:pStyle w:val="14Footnote"/>
      </w:pPr>
      <w:r w:rsidRPr="00AD2F44">
        <w:rPr>
          <w:i/>
          <w:iCs/>
        </w:rPr>
        <w:t xml:space="preserve">Sixth Circuit: </w:t>
      </w:r>
      <w:r w:rsidRPr="00AD2F44">
        <w:t>Wade v. Werner Trucking Co., 2011 WL 320233, at *2 (S.D. Ohio Jan 28, 2011).</w:t>
      </w:r>
    </w:p>
    <w:p w14:paraId="13AF6B75" w14:textId="066127A0" w:rsidR="00721CCF" w:rsidRPr="00AD2F44" w:rsidRDefault="00F42107">
      <w:pPr>
        <w:pStyle w:val="14Footnote"/>
      </w:pPr>
      <w:r w:rsidRPr="00AD2F44">
        <w:rPr>
          <w:i/>
          <w:iCs/>
        </w:rPr>
        <w:t xml:space="preserve">Seventh Circuit: </w:t>
      </w:r>
      <w:r w:rsidRPr="00AD2F44">
        <w:t>Ervin v. OS Rest. Servs., Inc., 632 F.3d 971, 978 (7th Cir. 2011) (recognizing that notice informing employees of their right to opt in to FLSA action and to opt out of state law action had potential to confuse class members and was valid superiority concern but finding “no indication that the problem is any worse than countless others that district courts face with class actions”).</w:t>
      </w:r>
    </w:p>
    <w:p w14:paraId="4BBA1B34" w14:textId="77777777" w:rsidR="00721CCF" w:rsidRPr="00AD2F44" w:rsidRDefault="00F42107">
      <w:pPr>
        <w:pStyle w:val="14Footnote"/>
      </w:pPr>
      <w:r w:rsidRPr="00AD2F44">
        <w:rPr>
          <w:i/>
          <w:iCs/>
        </w:rPr>
        <w:t xml:space="preserve">Ninth Circuit: </w:t>
      </w:r>
      <w:r w:rsidRPr="00AD2F44">
        <w:t>Guifu Li v. A Perfect Franchise, Inc., 2011 WL 4635198, at *1–11 (N.D. Cal. Oct. 5, 2011).</w:t>
      </w:r>
    </w:p>
    <w:p w14:paraId="3DB28078" w14:textId="77777777" w:rsidR="00721CCF" w:rsidRPr="00AD2F44" w:rsidRDefault="00F42107">
      <w:pPr>
        <w:pStyle w:val="14Footnote"/>
        <w:rPr>
          <w:i/>
          <w:iCs/>
        </w:rPr>
      </w:pPr>
      <w:r w:rsidRPr="00AD2F44">
        <w:rPr>
          <w:i/>
          <w:iCs/>
        </w:rPr>
        <w:t>Accord</w:t>
      </w:r>
    </w:p>
    <w:p w14:paraId="03F748A0" w14:textId="77777777" w:rsidR="00721CCF" w:rsidRPr="00AD2F44" w:rsidRDefault="00F42107">
      <w:pPr>
        <w:pStyle w:val="14Footnote"/>
      </w:pPr>
      <w:r w:rsidRPr="00AD2F44">
        <w:rPr>
          <w:i/>
          <w:iCs/>
        </w:rPr>
        <w:t xml:space="preserve">Second Circuit: </w:t>
      </w:r>
      <w:r w:rsidRPr="00AD2F44">
        <w:t>Damassia v. Duane Reade, Inc., 250 F.R.D. 152, 163 (S.D.N.Y. 2008).</w:t>
      </w:r>
    </w:p>
    <w:p w14:paraId="40A9CB1C" w14:textId="77777777" w:rsidR="00721CCF" w:rsidRPr="00AD2F44" w:rsidRDefault="00F42107">
      <w:pPr>
        <w:pStyle w:val="14Footnote"/>
      </w:pPr>
      <w:r w:rsidRPr="00AD2F44">
        <w:rPr>
          <w:i/>
          <w:iCs/>
        </w:rPr>
        <w:t xml:space="preserve">Seventh Circuit: </w:t>
      </w:r>
      <w:r w:rsidRPr="00AD2F44">
        <w:t>Musch v. Domtar Indus., Inc., 252 F.R.D. 456, 463 (W.D. Wis. 2008) (acknowledging risk of confusion but concluding that any harm from such confusion was outweighed by factors supporting class adjudication).</w:t>
      </w:r>
    </w:p>
    <w:p w14:paraId="4CE1D8B9" w14:textId="77777777" w:rsidR="00721CCF" w:rsidRPr="00AD2F44" w:rsidRDefault="00F42107">
      <w:pPr>
        <w:pStyle w:val="14Footnote"/>
      </w:pPr>
      <w:r w:rsidRPr="00AD2F44">
        <w:t>See also §XI.D.2.c.iv [Hybrid FLSA/State Law Class Actions; Federal Jurisdiction Over State Law Claims in Hybrid Actions; Supplemental Jurisdiction Under 28 U.S.C. §1367; Whether the Court Should Decline to Exercise Supplemental Jurisdiction; “Exceptional Circumstances”/“Compelling Reasons”] of this chapter (citing cases discussing issue of potential class member confusion in contexts of deciding whether hybrid actions are lawful and/or whether there are compelling reasons for declining to exercise supplemental jurisdiction).</w:t>
      </w:r>
    </w:p>
  </w:footnote>
  <w:footnote w:id="1174">
    <w:p w14:paraId="0F440C19" w14:textId="77777777" w:rsidR="00721CCF" w:rsidRPr="00AD2F44" w:rsidRDefault="00F42107">
      <w:pPr>
        <w:pStyle w:val="14Footnote"/>
      </w:pPr>
      <w:r w:rsidRPr="00AD2F44">
        <w:rPr>
          <w:vertAlign w:val="superscript"/>
        </w:rPr>
        <w:footnoteRef/>
      </w:r>
      <w:r w:rsidRPr="00AD2F44">
        <w:rPr>
          <w:i/>
        </w:rPr>
        <w:t xml:space="preserve">See </w:t>
      </w:r>
    </w:p>
    <w:p w14:paraId="4090DB39" w14:textId="77777777" w:rsidR="00721CCF" w:rsidRPr="00AD2F44" w:rsidRDefault="00F42107">
      <w:pPr>
        <w:pStyle w:val="14Footnote"/>
      </w:pPr>
      <w:r w:rsidRPr="00AD2F44">
        <w:rPr>
          <w:i/>
          <w:iCs/>
        </w:rPr>
        <w:t>Second Circuit:</w:t>
      </w:r>
      <w:r w:rsidRPr="00AD2F44">
        <w:t xml:space="preserve"> De La Cruz v. Gill Corn Farms, Inc., 2005 WL 5419056, at *6 (N.D.N.Y. Jan. 25, 2005) (expressing concern that migrant farm workers, many of whom did not speak English or understand legal system, would be confused by having to choose between actions, which confusion would be exacerbated by having to decide whether to waive liquidated damages under New York law in order to have class action under state statute that prohibited class actions for liquidated damages).</w:t>
      </w:r>
    </w:p>
    <w:p w14:paraId="1036DFC5" w14:textId="77777777" w:rsidR="00721CCF" w:rsidRPr="00AD2F44" w:rsidRDefault="00F42107">
      <w:pPr>
        <w:pStyle w:val="14Footnote"/>
      </w:pPr>
      <w:r w:rsidRPr="00AD2F44">
        <w:rPr>
          <w:i/>
          <w:iCs/>
        </w:rPr>
        <w:t xml:space="preserve">Eighth Circuit: </w:t>
      </w:r>
      <w:r w:rsidRPr="00AD2F44">
        <w:t>Murray v. Silver Dollar Cabaret, Inc., 2017 WL 514323, at *8 (W.D. Ark. Feb. 8, 2017) (denying motion to certify Rule 23(b)(3) class in hybrid action because class action was not superior method to adjudicate controversy where different notices may be “confusing” for “transient” exotic dancer class “who on average worked at one of the clubs between five minutes and one week”).</w:t>
      </w:r>
    </w:p>
    <w:p w14:paraId="243335AD" w14:textId="77777777" w:rsidR="00721CCF" w:rsidRPr="00AD2F44" w:rsidRDefault="00F42107">
      <w:pPr>
        <w:pStyle w:val="14Footnote"/>
      </w:pPr>
      <w:r w:rsidRPr="00AD2F44">
        <w:rPr>
          <w:i/>
          <w:iCs/>
        </w:rPr>
        <w:t>Ninth Circuit:</w:t>
      </w:r>
      <w:r w:rsidRPr="00AD2F44">
        <w:t xml:space="preserve"> McDonald v. Ricardo’s On the Beach, Inc., 2013 WL 228334 (C.D. Cal. 2013); Campanelli v. Hershey Co., 2010 WL 3219501, at *5 (N.D. Cal. Aug. 13, 2010); Leuthold v. Destination Am., Inc., 224 F.R.D. 462, 470 (N.D. Cal. 2004) (“Confusion would likely result in asking potential plaintiffs both to opt in and to opt out of the claims in this suit.”). </w:t>
      </w:r>
    </w:p>
  </w:footnote>
  <w:footnote w:id="1175">
    <w:p w14:paraId="5B9EEEA9" w14:textId="77777777" w:rsidR="00721CCF" w:rsidRPr="00AD2F44" w:rsidRDefault="00F42107">
      <w:pPr>
        <w:pStyle w:val="14Footnote"/>
      </w:pPr>
      <w:r w:rsidRPr="00AD2F44">
        <w:rPr>
          <w:vertAlign w:val="superscript"/>
        </w:rPr>
        <w:footnoteRef/>
      </w:r>
      <w:r w:rsidRPr="00AD2F44">
        <w:rPr>
          <w:smallCaps/>
        </w:rPr>
        <w:t>Fed. R. Civ. P.</w:t>
      </w:r>
      <w:r w:rsidRPr="00AD2F44">
        <w:t xml:space="preserve"> 23(b)(3)(D).</w:t>
      </w:r>
    </w:p>
  </w:footnote>
  <w:footnote w:id="1176">
    <w:p w14:paraId="7B36A7CD" w14:textId="77777777" w:rsidR="00721CCF" w:rsidRPr="00AD2F44" w:rsidRDefault="00F42107">
      <w:pPr>
        <w:pStyle w:val="14Footnote"/>
      </w:pPr>
      <w:r w:rsidRPr="00AD2F44">
        <w:rPr>
          <w:vertAlign w:val="superscript"/>
        </w:rPr>
        <w:footnoteRef/>
      </w:r>
      <w:r w:rsidRPr="00AD2F44">
        <w:t>Phelps v. Parsons Tech. Support, Inc., 2010 WL 4386918, at *6 (S.D. Ind. Oct. 29, 2010) (plaintiffs also failed to move for class certification within time period allowed by local rules).</w:t>
      </w:r>
    </w:p>
  </w:footnote>
  <w:footnote w:id="1177">
    <w:p w14:paraId="7AD05E94" w14:textId="77777777" w:rsidR="00721CCF" w:rsidRPr="00AD2F44" w:rsidRDefault="00F42107">
      <w:pPr>
        <w:pStyle w:val="14Footnote"/>
      </w:pPr>
      <w:r w:rsidRPr="00AD2F44">
        <w:rPr>
          <w:vertAlign w:val="superscript"/>
        </w:rPr>
        <w:footnoteRef/>
      </w:r>
      <w:r w:rsidRPr="00AD2F44">
        <w:t>632 F.3d 971 (7th Cir. 2011).</w:t>
      </w:r>
    </w:p>
  </w:footnote>
  <w:footnote w:id="1178">
    <w:p w14:paraId="26C93E64" w14:textId="77777777" w:rsidR="00721CCF" w:rsidRPr="00AD2F44" w:rsidRDefault="00F42107">
      <w:pPr>
        <w:pStyle w:val="14Footnote"/>
      </w:pPr>
      <w:r w:rsidRPr="00AD2F44">
        <w:rPr>
          <w:vertAlign w:val="superscript"/>
        </w:rPr>
        <w:footnoteRef/>
      </w:r>
      <w:r w:rsidRPr="00AD2F44">
        <w:rPr>
          <w:i/>
          <w:iCs/>
        </w:rPr>
        <w:t>Id</w:t>
      </w:r>
      <w:r w:rsidRPr="00AD2F44">
        <w:t>. at 978 (recognizing that notice informing employees of their right to opt in to FLSA action and to opt out of state law action had potential to confuse class members and was valid superiority concern but finding “no indication that the problem is any worse than countless others that district courts face with class actions”).</w:t>
      </w:r>
    </w:p>
  </w:footnote>
  <w:footnote w:id="1179">
    <w:p w14:paraId="116B4817" w14:textId="77777777" w:rsidR="00721CCF" w:rsidRPr="00AD2F44" w:rsidRDefault="00F42107">
      <w:pPr>
        <w:pStyle w:val="14Footnote"/>
      </w:pPr>
      <w:r w:rsidRPr="00AD2F44">
        <w:rPr>
          <w:vertAlign w:val="superscript"/>
        </w:rPr>
        <w:footnoteRef/>
      </w:r>
      <w:r w:rsidRPr="00AD2F44">
        <w:t xml:space="preserve">Murray v. Silver Dollar Cabaret, Inc., 2017 WL 514323, at *8 (W.D. Ark. Feb. 8, 2017) (denying motion to certify Rule 23(b)(3) class in hybrid action based on manageability concerns because “transient nature of the exotic dancer population and the lack of recordkeeping” could create “notice and settlement issues”).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606E" w14:textId="77777777" w:rsidR="000B6C5F" w:rsidRDefault="000B6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51FB" w14:textId="77777777" w:rsidR="000B6C5F" w:rsidRDefault="000B6C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3E54" w14:textId="77777777" w:rsidR="000B6C5F" w:rsidRDefault="000B6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849DA"/>
    <w:multiLevelType w:val="hybridMultilevel"/>
    <w:tmpl w:val="2876AEA4"/>
    <w:lvl w:ilvl="0" w:tplc="3C726884">
      <w:start w:val="1"/>
      <w:numFmt w:val="decimal"/>
      <w:lvlText w:val="%1."/>
      <w:lvlJc w:val="left"/>
      <w:pPr>
        <w:ind w:left="1440" w:hanging="360"/>
      </w:pPr>
    </w:lvl>
    <w:lvl w:ilvl="1" w:tplc="095C7654" w:tentative="1">
      <w:start w:val="1"/>
      <w:numFmt w:val="lowerLetter"/>
      <w:lvlText w:val="%2."/>
      <w:lvlJc w:val="left"/>
      <w:pPr>
        <w:ind w:left="2160" w:hanging="360"/>
      </w:pPr>
    </w:lvl>
    <w:lvl w:ilvl="2" w:tplc="FF66B5AC" w:tentative="1">
      <w:start w:val="1"/>
      <w:numFmt w:val="lowerRoman"/>
      <w:lvlText w:val="%3."/>
      <w:lvlJc w:val="right"/>
      <w:pPr>
        <w:ind w:left="2880" w:hanging="180"/>
      </w:pPr>
    </w:lvl>
    <w:lvl w:ilvl="3" w:tplc="126C1C48" w:tentative="1">
      <w:start w:val="1"/>
      <w:numFmt w:val="decimal"/>
      <w:lvlText w:val="%4."/>
      <w:lvlJc w:val="left"/>
      <w:pPr>
        <w:ind w:left="3600" w:hanging="360"/>
      </w:pPr>
    </w:lvl>
    <w:lvl w:ilvl="4" w:tplc="40DED75E" w:tentative="1">
      <w:start w:val="1"/>
      <w:numFmt w:val="lowerLetter"/>
      <w:lvlText w:val="%5."/>
      <w:lvlJc w:val="left"/>
      <w:pPr>
        <w:ind w:left="4320" w:hanging="360"/>
      </w:pPr>
    </w:lvl>
    <w:lvl w:ilvl="5" w:tplc="F0D26A2E" w:tentative="1">
      <w:start w:val="1"/>
      <w:numFmt w:val="lowerRoman"/>
      <w:lvlText w:val="%6."/>
      <w:lvlJc w:val="right"/>
      <w:pPr>
        <w:ind w:left="5040" w:hanging="180"/>
      </w:pPr>
    </w:lvl>
    <w:lvl w:ilvl="6" w:tplc="F654A686" w:tentative="1">
      <w:start w:val="1"/>
      <w:numFmt w:val="decimal"/>
      <w:lvlText w:val="%7."/>
      <w:lvlJc w:val="left"/>
      <w:pPr>
        <w:ind w:left="5760" w:hanging="360"/>
      </w:pPr>
    </w:lvl>
    <w:lvl w:ilvl="7" w:tplc="EEC82C5A" w:tentative="1">
      <w:start w:val="1"/>
      <w:numFmt w:val="lowerLetter"/>
      <w:lvlText w:val="%8."/>
      <w:lvlJc w:val="left"/>
      <w:pPr>
        <w:ind w:left="6480" w:hanging="360"/>
      </w:pPr>
    </w:lvl>
    <w:lvl w:ilvl="8" w:tplc="C6482E4C" w:tentative="1">
      <w:start w:val="1"/>
      <w:numFmt w:val="lowerRoman"/>
      <w:lvlText w:val="%9."/>
      <w:lvlJc w:val="right"/>
      <w:pPr>
        <w:ind w:left="7200" w:hanging="180"/>
      </w:pPr>
    </w:lvl>
  </w:abstractNum>
  <w:abstractNum w:abstractNumId="1" w15:restartNumberingAfterBreak="0">
    <w:nsid w:val="1AA015F0"/>
    <w:multiLevelType w:val="multilevel"/>
    <w:tmpl w:val="EA3A5614"/>
    <w:lvl w:ilvl="0">
      <w:start w:val="1"/>
      <w:numFmt w:val="bullet"/>
      <w:pStyle w:val="13AFirst-LevelBulletedList"/>
      <w:lvlText w:val=""/>
      <w:lvlJc w:val="left"/>
      <w:pPr>
        <w:ind w:left="1080" w:hanging="360"/>
      </w:pPr>
      <w:rPr>
        <w:rFonts w:ascii="Symbol" w:hAnsi="Symbol" w:hint="default"/>
      </w:rPr>
    </w:lvl>
    <w:lvl w:ilvl="1">
      <w:start w:val="1"/>
      <w:numFmt w:val="bullet"/>
      <w:lvlText w:val="-"/>
      <w:lvlJc w:val="left"/>
      <w:pPr>
        <w:ind w:left="1800" w:hanging="360"/>
      </w:pPr>
      <w:rPr>
        <w:rFonts w:ascii="Courier New" w:hAnsi="Courier New" w:hint="default"/>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Courier New" w:hAnsi="Courier New" w:hint="default"/>
      </w:rPr>
    </w:lvl>
    <w:lvl w:ilvl="4">
      <w:start w:val="1"/>
      <w:numFmt w:val="bullet"/>
      <w:lvlText w:val=""/>
      <w:lvlJc w:val="left"/>
      <w:pPr>
        <w:ind w:left="3960" w:hanging="360"/>
      </w:pPr>
      <w:rPr>
        <w:rFonts w:ascii="Symbol" w:hAnsi="Symbol" w:hint="default"/>
      </w:rPr>
    </w:lvl>
    <w:lvl w:ilvl="5">
      <w:start w:val="1"/>
      <w:numFmt w:val="bullet"/>
      <w:lvlText w:val="-"/>
      <w:lvlJc w:val="left"/>
      <w:pPr>
        <w:ind w:left="4680" w:hanging="360"/>
      </w:pPr>
      <w:rPr>
        <w:rFonts w:ascii="Courier New" w:hAnsi="Courier New" w:hint="default"/>
      </w:rPr>
    </w:lvl>
    <w:lvl w:ilvl="6">
      <w:start w:val="1"/>
      <w:numFmt w:val="bullet"/>
      <w:lvlText w:val=""/>
      <w:lvlJc w:val="left"/>
      <w:pPr>
        <w:ind w:left="5400" w:hanging="360"/>
      </w:pPr>
      <w:rPr>
        <w:rFonts w:ascii="Symbol" w:hAnsi="Symbol" w:hint="default"/>
      </w:rPr>
    </w:lvl>
    <w:lvl w:ilvl="7">
      <w:start w:val="1"/>
      <w:numFmt w:val="bullet"/>
      <w:lvlText w:val="-"/>
      <w:lvlJc w:val="left"/>
      <w:pPr>
        <w:ind w:left="6120" w:hanging="360"/>
      </w:pPr>
      <w:rPr>
        <w:rFonts w:ascii="Courier New" w:hAnsi="Courier New" w:hint="default"/>
      </w:rPr>
    </w:lvl>
    <w:lvl w:ilvl="8">
      <w:start w:val="1"/>
      <w:numFmt w:val="bullet"/>
      <w:lvlText w:val="-"/>
      <w:lvlJc w:val="left"/>
      <w:pPr>
        <w:ind w:left="6840" w:hanging="360"/>
      </w:pPr>
      <w:rPr>
        <w:rFonts w:ascii="Courier New" w:hAnsi="Courier New" w:hint="default"/>
      </w:rPr>
    </w:lvl>
  </w:abstractNum>
  <w:abstractNum w:abstractNumId="2" w15:restartNumberingAfterBreak="0">
    <w:nsid w:val="1FBC2817"/>
    <w:multiLevelType w:val="multilevel"/>
    <w:tmpl w:val="6FD2461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Courier New" w:hAnsi="Courier New" w:hint="default"/>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Courier New" w:hAnsi="Courier New" w:hint="default"/>
      </w:rPr>
    </w:lvl>
    <w:lvl w:ilvl="4">
      <w:start w:val="1"/>
      <w:numFmt w:val="bullet"/>
      <w:lvlText w:val=""/>
      <w:lvlJc w:val="left"/>
      <w:pPr>
        <w:ind w:left="3960" w:hanging="360"/>
      </w:pPr>
      <w:rPr>
        <w:rFonts w:ascii="Symbol" w:hAnsi="Symbol" w:hint="default"/>
      </w:rPr>
    </w:lvl>
    <w:lvl w:ilvl="5">
      <w:start w:val="1"/>
      <w:numFmt w:val="bullet"/>
      <w:lvlText w:val="-"/>
      <w:lvlJc w:val="left"/>
      <w:pPr>
        <w:ind w:left="4680" w:hanging="360"/>
      </w:pPr>
      <w:rPr>
        <w:rFonts w:ascii="Courier New" w:hAnsi="Courier New" w:hint="default"/>
      </w:rPr>
    </w:lvl>
    <w:lvl w:ilvl="6">
      <w:start w:val="1"/>
      <w:numFmt w:val="bullet"/>
      <w:lvlText w:val=""/>
      <w:lvlJc w:val="left"/>
      <w:pPr>
        <w:ind w:left="5400" w:hanging="360"/>
      </w:pPr>
      <w:rPr>
        <w:rFonts w:ascii="Symbol" w:hAnsi="Symbol" w:hint="default"/>
      </w:rPr>
    </w:lvl>
    <w:lvl w:ilvl="7">
      <w:start w:val="1"/>
      <w:numFmt w:val="bullet"/>
      <w:lvlText w:val="-"/>
      <w:lvlJc w:val="left"/>
      <w:pPr>
        <w:ind w:left="6120" w:hanging="360"/>
      </w:pPr>
      <w:rPr>
        <w:rFonts w:ascii="Courier New" w:hAnsi="Courier New" w:hint="default"/>
      </w:rPr>
    </w:lvl>
    <w:lvl w:ilvl="8">
      <w:start w:val="1"/>
      <w:numFmt w:val="bullet"/>
      <w:lvlText w:val="-"/>
      <w:lvlJc w:val="left"/>
      <w:pPr>
        <w:ind w:left="6840" w:hanging="360"/>
      </w:pPr>
      <w:rPr>
        <w:rFonts w:ascii="Courier New" w:hAnsi="Courier New" w:hint="default"/>
      </w:rPr>
    </w:lvl>
  </w:abstractNum>
  <w:abstractNum w:abstractNumId="3" w15:restartNumberingAfterBreak="0">
    <w:nsid w:val="21C24565"/>
    <w:multiLevelType w:val="hybridMultilevel"/>
    <w:tmpl w:val="DF08F610"/>
    <w:lvl w:ilvl="0" w:tplc="B0F2CF0E">
      <w:start w:val="1"/>
      <w:numFmt w:val="decimal"/>
      <w:lvlText w:val="%1."/>
      <w:lvlJc w:val="left"/>
      <w:pPr>
        <w:ind w:left="720" w:hanging="360"/>
      </w:pPr>
    </w:lvl>
    <w:lvl w:ilvl="1" w:tplc="CCB27C86" w:tentative="1">
      <w:start w:val="1"/>
      <w:numFmt w:val="lowerLetter"/>
      <w:lvlText w:val="%2."/>
      <w:lvlJc w:val="left"/>
      <w:pPr>
        <w:ind w:left="1440" w:hanging="360"/>
      </w:pPr>
    </w:lvl>
    <w:lvl w:ilvl="2" w:tplc="84287500" w:tentative="1">
      <w:start w:val="1"/>
      <w:numFmt w:val="lowerRoman"/>
      <w:lvlText w:val="%3."/>
      <w:lvlJc w:val="right"/>
      <w:pPr>
        <w:ind w:left="2160" w:hanging="180"/>
      </w:pPr>
    </w:lvl>
    <w:lvl w:ilvl="3" w:tplc="EBF6D7B0" w:tentative="1">
      <w:start w:val="1"/>
      <w:numFmt w:val="decimal"/>
      <w:lvlText w:val="%4."/>
      <w:lvlJc w:val="left"/>
      <w:pPr>
        <w:ind w:left="2880" w:hanging="360"/>
      </w:pPr>
    </w:lvl>
    <w:lvl w:ilvl="4" w:tplc="1AA46170" w:tentative="1">
      <w:start w:val="1"/>
      <w:numFmt w:val="lowerLetter"/>
      <w:lvlText w:val="%5."/>
      <w:lvlJc w:val="left"/>
      <w:pPr>
        <w:ind w:left="3600" w:hanging="360"/>
      </w:pPr>
    </w:lvl>
    <w:lvl w:ilvl="5" w:tplc="9A88D5EC" w:tentative="1">
      <w:start w:val="1"/>
      <w:numFmt w:val="lowerRoman"/>
      <w:lvlText w:val="%6."/>
      <w:lvlJc w:val="right"/>
      <w:pPr>
        <w:ind w:left="4320" w:hanging="180"/>
      </w:pPr>
    </w:lvl>
    <w:lvl w:ilvl="6" w:tplc="716480B0" w:tentative="1">
      <w:start w:val="1"/>
      <w:numFmt w:val="decimal"/>
      <w:lvlText w:val="%7."/>
      <w:lvlJc w:val="left"/>
      <w:pPr>
        <w:ind w:left="5040" w:hanging="360"/>
      </w:pPr>
    </w:lvl>
    <w:lvl w:ilvl="7" w:tplc="74207302" w:tentative="1">
      <w:start w:val="1"/>
      <w:numFmt w:val="lowerLetter"/>
      <w:lvlText w:val="%8."/>
      <w:lvlJc w:val="left"/>
      <w:pPr>
        <w:ind w:left="5760" w:hanging="360"/>
      </w:pPr>
    </w:lvl>
    <w:lvl w:ilvl="8" w:tplc="9D46F176" w:tentative="1">
      <w:start w:val="1"/>
      <w:numFmt w:val="lowerRoman"/>
      <w:lvlText w:val="%9."/>
      <w:lvlJc w:val="right"/>
      <w:pPr>
        <w:ind w:left="6480" w:hanging="180"/>
      </w:pPr>
    </w:lvl>
  </w:abstractNum>
  <w:abstractNum w:abstractNumId="4" w15:restartNumberingAfterBreak="0">
    <w:nsid w:val="24B437E7"/>
    <w:multiLevelType w:val="hybridMultilevel"/>
    <w:tmpl w:val="5AF622E4"/>
    <w:lvl w:ilvl="0" w:tplc="4996711E">
      <w:start w:val="1"/>
      <w:numFmt w:val="decimal"/>
      <w:lvlText w:val="(%1)"/>
      <w:lvlJc w:val="left"/>
      <w:pPr>
        <w:ind w:left="1440" w:hanging="360"/>
      </w:pPr>
      <w:rPr>
        <w:rFonts w:hint="default"/>
      </w:rPr>
    </w:lvl>
    <w:lvl w:ilvl="1" w:tplc="20B065F2">
      <w:start w:val="1"/>
      <w:numFmt w:val="lowerLetter"/>
      <w:lvlText w:val="%2."/>
      <w:lvlJc w:val="left"/>
      <w:pPr>
        <w:ind w:left="2160" w:hanging="360"/>
      </w:pPr>
    </w:lvl>
    <w:lvl w:ilvl="2" w:tplc="58CE5BEA" w:tentative="1">
      <w:start w:val="1"/>
      <w:numFmt w:val="lowerRoman"/>
      <w:lvlText w:val="%3."/>
      <w:lvlJc w:val="right"/>
      <w:pPr>
        <w:ind w:left="2880" w:hanging="180"/>
      </w:pPr>
    </w:lvl>
    <w:lvl w:ilvl="3" w:tplc="882CA17C" w:tentative="1">
      <w:start w:val="1"/>
      <w:numFmt w:val="decimal"/>
      <w:lvlText w:val="%4."/>
      <w:lvlJc w:val="left"/>
      <w:pPr>
        <w:ind w:left="3600" w:hanging="360"/>
      </w:pPr>
    </w:lvl>
    <w:lvl w:ilvl="4" w:tplc="798A2580" w:tentative="1">
      <w:start w:val="1"/>
      <w:numFmt w:val="lowerLetter"/>
      <w:lvlText w:val="%5."/>
      <w:lvlJc w:val="left"/>
      <w:pPr>
        <w:ind w:left="4320" w:hanging="360"/>
      </w:pPr>
    </w:lvl>
    <w:lvl w:ilvl="5" w:tplc="FE3E15D2" w:tentative="1">
      <w:start w:val="1"/>
      <w:numFmt w:val="lowerRoman"/>
      <w:lvlText w:val="%6."/>
      <w:lvlJc w:val="right"/>
      <w:pPr>
        <w:ind w:left="5040" w:hanging="180"/>
      </w:pPr>
    </w:lvl>
    <w:lvl w:ilvl="6" w:tplc="689A55AA" w:tentative="1">
      <w:start w:val="1"/>
      <w:numFmt w:val="decimal"/>
      <w:lvlText w:val="%7."/>
      <w:lvlJc w:val="left"/>
      <w:pPr>
        <w:ind w:left="5760" w:hanging="360"/>
      </w:pPr>
    </w:lvl>
    <w:lvl w:ilvl="7" w:tplc="E1C61FC4" w:tentative="1">
      <w:start w:val="1"/>
      <w:numFmt w:val="lowerLetter"/>
      <w:lvlText w:val="%8."/>
      <w:lvlJc w:val="left"/>
      <w:pPr>
        <w:ind w:left="6480" w:hanging="360"/>
      </w:pPr>
    </w:lvl>
    <w:lvl w:ilvl="8" w:tplc="2B6AFDFC" w:tentative="1">
      <w:start w:val="1"/>
      <w:numFmt w:val="lowerRoman"/>
      <w:lvlText w:val="%9."/>
      <w:lvlJc w:val="right"/>
      <w:pPr>
        <w:ind w:left="7200" w:hanging="180"/>
      </w:pPr>
    </w:lvl>
  </w:abstractNum>
  <w:abstractNum w:abstractNumId="5" w15:restartNumberingAfterBreak="0">
    <w:nsid w:val="2AC164D3"/>
    <w:multiLevelType w:val="hybridMultilevel"/>
    <w:tmpl w:val="85325DCE"/>
    <w:lvl w:ilvl="0" w:tplc="493AC5C2">
      <w:start w:val="1"/>
      <w:numFmt w:val="decimal"/>
      <w:lvlText w:val="(%1)"/>
      <w:lvlJc w:val="left"/>
      <w:pPr>
        <w:ind w:left="1440" w:hanging="360"/>
      </w:pPr>
      <w:rPr>
        <w:rFonts w:hint="default"/>
      </w:rPr>
    </w:lvl>
    <w:lvl w:ilvl="1" w:tplc="3F68C87E">
      <w:start w:val="1"/>
      <w:numFmt w:val="lowerLetter"/>
      <w:lvlText w:val="(%2)"/>
      <w:lvlJc w:val="left"/>
      <w:pPr>
        <w:ind w:left="2160" w:hanging="360"/>
      </w:pPr>
      <w:rPr>
        <w:rFonts w:hint="default"/>
      </w:rPr>
    </w:lvl>
    <w:lvl w:ilvl="2" w:tplc="0F907788">
      <w:start w:val="1"/>
      <w:numFmt w:val="lowerRoman"/>
      <w:lvlText w:val="%3."/>
      <w:lvlJc w:val="right"/>
      <w:pPr>
        <w:ind w:left="2880" w:hanging="180"/>
      </w:pPr>
    </w:lvl>
    <w:lvl w:ilvl="3" w:tplc="FB06C00E">
      <w:start w:val="1"/>
      <w:numFmt w:val="decimal"/>
      <w:lvlText w:val="%4."/>
      <w:lvlJc w:val="left"/>
      <w:pPr>
        <w:ind w:left="3600" w:hanging="360"/>
      </w:pPr>
    </w:lvl>
    <w:lvl w:ilvl="4" w:tplc="63841C7E" w:tentative="1">
      <w:start w:val="1"/>
      <w:numFmt w:val="lowerLetter"/>
      <w:lvlText w:val="%5."/>
      <w:lvlJc w:val="left"/>
      <w:pPr>
        <w:ind w:left="4320" w:hanging="360"/>
      </w:pPr>
    </w:lvl>
    <w:lvl w:ilvl="5" w:tplc="96E4425A" w:tentative="1">
      <w:start w:val="1"/>
      <w:numFmt w:val="lowerRoman"/>
      <w:lvlText w:val="%6."/>
      <w:lvlJc w:val="right"/>
      <w:pPr>
        <w:ind w:left="5040" w:hanging="180"/>
      </w:pPr>
    </w:lvl>
    <w:lvl w:ilvl="6" w:tplc="CF52FB5E" w:tentative="1">
      <w:start w:val="1"/>
      <w:numFmt w:val="decimal"/>
      <w:lvlText w:val="%7."/>
      <w:lvlJc w:val="left"/>
      <w:pPr>
        <w:ind w:left="5760" w:hanging="360"/>
      </w:pPr>
    </w:lvl>
    <w:lvl w:ilvl="7" w:tplc="CC7EAEBE" w:tentative="1">
      <w:start w:val="1"/>
      <w:numFmt w:val="lowerLetter"/>
      <w:lvlText w:val="%8."/>
      <w:lvlJc w:val="left"/>
      <w:pPr>
        <w:ind w:left="6480" w:hanging="360"/>
      </w:pPr>
    </w:lvl>
    <w:lvl w:ilvl="8" w:tplc="43043B74" w:tentative="1">
      <w:start w:val="1"/>
      <w:numFmt w:val="lowerRoman"/>
      <w:lvlText w:val="%9."/>
      <w:lvlJc w:val="right"/>
      <w:pPr>
        <w:ind w:left="7200" w:hanging="180"/>
      </w:pPr>
    </w:lvl>
  </w:abstractNum>
  <w:abstractNum w:abstractNumId="6" w15:restartNumberingAfterBreak="0">
    <w:nsid w:val="4F194381"/>
    <w:multiLevelType w:val="hybridMultilevel"/>
    <w:tmpl w:val="20BAE1EA"/>
    <w:lvl w:ilvl="0" w:tplc="75049DB4">
      <w:start w:val="1"/>
      <w:numFmt w:val="lowerLetter"/>
      <w:lvlText w:val="%1."/>
      <w:lvlJc w:val="left"/>
      <w:pPr>
        <w:ind w:left="1080" w:hanging="360"/>
      </w:pPr>
      <w:rPr>
        <w:rFonts w:hint="default"/>
      </w:rPr>
    </w:lvl>
    <w:lvl w:ilvl="1" w:tplc="B0FE924E">
      <w:start w:val="1"/>
      <w:numFmt w:val="lowerLetter"/>
      <w:lvlText w:val="%2."/>
      <w:lvlJc w:val="left"/>
      <w:pPr>
        <w:ind w:left="2160" w:hanging="360"/>
      </w:pPr>
    </w:lvl>
    <w:lvl w:ilvl="2" w:tplc="36DE3E76">
      <w:start w:val="1"/>
      <w:numFmt w:val="lowerRoman"/>
      <w:lvlText w:val="%3."/>
      <w:lvlJc w:val="right"/>
      <w:pPr>
        <w:ind w:left="2880" w:hanging="180"/>
      </w:pPr>
    </w:lvl>
    <w:lvl w:ilvl="3" w:tplc="A7B41D04">
      <w:start w:val="1"/>
      <w:numFmt w:val="decimal"/>
      <w:lvlText w:val="%4."/>
      <w:lvlJc w:val="left"/>
      <w:pPr>
        <w:ind w:left="3600" w:hanging="360"/>
      </w:pPr>
    </w:lvl>
    <w:lvl w:ilvl="4" w:tplc="9A0C4432" w:tentative="1">
      <w:start w:val="1"/>
      <w:numFmt w:val="lowerLetter"/>
      <w:lvlText w:val="%5."/>
      <w:lvlJc w:val="left"/>
      <w:pPr>
        <w:ind w:left="4320" w:hanging="360"/>
      </w:pPr>
    </w:lvl>
    <w:lvl w:ilvl="5" w:tplc="C26EA4FC" w:tentative="1">
      <w:start w:val="1"/>
      <w:numFmt w:val="lowerRoman"/>
      <w:lvlText w:val="%6."/>
      <w:lvlJc w:val="right"/>
      <w:pPr>
        <w:ind w:left="5040" w:hanging="180"/>
      </w:pPr>
    </w:lvl>
    <w:lvl w:ilvl="6" w:tplc="F1CE20D8" w:tentative="1">
      <w:start w:val="1"/>
      <w:numFmt w:val="decimal"/>
      <w:lvlText w:val="%7."/>
      <w:lvlJc w:val="left"/>
      <w:pPr>
        <w:ind w:left="5760" w:hanging="360"/>
      </w:pPr>
    </w:lvl>
    <w:lvl w:ilvl="7" w:tplc="513019B2" w:tentative="1">
      <w:start w:val="1"/>
      <w:numFmt w:val="lowerLetter"/>
      <w:lvlText w:val="%8."/>
      <w:lvlJc w:val="left"/>
      <w:pPr>
        <w:ind w:left="6480" w:hanging="360"/>
      </w:pPr>
    </w:lvl>
    <w:lvl w:ilvl="8" w:tplc="09E4E4CC" w:tentative="1">
      <w:start w:val="1"/>
      <w:numFmt w:val="lowerRoman"/>
      <w:lvlText w:val="%9."/>
      <w:lvlJc w:val="right"/>
      <w:pPr>
        <w:ind w:left="7200" w:hanging="180"/>
      </w:pPr>
    </w:lvl>
  </w:abstractNum>
  <w:abstractNum w:abstractNumId="7" w15:restartNumberingAfterBreak="0">
    <w:nsid w:val="5BF460F5"/>
    <w:multiLevelType w:val="multilevel"/>
    <w:tmpl w:val="DFE6203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Courier New" w:hAnsi="Courier New" w:hint="default"/>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Courier New" w:hAnsi="Courier New" w:hint="default"/>
      </w:rPr>
    </w:lvl>
    <w:lvl w:ilvl="4">
      <w:start w:val="1"/>
      <w:numFmt w:val="bullet"/>
      <w:lvlText w:val=""/>
      <w:lvlJc w:val="left"/>
      <w:pPr>
        <w:ind w:left="3960" w:hanging="360"/>
      </w:pPr>
      <w:rPr>
        <w:rFonts w:ascii="Symbol" w:hAnsi="Symbol" w:hint="default"/>
      </w:rPr>
    </w:lvl>
    <w:lvl w:ilvl="5">
      <w:start w:val="1"/>
      <w:numFmt w:val="bullet"/>
      <w:lvlText w:val="-"/>
      <w:lvlJc w:val="left"/>
      <w:pPr>
        <w:ind w:left="4680" w:hanging="360"/>
      </w:pPr>
      <w:rPr>
        <w:rFonts w:ascii="Courier New" w:hAnsi="Courier New" w:hint="default"/>
      </w:rPr>
    </w:lvl>
    <w:lvl w:ilvl="6">
      <w:start w:val="1"/>
      <w:numFmt w:val="bullet"/>
      <w:lvlText w:val=""/>
      <w:lvlJc w:val="left"/>
      <w:pPr>
        <w:ind w:left="5400" w:hanging="360"/>
      </w:pPr>
      <w:rPr>
        <w:rFonts w:ascii="Symbol" w:hAnsi="Symbol" w:hint="default"/>
      </w:rPr>
    </w:lvl>
    <w:lvl w:ilvl="7">
      <w:start w:val="1"/>
      <w:numFmt w:val="bullet"/>
      <w:lvlText w:val="-"/>
      <w:lvlJc w:val="left"/>
      <w:pPr>
        <w:ind w:left="6120" w:hanging="360"/>
      </w:pPr>
      <w:rPr>
        <w:rFonts w:ascii="Courier New" w:hAnsi="Courier New" w:hint="default"/>
      </w:rPr>
    </w:lvl>
    <w:lvl w:ilvl="8">
      <w:start w:val="1"/>
      <w:numFmt w:val="bullet"/>
      <w:lvlText w:val="-"/>
      <w:lvlJc w:val="left"/>
      <w:pPr>
        <w:ind w:left="6840" w:hanging="360"/>
      </w:pPr>
      <w:rPr>
        <w:rFonts w:ascii="Courier New" w:hAnsi="Courier New" w:hint="default"/>
      </w:rPr>
    </w:lvl>
  </w:abstractNum>
  <w:abstractNum w:abstractNumId="8" w15:restartNumberingAfterBreak="0">
    <w:nsid w:val="65972E9D"/>
    <w:multiLevelType w:val="hybridMultilevel"/>
    <w:tmpl w:val="5D84EF72"/>
    <w:lvl w:ilvl="0" w:tplc="B1FCB9E4">
      <w:start w:val="1"/>
      <w:numFmt w:val="decimal"/>
      <w:lvlText w:val="(%1)"/>
      <w:lvlJc w:val="left"/>
      <w:pPr>
        <w:ind w:left="720" w:hanging="360"/>
      </w:pPr>
      <w:rPr>
        <w:rFonts w:hint="default"/>
      </w:rPr>
    </w:lvl>
    <w:lvl w:ilvl="1" w:tplc="EAB811CC" w:tentative="1">
      <w:start w:val="1"/>
      <w:numFmt w:val="lowerLetter"/>
      <w:lvlText w:val="%2."/>
      <w:lvlJc w:val="left"/>
      <w:pPr>
        <w:ind w:left="1440" w:hanging="360"/>
      </w:pPr>
    </w:lvl>
    <w:lvl w:ilvl="2" w:tplc="0B9A570E" w:tentative="1">
      <w:start w:val="1"/>
      <w:numFmt w:val="lowerRoman"/>
      <w:lvlText w:val="%3."/>
      <w:lvlJc w:val="right"/>
      <w:pPr>
        <w:ind w:left="2160" w:hanging="180"/>
      </w:pPr>
    </w:lvl>
    <w:lvl w:ilvl="3" w:tplc="2B06D3CE" w:tentative="1">
      <w:start w:val="1"/>
      <w:numFmt w:val="decimal"/>
      <w:lvlText w:val="%4."/>
      <w:lvlJc w:val="left"/>
      <w:pPr>
        <w:ind w:left="2880" w:hanging="360"/>
      </w:pPr>
    </w:lvl>
    <w:lvl w:ilvl="4" w:tplc="0AA6E3F8" w:tentative="1">
      <w:start w:val="1"/>
      <w:numFmt w:val="lowerLetter"/>
      <w:lvlText w:val="%5."/>
      <w:lvlJc w:val="left"/>
      <w:pPr>
        <w:ind w:left="3600" w:hanging="360"/>
      </w:pPr>
    </w:lvl>
    <w:lvl w:ilvl="5" w:tplc="22624AF2" w:tentative="1">
      <w:start w:val="1"/>
      <w:numFmt w:val="lowerRoman"/>
      <w:lvlText w:val="%6."/>
      <w:lvlJc w:val="right"/>
      <w:pPr>
        <w:ind w:left="4320" w:hanging="180"/>
      </w:pPr>
    </w:lvl>
    <w:lvl w:ilvl="6" w:tplc="9F9E10BC" w:tentative="1">
      <w:start w:val="1"/>
      <w:numFmt w:val="decimal"/>
      <w:lvlText w:val="%7."/>
      <w:lvlJc w:val="left"/>
      <w:pPr>
        <w:ind w:left="5040" w:hanging="360"/>
      </w:pPr>
    </w:lvl>
    <w:lvl w:ilvl="7" w:tplc="7094575A" w:tentative="1">
      <w:start w:val="1"/>
      <w:numFmt w:val="lowerLetter"/>
      <w:lvlText w:val="%8."/>
      <w:lvlJc w:val="left"/>
      <w:pPr>
        <w:ind w:left="5760" w:hanging="360"/>
      </w:pPr>
    </w:lvl>
    <w:lvl w:ilvl="8" w:tplc="AF746632" w:tentative="1">
      <w:start w:val="1"/>
      <w:numFmt w:val="lowerRoman"/>
      <w:lvlText w:val="%9."/>
      <w:lvlJc w:val="right"/>
      <w:pPr>
        <w:ind w:left="6480" w:hanging="180"/>
      </w:pPr>
    </w:lvl>
  </w:abstractNum>
  <w:abstractNum w:abstractNumId="9" w15:restartNumberingAfterBreak="0">
    <w:nsid w:val="7AE275B5"/>
    <w:multiLevelType w:val="hybridMultilevel"/>
    <w:tmpl w:val="92C0491C"/>
    <w:lvl w:ilvl="0" w:tplc="D6D06586">
      <w:start w:val="1"/>
      <w:numFmt w:val="lowerLetter"/>
      <w:lvlText w:val="(%1)"/>
      <w:lvlJc w:val="left"/>
      <w:pPr>
        <w:ind w:left="2880" w:hanging="360"/>
      </w:pPr>
      <w:rPr>
        <w:rFonts w:hint="default"/>
      </w:rPr>
    </w:lvl>
    <w:lvl w:ilvl="1" w:tplc="3A36B4C2">
      <w:start w:val="1"/>
      <w:numFmt w:val="lowerLetter"/>
      <w:lvlText w:val="%2."/>
      <w:lvlJc w:val="left"/>
      <w:pPr>
        <w:ind w:left="2160" w:hanging="360"/>
      </w:pPr>
    </w:lvl>
    <w:lvl w:ilvl="2" w:tplc="21481C36" w:tentative="1">
      <w:start w:val="1"/>
      <w:numFmt w:val="lowerRoman"/>
      <w:lvlText w:val="%3."/>
      <w:lvlJc w:val="right"/>
      <w:pPr>
        <w:ind w:left="2880" w:hanging="180"/>
      </w:pPr>
    </w:lvl>
    <w:lvl w:ilvl="3" w:tplc="C6507730" w:tentative="1">
      <w:start w:val="1"/>
      <w:numFmt w:val="decimal"/>
      <w:lvlText w:val="%4."/>
      <w:lvlJc w:val="left"/>
      <w:pPr>
        <w:ind w:left="3600" w:hanging="360"/>
      </w:pPr>
    </w:lvl>
    <w:lvl w:ilvl="4" w:tplc="DD92E480" w:tentative="1">
      <w:start w:val="1"/>
      <w:numFmt w:val="lowerLetter"/>
      <w:lvlText w:val="%5."/>
      <w:lvlJc w:val="left"/>
      <w:pPr>
        <w:ind w:left="4320" w:hanging="360"/>
      </w:pPr>
    </w:lvl>
    <w:lvl w:ilvl="5" w:tplc="ACCCA8CE" w:tentative="1">
      <w:start w:val="1"/>
      <w:numFmt w:val="lowerRoman"/>
      <w:lvlText w:val="%6."/>
      <w:lvlJc w:val="right"/>
      <w:pPr>
        <w:ind w:left="5040" w:hanging="180"/>
      </w:pPr>
    </w:lvl>
    <w:lvl w:ilvl="6" w:tplc="5FD279B2" w:tentative="1">
      <w:start w:val="1"/>
      <w:numFmt w:val="decimal"/>
      <w:lvlText w:val="%7."/>
      <w:lvlJc w:val="left"/>
      <w:pPr>
        <w:ind w:left="5760" w:hanging="360"/>
      </w:pPr>
    </w:lvl>
    <w:lvl w:ilvl="7" w:tplc="2D547A1C" w:tentative="1">
      <w:start w:val="1"/>
      <w:numFmt w:val="lowerLetter"/>
      <w:lvlText w:val="%8."/>
      <w:lvlJc w:val="left"/>
      <w:pPr>
        <w:ind w:left="6480" w:hanging="360"/>
      </w:pPr>
    </w:lvl>
    <w:lvl w:ilvl="8" w:tplc="F2C4C862" w:tentative="1">
      <w:start w:val="1"/>
      <w:numFmt w:val="lowerRoman"/>
      <w:lvlText w:val="%9."/>
      <w:lvlJc w:val="right"/>
      <w:pPr>
        <w:ind w:left="7200" w:hanging="180"/>
      </w:pPr>
    </w:lvl>
  </w:abstractNum>
  <w:abstractNum w:abstractNumId="10" w15:restartNumberingAfterBreak="0">
    <w:nsid w:val="7C3C6B17"/>
    <w:multiLevelType w:val="hybridMultilevel"/>
    <w:tmpl w:val="70FE4E66"/>
    <w:lvl w:ilvl="0" w:tplc="5CB28E94">
      <w:start w:val="1"/>
      <w:numFmt w:val="lowerLetter"/>
      <w:lvlText w:val="%1."/>
      <w:lvlJc w:val="left"/>
      <w:pPr>
        <w:ind w:left="720" w:hanging="360"/>
      </w:pPr>
    </w:lvl>
    <w:lvl w:ilvl="1" w:tplc="5DE80AEE" w:tentative="1">
      <w:start w:val="1"/>
      <w:numFmt w:val="lowerLetter"/>
      <w:lvlText w:val="%2."/>
      <w:lvlJc w:val="left"/>
      <w:pPr>
        <w:ind w:left="1440" w:hanging="360"/>
      </w:pPr>
    </w:lvl>
    <w:lvl w:ilvl="2" w:tplc="BCBCF29A" w:tentative="1">
      <w:start w:val="1"/>
      <w:numFmt w:val="lowerRoman"/>
      <w:lvlText w:val="%3."/>
      <w:lvlJc w:val="right"/>
      <w:pPr>
        <w:ind w:left="2160" w:hanging="180"/>
      </w:pPr>
    </w:lvl>
    <w:lvl w:ilvl="3" w:tplc="8F866D08" w:tentative="1">
      <w:start w:val="1"/>
      <w:numFmt w:val="decimal"/>
      <w:lvlText w:val="%4."/>
      <w:lvlJc w:val="left"/>
      <w:pPr>
        <w:ind w:left="2880" w:hanging="360"/>
      </w:pPr>
    </w:lvl>
    <w:lvl w:ilvl="4" w:tplc="280A727C" w:tentative="1">
      <w:start w:val="1"/>
      <w:numFmt w:val="lowerLetter"/>
      <w:lvlText w:val="%5."/>
      <w:lvlJc w:val="left"/>
      <w:pPr>
        <w:ind w:left="3600" w:hanging="360"/>
      </w:pPr>
    </w:lvl>
    <w:lvl w:ilvl="5" w:tplc="6778EE0A" w:tentative="1">
      <w:start w:val="1"/>
      <w:numFmt w:val="lowerRoman"/>
      <w:lvlText w:val="%6."/>
      <w:lvlJc w:val="right"/>
      <w:pPr>
        <w:ind w:left="4320" w:hanging="180"/>
      </w:pPr>
    </w:lvl>
    <w:lvl w:ilvl="6" w:tplc="B3AE8930" w:tentative="1">
      <w:start w:val="1"/>
      <w:numFmt w:val="decimal"/>
      <w:lvlText w:val="%7."/>
      <w:lvlJc w:val="left"/>
      <w:pPr>
        <w:ind w:left="5040" w:hanging="360"/>
      </w:pPr>
    </w:lvl>
    <w:lvl w:ilvl="7" w:tplc="85D2679A" w:tentative="1">
      <w:start w:val="1"/>
      <w:numFmt w:val="lowerLetter"/>
      <w:lvlText w:val="%8."/>
      <w:lvlJc w:val="left"/>
      <w:pPr>
        <w:ind w:left="5760" w:hanging="360"/>
      </w:pPr>
    </w:lvl>
    <w:lvl w:ilvl="8" w:tplc="1292B10E" w:tentative="1">
      <w:start w:val="1"/>
      <w:numFmt w:val="lowerRoman"/>
      <w:lvlText w:val="%9."/>
      <w:lvlJc w:val="right"/>
      <w:pPr>
        <w:ind w:left="6480" w:hanging="180"/>
      </w:pPr>
    </w:lvl>
  </w:abstractNum>
  <w:num w:numId="1" w16cid:durableId="899290900">
    <w:abstractNumId w:val="8"/>
  </w:num>
  <w:num w:numId="2" w16cid:durableId="707143545">
    <w:abstractNumId w:val="5"/>
  </w:num>
  <w:num w:numId="3" w16cid:durableId="970987233">
    <w:abstractNumId w:val="0"/>
  </w:num>
  <w:num w:numId="4" w16cid:durableId="201594221">
    <w:abstractNumId w:val="6"/>
  </w:num>
  <w:num w:numId="5" w16cid:durableId="2028631695">
    <w:abstractNumId w:val="1"/>
  </w:num>
  <w:num w:numId="6" w16cid:durableId="1823887328">
    <w:abstractNumId w:val="1"/>
  </w:num>
  <w:num w:numId="7" w16cid:durableId="130949493">
    <w:abstractNumId w:val="4"/>
  </w:num>
  <w:num w:numId="8" w16cid:durableId="532572784">
    <w:abstractNumId w:val="9"/>
  </w:num>
  <w:num w:numId="9" w16cid:durableId="1764301981">
    <w:abstractNumId w:val="3"/>
  </w:num>
  <w:num w:numId="10" w16cid:durableId="1734037137">
    <w:abstractNumId w:val="10"/>
  </w:num>
  <w:num w:numId="11" w16cid:durableId="384913631">
    <w:abstractNumId w:val="2"/>
  </w:num>
  <w:num w:numId="12" w16cid:durableId="534857086">
    <w:abstractNumId w:val="7"/>
  </w:num>
  <w:num w:numId="13" w16cid:durableId="260452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40"/>
    <w:rsid w:val="00002154"/>
    <w:rsid w:val="00002C79"/>
    <w:rsid w:val="00003264"/>
    <w:rsid w:val="00003F57"/>
    <w:rsid w:val="000070C4"/>
    <w:rsid w:val="0001082D"/>
    <w:rsid w:val="00011091"/>
    <w:rsid w:val="000117E7"/>
    <w:rsid w:val="00012BED"/>
    <w:rsid w:val="00013059"/>
    <w:rsid w:val="000132DF"/>
    <w:rsid w:val="00016C7E"/>
    <w:rsid w:val="000205D7"/>
    <w:rsid w:val="00021BBE"/>
    <w:rsid w:val="00021D18"/>
    <w:rsid w:val="00022299"/>
    <w:rsid w:val="00022850"/>
    <w:rsid w:val="000276E7"/>
    <w:rsid w:val="00027C7C"/>
    <w:rsid w:val="000302F2"/>
    <w:rsid w:val="00031E25"/>
    <w:rsid w:val="00034803"/>
    <w:rsid w:val="00034990"/>
    <w:rsid w:val="00040594"/>
    <w:rsid w:val="00041661"/>
    <w:rsid w:val="00044627"/>
    <w:rsid w:val="00045909"/>
    <w:rsid w:val="000519F7"/>
    <w:rsid w:val="00052DAB"/>
    <w:rsid w:val="00054989"/>
    <w:rsid w:val="000614AE"/>
    <w:rsid w:val="000621B0"/>
    <w:rsid w:val="00062FD6"/>
    <w:rsid w:val="0007118E"/>
    <w:rsid w:val="00074E3A"/>
    <w:rsid w:val="0007510D"/>
    <w:rsid w:val="00077051"/>
    <w:rsid w:val="00080F96"/>
    <w:rsid w:val="00081B31"/>
    <w:rsid w:val="00082FEC"/>
    <w:rsid w:val="00085C11"/>
    <w:rsid w:val="00093F8E"/>
    <w:rsid w:val="00095CCB"/>
    <w:rsid w:val="0009606F"/>
    <w:rsid w:val="00096828"/>
    <w:rsid w:val="00097714"/>
    <w:rsid w:val="000A0470"/>
    <w:rsid w:val="000A2794"/>
    <w:rsid w:val="000A2C68"/>
    <w:rsid w:val="000A4652"/>
    <w:rsid w:val="000A5766"/>
    <w:rsid w:val="000A6C04"/>
    <w:rsid w:val="000A757F"/>
    <w:rsid w:val="000B01D3"/>
    <w:rsid w:val="000B021B"/>
    <w:rsid w:val="000B1C5B"/>
    <w:rsid w:val="000B3E9D"/>
    <w:rsid w:val="000B66AD"/>
    <w:rsid w:val="000B6B29"/>
    <w:rsid w:val="000B6C5F"/>
    <w:rsid w:val="000C083B"/>
    <w:rsid w:val="000C3E6E"/>
    <w:rsid w:val="000C3FFF"/>
    <w:rsid w:val="000C6904"/>
    <w:rsid w:val="000C6BAF"/>
    <w:rsid w:val="000C6DFC"/>
    <w:rsid w:val="000C77DA"/>
    <w:rsid w:val="000D0B59"/>
    <w:rsid w:val="000D2E39"/>
    <w:rsid w:val="000D3406"/>
    <w:rsid w:val="000D79AC"/>
    <w:rsid w:val="000E119F"/>
    <w:rsid w:val="000E35DD"/>
    <w:rsid w:val="000E5B10"/>
    <w:rsid w:val="000E6E49"/>
    <w:rsid w:val="000E7FEF"/>
    <w:rsid w:val="000F6B8F"/>
    <w:rsid w:val="0011364C"/>
    <w:rsid w:val="00114E6D"/>
    <w:rsid w:val="001155C9"/>
    <w:rsid w:val="001166D6"/>
    <w:rsid w:val="00116C86"/>
    <w:rsid w:val="00121AAE"/>
    <w:rsid w:val="0012286D"/>
    <w:rsid w:val="001235DF"/>
    <w:rsid w:val="0012374E"/>
    <w:rsid w:val="001246D3"/>
    <w:rsid w:val="0012540A"/>
    <w:rsid w:val="00126B43"/>
    <w:rsid w:val="001273C2"/>
    <w:rsid w:val="0012750D"/>
    <w:rsid w:val="001312D3"/>
    <w:rsid w:val="0013211D"/>
    <w:rsid w:val="001346A6"/>
    <w:rsid w:val="0013515B"/>
    <w:rsid w:val="001426F7"/>
    <w:rsid w:val="00142BB8"/>
    <w:rsid w:val="0014436B"/>
    <w:rsid w:val="00144E89"/>
    <w:rsid w:val="0014518D"/>
    <w:rsid w:val="0014696D"/>
    <w:rsid w:val="00153348"/>
    <w:rsid w:val="00153E97"/>
    <w:rsid w:val="00157C51"/>
    <w:rsid w:val="0016181C"/>
    <w:rsid w:val="001632E3"/>
    <w:rsid w:val="001710A7"/>
    <w:rsid w:val="0017179A"/>
    <w:rsid w:val="00171A69"/>
    <w:rsid w:val="0017343A"/>
    <w:rsid w:val="00174376"/>
    <w:rsid w:val="00175960"/>
    <w:rsid w:val="00176A7D"/>
    <w:rsid w:val="001804D0"/>
    <w:rsid w:val="00180772"/>
    <w:rsid w:val="00181457"/>
    <w:rsid w:val="001826A8"/>
    <w:rsid w:val="00182A36"/>
    <w:rsid w:val="00183FB1"/>
    <w:rsid w:val="00184277"/>
    <w:rsid w:val="00187A61"/>
    <w:rsid w:val="00190A23"/>
    <w:rsid w:val="001914DF"/>
    <w:rsid w:val="001934B1"/>
    <w:rsid w:val="00195437"/>
    <w:rsid w:val="00196CDB"/>
    <w:rsid w:val="001A0800"/>
    <w:rsid w:val="001A10D7"/>
    <w:rsid w:val="001A2BDF"/>
    <w:rsid w:val="001A4C0B"/>
    <w:rsid w:val="001A757B"/>
    <w:rsid w:val="001B2A28"/>
    <w:rsid w:val="001B51C8"/>
    <w:rsid w:val="001B5E5D"/>
    <w:rsid w:val="001B64FB"/>
    <w:rsid w:val="001C0ABD"/>
    <w:rsid w:val="001C17D8"/>
    <w:rsid w:val="001C2135"/>
    <w:rsid w:val="001C34E9"/>
    <w:rsid w:val="001C49B0"/>
    <w:rsid w:val="001C4C2B"/>
    <w:rsid w:val="001C7C56"/>
    <w:rsid w:val="001D16B5"/>
    <w:rsid w:val="001E0013"/>
    <w:rsid w:val="001E073D"/>
    <w:rsid w:val="001E0A77"/>
    <w:rsid w:val="001E26A1"/>
    <w:rsid w:val="001F5FA8"/>
    <w:rsid w:val="001F6BB6"/>
    <w:rsid w:val="001F7E27"/>
    <w:rsid w:val="0020086A"/>
    <w:rsid w:val="00201342"/>
    <w:rsid w:val="00201A40"/>
    <w:rsid w:val="00201E48"/>
    <w:rsid w:val="00202950"/>
    <w:rsid w:val="002055B0"/>
    <w:rsid w:val="002062AA"/>
    <w:rsid w:val="00206576"/>
    <w:rsid w:val="0020752A"/>
    <w:rsid w:val="00210543"/>
    <w:rsid w:val="002132B8"/>
    <w:rsid w:val="00217BC2"/>
    <w:rsid w:val="002224E6"/>
    <w:rsid w:val="00223D3F"/>
    <w:rsid w:val="00224931"/>
    <w:rsid w:val="002275AF"/>
    <w:rsid w:val="00227E15"/>
    <w:rsid w:val="002332A1"/>
    <w:rsid w:val="00234D13"/>
    <w:rsid w:val="00237357"/>
    <w:rsid w:val="0024386F"/>
    <w:rsid w:val="00244C89"/>
    <w:rsid w:val="00244FFD"/>
    <w:rsid w:val="0024551F"/>
    <w:rsid w:val="002457D4"/>
    <w:rsid w:val="00245D6D"/>
    <w:rsid w:val="00245EB4"/>
    <w:rsid w:val="00246A28"/>
    <w:rsid w:val="00246EAF"/>
    <w:rsid w:val="0025019A"/>
    <w:rsid w:val="002514A0"/>
    <w:rsid w:val="00251E17"/>
    <w:rsid w:val="002540EC"/>
    <w:rsid w:val="00254229"/>
    <w:rsid w:val="00256310"/>
    <w:rsid w:val="0025676C"/>
    <w:rsid w:val="00260AC0"/>
    <w:rsid w:val="00261FA4"/>
    <w:rsid w:val="00267140"/>
    <w:rsid w:val="002701CF"/>
    <w:rsid w:val="002709C5"/>
    <w:rsid w:val="00272E36"/>
    <w:rsid w:val="002758CD"/>
    <w:rsid w:val="00276A05"/>
    <w:rsid w:val="00277737"/>
    <w:rsid w:val="00282D7B"/>
    <w:rsid w:val="00295627"/>
    <w:rsid w:val="0029638A"/>
    <w:rsid w:val="002A16A0"/>
    <w:rsid w:val="002A1D1B"/>
    <w:rsid w:val="002A312D"/>
    <w:rsid w:val="002A547B"/>
    <w:rsid w:val="002A5A30"/>
    <w:rsid w:val="002A6815"/>
    <w:rsid w:val="002A6B83"/>
    <w:rsid w:val="002B1F31"/>
    <w:rsid w:val="002B2D37"/>
    <w:rsid w:val="002B3C15"/>
    <w:rsid w:val="002B613B"/>
    <w:rsid w:val="002C1BBC"/>
    <w:rsid w:val="002C5386"/>
    <w:rsid w:val="002C783F"/>
    <w:rsid w:val="002C7C24"/>
    <w:rsid w:val="002D2306"/>
    <w:rsid w:val="002D30A5"/>
    <w:rsid w:val="002D383D"/>
    <w:rsid w:val="002D69FC"/>
    <w:rsid w:val="002D7018"/>
    <w:rsid w:val="002D72C6"/>
    <w:rsid w:val="002E0198"/>
    <w:rsid w:val="002E091A"/>
    <w:rsid w:val="002E1AD8"/>
    <w:rsid w:val="002E3A1C"/>
    <w:rsid w:val="002E55FE"/>
    <w:rsid w:val="002E7CB4"/>
    <w:rsid w:val="002F2E32"/>
    <w:rsid w:val="002F3092"/>
    <w:rsid w:val="002F5895"/>
    <w:rsid w:val="002F5D00"/>
    <w:rsid w:val="002F69CA"/>
    <w:rsid w:val="003048D2"/>
    <w:rsid w:val="00305FEF"/>
    <w:rsid w:val="00311795"/>
    <w:rsid w:val="003226C8"/>
    <w:rsid w:val="0032396B"/>
    <w:rsid w:val="00324472"/>
    <w:rsid w:val="003244AB"/>
    <w:rsid w:val="00325422"/>
    <w:rsid w:val="00326D0A"/>
    <w:rsid w:val="00330157"/>
    <w:rsid w:val="00331964"/>
    <w:rsid w:val="00340506"/>
    <w:rsid w:val="003407BB"/>
    <w:rsid w:val="003433D3"/>
    <w:rsid w:val="00343738"/>
    <w:rsid w:val="003456F1"/>
    <w:rsid w:val="00351132"/>
    <w:rsid w:val="003513F8"/>
    <w:rsid w:val="00356A0E"/>
    <w:rsid w:val="0035709D"/>
    <w:rsid w:val="00361909"/>
    <w:rsid w:val="00365934"/>
    <w:rsid w:val="003708E0"/>
    <w:rsid w:val="00372363"/>
    <w:rsid w:val="00374064"/>
    <w:rsid w:val="00377420"/>
    <w:rsid w:val="00377A90"/>
    <w:rsid w:val="00381444"/>
    <w:rsid w:val="003823B0"/>
    <w:rsid w:val="00382C43"/>
    <w:rsid w:val="00384564"/>
    <w:rsid w:val="00390962"/>
    <w:rsid w:val="00390C65"/>
    <w:rsid w:val="00391396"/>
    <w:rsid w:val="00393657"/>
    <w:rsid w:val="00393A22"/>
    <w:rsid w:val="00393B22"/>
    <w:rsid w:val="003971C0"/>
    <w:rsid w:val="00397917"/>
    <w:rsid w:val="003B2A44"/>
    <w:rsid w:val="003B4B2E"/>
    <w:rsid w:val="003C02E7"/>
    <w:rsid w:val="003C09D2"/>
    <w:rsid w:val="003C16D0"/>
    <w:rsid w:val="003C26F3"/>
    <w:rsid w:val="003C36EC"/>
    <w:rsid w:val="003C58E4"/>
    <w:rsid w:val="003D0630"/>
    <w:rsid w:val="003D45AE"/>
    <w:rsid w:val="003D6695"/>
    <w:rsid w:val="003E2947"/>
    <w:rsid w:val="003E32B5"/>
    <w:rsid w:val="003E60AC"/>
    <w:rsid w:val="003E61AD"/>
    <w:rsid w:val="003E7220"/>
    <w:rsid w:val="003F305D"/>
    <w:rsid w:val="003F48FE"/>
    <w:rsid w:val="003F6687"/>
    <w:rsid w:val="003F74D0"/>
    <w:rsid w:val="0040073B"/>
    <w:rsid w:val="00401CED"/>
    <w:rsid w:val="004050DD"/>
    <w:rsid w:val="004076F7"/>
    <w:rsid w:val="004147E3"/>
    <w:rsid w:val="004319EC"/>
    <w:rsid w:val="00434FF5"/>
    <w:rsid w:val="004374E5"/>
    <w:rsid w:val="00442CD2"/>
    <w:rsid w:val="00443862"/>
    <w:rsid w:val="00443BBD"/>
    <w:rsid w:val="004440AD"/>
    <w:rsid w:val="004473AC"/>
    <w:rsid w:val="004610A4"/>
    <w:rsid w:val="0046161F"/>
    <w:rsid w:val="00461A33"/>
    <w:rsid w:val="00464DE2"/>
    <w:rsid w:val="00465F1A"/>
    <w:rsid w:val="00466AC0"/>
    <w:rsid w:val="00467B02"/>
    <w:rsid w:val="00470935"/>
    <w:rsid w:val="00472B59"/>
    <w:rsid w:val="00484E18"/>
    <w:rsid w:val="004851EC"/>
    <w:rsid w:val="00486191"/>
    <w:rsid w:val="004907CC"/>
    <w:rsid w:val="0049319C"/>
    <w:rsid w:val="004939F4"/>
    <w:rsid w:val="004A078D"/>
    <w:rsid w:val="004A11FC"/>
    <w:rsid w:val="004A5449"/>
    <w:rsid w:val="004A724D"/>
    <w:rsid w:val="004B5E66"/>
    <w:rsid w:val="004B7584"/>
    <w:rsid w:val="004C00DD"/>
    <w:rsid w:val="004C050F"/>
    <w:rsid w:val="004C0662"/>
    <w:rsid w:val="004C58B9"/>
    <w:rsid w:val="004C5B10"/>
    <w:rsid w:val="004C691E"/>
    <w:rsid w:val="004C6A09"/>
    <w:rsid w:val="004C7B7C"/>
    <w:rsid w:val="004D1B03"/>
    <w:rsid w:val="004D3661"/>
    <w:rsid w:val="004D3689"/>
    <w:rsid w:val="004E3BDD"/>
    <w:rsid w:val="004E3DD1"/>
    <w:rsid w:val="004E486B"/>
    <w:rsid w:val="004E6D27"/>
    <w:rsid w:val="004E7690"/>
    <w:rsid w:val="004F11F1"/>
    <w:rsid w:val="004F37EA"/>
    <w:rsid w:val="004F4D61"/>
    <w:rsid w:val="004F5B31"/>
    <w:rsid w:val="005019C3"/>
    <w:rsid w:val="00505F53"/>
    <w:rsid w:val="00511148"/>
    <w:rsid w:val="005158D6"/>
    <w:rsid w:val="00515D88"/>
    <w:rsid w:val="00520AE1"/>
    <w:rsid w:val="0052168A"/>
    <w:rsid w:val="0052265E"/>
    <w:rsid w:val="00522EFD"/>
    <w:rsid w:val="00524B6E"/>
    <w:rsid w:val="005270DA"/>
    <w:rsid w:val="00534BD2"/>
    <w:rsid w:val="00535A54"/>
    <w:rsid w:val="00536C61"/>
    <w:rsid w:val="00540A6E"/>
    <w:rsid w:val="005427EA"/>
    <w:rsid w:val="0054328A"/>
    <w:rsid w:val="00543CCE"/>
    <w:rsid w:val="005447E1"/>
    <w:rsid w:val="005452A0"/>
    <w:rsid w:val="00546D83"/>
    <w:rsid w:val="0054714B"/>
    <w:rsid w:val="00552B50"/>
    <w:rsid w:val="00553FA1"/>
    <w:rsid w:val="00554B06"/>
    <w:rsid w:val="00554D1E"/>
    <w:rsid w:val="00560866"/>
    <w:rsid w:val="00561BFD"/>
    <w:rsid w:val="00563A75"/>
    <w:rsid w:val="00570377"/>
    <w:rsid w:val="005704BC"/>
    <w:rsid w:val="00571B93"/>
    <w:rsid w:val="00572897"/>
    <w:rsid w:val="005743DD"/>
    <w:rsid w:val="00574AFC"/>
    <w:rsid w:val="0057658D"/>
    <w:rsid w:val="00577B63"/>
    <w:rsid w:val="00580AF7"/>
    <w:rsid w:val="00581553"/>
    <w:rsid w:val="00581F26"/>
    <w:rsid w:val="00582ED4"/>
    <w:rsid w:val="00583B54"/>
    <w:rsid w:val="00583F9F"/>
    <w:rsid w:val="00584864"/>
    <w:rsid w:val="00584DAC"/>
    <w:rsid w:val="00585F91"/>
    <w:rsid w:val="005878EA"/>
    <w:rsid w:val="00587BBE"/>
    <w:rsid w:val="0059355D"/>
    <w:rsid w:val="00593663"/>
    <w:rsid w:val="005959F8"/>
    <w:rsid w:val="00597E43"/>
    <w:rsid w:val="005A02F7"/>
    <w:rsid w:val="005A0B25"/>
    <w:rsid w:val="005A22B1"/>
    <w:rsid w:val="005A37BD"/>
    <w:rsid w:val="005A3E33"/>
    <w:rsid w:val="005A4DEC"/>
    <w:rsid w:val="005B1BB9"/>
    <w:rsid w:val="005B1C07"/>
    <w:rsid w:val="005B265D"/>
    <w:rsid w:val="005B4438"/>
    <w:rsid w:val="005B4836"/>
    <w:rsid w:val="005B6B55"/>
    <w:rsid w:val="005C475A"/>
    <w:rsid w:val="005C5ED7"/>
    <w:rsid w:val="005C775B"/>
    <w:rsid w:val="005D0340"/>
    <w:rsid w:val="005D470E"/>
    <w:rsid w:val="005D74E6"/>
    <w:rsid w:val="005E127D"/>
    <w:rsid w:val="005E1C39"/>
    <w:rsid w:val="005E363A"/>
    <w:rsid w:val="005E5777"/>
    <w:rsid w:val="005E602B"/>
    <w:rsid w:val="005E7437"/>
    <w:rsid w:val="005E7478"/>
    <w:rsid w:val="005E79EF"/>
    <w:rsid w:val="005F3A20"/>
    <w:rsid w:val="005F45B0"/>
    <w:rsid w:val="005F7AFD"/>
    <w:rsid w:val="006025C6"/>
    <w:rsid w:val="00604088"/>
    <w:rsid w:val="006055A0"/>
    <w:rsid w:val="00606C6F"/>
    <w:rsid w:val="006101C0"/>
    <w:rsid w:val="006112AF"/>
    <w:rsid w:val="00612FA3"/>
    <w:rsid w:val="00613A98"/>
    <w:rsid w:val="006146A5"/>
    <w:rsid w:val="00614D6E"/>
    <w:rsid w:val="00614F72"/>
    <w:rsid w:val="00615507"/>
    <w:rsid w:val="006156CB"/>
    <w:rsid w:val="006157B8"/>
    <w:rsid w:val="0062083F"/>
    <w:rsid w:val="00620E33"/>
    <w:rsid w:val="00621627"/>
    <w:rsid w:val="00621FD0"/>
    <w:rsid w:val="00622046"/>
    <w:rsid w:val="006228B9"/>
    <w:rsid w:val="006229DF"/>
    <w:rsid w:val="006230B3"/>
    <w:rsid w:val="006249AB"/>
    <w:rsid w:val="00625A14"/>
    <w:rsid w:val="00626B97"/>
    <w:rsid w:val="00630068"/>
    <w:rsid w:val="0063494E"/>
    <w:rsid w:val="00635A76"/>
    <w:rsid w:val="006371C3"/>
    <w:rsid w:val="00641FA3"/>
    <w:rsid w:val="006420A1"/>
    <w:rsid w:val="00642EC2"/>
    <w:rsid w:val="00645E6B"/>
    <w:rsid w:val="00650637"/>
    <w:rsid w:val="00661BB4"/>
    <w:rsid w:val="006641C6"/>
    <w:rsid w:val="0066599E"/>
    <w:rsid w:val="00671B4E"/>
    <w:rsid w:val="00674B39"/>
    <w:rsid w:val="0067546C"/>
    <w:rsid w:val="00680DBF"/>
    <w:rsid w:val="006846E1"/>
    <w:rsid w:val="00685E25"/>
    <w:rsid w:val="00686DA3"/>
    <w:rsid w:val="00692B3C"/>
    <w:rsid w:val="00692FB2"/>
    <w:rsid w:val="006940B2"/>
    <w:rsid w:val="00696608"/>
    <w:rsid w:val="006A09FA"/>
    <w:rsid w:val="006A2E37"/>
    <w:rsid w:val="006A3BF2"/>
    <w:rsid w:val="006A5050"/>
    <w:rsid w:val="006A7C5A"/>
    <w:rsid w:val="006B1186"/>
    <w:rsid w:val="006B1FD9"/>
    <w:rsid w:val="006B7C6B"/>
    <w:rsid w:val="006C1270"/>
    <w:rsid w:val="006D48D1"/>
    <w:rsid w:val="006D67B9"/>
    <w:rsid w:val="006E02DD"/>
    <w:rsid w:val="006E0575"/>
    <w:rsid w:val="006E3530"/>
    <w:rsid w:val="006E4439"/>
    <w:rsid w:val="006E5DF0"/>
    <w:rsid w:val="006E6619"/>
    <w:rsid w:val="006E6C6F"/>
    <w:rsid w:val="006E7627"/>
    <w:rsid w:val="006E7D84"/>
    <w:rsid w:val="006F01C8"/>
    <w:rsid w:val="006F1542"/>
    <w:rsid w:val="006F46AE"/>
    <w:rsid w:val="006F5C74"/>
    <w:rsid w:val="006F6206"/>
    <w:rsid w:val="006F7222"/>
    <w:rsid w:val="0070246F"/>
    <w:rsid w:val="007046B5"/>
    <w:rsid w:val="00706EB4"/>
    <w:rsid w:val="007071BD"/>
    <w:rsid w:val="007124E3"/>
    <w:rsid w:val="00717DA8"/>
    <w:rsid w:val="00721CCF"/>
    <w:rsid w:val="00722CA2"/>
    <w:rsid w:val="0072455B"/>
    <w:rsid w:val="0072458B"/>
    <w:rsid w:val="007257EA"/>
    <w:rsid w:val="00727DAE"/>
    <w:rsid w:val="00727F48"/>
    <w:rsid w:val="0073577C"/>
    <w:rsid w:val="007370CB"/>
    <w:rsid w:val="00740130"/>
    <w:rsid w:val="00740B42"/>
    <w:rsid w:val="00740D9B"/>
    <w:rsid w:val="00743363"/>
    <w:rsid w:val="0074355B"/>
    <w:rsid w:val="00743ACA"/>
    <w:rsid w:val="007445D0"/>
    <w:rsid w:val="00746872"/>
    <w:rsid w:val="00751ABC"/>
    <w:rsid w:val="00752364"/>
    <w:rsid w:val="007571ED"/>
    <w:rsid w:val="007604E2"/>
    <w:rsid w:val="00761B08"/>
    <w:rsid w:val="00761D20"/>
    <w:rsid w:val="00764333"/>
    <w:rsid w:val="00764DDB"/>
    <w:rsid w:val="0076501A"/>
    <w:rsid w:val="00765109"/>
    <w:rsid w:val="00765B1A"/>
    <w:rsid w:val="00765D2F"/>
    <w:rsid w:val="007734F2"/>
    <w:rsid w:val="0077480A"/>
    <w:rsid w:val="007763C1"/>
    <w:rsid w:val="0078189B"/>
    <w:rsid w:val="007830E2"/>
    <w:rsid w:val="0078383D"/>
    <w:rsid w:val="00794D9D"/>
    <w:rsid w:val="007956BD"/>
    <w:rsid w:val="007A0242"/>
    <w:rsid w:val="007A0C7A"/>
    <w:rsid w:val="007A2B44"/>
    <w:rsid w:val="007A63C8"/>
    <w:rsid w:val="007B57A0"/>
    <w:rsid w:val="007B5E81"/>
    <w:rsid w:val="007B7893"/>
    <w:rsid w:val="007C16F5"/>
    <w:rsid w:val="007C17F8"/>
    <w:rsid w:val="007C54D5"/>
    <w:rsid w:val="007C6AC5"/>
    <w:rsid w:val="007D12CD"/>
    <w:rsid w:val="007D3725"/>
    <w:rsid w:val="007D5833"/>
    <w:rsid w:val="007D7F24"/>
    <w:rsid w:val="007E4CC9"/>
    <w:rsid w:val="007E4F4A"/>
    <w:rsid w:val="007E6840"/>
    <w:rsid w:val="007F13CC"/>
    <w:rsid w:val="007F1987"/>
    <w:rsid w:val="007F1A0C"/>
    <w:rsid w:val="007F4807"/>
    <w:rsid w:val="007F4948"/>
    <w:rsid w:val="007F571F"/>
    <w:rsid w:val="007F5E37"/>
    <w:rsid w:val="007F7919"/>
    <w:rsid w:val="007F7F1C"/>
    <w:rsid w:val="00800B8E"/>
    <w:rsid w:val="008017B6"/>
    <w:rsid w:val="0080340F"/>
    <w:rsid w:val="00804433"/>
    <w:rsid w:val="00804EAB"/>
    <w:rsid w:val="00805BF6"/>
    <w:rsid w:val="00812292"/>
    <w:rsid w:val="00816714"/>
    <w:rsid w:val="00816791"/>
    <w:rsid w:val="00816E27"/>
    <w:rsid w:val="008220B9"/>
    <w:rsid w:val="008309D5"/>
    <w:rsid w:val="008343A4"/>
    <w:rsid w:val="00836B46"/>
    <w:rsid w:val="00837864"/>
    <w:rsid w:val="00837CED"/>
    <w:rsid w:val="008431FC"/>
    <w:rsid w:val="00843E95"/>
    <w:rsid w:val="00845A1B"/>
    <w:rsid w:val="00846456"/>
    <w:rsid w:val="00855218"/>
    <w:rsid w:val="00860921"/>
    <w:rsid w:val="00861328"/>
    <w:rsid w:val="008628FB"/>
    <w:rsid w:val="00863A35"/>
    <w:rsid w:val="00864BF3"/>
    <w:rsid w:val="00866E1B"/>
    <w:rsid w:val="00873913"/>
    <w:rsid w:val="00874E49"/>
    <w:rsid w:val="00875F96"/>
    <w:rsid w:val="008856F9"/>
    <w:rsid w:val="00885FD7"/>
    <w:rsid w:val="008862EA"/>
    <w:rsid w:val="00892049"/>
    <w:rsid w:val="00892FE7"/>
    <w:rsid w:val="00893AD9"/>
    <w:rsid w:val="00893D0D"/>
    <w:rsid w:val="0089526D"/>
    <w:rsid w:val="0089536D"/>
    <w:rsid w:val="00897125"/>
    <w:rsid w:val="008A1363"/>
    <w:rsid w:val="008A195C"/>
    <w:rsid w:val="008A381E"/>
    <w:rsid w:val="008A50AA"/>
    <w:rsid w:val="008A7B99"/>
    <w:rsid w:val="008B1948"/>
    <w:rsid w:val="008B3858"/>
    <w:rsid w:val="008B4D69"/>
    <w:rsid w:val="008C031B"/>
    <w:rsid w:val="008C05E5"/>
    <w:rsid w:val="008C1781"/>
    <w:rsid w:val="008C296A"/>
    <w:rsid w:val="008C5B6B"/>
    <w:rsid w:val="008D06B5"/>
    <w:rsid w:val="008D090F"/>
    <w:rsid w:val="008D1320"/>
    <w:rsid w:val="008D361A"/>
    <w:rsid w:val="008D4950"/>
    <w:rsid w:val="008D4DF3"/>
    <w:rsid w:val="008D61E5"/>
    <w:rsid w:val="008E2294"/>
    <w:rsid w:val="008E40E1"/>
    <w:rsid w:val="008E475B"/>
    <w:rsid w:val="008E5385"/>
    <w:rsid w:val="008F11BE"/>
    <w:rsid w:val="008F5CFC"/>
    <w:rsid w:val="008F708D"/>
    <w:rsid w:val="008F740E"/>
    <w:rsid w:val="008F79A3"/>
    <w:rsid w:val="00901986"/>
    <w:rsid w:val="00901E68"/>
    <w:rsid w:val="009030E7"/>
    <w:rsid w:val="0090650B"/>
    <w:rsid w:val="009075F5"/>
    <w:rsid w:val="009113D2"/>
    <w:rsid w:val="00915A9E"/>
    <w:rsid w:val="00916B24"/>
    <w:rsid w:val="00916FFC"/>
    <w:rsid w:val="00917287"/>
    <w:rsid w:val="0091771A"/>
    <w:rsid w:val="009206DB"/>
    <w:rsid w:val="009221BD"/>
    <w:rsid w:val="0092314D"/>
    <w:rsid w:val="00923D0A"/>
    <w:rsid w:val="00924C5C"/>
    <w:rsid w:val="009257D9"/>
    <w:rsid w:val="00925AB4"/>
    <w:rsid w:val="00931972"/>
    <w:rsid w:val="00932757"/>
    <w:rsid w:val="00932841"/>
    <w:rsid w:val="00934FFB"/>
    <w:rsid w:val="009360F6"/>
    <w:rsid w:val="00940A4B"/>
    <w:rsid w:val="009412A6"/>
    <w:rsid w:val="00941748"/>
    <w:rsid w:val="00943421"/>
    <w:rsid w:val="00945BA0"/>
    <w:rsid w:val="00945CCE"/>
    <w:rsid w:val="00946DF3"/>
    <w:rsid w:val="00950F8E"/>
    <w:rsid w:val="009555FA"/>
    <w:rsid w:val="00956598"/>
    <w:rsid w:val="00956F5C"/>
    <w:rsid w:val="00957AD4"/>
    <w:rsid w:val="009628F1"/>
    <w:rsid w:val="0096581E"/>
    <w:rsid w:val="009762D8"/>
    <w:rsid w:val="00980C41"/>
    <w:rsid w:val="00982039"/>
    <w:rsid w:val="00982B24"/>
    <w:rsid w:val="009852E8"/>
    <w:rsid w:val="00986541"/>
    <w:rsid w:val="00992361"/>
    <w:rsid w:val="0099335B"/>
    <w:rsid w:val="00993B36"/>
    <w:rsid w:val="009A0894"/>
    <w:rsid w:val="009A3AB0"/>
    <w:rsid w:val="009A6132"/>
    <w:rsid w:val="009A61BF"/>
    <w:rsid w:val="009A6FD1"/>
    <w:rsid w:val="009A7BCC"/>
    <w:rsid w:val="009B1F4A"/>
    <w:rsid w:val="009B2156"/>
    <w:rsid w:val="009B3F04"/>
    <w:rsid w:val="009B3FF1"/>
    <w:rsid w:val="009C0D38"/>
    <w:rsid w:val="009C11FD"/>
    <w:rsid w:val="009C128E"/>
    <w:rsid w:val="009C3644"/>
    <w:rsid w:val="009C56C3"/>
    <w:rsid w:val="009C6D0A"/>
    <w:rsid w:val="009C7E88"/>
    <w:rsid w:val="009D2038"/>
    <w:rsid w:val="009D204E"/>
    <w:rsid w:val="009D31FA"/>
    <w:rsid w:val="009D3431"/>
    <w:rsid w:val="009D3477"/>
    <w:rsid w:val="009D5D0B"/>
    <w:rsid w:val="009D64B7"/>
    <w:rsid w:val="009D6579"/>
    <w:rsid w:val="009E64F1"/>
    <w:rsid w:val="009E6CCE"/>
    <w:rsid w:val="009E7FCB"/>
    <w:rsid w:val="009F166D"/>
    <w:rsid w:val="009F1EA7"/>
    <w:rsid w:val="009F4044"/>
    <w:rsid w:val="009F41DA"/>
    <w:rsid w:val="009F7E6A"/>
    <w:rsid w:val="009F7E6F"/>
    <w:rsid w:val="00A002EB"/>
    <w:rsid w:val="00A013B9"/>
    <w:rsid w:val="00A020F7"/>
    <w:rsid w:val="00A02419"/>
    <w:rsid w:val="00A067BA"/>
    <w:rsid w:val="00A1040F"/>
    <w:rsid w:val="00A10AE7"/>
    <w:rsid w:val="00A112E1"/>
    <w:rsid w:val="00A128BF"/>
    <w:rsid w:val="00A154E5"/>
    <w:rsid w:val="00A16E12"/>
    <w:rsid w:val="00A2015F"/>
    <w:rsid w:val="00A25B5B"/>
    <w:rsid w:val="00A32238"/>
    <w:rsid w:val="00A32554"/>
    <w:rsid w:val="00A329AD"/>
    <w:rsid w:val="00A3781A"/>
    <w:rsid w:val="00A37E6C"/>
    <w:rsid w:val="00A420D8"/>
    <w:rsid w:val="00A423CF"/>
    <w:rsid w:val="00A42606"/>
    <w:rsid w:val="00A43E7D"/>
    <w:rsid w:val="00A518EF"/>
    <w:rsid w:val="00A5319D"/>
    <w:rsid w:val="00A54325"/>
    <w:rsid w:val="00A56C24"/>
    <w:rsid w:val="00A60706"/>
    <w:rsid w:val="00A612A6"/>
    <w:rsid w:val="00A66C86"/>
    <w:rsid w:val="00A674E3"/>
    <w:rsid w:val="00A702DD"/>
    <w:rsid w:val="00A71EC7"/>
    <w:rsid w:val="00A7319E"/>
    <w:rsid w:val="00A746BE"/>
    <w:rsid w:val="00A74856"/>
    <w:rsid w:val="00A74C76"/>
    <w:rsid w:val="00A815AC"/>
    <w:rsid w:val="00A8216E"/>
    <w:rsid w:val="00A837B7"/>
    <w:rsid w:val="00A84908"/>
    <w:rsid w:val="00A90735"/>
    <w:rsid w:val="00A9150B"/>
    <w:rsid w:val="00A934D4"/>
    <w:rsid w:val="00A95746"/>
    <w:rsid w:val="00AA0CB2"/>
    <w:rsid w:val="00AA145B"/>
    <w:rsid w:val="00AA1BD0"/>
    <w:rsid w:val="00AA3A8C"/>
    <w:rsid w:val="00AB06B3"/>
    <w:rsid w:val="00AB110B"/>
    <w:rsid w:val="00AB2EFC"/>
    <w:rsid w:val="00AB3B29"/>
    <w:rsid w:val="00AB3F81"/>
    <w:rsid w:val="00AB5B6B"/>
    <w:rsid w:val="00AC092F"/>
    <w:rsid w:val="00AC0F83"/>
    <w:rsid w:val="00AD0C2E"/>
    <w:rsid w:val="00AD263B"/>
    <w:rsid w:val="00AD2F44"/>
    <w:rsid w:val="00AD3B97"/>
    <w:rsid w:val="00AD4534"/>
    <w:rsid w:val="00AD4FCF"/>
    <w:rsid w:val="00AD6C9C"/>
    <w:rsid w:val="00AD75BB"/>
    <w:rsid w:val="00AE02E3"/>
    <w:rsid w:val="00AE1B8C"/>
    <w:rsid w:val="00AE46CB"/>
    <w:rsid w:val="00AE57A6"/>
    <w:rsid w:val="00AE59F9"/>
    <w:rsid w:val="00AF2D17"/>
    <w:rsid w:val="00AF5B38"/>
    <w:rsid w:val="00AF6F11"/>
    <w:rsid w:val="00B0519C"/>
    <w:rsid w:val="00B06473"/>
    <w:rsid w:val="00B211EC"/>
    <w:rsid w:val="00B213DE"/>
    <w:rsid w:val="00B26C46"/>
    <w:rsid w:val="00B27A0F"/>
    <w:rsid w:val="00B30A90"/>
    <w:rsid w:val="00B31B53"/>
    <w:rsid w:val="00B3200D"/>
    <w:rsid w:val="00B33451"/>
    <w:rsid w:val="00B35068"/>
    <w:rsid w:val="00B35275"/>
    <w:rsid w:val="00B37F66"/>
    <w:rsid w:val="00B4432E"/>
    <w:rsid w:val="00B466D6"/>
    <w:rsid w:val="00B5210C"/>
    <w:rsid w:val="00B531DC"/>
    <w:rsid w:val="00B5450A"/>
    <w:rsid w:val="00B5563B"/>
    <w:rsid w:val="00B56DB8"/>
    <w:rsid w:val="00B60075"/>
    <w:rsid w:val="00B6678C"/>
    <w:rsid w:val="00B679C3"/>
    <w:rsid w:val="00B702F1"/>
    <w:rsid w:val="00B715BE"/>
    <w:rsid w:val="00B726E3"/>
    <w:rsid w:val="00B72DCD"/>
    <w:rsid w:val="00B7707B"/>
    <w:rsid w:val="00B8255E"/>
    <w:rsid w:val="00B83B59"/>
    <w:rsid w:val="00B83D94"/>
    <w:rsid w:val="00B83E70"/>
    <w:rsid w:val="00B86378"/>
    <w:rsid w:val="00B86CF5"/>
    <w:rsid w:val="00B96445"/>
    <w:rsid w:val="00BA10E3"/>
    <w:rsid w:val="00BA1574"/>
    <w:rsid w:val="00BA5A88"/>
    <w:rsid w:val="00BA645D"/>
    <w:rsid w:val="00BA6705"/>
    <w:rsid w:val="00BA7BBD"/>
    <w:rsid w:val="00BB02E3"/>
    <w:rsid w:val="00BB0B96"/>
    <w:rsid w:val="00BC0BC5"/>
    <w:rsid w:val="00BC13F0"/>
    <w:rsid w:val="00BC1716"/>
    <w:rsid w:val="00BC1A30"/>
    <w:rsid w:val="00BC1C17"/>
    <w:rsid w:val="00BC4096"/>
    <w:rsid w:val="00BC43B0"/>
    <w:rsid w:val="00BD048C"/>
    <w:rsid w:val="00BD12E4"/>
    <w:rsid w:val="00BE6D4D"/>
    <w:rsid w:val="00BE77BE"/>
    <w:rsid w:val="00BF26A8"/>
    <w:rsid w:val="00BF2D70"/>
    <w:rsid w:val="00BF505C"/>
    <w:rsid w:val="00C0076B"/>
    <w:rsid w:val="00C05A6E"/>
    <w:rsid w:val="00C06F3C"/>
    <w:rsid w:val="00C07824"/>
    <w:rsid w:val="00C07CD0"/>
    <w:rsid w:val="00C17BC7"/>
    <w:rsid w:val="00C23EC1"/>
    <w:rsid w:val="00C27B5F"/>
    <w:rsid w:val="00C324DA"/>
    <w:rsid w:val="00C3359F"/>
    <w:rsid w:val="00C33708"/>
    <w:rsid w:val="00C339DB"/>
    <w:rsid w:val="00C3532C"/>
    <w:rsid w:val="00C354A8"/>
    <w:rsid w:val="00C35589"/>
    <w:rsid w:val="00C36F3E"/>
    <w:rsid w:val="00C43E6B"/>
    <w:rsid w:val="00C45482"/>
    <w:rsid w:val="00C4565C"/>
    <w:rsid w:val="00C47855"/>
    <w:rsid w:val="00C6106A"/>
    <w:rsid w:val="00C63C81"/>
    <w:rsid w:val="00C65628"/>
    <w:rsid w:val="00C65BCB"/>
    <w:rsid w:val="00C73E1E"/>
    <w:rsid w:val="00C74760"/>
    <w:rsid w:val="00C75410"/>
    <w:rsid w:val="00C8024E"/>
    <w:rsid w:val="00C81516"/>
    <w:rsid w:val="00C81569"/>
    <w:rsid w:val="00C818D1"/>
    <w:rsid w:val="00C826DD"/>
    <w:rsid w:val="00C8380A"/>
    <w:rsid w:val="00C8496F"/>
    <w:rsid w:val="00C9448A"/>
    <w:rsid w:val="00C973F2"/>
    <w:rsid w:val="00CA6DD8"/>
    <w:rsid w:val="00CA7567"/>
    <w:rsid w:val="00CA7B08"/>
    <w:rsid w:val="00CB1B4D"/>
    <w:rsid w:val="00CB3CA1"/>
    <w:rsid w:val="00CC5044"/>
    <w:rsid w:val="00CC5882"/>
    <w:rsid w:val="00CD0A90"/>
    <w:rsid w:val="00CD0FE4"/>
    <w:rsid w:val="00CD6EC5"/>
    <w:rsid w:val="00CD73FF"/>
    <w:rsid w:val="00CE0098"/>
    <w:rsid w:val="00CE0CD2"/>
    <w:rsid w:val="00CE2B25"/>
    <w:rsid w:val="00CE306B"/>
    <w:rsid w:val="00CE7BE7"/>
    <w:rsid w:val="00CF050B"/>
    <w:rsid w:val="00CF1011"/>
    <w:rsid w:val="00CF2FFE"/>
    <w:rsid w:val="00CF33C3"/>
    <w:rsid w:val="00CF5BCD"/>
    <w:rsid w:val="00CF765C"/>
    <w:rsid w:val="00D06060"/>
    <w:rsid w:val="00D073C7"/>
    <w:rsid w:val="00D077C6"/>
    <w:rsid w:val="00D10B9A"/>
    <w:rsid w:val="00D13AC1"/>
    <w:rsid w:val="00D13D04"/>
    <w:rsid w:val="00D17864"/>
    <w:rsid w:val="00D200E3"/>
    <w:rsid w:val="00D23834"/>
    <w:rsid w:val="00D2424F"/>
    <w:rsid w:val="00D2533A"/>
    <w:rsid w:val="00D257BB"/>
    <w:rsid w:val="00D30957"/>
    <w:rsid w:val="00D31896"/>
    <w:rsid w:val="00D35D05"/>
    <w:rsid w:val="00D37F0D"/>
    <w:rsid w:val="00D41F67"/>
    <w:rsid w:val="00D4296D"/>
    <w:rsid w:val="00D44777"/>
    <w:rsid w:val="00D502DF"/>
    <w:rsid w:val="00D55238"/>
    <w:rsid w:val="00D56FD5"/>
    <w:rsid w:val="00D61301"/>
    <w:rsid w:val="00D623B9"/>
    <w:rsid w:val="00D63C7D"/>
    <w:rsid w:val="00D64982"/>
    <w:rsid w:val="00D70389"/>
    <w:rsid w:val="00D70BC0"/>
    <w:rsid w:val="00D71234"/>
    <w:rsid w:val="00D7234D"/>
    <w:rsid w:val="00D7353C"/>
    <w:rsid w:val="00D73820"/>
    <w:rsid w:val="00D76142"/>
    <w:rsid w:val="00D811A0"/>
    <w:rsid w:val="00D8260F"/>
    <w:rsid w:val="00D8593D"/>
    <w:rsid w:val="00D867A6"/>
    <w:rsid w:val="00D86A46"/>
    <w:rsid w:val="00D91CD2"/>
    <w:rsid w:val="00D9298B"/>
    <w:rsid w:val="00D9354D"/>
    <w:rsid w:val="00D9479C"/>
    <w:rsid w:val="00D97AD0"/>
    <w:rsid w:val="00DA21AE"/>
    <w:rsid w:val="00DA3BF2"/>
    <w:rsid w:val="00DA40EC"/>
    <w:rsid w:val="00DA5BEE"/>
    <w:rsid w:val="00DA684C"/>
    <w:rsid w:val="00DA69EF"/>
    <w:rsid w:val="00DA6A39"/>
    <w:rsid w:val="00DB20EC"/>
    <w:rsid w:val="00DB27BA"/>
    <w:rsid w:val="00DB335B"/>
    <w:rsid w:val="00DB6EB4"/>
    <w:rsid w:val="00DC15D7"/>
    <w:rsid w:val="00DC3574"/>
    <w:rsid w:val="00DC6B10"/>
    <w:rsid w:val="00DD0167"/>
    <w:rsid w:val="00DD2D56"/>
    <w:rsid w:val="00DD5E11"/>
    <w:rsid w:val="00DD6446"/>
    <w:rsid w:val="00DD7064"/>
    <w:rsid w:val="00DD7EC0"/>
    <w:rsid w:val="00DE127C"/>
    <w:rsid w:val="00DE1C80"/>
    <w:rsid w:val="00DE39B1"/>
    <w:rsid w:val="00DE3AB7"/>
    <w:rsid w:val="00DF139B"/>
    <w:rsid w:val="00DF1F4E"/>
    <w:rsid w:val="00E02FED"/>
    <w:rsid w:val="00E069BA"/>
    <w:rsid w:val="00E072DB"/>
    <w:rsid w:val="00E118B8"/>
    <w:rsid w:val="00E148BD"/>
    <w:rsid w:val="00E171F1"/>
    <w:rsid w:val="00E2217D"/>
    <w:rsid w:val="00E24E29"/>
    <w:rsid w:val="00E27E8B"/>
    <w:rsid w:val="00E30AA9"/>
    <w:rsid w:val="00E341C1"/>
    <w:rsid w:val="00E352C0"/>
    <w:rsid w:val="00E35884"/>
    <w:rsid w:val="00E3655C"/>
    <w:rsid w:val="00E36882"/>
    <w:rsid w:val="00E37A3C"/>
    <w:rsid w:val="00E40CFA"/>
    <w:rsid w:val="00E438BF"/>
    <w:rsid w:val="00E60FC2"/>
    <w:rsid w:val="00E61565"/>
    <w:rsid w:val="00E61B46"/>
    <w:rsid w:val="00E62179"/>
    <w:rsid w:val="00E628E8"/>
    <w:rsid w:val="00E63679"/>
    <w:rsid w:val="00E64B4B"/>
    <w:rsid w:val="00E66904"/>
    <w:rsid w:val="00E726A2"/>
    <w:rsid w:val="00E7639A"/>
    <w:rsid w:val="00E772C7"/>
    <w:rsid w:val="00E80413"/>
    <w:rsid w:val="00E8295E"/>
    <w:rsid w:val="00E85814"/>
    <w:rsid w:val="00E85B7C"/>
    <w:rsid w:val="00E860CA"/>
    <w:rsid w:val="00E86387"/>
    <w:rsid w:val="00E87394"/>
    <w:rsid w:val="00E93BD3"/>
    <w:rsid w:val="00E93C73"/>
    <w:rsid w:val="00E95FCB"/>
    <w:rsid w:val="00E97A30"/>
    <w:rsid w:val="00EA3391"/>
    <w:rsid w:val="00EA4108"/>
    <w:rsid w:val="00EA4949"/>
    <w:rsid w:val="00EA6174"/>
    <w:rsid w:val="00EB0414"/>
    <w:rsid w:val="00EB076B"/>
    <w:rsid w:val="00EB29EE"/>
    <w:rsid w:val="00EB4CF7"/>
    <w:rsid w:val="00EB74BC"/>
    <w:rsid w:val="00EC0978"/>
    <w:rsid w:val="00EC386F"/>
    <w:rsid w:val="00EC473D"/>
    <w:rsid w:val="00EC5747"/>
    <w:rsid w:val="00EC6E4F"/>
    <w:rsid w:val="00ED051D"/>
    <w:rsid w:val="00ED0795"/>
    <w:rsid w:val="00ED4938"/>
    <w:rsid w:val="00ED5E69"/>
    <w:rsid w:val="00EE5233"/>
    <w:rsid w:val="00EF0BCE"/>
    <w:rsid w:val="00EF0C22"/>
    <w:rsid w:val="00EF1450"/>
    <w:rsid w:val="00EF1F8F"/>
    <w:rsid w:val="00EF6D6C"/>
    <w:rsid w:val="00F05C1B"/>
    <w:rsid w:val="00F06924"/>
    <w:rsid w:val="00F11D2D"/>
    <w:rsid w:val="00F1436F"/>
    <w:rsid w:val="00F152AE"/>
    <w:rsid w:val="00F1752E"/>
    <w:rsid w:val="00F21D4B"/>
    <w:rsid w:val="00F22518"/>
    <w:rsid w:val="00F22AE3"/>
    <w:rsid w:val="00F22EEA"/>
    <w:rsid w:val="00F23572"/>
    <w:rsid w:val="00F24822"/>
    <w:rsid w:val="00F2541F"/>
    <w:rsid w:val="00F30161"/>
    <w:rsid w:val="00F31701"/>
    <w:rsid w:val="00F32141"/>
    <w:rsid w:val="00F3480C"/>
    <w:rsid w:val="00F3650D"/>
    <w:rsid w:val="00F36F99"/>
    <w:rsid w:val="00F37EFA"/>
    <w:rsid w:val="00F42107"/>
    <w:rsid w:val="00F454BD"/>
    <w:rsid w:val="00F52A0B"/>
    <w:rsid w:val="00F539C3"/>
    <w:rsid w:val="00F54222"/>
    <w:rsid w:val="00F57115"/>
    <w:rsid w:val="00F57B64"/>
    <w:rsid w:val="00F61546"/>
    <w:rsid w:val="00F6331D"/>
    <w:rsid w:val="00F64355"/>
    <w:rsid w:val="00F677D8"/>
    <w:rsid w:val="00F72571"/>
    <w:rsid w:val="00F72A66"/>
    <w:rsid w:val="00F73369"/>
    <w:rsid w:val="00F73F86"/>
    <w:rsid w:val="00F75AE3"/>
    <w:rsid w:val="00F76852"/>
    <w:rsid w:val="00F864DE"/>
    <w:rsid w:val="00F8663D"/>
    <w:rsid w:val="00F86879"/>
    <w:rsid w:val="00F86DF0"/>
    <w:rsid w:val="00F87399"/>
    <w:rsid w:val="00F946C4"/>
    <w:rsid w:val="00F96083"/>
    <w:rsid w:val="00F96EC9"/>
    <w:rsid w:val="00FA3365"/>
    <w:rsid w:val="00FA773B"/>
    <w:rsid w:val="00FA7BC1"/>
    <w:rsid w:val="00FB121A"/>
    <w:rsid w:val="00FB2A46"/>
    <w:rsid w:val="00FB5349"/>
    <w:rsid w:val="00FB6414"/>
    <w:rsid w:val="00FC0D16"/>
    <w:rsid w:val="00FC122F"/>
    <w:rsid w:val="00FC6194"/>
    <w:rsid w:val="00FC6CD7"/>
    <w:rsid w:val="00FC77AD"/>
    <w:rsid w:val="00FC78B9"/>
    <w:rsid w:val="00FD07E7"/>
    <w:rsid w:val="00FD1117"/>
    <w:rsid w:val="00FD3074"/>
    <w:rsid w:val="00FD5648"/>
    <w:rsid w:val="00FD5ACD"/>
    <w:rsid w:val="00FD7083"/>
    <w:rsid w:val="00FE0DD6"/>
    <w:rsid w:val="00FF2454"/>
    <w:rsid w:val="00FF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2A39"/>
  <w15:docId w15:val="{1B09D5D6-804D-5842-9F83-8235D85B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Pr>
      <w:rFonts w:eastAsiaTheme="minorEastAsia"/>
    </w:rPr>
  </w:style>
  <w:style w:type="paragraph" w:styleId="Heading1">
    <w:name w:val="heading 1"/>
    <w:basedOn w:val="Normal"/>
    <w:next w:val="Normal"/>
    <w:link w:val="Heading1Char"/>
    <w:uiPriority w:val="9"/>
    <w:semiHidden/>
    <w:qFormat/>
    <w:pPr>
      <w:keepNext/>
      <w:keepLines/>
      <w:spacing w:before="240" w:after="0" w:line="240" w:lineRule="auto"/>
      <w:ind w:firstLine="720"/>
      <w:outlineLvl w:val="0"/>
    </w:pPr>
    <w:rPr>
      <w:rFonts w:ascii="Times New Roman" w:eastAsiaTheme="majorEastAsia" w:hAnsi="Times New Roman" w:cstheme="majorBidi"/>
      <w:sz w:val="32"/>
      <w:szCs w:val="32"/>
    </w:rPr>
  </w:style>
  <w:style w:type="paragraph" w:styleId="Heading2">
    <w:name w:val="heading 2"/>
    <w:basedOn w:val="Normal"/>
    <w:next w:val="Normal"/>
    <w:link w:val="Heading2Char"/>
    <w:uiPriority w:val="9"/>
    <w:semiHidden/>
    <w:qFormat/>
    <w:pPr>
      <w:keepNext/>
      <w:keepLines/>
      <w:spacing w:before="40" w:after="0" w:line="240" w:lineRule="auto"/>
      <w:ind w:firstLine="720"/>
      <w:outlineLvl w:val="1"/>
    </w:pPr>
    <w:rPr>
      <w:rFonts w:ascii="Times New Roman" w:eastAsiaTheme="majorEastAsia" w:hAnsi="Times New Roman" w:cstheme="majorBidi"/>
      <w:sz w:val="26"/>
      <w:szCs w:val="26"/>
    </w:rPr>
  </w:style>
  <w:style w:type="paragraph" w:styleId="Heading3">
    <w:name w:val="heading 3"/>
    <w:basedOn w:val="Normal"/>
    <w:next w:val="Normal"/>
    <w:link w:val="Heading3Char"/>
    <w:uiPriority w:val="9"/>
    <w:semiHidden/>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
    <w:basedOn w:val="text"/>
    <w:autoRedefine/>
    <w:uiPriority w:val="99"/>
    <w:semiHidden/>
    <w:pPr>
      <w:widowControl w:val="0"/>
      <w:autoSpaceDE w:val="0"/>
      <w:autoSpaceDN w:val="0"/>
      <w:adjustRightInd w:val="0"/>
      <w:spacing w:after="120"/>
      <w:jc w:val="both"/>
      <w:textAlignment w:val="center"/>
    </w:pPr>
    <w:rPr>
      <w:rFonts w:eastAsiaTheme="minorEastAsia" w:cs="ITC New Baskerville Std"/>
      <w:color w:val="000000"/>
      <w:szCs w:val="22"/>
    </w:rPr>
  </w:style>
  <w:style w:type="paragraph" w:customStyle="1" w:styleId="toc5a">
    <w:name w:val="toc 5(a)"/>
    <w:basedOn w:val="Normal"/>
    <w:autoRedefine/>
    <w:uiPriority w:val="99"/>
    <w:semiHidden/>
    <w:pPr>
      <w:tabs>
        <w:tab w:val="left" w:pos="2100"/>
        <w:tab w:val="left" w:leader="dot" w:pos="6240"/>
        <w:tab w:val="left" w:pos="6960"/>
      </w:tabs>
      <w:suppressAutoHyphens/>
      <w:autoSpaceDE w:val="0"/>
      <w:autoSpaceDN w:val="0"/>
      <w:adjustRightInd w:val="0"/>
      <w:spacing w:after="0" w:line="240" w:lineRule="atLeast"/>
      <w:ind w:left="2580" w:hanging="480"/>
      <w:textAlignment w:val="center"/>
    </w:pPr>
    <w:rPr>
      <w:rFonts w:ascii="Times New Roman" w:hAnsi="Times New Roman" w:cs="ITC New Baskerville Std"/>
      <w:color w:val="000000"/>
    </w:rPr>
  </w:style>
  <w:style w:type="paragraph" w:customStyle="1" w:styleId="1stlevelheadIrb">
    <w:name w:val="1st level head I._rb"/>
    <w:basedOn w:val="Normal"/>
    <w:autoRedefine/>
    <w:uiPriority w:val="99"/>
    <w:semiHidden/>
    <w:pPr>
      <w:keepNext/>
      <w:widowControl w:val="0"/>
      <w:suppressAutoHyphens/>
      <w:autoSpaceDE w:val="0"/>
      <w:autoSpaceDN w:val="0"/>
      <w:adjustRightInd w:val="0"/>
      <w:spacing w:before="360" w:after="240" w:line="240" w:lineRule="auto"/>
      <w:textAlignment w:val="center"/>
    </w:pPr>
    <w:rPr>
      <w:rFonts w:ascii="Times New Roman" w:hAnsi="Times New Roman" w:cs="Times LT Std"/>
      <w:b/>
      <w:bCs/>
      <w:color w:val="000000"/>
      <w:sz w:val="24"/>
      <w:szCs w:val="24"/>
    </w:rPr>
  </w:style>
  <w:style w:type="paragraph" w:customStyle="1" w:styleId="1stlevehead10ES">
    <w:name w:val="1st leve head 10. ES"/>
    <w:basedOn w:val="1stlevelheadIrb"/>
    <w:autoRedefine/>
    <w:semiHidden/>
    <w:qFormat/>
    <w:pPr>
      <w:tabs>
        <w:tab w:val="left" w:pos="960"/>
      </w:tabs>
      <w:ind w:left="960" w:hanging="960"/>
      <w:jc w:val="center"/>
    </w:pPr>
    <w:rPr>
      <w:rFonts w:cs="Times New Roman"/>
    </w:rPr>
  </w:style>
  <w:style w:type="paragraph" w:customStyle="1" w:styleId="1stlevelheadboldcentered">
    <w:name w:val="1st level head / bold centered"/>
    <w:basedOn w:val="Normal"/>
    <w:autoRedefine/>
    <w:uiPriority w:val="99"/>
    <w:semiHidden/>
    <w:pPr>
      <w:keepNext/>
      <w:widowControl w:val="0"/>
      <w:suppressAutoHyphens/>
      <w:autoSpaceDE w:val="0"/>
      <w:autoSpaceDN w:val="0"/>
      <w:adjustRightInd w:val="0"/>
      <w:spacing w:before="240" w:after="240" w:line="240" w:lineRule="auto"/>
      <w:jc w:val="center"/>
      <w:textAlignment w:val="center"/>
    </w:pPr>
    <w:rPr>
      <w:rFonts w:ascii="Times New Roman" w:hAnsi="Times New Roman" w:cs="ITC New Baskerville Std"/>
      <w:b/>
      <w:bCs/>
      <w:color w:val="000000"/>
      <w:sz w:val="24"/>
    </w:rPr>
  </w:style>
  <w:style w:type="paragraph" w:customStyle="1" w:styleId="1stLevelHeadI">
    <w:name w:val="1st Level Head I."/>
    <w:basedOn w:val="Normal"/>
    <w:autoRedefine/>
    <w:uiPriority w:val="99"/>
    <w:semiHidden/>
    <w:pPr>
      <w:keepNext/>
      <w:widowControl w:val="0"/>
      <w:suppressAutoHyphens/>
      <w:autoSpaceDE w:val="0"/>
      <w:autoSpaceDN w:val="0"/>
      <w:adjustRightInd w:val="0"/>
      <w:spacing w:before="360" w:after="240" w:line="240" w:lineRule="auto"/>
      <w:jc w:val="center"/>
      <w:textAlignment w:val="center"/>
    </w:pPr>
    <w:rPr>
      <w:rFonts w:ascii="Times New Roman Bold" w:hAnsi="Times New Roman Bold" w:cs="Times SC"/>
      <w:b/>
      <w:bCs/>
      <w:smallCaps/>
      <w:color w:val="000000"/>
      <w:sz w:val="24"/>
      <w:szCs w:val="24"/>
    </w:rPr>
  </w:style>
  <w:style w:type="paragraph" w:customStyle="1" w:styleId="1stlevelheadI0">
    <w:name w:val="1st level head I."/>
    <w:basedOn w:val="Normal"/>
    <w:autoRedefine/>
    <w:uiPriority w:val="99"/>
    <w:semiHidden/>
    <w:pPr>
      <w:keepNext/>
      <w:keepLines/>
      <w:widowControl w:val="0"/>
      <w:suppressAutoHyphens/>
      <w:autoSpaceDE w:val="0"/>
      <w:autoSpaceDN w:val="0"/>
      <w:adjustRightInd w:val="0"/>
      <w:spacing w:before="360" w:after="240" w:line="240" w:lineRule="auto"/>
      <w:jc w:val="center"/>
      <w:textAlignment w:val="center"/>
    </w:pPr>
    <w:rPr>
      <w:rFonts w:ascii="Times New Roman" w:hAnsi="Times New Roman" w:cs="ITC New Baskerville Std"/>
      <w:smallCaps/>
      <w:color w:val="000000"/>
      <w:sz w:val="24"/>
    </w:rPr>
  </w:style>
  <w:style w:type="paragraph" w:customStyle="1" w:styleId="1stlevelheadIb">
    <w:name w:val="1st level head I._b"/>
    <w:basedOn w:val="Normal"/>
    <w:autoRedefine/>
    <w:uiPriority w:val="99"/>
    <w:semiHidden/>
    <w:qFormat/>
    <w:pPr>
      <w:tabs>
        <w:tab w:val="left" w:pos="1200"/>
      </w:tabs>
      <w:spacing w:before="360" w:after="240" w:line="240" w:lineRule="auto"/>
    </w:pPr>
    <w:rPr>
      <w:rFonts w:ascii="Times New Roman Bold" w:hAnsi="Times New Roman Bold"/>
      <w:b/>
      <w:sz w:val="24"/>
    </w:rPr>
  </w:style>
  <w:style w:type="paragraph" w:customStyle="1" w:styleId="1stlevelheadIbfl">
    <w:name w:val="1st level head I._b_fl"/>
    <w:basedOn w:val="1stlevelheadIb"/>
    <w:autoRedefine/>
    <w:semiHidden/>
    <w:qFormat/>
    <w:rPr>
      <w:rFonts w:cs="Times New Roman"/>
      <w:smallCaps/>
    </w:rPr>
  </w:style>
  <w:style w:type="paragraph" w:customStyle="1" w:styleId="1stlevelheadIr">
    <w:name w:val="1st level head I._r"/>
    <w:basedOn w:val="1stlevelheadIb"/>
    <w:autoRedefine/>
    <w:uiPriority w:val="99"/>
    <w:semiHidden/>
    <w:qFormat/>
    <w:pPr>
      <w:spacing w:after="360"/>
      <w:jc w:val="center"/>
    </w:pPr>
    <w:rPr>
      <w:rFonts w:ascii="Times New Roman" w:hAnsi="Times New Roman"/>
      <w:b w:val="0"/>
      <w:smallCaps/>
    </w:rPr>
  </w:style>
  <w:style w:type="paragraph" w:customStyle="1" w:styleId="1stlevelheadIr0">
    <w:name w:val="1st level head_I._r"/>
    <w:basedOn w:val="Normal"/>
    <w:autoRedefine/>
    <w:uiPriority w:val="99"/>
    <w:semiHidden/>
    <w:pPr>
      <w:widowControl w:val="0"/>
      <w:autoSpaceDE w:val="0"/>
      <w:autoSpaceDN w:val="0"/>
      <w:adjustRightInd w:val="0"/>
      <w:spacing w:before="480" w:after="360" w:line="240" w:lineRule="auto"/>
      <w:jc w:val="center"/>
      <w:textAlignment w:val="center"/>
    </w:pPr>
    <w:rPr>
      <w:rFonts w:ascii="Times New Roman" w:hAnsi="Times New Roman" w:cs="ITC New Baskerville Std"/>
      <w:smallCaps/>
      <w:color w:val="000000"/>
      <w:sz w:val="25"/>
      <w:szCs w:val="25"/>
    </w:rPr>
  </w:style>
  <w:style w:type="paragraph" w:customStyle="1" w:styleId="1stlevelRomanhead11pt">
    <w:name w:val="1st level_Roman head 11 pt."/>
    <w:basedOn w:val="Normal"/>
    <w:autoRedefine/>
    <w:uiPriority w:val="99"/>
    <w:semiHidden/>
    <w:pPr>
      <w:keepNext/>
      <w:widowControl w:val="0"/>
      <w:suppressAutoHyphens/>
      <w:autoSpaceDE w:val="0"/>
      <w:autoSpaceDN w:val="0"/>
      <w:adjustRightInd w:val="0"/>
      <w:spacing w:before="240" w:after="240" w:line="240" w:lineRule="auto"/>
      <w:jc w:val="center"/>
      <w:textAlignment w:val="center"/>
    </w:pPr>
    <w:rPr>
      <w:rFonts w:ascii="Times New Roman" w:hAnsi="Times New Roman" w:cs="ITC New Baskerville Std"/>
      <w:smallCaps/>
      <w:color w:val="000000"/>
      <w:sz w:val="24"/>
    </w:rPr>
  </w:style>
  <w:style w:type="paragraph" w:customStyle="1" w:styleId="2ndlevelheadbolditaliccentered">
    <w:name w:val="2nd level head / bold italic centered"/>
    <w:basedOn w:val="Normal"/>
    <w:autoRedefine/>
    <w:uiPriority w:val="99"/>
    <w:semiHidden/>
    <w:pPr>
      <w:keepNext/>
      <w:widowControl w:val="0"/>
      <w:suppressAutoHyphens/>
      <w:autoSpaceDE w:val="0"/>
      <w:autoSpaceDN w:val="0"/>
      <w:adjustRightInd w:val="0"/>
      <w:spacing w:before="240" w:after="240" w:line="240" w:lineRule="auto"/>
      <w:jc w:val="center"/>
      <w:textAlignment w:val="center"/>
    </w:pPr>
    <w:rPr>
      <w:rFonts w:ascii="Times New Roman" w:hAnsi="Times New Roman" w:cs="ITC New Baskerville Std"/>
      <w:b/>
      <w:bCs/>
      <w:i/>
      <w:iCs/>
      <w:color w:val="000000"/>
      <w:sz w:val="24"/>
    </w:rPr>
  </w:style>
  <w:style w:type="paragraph" w:customStyle="1" w:styleId="2ndLevelHeadA">
    <w:name w:val="2nd Level Head A."/>
    <w:basedOn w:val="Normal"/>
    <w:autoRedefine/>
    <w:uiPriority w:val="99"/>
    <w:semiHidden/>
    <w:pPr>
      <w:keepNext/>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Times LT Std"/>
      <w:b/>
      <w:bCs/>
      <w:color w:val="000000"/>
      <w:sz w:val="24"/>
    </w:rPr>
  </w:style>
  <w:style w:type="paragraph" w:customStyle="1" w:styleId="2ndlevelheadAb">
    <w:name w:val="2nd level head A._b"/>
    <w:basedOn w:val="Normal"/>
    <w:autoRedefine/>
    <w:uiPriority w:val="99"/>
    <w:semiHidden/>
    <w:qFormat/>
    <w:pPr>
      <w:spacing w:before="240" w:after="240" w:line="240" w:lineRule="auto"/>
      <w:ind w:left="360"/>
    </w:pPr>
    <w:rPr>
      <w:rFonts w:ascii="Times New Roman Bold" w:hAnsi="Times New Roman Bold"/>
      <w:b/>
      <w:sz w:val="24"/>
    </w:rPr>
  </w:style>
  <w:style w:type="paragraph" w:customStyle="1" w:styleId="2ndlevelheadAbi">
    <w:name w:val="2nd level head A._bi"/>
    <w:basedOn w:val="2ndlevelheadAb"/>
    <w:semiHidden/>
    <w:qFormat/>
    <w:rPr>
      <w:i/>
    </w:rPr>
  </w:style>
  <w:style w:type="paragraph" w:customStyle="1" w:styleId="2ndlevelheadBb">
    <w:name w:val="2nd level head B._b"/>
    <w:basedOn w:val="Normal"/>
    <w:autoRedefine/>
    <w:uiPriority w:val="99"/>
    <w:semiHidden/>
    <w:pPr>
      <w:keepNext/>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NewCenturySchlbk"/>
      <w:b/>
      <w:bCs/>
      <w:color w:val="000000"/>
      <w:sz w:val="24"/>
    </w:rPr>
  </w:style>
  <w:style w:type="paragraph" w:customStyle="1" w:styleId="2ndlevelheadBbi">
    <w:name w:val="2nd level head B._bi"/>
    <w:basedOn w:val="Normal"/>
    <w:autoRedefine/>
    <w:uiPriority w:val="99"/>
    <w:semiHidden/>
    <w:pPr>
      <w:widowControl w:val="0"/>
      <w:tabs>
        <w:tab w:val="left" w:pos="360"/>
      </w:tabs>
      <w:suppressAutoHyphens/>
      <w:autoSpaceDE w:val="0"/>
      <w:autoSpaceDN w:val="0"/>
      <w:adjustRightInd w:val="0"/>
      <w:spacing w:before="480" w:after="360" w:line="240" w:lineRule="auto"/>
      <w:ind w:left="360" w:hanging="360"/>
      <w:textAlignment w:val="center"/>
    </w:pPr>
    <w:rPr>
      <w:rFonts w:ascii="Times New Roman" w:hAnsi="Times New Roman" w:cs="Times LT Std"/>
      <w:b/>
      <w:bCs/>
      <w:i/>
      <w:iCs/>
      <w:color w:val="000000"/>
      <w:sz w:val="24"/>
    </w:rPr>
  </w:style>
  <w:style w:type="paragraph" w:customStyle="1" w:styleId="2ndlevelheadnospace">
    <w:name w:val="2nd level head no space"/>
    <w:basedOn w:val="2ndlevelheadAb"/>
    <w:autoRedefine/>
    <w:uiPriority w:val="99"/>
    <w:semiHidden/>
    <w:pPr>
      <w:keepNext/>
      <w:widowControl w:val="0"/>
      <w:suppressAutoHyphens/>
      <w:autoSpaceDE w:val="0"/>
      <w:autoSpaceDN w:val="0"/>
      <w:adjustRightInd w:val="0"/>
      <w:spacing w:before="0"/>
      <w:textAlignment w:val="center"/>
    </w:pPr>
    <w:rPr>
      <w:rFonts w:ascii="Times New Roman" w:hAnsi="Times New Roman" w:cs="ITC New Baskerville Std"/>
      <w:bCs/>
      <w:color w:val="000000"/>
    </w:rPr>
  </w:style>
  <w:style w:type="paragraph" w:customStyle="1" w:styleId="2ndlevelheadnospaceb">
    <w:name w:val="2nd level head no space_b"/>
    <w:basedOn w:val="2ndlevelheadAb"/>
    <w:autoRedefine/>
    <w:uiPriority w:val="99"/>
    <w:semiHidden/>
    <w:pPr>
      <w:widowControl w:val="0"/>
      <w:autoSpaceDE w:val="0"/>
      <w:autoSpaceDN w:val="0"/>
      <w:adjustRightInd w:val="0"/>
      <w:spacing w:before="0"/>
      <w:textAlignment w:val="center"/>
    </w:pPr>
    <w:rPr>
      <w:rFonts w:ascii="Times New Roman" w:hAnsi="Times New Roman" w:cs="Times LT Std"/>
      <w:bCs/>
      <w:color w:val="000000"/>
    </w:rPr>
  </w:style>
  <w:style w:type="paragraph" w:customStyle="1" w:styleId="2ndlevelheadAbi0">
    <w:name w:val="2nd level headA._bi"/>
    <w:basedOn w:val="2ndlevelheadAb"/>
    <w:semiHidden/>
    <w:qFormat/>
    <w:rPr>
      <w:i/>
    </w:rPr>
  </w:style>
  <w:style w:type="paragraph" w:customStyle="1" w:styleId="2ndlevelheadnospacebi">
    <w:name w:val="2nd level head no space_bi"/>
    <w:basedOn w:val="2ndlevelheadAbi0"/>
    <w:semiHidden/>
    <w:qFormat/>
  </w:style>
  <w:style w:type="paragraph" w:customStyle="1" w:styleId="2ndlevelheadnospace-b">
    <w:name w:val="2nd level head no space-b"/>
    <w:basedOn w:val="2ndlevelheadBb"/>
    <w:autoRedefine/>
    <w:uiPriority w:val="99"/>
    <w:semiHidden/>
    <w:pPr>
      <w:spacing w:before="0"/>
    </w:pPr>
  </w:style>
  <w:style w:type="paragraph" w:customStyle="1" w:styleId="2ndlevelheadAb0">
    <w:name w:val="2nd level head_A._b"/>
    <w:basedOn w:val="Normal"/>
    <w:autoRedefine/>
    <w:uiPriority w:val="99"/>
    <w:semiHidden/>
    <w:pPr>
      <w:widowControl w:val="0"/>
      <w:tabs>
        <w:tab w:val="left" w:pos="340"/>
      </w:tabs>
      <w:autoSpaceDE w:val="0"/>
      <w:autoSpaceDN w:val="0"/>
      <w:adjustRightInd w:val="0"/>
      <w:spacing w:before="360" w:after="240" w:line="240" w:lineRule="auto"/>
      <w:ind w:left="360" w:hanging="360"/>
      <w:textAlignment w:val="center"/>
    </w:pPr>
    <w:rPr>
      <w:rFonts w:ascii="Times New Roman" w:hAnsi="Times New Roman" w:cs="ITC New Baskerville Std"/>
      <w:b/>
      <w:bCs/>
      <w:color w:val="000000"/>
      <w:sz w:val="24"/>
      <w:szCs w:val="24"/>
    </w:rPr>
  </w:style>
  <w:style w:type="paragraph" w:customStyle="1" w:styleId="2ndlevelheadAbi1">
    <w:name w:val="2nd level head_A._bi"/>
    <w:basedOn w:val="Normal"/>
    <w:autoRedefine/>
    <w:uiPriority w:val="99"/>
    <w:semiHidden/>
    <w:qFormat/>
    <w:pPr>
      <w:keepNext/>
      <w:widowControl w:val="0"/>
      <w:tabs>
        <w:tab w:val="left" w:pos="360"/>
      </w:tabs>
      <w:suppressAutoHyphens/>
      <w:autoSpaceDE w:val="0"/>
      <w:autoSpaceDN w:val="0"/>
      <w:adjustRightInd w:val="0"/>
      <w:spacing w:before="360" w:after="240" w:line="240" w:lineRule="auto"/>
      <w:ind w:left="360" w:hanging="360"/>
      <w:textAlignment w:val="center"/>
    </w:pPr>
    <w:rPr>
      <w:rFonts w:ascii="Times New Roman" w:hAnsi="Times New Roman" w:cs="ITC New Baskerville Std"/>
      <w:b/>
      <w:bCs/>
      <w:i/>
      <w:iCs/>
      <w:color w:val="000000"/>
      <w:sz w:val="24"/>
      <w:szCs w:val="24"/>
    </w:rPr>
  </w:style>
  <w:style w:type="paragraph" w:customStyle="1" w:styleId="3rdLevelHead1">
    <w:name w:val="3rd Level Head 1."/>
    <w:basedOn w:val="Normal"/>
    <w:autoRedefine/>
    <w:uiPriority w:val="99"/>
    <w:semiHidden/>
    <w:pPr>
      <w:keepNext/>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ITC New Baskerville Std"/>
      <w:i/>
      <w:iCs/>
      <w:color w:val="000000"/>
      <w:sz w:val="24"/>
    </w:rPr>
  </w:style>
  <w:style w:type="paragraph" w:customStyle="1" w:styleId="3rdlevelhead10">
    <w:name w:val="3rd level head 1."/>
    <w:basedOn w:val="Normal"/>
    <w:autoRedefine/>
    <w:uiPriority w:val="99"/>
    <w:semiHidden/>
    <w:pPr>
      <w:keepNext/>
      <w:widowControl w:val="0"/>
      <w:tabs>
        <w:tab w:val="left" w:pos="360"/>
      </w:tabs>
      <w:suppressAutoHyphens/>
      <w:autoSpaceDE w:val="0"/>
      <w:autoSpaceDN w:val="0"/>
      <w:adjustRightInd w:val="0"/>
      <w:spacing w:before="240" w:after="0" w:line="480" w:lineRule="auto"/>
      <w:ind w:left="360" w:hanging="360"/>
      <w:textAlignment w:val="center"/>
    </w:pPr>
    <w:rPr>
      <w:rFonts w:ascii="Times New Roman" w:eastAsia="Times New Roman" w:hAnsi="Times New Roman" w:cs="ITC New Baskerville Std"/>
      <w:b/>
      <w:bCs/>
      <w:i/>
      <w:iCs/>
      <w:color w:val="000000"/>
      <w:sz w:val="24"/>
    </w:rPr>
  </w:style>
  <w:style w:type="paragraph" w:customStyle="1" w:styleId="3rdlevelhead1i">
    <w:name w:val="3rd level head 1._i"/>
    <w:basedOn w:val="Normal"/>
    <w:autoRedefine/>
    <w:uiPriority w:val="99"/>
    <w:semiHidden/>
    <w:qFormat/>
    <w:pPr>
      <w:tabs>
        <w:tab w:val="left" w:pos="360"/>
      </w:tabs>
      <w:spacing w:before="240" w:after="240" w:line="240" w:lineRule="auto"/>
      <w:ind w:left="360" w:hanging="360"/>
    </w:pPr>
    <w:rPr>
      <w:rFonts w:ascii="Times New Roman" w:hAnsi="Times New Roman"/>
      <w:i/>
      <w:sz w:val="24"/>
    </w:rPr>
  </w:style>
  <w:style w:type="paragraph" w:customStyle="1" w:styleId="3rdlevelhead1bi">
    <w:name w:val="3rd level head 1._bi"/>
    <w:basedOn w:val="3rdlevelhead1i"/>
    <w:semiHidden/>
    <w:qFormat/>
    <w:rPr>
      <w:b/>
    </w:rPr>
  </w:style>
  <w:style w:type="paragraph" w:customStyle="1" w:styleId="3rdlevelhead10bi">
    <w:name w:val="3rd level head 10._bi"/>
    <w:basedOn w:val="3rdlevelhead1bi"/>
    <w:autoRedefine/>
    <w:uiPriority w:val="99"/>
    <w:semiHidden/>
    <w:pPr>
      <w:keepNext/>
      <w:widowControl w:val="0"/>
      <w:tabs>
        <w:tab w:val="clear" w:pos="360"/>
        <w:tab w:val="left" w:pos="480"/>
      </w:tabs>
      <w:suppressAutoHyphens/>
      <w:autoSpaceDE w:val="0"/>
      <w:autoSpaceDN w:val="0"/>
      <w:adjustRightInd w:val="0"/>
      <w:ind w:left="480" w:hanging="480"/>
      <w:textAlignment w:val="center"/>
    </w:pPr>
    <w:rPr>
      <w:rFonts w:cs="NewCenturySchlbk"/>
      <w:bCs/>
      <w:iCs/>
      <w:color w:val="000000"/>
    </w:rPr>
  </w:style>
  <w:style w:type="paragraph" w:customStyle="1" w:styleId="3rdlevelhead3i">
    <w:name w:val="3rd level head 3._i"/>
    <w:basedOn w:val="Normal"/>
    <w:autoRedefine/>
    <w:uiPriority w:val="99"/>
    <w:semiHidden/>
    <w:pPr>
      <w:widowControl w:val="0"/>
      <w:tabs>
        <w:tab w:val="left" w:pos="920"/>
      </w:tabs>
      <w:suppressAutoHyphens/>
      <w:autoSpaceDE w:val="0"/>
      <w:autoSpaceDN w:val="0"/>
      <w:adjustRightInd w:val="0"/>
      <w:spacing w:before="240" w:after="120" w:line="240" w:lineRule="auto"/>
      <w:ind w:left="919" w:hanging="480"/>
      <w:textAlignment w:val="center"/>
    </w:pPr>
    <w:rPr>
      <w:rFonts w:ascii="Times New Roman" w:hAnsi="Times New Roman" w:cs="NewCenturySchlbk"/>
      <w:i/>
      <w:iCs/>
      <w:color w:val="000000"/>
      <w:sz w:val="24"/>
    </w:rPr>
  </w:style>
  <w:style w:type="paragraph" w:customStyle="1" w:styleId="3rdLevelHeadfrom2">
    <w:name w:val="3rd Level Head from 2"/>
    <w:basedOn w:val="3rdLevelHead1"/>
    <w:autoRedefine/>
    <w:uiPriority w:val="99"/>
    <w:semiHidden/>
    <w:pPr>
      <w:spacing w:before="0"/>
    </w:pPr>
    <w:rPr>
      <w:rFonts w:cs="Times LT Std"/>
    </w:rPr>
  </w:style>
  <w:style w:type="paragraph" w:customStyle="1" w:styleId="3rdlevelheadheadnospacei">
    <w:name w:val="3rd level head head no space_i"/>
    <w:basedOn w:val="3rdlevelhead1i"/>
    <w:autoRedefine/>
    <w:uiPriority w:val="99"/>
    <w:semiHidden/>
    <w:pPr>
      <w:widowControl w:val="0"/>
      <w:autoSpaceDE w:val="0"/>
      <w:autoSpaceDN w:val="0"/>
      <w:adjustRightInd w:val="0"/>
      <w:spacing w:before="0"/>
      <w:textAlignment w:val="center"/>
    </w:pPr>
    <w:rPr>
      <w:rFonts w:cs="Times LT Std"/>
      <w:color w:val="000000"/>
    </w:rPr>
  </w:style>
  <w:style w:type="paragraph" w:customStyle="1" w:styleId="3rdlevelheadibi">
    <w:name w:val="3rd level head i._bi"/>
    <w:basedOn w:val="Normal"/>
    <w:autoRedefine/>
    <w:uiPriority w:val="99"/>
    <w:semiHidden/>
    <w:pPr>
      <w:keepNext/>
      <w:widowControl w:val="0"/>
      <w:tabs>
        <w:tab w:val="left" w:pos="360"/>
      </w:tabs>
      <w:suppressAutoHyphens/>
      <w:autoSpaceDE w:val="0"/>
      <w:autoSpaceDN w:val="0"/>
      <w:adjustRightInd w:val="0"/>
      <w:spacing w:before="240" w:after="240" w:line="240" w:lineRule="atLeast"/>
      <w:ind w:left="360" w:hanging="360"/>
      <w:textAlignment w:val="center"/>
    </w:pPr>
    <w:rPr>
      <w:rFonts w:ascii="Times New Roman" w:hAnsi="Times New Roman" w:cs="NewCenturySchlbk"/>
      <w:b/>
      <w:bCs/>
      <w:i/>
      <w:iCs/>
      <w:color w:val="000000"/>
      <w:sz w:val="24"/>
    </w:rPr>
  </w:style>
  <w:style w:type="paragraph" w:customStyle="1" w:styleId="3rdlevelheadnospace">
    <w:name w:val="3rd level head no space"/>
    <w:basedOn w:val="3rdlevelhead1bi"/>
    <w:autoRedefine/>
    <w:uiPriority w:val="99"/>
    <w:semiHidden/>
    <w:pPr>
      <w:keepNext/>
      <w:widowControl w:val="0"/>
      <w:suppressAutoHyphens/>
      <w:autoSpaceDE w:val="0"/>
      <w:autoSpaceDN w:val="0"/>
      <w:adjustRightInd w:val="0"/>
      <w:spacing w:before="0"/>
      <w:textAlignment w:val="center"/>
    </w:pPr>
    <w:rPr>
      <w:rFonts w:cs="ITC New Baskerville Std"/>
      <w:bCs/>
      <w:iCs/>
      <w:color w:val="000000"/>
    </w:rPr>
  </w:style>
  <w:style w:type="paragraph" w:customStyle="1" w:styleId="3rdlevelheadnospacebi">
    <w:name w:val="3rd level head no space_bi"/>
    <w:basedOn w:val="3rdlevelhead1bi"/>
    <w:autoRedefine/>
    <w:uiPriority w:val="99"/>
    <w:semiHidden/>
    <w:qFormat/>
    <w:pPr>
      <w:spacing w:before="0"/>
    </w:pPr>
  </w:style>
  <w:style w:type="paragraph" w:customStyle="1" w:styleId="3rdlevelheadnospacei">
    <w:name w:val="3rd level head no space_i"/>
    <w:basedOn w:val="3rdlevelhead1i"/>
    <w:autoRedefine/>
    <w:uiPriority w:val="99"/>
    <w:semiHidden/>
    <w:qFormat/>
    <w:pPr>
      <w:spacing w:before="0"/>
      <w:ind w:left="799"/>
    </w:pPr>
  </w:style>
  <w:style w:type="paragraph" w:customStyle="1" w:styleId="3rdlevelhead1bi0">
    <w:name w:val="3rd level head_1._bi"/>
    <w:basedOn w:val="Normal"/>
    <w:autoRedefine/>
    <w:uiPriority w:val="99"/>
    <w:semiHidden/>
    <w:pPr>
      <w:widowControl w:val="0"/>
      <w:tabs>
        <w:tab w:val="left" w:pos="360"/>
      </w:tabs>
      <w:autoSpaceDE w:val="0"/>
      <w:autoSpaceDN w:val="0"/>
      <w:adjustRightInd w:val="0"/>
      <w:spacing w:before="240" w:after="240" w:line="260" w:lineRule="atLeast"/>
      <w:ind w:left="360" w:hanging="360"/>
      <w:textAlignment w:val="center"/>
    </w:pPr>
    <w:rPr>
      <w:rFonts w:ascii="Times New Roman" w:hAnsi="Times New Roman" w:cs="ITC New Baskerville Std"/>
      <w:b/>
      <w:bCs/>
      <w:i/>
      <w:iCs/>
      <w:color w:val="000000"/>
      <w:sz w:val="24"/>
      <w:szCs w:val="24"/>
    </w:rPr>
  </w:style>
  <w:style w:type="paragraph" w:customStyle="1" w:styleId="3rdlevellevel1bi">
    <w:name w:val="3rd level level 1._bi"/>
    <w:basedOn w:val="Normal"/>
    <w:autoRedefine/>
    <w:uiPriority w:val="99"/>
    <w:semiHidden/>
    <w:qFormat/>
    <w:pPr>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ITC New Baskerville Std"/>
      <w:b/>
      <w:bCs/>
      <w:i/>
      <w:iCs/>
      <w:color w:val="000000"/>
      <w:sz w:val="24"/>
      <w:szCs w:val="24"/>
    </w:rPr>
  </w:style>
  <w:style w:type="paragraph" w:customStyle="1" w:styleId="4thHeadfrom3">
    <w:name w:val="4th Head from 3"/>
    <w:basedOn w:val="Normal"/>
    <w:autoRedefine/>
    <w:uiPriority w:val="99"/>
    <w:semiHidden/>
    <w:pPr>
      <w:keepNext/>
      <w:widowControl w:val="0"/>
      <w:tabs>
        <w:tab w:val="left" w:pos="800"/>
      </w:tabs>
      <w:suppressAutoHyphens/>
      <w:autoSpaceDE w:val="0"/>
      <w:autoSpaceDN w:val="0"/>
      <w:adjustRightInd w:val="0"/>
      <w:spacing w:after="240" w:line="240" w:lineRule="auto"/>
      <w:ind w:left="799" w:hanging="360"/>
      <w:textAlignment w:val="center"/>
    </w:pPr>
    <w:rPr>
      <w:rFonts w:ascii="Times New Roman" w:hAnsi="Times New Roman" w:cs="Times LT Std"/>
      <w:i/>
      <w:iCs/>
      <w:color w:val="000000"/>
      <w:sz w:val="24"/>
    </w:rPr>
  </w:style>
  <w:style w:type="paragraph" w:customStyle="1" w:styleId="4thLevelHead">
    <w:name w:val="4th Level Head"/>
    <w:basedOn w:val="Normal"/>
    <w:autoRedefine/>
    <w:uiPriority w:val="99"/>
    <w:semiHidden/>
    <w:qFormat/>
    <w:pPr>
      <w:keepNext/>
      <w:widowControl w:val="0"/>
      <w:tabs>
        <w:tab w:val="left" w:pos="800"/>
      </w:tabs>
      <w:suppressAutoHyphens/>
      <w:autoSpaceDE w:val="0"/>
      <w:autoSpaceDN w:val="0"/>
      <w:adjustRightInd w:val="0"/>
      <w:spacing w:before="240" w:after="240" w:line="240" w:lineRule="auto"/>
      <w:ind w:left="799" w:hanging="360"/>
      <w:contextualSpacing/>
      <w:textAlignment w:val="center"/>
    </w:pPr>
    <w:rPr>
      <w:rFonts w:ascii="Times New Roman" w:hAnsi="Times New Roman" w:cs="Times LT Std"/>
      <w:i/>
      <w:iCs/>
      <w:color w:val="000000"/>
      <w:sz w:val="24"/>
    </w:rPr>
  </w:style>
  <w:style w:type="paragraph" w:customStyle="1" w:styleId="4thLevelHeada">
    <w:name w:val="4th Level Head a."/>
    <w:basedOn w:val="Normal"/>
    <w:autoRedefine/>
    <w:uiPriority w:val="99"/>
    <w:semiHidden/>
    <w:pPr>
      <w:keepNext/>
      <w:widowControl w:val="0"/>
      <w:tabs>
        <w:tab w:val="left" w:pos="800"/>
      </w:tabs>
      <w:suppressAutoHyphens/>
      <w:autoSpaceDE w:val="0"/>
      <w:autoSpaceDN w:val="0"/>
      <w:adjustRightInd w:val="0"/>
      <w:spacing w:before="240" w:after="240" w:line="240" w:lineRule="auto"/>
      <w:ind w:left="799" w:hanging="360"/>
      <w:textAlignment w:val="center"/>
    </w:pPr>
    <w:rPr>
      <w:rFonts w:ascii="Times New Roman" w:hAnsi="Times New Roman" w:cs="Times LT Std"/>
      <w:i/>
      <w:iCs/>
      <w:color w:val="000000"/>
      <w:sz w:val="24"/>
    </w:rPr>
  </w:style>
  <w:style w:type="paragraph" w:customStyle="1" w:styleId="4thlevelheadai">
    <w:name w:val="4th level head a._i"/>
    <w:basedOn w:val="Normal"/>
    <w:autoRedefine/>
    <w:uiPriority w:val="99"/>
    <w:semiHidden/>
    <w:qFormat/>
    <w:pPr>
      <w:tabs>
        <w:tab w:val="left" w:pos="720"/>
      </w:tabs>
      <w:spacing w:before="240" w:after="240" w:line="240" w:lineRule="auto"/>
      <w:ind w:left="720" w:hanging="360"/>
    </w:pPr>
    <w:rPr>
      <w:rFonts w:ascii="Times New Roman" w:hAnsi="Times New Roman"/>
      <w:i/>
      <w:sz w:val="24"/>
    </w:rPr>
  </w:style>
  <w:style w:type="paragraph" w:customStyle="1" w:styleId="4thlevelheadab">
    <w:name w:val="4th level head a._b"/>
    <w:basedOn w:val="4thlevelheadai"/>
    <w:autoRedefine/>
    <w:uiPriority w:val="99"/>
    <w:semiHidden/>
    <w:qFormat/>
    <w:rPr>
      <w:rFonts w:ascii="Times New Roman Bold" w:hAnsi="Times New Roman Bold"/>
      <w:b/>
      <w:i w:val="0"/>
    </w:rPr>
  </w:style>
  <w:style w:type="paragraph" w:customStyle="1" w:styleId="4thlevelheadascb">
    <w:name w:val="4th level head a._scb"/>
    <w:basedOn w:val="4thlevelheadab"/>
    <w:autoRedefine/>
    <w:semiHidden/>
    <w:qFormat/>
    <w:rPr>
      <w:rFonts w:cs="Times New Roman"/>
      <w:smallCaps/>
    </w:rPr>
  </w:style>
  <w:style w:type="paragraph" w:customStyle="1" w:styleId="4thlevelheadabsc">
    <w:name w:val="4th level head a_bsc"/>
    <w:basedOn w:val="4thlevelheadab"/>
    <w:autoRedefine/>
    <w:semiHidden/>
    <w:qFormat/>
    <w:rPr>
      <w:rFonts w:cs="Times New Roman"/>
      <w:smallCaps/>
    </w:rPr>
  </w:style>
  <w:style w:type="paragraph" w:customStyle="1" w:styleId="4thlevelheadnospace">
    <w:name w:val="4th level head no space"/>
    <w:basedOn w:val="4thlevelheadai"/>
    <w:autoRedefine/>
    <w:uiPriority w:val="99"/>
    <w:semiHidden/>
    <w:pPr>
      <w:keepNext/>
      <w:widowControl w:val="0"/>
      <w:tabs>
        <w:tab w:val="clear" w:pos="720"/>
        <w:tab w:val="left" w:pos="740"/>
      </w:tabs>
      <w:suppressAutoHyphens/>
      <w:autoSpaceDE w:val="0"/>
      <w:autoSpaceDN w:val="0"/>
      <w:adjustRightInd w:val="0"/>
      <w:spacing w:before="0"/>
      <w:ind w:left="701"/>
      <w:textAlignment w:val="center"/>
    </w:pPr>
    <w:rPr>
      <w:rFonts w:cs="ITC New Baskerville Std"/>
      <w:iCs/>
      <w:color w:val="000000"/>
    </w:rPr>
  </w:style>
  <w:style w:type="paragraph" w:customStyle="1" w:styleId="4thlevelheadnospaceb">
    <w:name w:val="4th level head no space_b"/>
    <w:basedOn w:val="4thlevelheadab"/>
    <w:autoRedefine/>
    <w:uiPriority w:val="99"/>
    <w:semiHidden/>
    <w:qFormat/>
    <w:pPr>
      <w:spacing w:before="0"/>
    </w:pPr>
  </w:style>
  <w:style w:type="paragraph" w:customStyle="1" w:styleId="4thlevelheadnospacei">
    <w:name w:val="4th level head no space_i"/>
    <w:basedOn w:val="4thlevelheadai"/>
    <w:autoRedefine/>
    <w:uiPriority w:val="99"/>
    <w:semiHidden/>
    <w:qFormat/>
    <w:pPr>
      <w:spacing w:before="0"/>
    </w:pPr>
  </w:style>
  <w:style w:type="paragraph" w:customStyle="1" w:styleId="4thlevelheadai0">
    <w:name w:val="4th level head_a._i"/>
    <w:basedOn w:val="Normal"/>
    <w:autoRedefine/>
    <w:uiPriority w:val="99"/>
    <w:semiHidden/>
    <w:qFormat/>
    <w:pPr>
      <w:widowControl w:val="0"/>
      <w:tabs>
        <w:tab w:val="left" w:pos="780"/>
      </w:tabs>
      <w:autoSpaceDE w:val="0"/>
      <w:autoSpaceDN w:val="0"/>
      <w:adjustRightInd w:val="0"/>
      <w:spacing w:before="240" w:after="240" w:line="240" w:lineRule="auto"/>
      <w:ind w:left="780" w:hanging="300"/>
      <w:textAlignment w:val="center"/>
    </w:pPr>
    <w:rPr>
      <w:rFonts w:ascii="Times New Roman" w:hAnsi="Times New Roman" w:cs="ITC New Baskerville Std"/>
      <w:i/>
      <w:iCs/>
      <w:color w:val="000000"/>
      <w:sz w:val="24"/>
      <w:szCs w:val="24"/>
    </w:rPr>
  </w:style>
  <w:style w:type="paragraph" w:customStyle="1" w:styleId="5hlevelhead1i">
    <w:name w:val="5h level head (1)_i"/>
    <w:basedOn w:val="4thlevelheadnospacei"/>
    <w:autoRedefine/>
    <w:uiPriority w:val="99"/>
    <w:semiHidden/>
    <w:pPr>
      <w:keepNext/>
      <w:widowControl w:val="0"/>
      <w:tabs>
        <w:tab w:val="clear" w:pos="720"/>
        <w:tab w:val="left" w:pos="360"/>
      </w:tabs>
      <w:suppressAutoHyphens/>
      <w:autoSpaceDE w:val="0"/>
      <w:autoSpaceDN w:val="0"/>
      <w:adjustRightInd w:val="0"/>
      <w:spacing w:before="240"/>
      <w:ind w:left="919" w:hanging="480"/>
      <w:textAlignment w:val="center"/>
    </w:pPr>
    <w:rPr>
      <w:rFonts w:cs="NewCenturySchlbk"/>
      <w:iCs/>
      <w:color w:val="000000"/>
    </w:rPr>
  </w:style>
  <w:style w:type="paragraph" w:customStyle="1" w:styleId="5thlevelheadiir">
    <w:name w:val="5th level head ii._r"/>
    <w:basedOn w:val="Normal"/>
    <w:autoRedefine/>
    <w:uiPriority w:val="99"/>
    <w:semiHidden/>
    <w:pPr>
      <w:keepNext/>
      <w:widowControl w:val="0"/>
      <w:tabs>
        <w:tab w:val="left" w:pos="800"/>
      </w:tabs>
      <w:suppressAutoHyphens/>
      <w:autoSpaceDE w:val="0"/>
      <w:autoSpaceDN w:val="0"/>
      <w:adjustRightInd w:val="0"/>
      <w:spacing w:before="240" w:after="240" w:line="240" w:lineRule="auto"/>
      <w:ind w:left="799" w:hanging="360"/>
      <w:textAlignment w:val="center"/>
    </w:pPr>
    <w:rPr>
      <w:rFonts w:ascii="Times New Roman" w:hAnsi="Times New Roman" w:cs="ITC New Baskerville Std"/>
      <w:color w:val="000000"/>
      <w:sz w:val="24"/>
    </w:rPr>
  </w:style>
  <w:style w:type="paragraph" w:customStyle="1" w:styleId="5thleveheadnospacer">
    <w:name w:val="5th leve head no space_r"/>
    <w:basedOn w:val="5thlevelheadiir"/>
    <w:autoRedefine/>
    <w:uiPriority w:val="99"/>
    <w:semiHidden/>
    <w:pPr>
      <w:spacing w:before="0"/>
    </w:pPr>
    <w:rPr>
      <w:rFonts w:cs="Times New Roman"/>
      <w:caps/>
      <w:spacing w:val="2"/>
    </w:rPr>
  </w:style>
  <w:style w:type="paragraph" w:customStyle="1" w:styleId="5thLevelHead">
    <w:name w:val="5th Level Head"/>
    <w:basedOn w:val="Normal"/>
    <w:autoRedefine/>
    <w:uiPriority w:val="99"/>
    <w:semiHidden/>
    <w:qFormat/>
    <w:pPr>
      <w:keepNext/>
      <w:widowControl w:val="0"/>
      <w:tabs>
        <w:tab w:val="left" w:pos="1240"/>
      </w:tabs>
      <w:suppressAutoHyphens/>
      <w:autoSpaceDE w:val="0"/>
      <w:autoSpaceDN w:val="0"/>
      <w:adjustRightInd w:val="0"/>
      <w:spacing w:before="240" w:after="240" w:line="240" w:lineRule="auto"/>
      <w:ind w:left="1241" w:hanging="360"/>
      <w:textAlignment w:val="center"/>
    </w:pPr>
    <w:rPr>
      <w:rFonts w:ascii="Times New Roman" w:hAnsi="Times New Roman" w:cs="Times LT Std"/>
      <w:i/>
      <w:iCs/>
      <w:color w:val="000000"/>
      <w:sz w:val="24"/>
    </w:rPr>
  </w:style>
  <w:style w:type="paragraph" w:customStyle="1" w:styleId="5thlevelhead1i">
    <w:name w:val="5th level head (1)_i"/>
    <w:basedOn w:val="Normal"/>
    <w:autoRedefine/>
    <w:uiPriority w:val="99"/>
    <w:semiHidden/>
    <w:pPr>
      <w:keepNext/>
      <w:widowControl w:val="0"/>
      <w:tabs>
        <w:tab w:val="left" w:pos="800"/>
      </w:tabs>
      <w:suppressAutoHyphens/>
      <w:autoSpaceDE w:val="0"/>
      <w:autoSpaceDN w:val="0"/>
      <w:adjustRightInd w:val="0"/>
      <w:spacing w:before="240" w:after="240" w:line="240" w:lineRule="auto"/>
      <w:ind w:left="1020" w:hanging="360"/>
      <w:textAlignment w:val="center"/>
    </w:pPr>
    <w:rPr>
      <w:rFonts w:ascii="Times New Roman" w:hAnsi="Times New Roman" w:cs="ITC New Baskerville Std"/>
      <w:i/>
      <w:iCs/>
      <w:color w:val="000000"/>
      <w:sz w:val="24"/>
    </w:rPr>
  </w:style>
  <w:style w:type="paragraph" w:customStyle="1" w:styleId="5thlevelheadai">
    <w:name w:val="5th level head (a)_i"/>
    <w:basedOn w:val="4thlevelheadnospacei"/>
    <w:autoRedefine/>
    <w:uiPriority w:val="99"/>
    <w:semiHidden/>
    <w:pPr>
      <w:keepNext/>
      <w:widowControl w:val="0"/>
      <w:tabs>
        <w:tab w:val="clear" w:pos="720"/>
        <w:tab w:val="left" w:pos="1240"/>
      </w:tabs>
      <w:suppressAutoHyphens/>
      <w:autoSpaceDE w:val="0"/>
      <w:autoSpaceDN w:val="0"/>
      <w:adjustRightInd w:val="0"/>
      <w:spacing w:before="240"/>
      <w:ind w:left="1241"/>
      <w:textAlignment w:val="center"/>
    </w:pPr>
    <w:rPr>
      <w:rFonts w:cs="Times LT Std"/>
      <w:iCs/>
      <w:color w:val="000000"/>
    </w:rPr>
  </w:style>
  <w:style w:type="paragraph" w:customStyle="1" w:styleId="5thlevelheadii">
    <w:name w:val="5th level head (i)_i"/>
    <w:basedOn w:val="4thlevelheadai"/>
    <w:autoRedefine/>
    <w:uiPriority w:val="99"/>
    <w:semiHidden/>
    <w:pPr>
      <w:widowControl w:val="0"/>
      <w:tabs>
        <w:tab w:val="clear" w:pos="720"/>
        <w:tab w:val="left" w:pos="960"/>
      </w:tabs>
      <w:suppressAutoHyphens/>
      <w:autoSpaceDE w:val="0"/>
      <w:autoSpaceDN w:val="0"/>
      <w:adjustRightInd w:val="0"/>
      <w:ind w:left="1440" w:hanging="480"/>
      <w:textAlignment w:val="center"/>
    </w:pPr>
    <w:rPr>
      <w:rFonts w:cs="Times LT Std"/>
      <w:iCs/>
      <w:color w:val="000000"/>
    </w:rPr>
  </w:style>
  <w:style w:type="paragraph" w:customStyle="1" w:styleId="5thlevelheadii0">
    <w:name w:val="5th level head (i.)_i"/>
    <w:basedOn w:val="Normal"/>
    <w:autoRedefine/>
    <w:uiPriority w:val="99"/>
    <w:semiHidden/>
    <w:qFormat/>
    <w:pPr>
      <w:widowControl w:val="0"/>
      <w:tabs>
        <w:tab w:val="left" w:pos="1280"/>
      </w:tabs>
      <w:autoSpaceDE w:val="0"/>
      <w:autoSpaceDN w:val="0"/>
      <w:adjustRightInd w:val="0"/>
      <w:spacing w:before="240" w:after="240" w:line="240" w:lineRule="auto"/>
      <w:ind w:left="1279" w:hanging="360"/>
      <w:textAlignment w:val="center"/>
    </w:pPr>
    <w:rPr>
      <w:rFonts w:ascii="Times New Roman" w:hAnsi="Times New Roman" w:cs="Times LT Std"/>
      <w:i/>
      <w:iCs/>
      <w:color w:val="000000"/>
      <w:sz w:val="24"/>
      <w:szCs w:val="23"/>
    </w:rPr>
  </w:style>
  <w:style w:type="paragraph" w:customStyle="1" w:styleId="5thlevelheadii1">
    <w:name w:val="5th level head i._i"/>
    <w:basedOn w:val="Normal"/>
    <w:autoRedefine/>
    <w:uiPriority w:val="99"/>
    <w:semiHidden/>
    <w:qFormat/>
    <w:pPr>
      <w:tabs>
        <w:tab w:val="left" w:pos="960"/>
      </w:tabs>
      <w:spacing w:before="240" w:after="240" w:line="240" w:lineRule="auto"/>
      <w:ind w:left="960" w:hanging="480"/>
    </w:pPr>
    <w:rPr>
      <w:rFonts w:ascii="Times New Roman" w:hAnsi="Times New Roman"/>
      <w:i/>
      <w:sz w:val="24"/>
    </w:rPr>
  </w:style>
  <w:style w:type="paragraph" w:customStyle="1" w:styleId="5thlevelheadiii">
    <w:name w:val="5th level head ii._i"/>
    <w:basedOn w:val="Normal"/>
    <w:autoRedefine/>
    <w:uiPriority w:val="99"/>
    <w:semiHidden/>
    <w:pPr>
      <w:keepNext/>
      <w:widowControl w:val="0"/>
      <w:tabs>
        <w:tab w:val="left" w:pos="1020"/>
      </w:tabs>
      <w:suppressAutoHyphens/>
      <w:autoSpaceDE w:val="0"/>
      <w:autoSpaceDN w:val="0"/>
      <w:adjustRightInd w:val="0"/>
      <w:spacing w:before="240" w:after="240" w:line="240" w:lineRule="auto"/>
      <w:ind w:left="1020" w:hanging="360"/>
      <w:textAlignment w:val="center"/>
    </w:pPr>
    <w:rPr>
      <w:rFonts w:ascii="Times New Roman" w:hAnsi="Times New Roman" w:cs="ITC New Baskerville Std"/>
      <w:i/>
      <w:iCs/>
      <w:color w:val="000000"/>
      <w:sz w:val="24"/>
    </w:rPr>
  </w:style>
  <w:style w:type="paragraph" w:customStyle="1" w:styleId="5thlevelheadnospace">
    <w:name w:val="5th level head no space"/>
    <w:basedOn w:val="Normal"/>
    <w:autoRedefine/>
    <w:uiPriority w:val="99"/>
    <w:semiHidden/>
    <w:pPr>
      <w:keepNext/>
      <w:widowControl w:val="0"/>
      <w:suppressAutoHyphens/>
      <w:autoSpaceDE w:val="0"/>
      <w:autoSpaceDN w:val="0"/>
      <w:adjustRightInd w:val="0"/>
      <w:spacing w:before="240" w:after="240" w:line="240" w:lineRule="auto"/>
      <w:ind w:left="821" w:hanging="360"/>
      <w:textAlignment w:val="center"/>
    </w:pPr>
    <w:rPr>
      <w:rFonts w:ascii="Times New Roman" w:hAnsi="Times New Roman" w:cs="ITC New Baskerville Std"/>
      <w:i/>
      <w:iCs/>
      <w:color w:val="000000"/>
      <w:sz w:val="24"/>
      <w:szCs w:val="24"/>
    </w:rPr>
  </w:style>
  <w:style w:type="paragraph" w:customStyle="1" w:styleId="5thlevelheadnospacei">
    <w:name w:val="5th level head no space_i"/>
    <w:basedOn w:val="Normal"/>
    <w:autoRedefine/>
    <w:uiPriority w:val="99"/>
    <w:semiHidden/>
    <w:qFormat/>
    <w:pPr>
      <w:keepNext/>
      <w:widowControl w:val="0"/>
      <w:tabs>
        <w:tab w:val="left" w:pos="960"/>
      </w:tabs>
      <w:suppressAutoHyphens/>
      <w:autoSpaceDE w:val="0"/>
      <w:autoSpaceDN w:val="0"/>
      <w:adjustRightInd w:val="0"/>
      <w:spacing w:after="240" w:line="240" w:lineRule="auto"/>
      <w:ind w:left="1440" w:hanging="480"/>
      <w:textAlignment w:val="center"/>
    </w:pPr>
    <w:rPr>
      <w:rFonts w:ascii="Times New Roman" w:hAnsi="Times New Roman" w:cs="Times LT Std"/>
      <w:i/>
      <w:iCs/>
      <w:color w:val="000000"/>
      <w:sz w:val="24"/>
    </w:rPr>
  </w:style>
  <w:style w:type="paragraph" w:customStyle="1" w:styleId="text">
    <w:name w:val="text"/>
    <w:basedOn w:val="Normal"/>
    <w:next w:val="Normal"/>
    <w:autoRedefine/>
    <w:uiPriority w:val="99"/>
    <w:semiHidden/>
    <w:qFormat/>
    <w:pPr>
      <w:tabs>
        <w:tab w:val="left" w:pos="720"/>
        <w:tab w:val="left" w:pos="1440"/>
        <w:tab w:val="left" w:pos="2160"/>
        <w:tab w:val="left" w:pos="2880"/>
        <w:tab w:val="left" w:pos="3600"/>
        <w:tab w:val="left" w:pos="4320"/>
        <w:tab w:val="left" w:pos="5040"/>
        <w:tab w:val="left" w:pos="5760"/>
      </w:tabs>
      <w:spacing w:after="0" w:line="240" w:lineRule="auto"/>
      <w:ind w:firstLine="720"/>
    </w:pPr>
    <w:rPr>
      <w:rFonts w:ascii="Times New Roman" w:eastAsia="Calibri" w:hAnsi="Times New Roman" w:cs="Times New Roman"/>
      <w:sz w:val="24"/>
      <w:szCs w:val="24"/>
      <w:lang w:eastAsia="pt-PT"/>
    </w:rPr>
  </w:style>
  <w:style w:type="paragraph" w:customStyle="1" w:styleId="toc1">
    <w:name w:val="toc1"/>
    <w:basedOn w:val="text"/>
    <w:autoRedefine/>
    <w:uiPriority w:val="99"/>
    <w:semiHidden/>
    <w:qFormat/>
    <w:pPr>
      <w:widowControl w:val="0"/>
      <w:tabs>
        <w:tab w:val="clear" w:pos="1440"/>
        <w:tab w:val="clear" w:pos="2160"/>
        <w:tab w:val="clear" w:pos="2880"/>
        <w:tab w:val="clear" w:pos="3600"/>
        <w:tab w:val="clear" w:pos="4320"/>
        <w:tab w:val="clear" w:pos="5040"/>
        <w:tab w:val="clear" w:pos="5760"/>
        <w:tab w:val="right" w:pos="600"/>
        <w:tab w:val="right" w:leader="dot" w:pos="6240"/>
        <w:tab w:val="left" w:pos="6960"/>
      </w:tabs>
      <w:autoSpaceDE w:val="0"/>
      <w:autoSpaceDN w:val="0"/>
      <w:adjustRightInd w:val="0"/>
      <w:ind w:left="720" w:hanging="720"/>
      <w:textAlignment w:val="center"/>
    </w:pPr>
    <w:rPr>
      <w:rFonts w:cs="ITC New Baskerville Std"/>
      <w:color w:val="000000"/>
      <w:sz w:val="22"/>
    </w:rPr>
  </w:style>
  <w:style w:type="paragraph" w:customStyle="1" w:styleId="5thlevelheadiii0">
    <w:name w:val="5th level head_ii._i"/>
    <w:basedOn w:val="toc1"/>
    <w:autoRedefine/>
    <w:uiPriority w:val="99"/>
    <w:semiHidden/>
    <w:pPr>
      <w:keepNext/>
      <w:tabs>
        <w:tab w:val="clear" w:pos="6240"/>
        <w:tab w:val="clear" w:pos="6960"/>
        <w:tab w:val="left" w:pos="1080"/>
      </w:tabs>
      <w:spacing w:before="120" w:after="120"/>
      <w:ind w:left="1080" w:hanging="300"/>
    </w:pPr>
    <w:rPr>
      <w:rFonts w:eastAsiaTheme="minorEastAsia"/>
      <w:i/>
      <w:iCs/>
    </w:rPr>
  </w:style>
  <w:style w:type="paragraph" w:customStyle="1" w:styleId="5thlevelheadiiii">
    <w:name w:val="5th level head_iii._i"/>
    <w:basedOn w:val="Normal"/>
    <w:autoRedefine/>
    <w:uiPriority w:val="99"/>
    <w:semiHidden/>
    <w:pPr>
      <w:widowControl w:val="0"/>
      <w:tabs>
        <w:tab w:val="left" w:pos="1200"/>
      </w:tabs>
      <w:autoSpaceDE w:val="0"/>
      <w:autoSpaceDN w:val="0"/>
      <w:adjustRightInd w:val="0"/>
      <w:spacing w:before="120" w:after="120" w:line="240" w:lineRule="auto"/>
      <w:ind w:left="1200" w:hanging="420"/>
      <w:textAlignment w:val="center"/>
    </w:pPr>
    <w:rPr>
      <w:rFonts w:ascii="Times New Roman" w:hAnsi="Times New Roman" w:cs="ITC New Baskerville Std"/>
      <w:i/>
      <w:iCs/>
      <w:color w:val="000000"/>
      <w:sz w:val="24"/>
      <w:szCs w:val="24"/>
    </w:rPr>
  </w:style>
  <w:style w:type="paragraph" w:customStyle="1" w:styleId="6thlevelheadai">
    <w:name w:val="6th level head (a)_i"/>
    <w:basedOn w:val="5thlevelhead1i"/>
    <w:autoRedefine/>
    <w:uiPriority w:val="99"/>
    <w:semiHidden/>
    <w:pPr>
      <w:tabs>
        <w:tab w:val="clear" w:pos="800"/>
      </w:tabs>
      <w:ind w:left="1159"/>
    </w:pPr>
  </w:style>
  <w:style w:type="paragraph" w:customStyle="1" w:styleId="6thlevelheadai0">
    <w:name w:val="6th level head (a.)_i"/>
    <w:basedOn w:val="5thlevelheadii"/>
    <w:autoRedefine/>
    <w:uiPriority w:val="99"/>
    <w:semiHidden/>
    <w:pPr>
      <w:tabs>
        <w:tab w:val="clear" w:pos="960"/>
        <w:tab w:val="left" w:pos="1680"/>
      </w:tabs>
      <w:spacing w:after="120"/>
      <w:ind w:left="1680" w:hanging="360"/>
    </w:pPr>
  </w:style>
  <w:style w:type="paragraph" w:customStyle="1" w:styleId="6thLevelHead1">
    <w:name w:val="6th Level Head 1)"/>
    <w:basedOn w:val="Normal"/>
    <w:autoRedefine/>
    <w:uiPriority w:val="99"/>
    <w:semiHidden/>
    <w:pPr>
      <w:keepNext/>
      <w:widowControl w:val="0"/>
      <w:tabs>
        <w:tab w:val="left" w:pos="800"/>
      </w:tabs>
      <w:suppressAutoHyphens/>
      <w:autoSpaceDE w:val="0"/>
      <w:autoSpaceDN w:val="0"/>
      <w:adjustRightInd w:val="0"/>
      <w:spacing w:before="240" w:after="240" w:line="240" w:lineRule="auto"/>
      <w:ind w:left="799" w:hanging="360"/>
      <w:textAlignment w:val="center"/>
    </w:pPr>
    <w:rPr>
      <w:rFonts w:ascii="Times New Roman" w:hAnsi="Times New Roman" w:cs="ITC New Baskerville Std"/>
      <w:color w:val="000000"/>
      <w:sz w:val="24"/>
    </w:rPr>
  </w:style>
  <w:style w:type="paragraph" w:customStyle="1" w:styleId="6thlevelhead1r">
    <w:name w:val="6th level head 1)_r"/>
    <w:basedOn w:val="Normal"/>
    <w:autoRedefine/>
    <w:uiPriority w:val="99"/>
    <w:semiHidden/>
    <w:pPr>
      <w:keepNext/>
      <w:widowControl w:val="0"/>
      <w:tabs>
        <w:tab w:val="left" w:pos="800"/>
      </w:tabs>
      <w:suppressAutoHyphens/>
      <w:autoSpaceDE w:val="0"/>
      <w:autoSpaceDN w:val="0"/>
      <w:adjustRightInd w:val="0"/>
      <w:spacing w:before="240" w:after="240" w:line="240" w:lineRule="auto"/>
      <w:ind w:left="799" w:hanging="360"/>
      <w:textAlignment w:val="center"/>
    </w:pPr>
    <w:rPr>
      <w:rFonts w:ascii="Times New Roman" w:hAnsi="Times New Roman" w:cs="ITC New Baskerville Std"/>
      <w:color w:val="000000"/>
      <w:sz w:val="24"/>
    </w:rPr>
  </w:style>
  <w:style w:type="paragraph" w:customStyle="1" w:styleId="7thLevelHeada">
    <w:name w:val="7th Level Head a)"/>
    <w:basedOn w:val="6thlevelhead1r"/>
    <w:autoRedefine/>
    <w:uiPriority w:val="99"/>
    <w:semiHidden/>
    <w:pPr>
      <w:spacing w:line="240" w:lineRule="atLeast"/>
      <w:ind w:left="800"/>
    </w:pPr>
    <w:rPr>
      <w:i/>
      <w:iCs/>
    </w:rPr>
  </w:style>
  <w:style w:type="paragraph" w:customStyle="1" w:styleId="7thlevelheadnospacei">
    <w:name w:val="7th level head no space_i"/>
    <w:basedOn w:val="Normal"/>
    <w:autoRedefine/>
    <w:uiPriority w:val="99"/>
    <w:semiHidden/>
    <w:qFormat/>
    <w:pPr>
      <w:keepNext/>
      <w:widowControl w:val="0"/>
      <w:tabs>
        <w:tab w:val="left" w:pos="800"/>
      </w:tabs>
      <w:suppressAutoHyphens/>
      <w:autoSpaceDE w:val="0"/>
      <w:autoSpaceDN w:val="0"/>
      <w:adjustRightInd w:val="0"/>
      <w:spacing w:after="240" w:line="240" w:lineRule="auto"/>
      <w:ind w:left="799" w:hanging="360"/>
      <w:textAlignment w:val="center"/>
    </w:pPr>
    <w:rPr>
      <w:rFonts w:ascii="Times New Roman" w:hAnsi="Times New Roman" w:cs="ITC New Baskerville Std"/>
      <w:i/>
      <w:iCs/>
      <w:color w:val="000000"/>
      <w:sz w:val="24"/>
    </w:rPr>
  </w:style>
  <w:style w:type="paragraph" w:customStyle="1" w:styleId="appeboldhead">
    <w:name w:val="app e bold head"/>
    <w:basedOn w:val="Normal"/>
    <w:autoRedefine/>
    <w:uiPriority w:val="99"/>
    <w:semiHidden/>
    <w:pPr>
      <w:widowControl w:val="0"/>
      <w:autoSpaceDE w:val="0"/>
      <w:autoSpaceDN w:val="0"/>
      <w:adjustRightInd w:val="0"/>
      <w:spacing w:before="240" w:after="240" w:line="240" w:lineRule="auto"/>
      <w:textAlignment w:val="center"/>
    </w:pPr>
    <w:rPr>
      <w:rFonts w:ascii="Times New Roman" w:hAnsi="Times New Roman" w:cs="ITC New Baskerville Std"/>
      <w:b/>
      <w:bCs/>
      <w:color w:val="000000"/>
      <w:sz w:val="24"/>
    </w:rPr>
  </w:style>
  <w:style w:type="paragraph" w:customStyle="1" w:styleId="appeblditalic">
    <w:name w:val="app e bld italic"/>
    <w:basedOn w:val="appeboldhead"/>
    <w:autoRedefine/>
    <w:uiPriority w:val="99"/>
    <w:semiHidden/>
    <w:rPr>
      <w:i/>
      <w:iCs/>
    </w:rPr>
  </w:style>
  <w:style w:type="paragraph" w:customStyle="1" w:styleId="appestate">
    <w:name w:val="app e state"/>
    <w:basedOn w:val="Normal"/>
    <w:autoRedefine/>
    <w:uiPriority w:val="99"/>
    <w:semiHidden/>
    <w:pPr>
      <w:widowControl w:val="0"/>
      <w:suppressAutoHyphens/>
      <w:autoSpaceDE w:val="0"/>
      <w:autoSpaceDN w:val="0"/>
      <w:adjustRightInd w:val="0"/>
      <w:spacing w:before="240" w:after="0" w:line="240" w:lineRule="auto"/>
      <w:jc w:val="center"/>
      <w:textAlignment w:val="center"/>
    </w:pPr>
    <w:rPr>
      <w:rFonts w:ascii="Times New Roman" w:hAnsi="Times New Roman" w:cs="ITC New Baskerville Std"/>
      <w:smallCaps/>
      <w:color w:val="000000"/>
      <w:sz w:val="24"/>
    </w:rPr>
  </w:style>
  <w:style w:type="paragraph" w:customStyle="1" w:styleId="appetext">
    <w:name w:val="app e text"/>
    <w:basedOn w:val="text"/>
    <w:autoRedefine/>
    <w:uiPriority w:val="99"/>
    <w:semiHidden/>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after="120"/>
      <w:ind w:firstLine="0"/>
      <w:textAlignment w:val="center"/>
    </w:pPr>
    <w:rPr>
      <w:rFonts w:eastAsiaTheme="minorEastAsia" w:cs="ITC New Baskerville Std"/>
      <w:color w:val="000000"/>
      <w:sz w:val="22"/>
      <w:szCs w:val="22"/>
    </w:rPr>
  </w:style>
  <w:style w:type="paragraph" w:customStyle="1" w:styleId="apptext">
    <w:name w:val="app text"/>
    <w:basedOn w:val="text"/>
    <w:autoRedefine/>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textAlignment w:val="center"/>
    </w:pPr>
    <w:rPr>
      <w:rFonts w:cs="Times LT Std"/>
      <w:color w:val="000000"/>
      <w:szCs w:val="20"/>
    </w:rPr>
  </w:style>
  <w:style w:type="paragraph" w:customStyle="1" w:styleId="authorname">
    <w:name w:val="author name"/>
    <w:basedOn w:val="Normal"/>
    <w:autoRedefine/>
    <w:uiPriority w:val="99"/>
    <w:semiHidden/>
    <w:pPr>
      <w:widowControl w:val="0"/>
      <w:suppressAutoHyphens/>
      <w:autoSpaceDE w:val="0"/>
      <w:autoSpaceDN w:val="0"/>
      <w:adjustRightInd w:val="0"/>
      <w:spacing w:after="0" w:line="240" w:lineRule="auto"/>
      <w:textAlignment w:val="center"/>
    </w:pPr>
    <w:rPr>
      <w:rFonts w:ascii="Times New Roman" w:hAnsi="Times New Roman" w:cs="ITC New Baskerville Std"/>
      <w:i/>
      <w:iCs/>
      <w:color w:val="000000"/>
      <w:sz w:val="28"/>
      <w:szCs w:val="28"/>
    </w:rPr>
  </w:style>
  <w:style w:type="paragraph" w:customStyle="1" w:styleId="AuthorAffl">
    <w:name w:val="Author Affl"/>
    <w:basedOn w:val="authorname"/>
    <w:autoRedefine/>
    <w:uiPriority w:val="99"/>
    <w:semiHidden/>
    <w:qFormat/>
    <w:pPr>
      <w:spacing w:after="480" w:line="250" w:lineRule="atLeast"/>
      <w:jc w:val="center"/>
    </w:pPr>
    <w:rPr>
      <w:rFonts w:cs="Times LT Std"/>
      <w:sz w:val="24"/>
      <w:szCs w:val="23"/>
    </w:rPr>
  </w:style>
  <w:style w:type="paragraph" w:customStyle="1" w:styleId="AuthorName0">
    <w:name w:val="Author Name"/>
    <w:basedOn w:val="text"/>
    <w:autoRedefine/>
    <w:uiPriority w:val="99"/>
    <w:semiHidden/>
    <w:qFormat/>
    <w:pPr>
      <w:widowControl w:val="0"/>
      <w:tabs>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ind w:firstLine="0"/>
      <w:jc w:val="center"/>
      <w:textAlignment w:val="center"/>
    </w:pPr>
    <w:rPr>
      <w:rFonts w:eastAsiaTheme="minorEastAsia" w:cs="Times LT Std"/>
      <w:smallCaps/>
      <w:color w:val="000000"/>
      <w:szCs w:val="25"/>
    </w:rPr>
  </w:style>
  <w:style w:type="paragraph" w:customStyle="1" w:styleId="authornameSC">
    <w:name w:val="author name SC"/>
    <w:basedOn w:val="authorname"/>
    <w:autoRedefine/>
    <w:semiHidden/>
    <w:qFormat/>
    <w:pPr>
      <w:spacing w:after="240"/>
      <w:jc w:val="center"/>
    </w:pPr>
    <w:rPr>
      <w:rFonts w:cs="Times New Roman"/>
      <w:i w:val="0"/>
      <w:smallCaps/>
      <w:sz w:val="24"/>
    </w:rPr>
  </w:style>
  <w:style w:type="paragraph" w:customStyle="1" w:styleId="authortitle">
    <w:name w:val="author title"/>
    <w:basedOn w:val="Normal"/>
    <w:autoRedefine/>
    <w:uiPriority w:val="99"/>
    <w:semiHidden/>
    <w:pPr>
      <w:widowControl w:val="0"/>
      <w:suppressAutoHyphens/>
      <w:autoSpaceDE w:val="0"/>
      <w:autoSpaceDN w:val="0"/>
      <w:adjustRightInd w:val="0"/>
      <w:spacing w:after="240" w:line="240" w:lineRule="auto"/>
      <w:ind w:left="240"/>
      <w:textAlignment w:val="center"/>
    </w:pPr>
    <w:rPr>
      <w:rFonts w:ascii="Times New Roman" w:hAnsi="Times New Roman" w:cs="ITC New Baskerville Std"/>
      <w:i/>
      <w:iCs/>
      <w:color w:val="000000"/>
    </w:rPr>
  </w:style>
  <w:style w:type="paragraph" w:customStyle="1" w:styleId="block">
    <w:name w:val="block"/>
    <w:basedOn w:val="Normal"/>
    <w:autoRedefine/>
    <w:semiHidden/>
    <w:qFormat/>
    <w:pPr>
      <w:spacing w:before="240" w:after="240" w:line="240" w:lineRule="auto"/>
      <w:ind w:left="720" w:firstLine="720"/>
    </w:pPr>
    <w:rPr>
      <w:rFonts w:ascii="Times New Roman" w:hAnsi="Times New Roman"/>
      <w:sz w:val="20"/>
    </w:rPr>
  </w:style>
  <w:style w:type="paragraph" w:customStyle="1" w:styleId="block-f--">
    <w:name w:val="block-f/-/-"/>
    <w:basedOn w:val="Normal"/>
    <w:autoRedefine/>
    <w:semiHidden/>
    <w:qFormat/>
    <w:pPr>
      <w:spacing w:after="0" w:line="240" w:lineRule="auto"/>
      <w:ind w:left="720"/>
    </w:pPr>
    <w:rPr>
      <w:rFonts w:ascii="Times New Roman" w:hAnsi="Times New Roman"/>
      <w:sz w:val="20"/>
    </w:rPr>
  </w:style>
  <w:style w:type="paragraph" w:customStyle="1" w:styleId="block-p">
    <w:name w:val="block-p/+/+"/>
    <w:basedOn w:val="block-f--"/>
    <w:uiPriority w:val="99"/>
    <w:semiHidden/>
    <w:qFormat/>
    <w:pPr>
      <w:spacing w:before="240" w:after="240"/>
    </w:pPr>
  </w:style>
  <w:style w:type="paragraph" w:customStyle="1" w:styleId="block--">
    <w:name w:val="block- /+/-"/>
    <w:basedOn w:val="block-p"/>
    <w:autoRedefine/>
    <w:semiHidden/>
    <w:qFormat/>
    <w:pPr>
      <w:spacing w:after="0"/>
      <w:ind w:firstLine="720"/>
    </w:pPr>
  </w:style>
  <w:style w:type="paragraph" w:customStyle="1" w:styleId="block---">
    <w:name w:val="block- /-/-"/>
    <w:basedOn w:val="block--"/>
    <w:autoRedefine/>
    <w:semiHidden/>
    <w:qFormat/>
    <w:pPr>
      <w:spacing w:before="0"/>
    </w:pPr>
  </w:style>
  <w:style w:type="paragraph" w:customStyle="1" w:styleId="block2ndindent">
    <w:name w:val="block 2nd indent"/>
    <w:basedOn w:val="Normal"/>
    <w:autoRedefine/>
    <w:uiPriority w:val="99"/>
    <w:semiHidden/>
    <w:pPr>
      <w:widowControl w:val="0"/>
      <w:autoSpaceDE w:val="0"/>
      <w:autoSpaceDN w:val="0"/>
      <w:adjustRightInd w:val="0"/>
      <w:spacing w:after="0" w:line="240" w:lineRule="auto"/>
      <w:ind w:left="1440"/>
      <w:textAlignment w:val="center"/>
    </w:pPr>
    <w:rPr>
      <w:rFonts w:ascii="Times New Roman" w:hAnsi="Times New Roman" w:cs="ITC New Baskerville Std"/>
      <w:color w:val="000000"/>
      <w:sz w:val="20"/>
      <w:szCs w:val="20"/>
    </w:rPr>
  </w:style>
  <w:style w:type="paragraph" w:customStyle="1" w:styleId="block2ndindent-">
    <w:name w:val="block 2nd indent -/+"/>
    <w:basedOn w:val="Normal"/>
    <w:autoRedefine/>
    <w:uiPriority w:val="99"/>
    <w:semiHidden/>
    <w:pPr>
      <w:widowControl w:val="0"/>
      <w:autoSpaceDE w:val="0"/>
      <w:autoSpaceDN w:val="0"/>
      <w:adjustRightInd w:val="0"/>
      <w:spacing w:after="240" w:line="240" w:lineRule="auto"/>
      <w:ind w:left="1440"/>
      <w:textAlignment w:val="center"/>
    </w:pPr>
    <w:rPr>
      <w:rFonts w:ascii="Times New Roman" w:eastAsiaTheme="minorHAnsi" w:hAnsi="Times New Roman" w:cs="ITC New Baskerville Std"/>
      <w:color w:val="000000"/>
      <w:sz w:val="20"/>
      <w:szCs w:val="20"/>
    </w:rPr>
  </w:style>
  <w:style w:type="paragraph" w:customStyle="1" w:styleId="block2ndindent-6">
    <w:name w:val="block 2nd indent -/+ 6"/>
    <w:basedOn w:val="Normal"/>
    <w:autoRedefine/>
    <w:uiPriority w:val="99"/>
    <w:semiHidden/>
    <w:pPr>
      <w:widowControl w:val="0"/>
      <w:autoSpaceDE w:val="0"/>
      <w:autoSpaceDN w:val="0"/>
      <w:adjustRightInd w:val="0"/>
      <w:spacing w:after="120" w:line="240" w:lineRule="auto"/>
      <w:ind w:left="1440"/>
      <w:textAlignment w:val="center"/>
    </w:pPr>
    <w:rPr>
      <w:rFonts w:ascii="Times New Roman" w:hAnsi="Times New Roman" w:cs="ITC New Baskerville Std"/>
      <w:color w:val="000000"/>
      <w:sz w:val="20"/>
      <w:szCs w:val="20"/>
    </w:rPr>
  </w:style>
  <w:style w:type="paragraph" w:customStyle="1" w:styleId="block2ndindent-space">
    <w:name w:val="block 2nd indent -/+ space"/>
    <w:basedOn w:val="block2ndindent"/>
    <w:uiPriority w:val="99"/>
    <w:semiHidden/>
    <w:pPr>
      <w:spacing w:before="120"/>
    </w:pPr>
  </w:style>
  <w:style w:type="paragraph" w:customStyle="1" w:styleId="block2ndindentspace">
    <w:name w:val="block 2nd indent + space"/>
    <w:basedOn w:val="block2ndindent"/>
    <w:autoRedefine/>
    <w:uiPriority w:val="99"/>
    <w:semiHidden/>
    <w:pPr>
      <w:spacing w:before="120"/>
    </w:pPr>
  </w:style>
  <w:style w:type="paragraph" w:customStyle="1" w:styleId="block2ndindentnew-">
    <w:name w:val="block 2nd indent new -/+"/>
    <w:basedOn w:val="Normal"/>
    <w:autoRedefine/>
    <w:semiHidden/>
    <w:qFormat/>
    <w:pPr>
      <w:spacing w:after="0" w:line="240" w:lineRule="auto"/>
      <w:ind w:left="1440"/>
    </w:pPr>
    <w:rPr>
      <w:rFonts w:ascii="Times New Roman" w:hAnsi="Times New Roman" w:cs="Times New Roman"/>
      <w:sz w:val="20"/>
    </w:rPr>
  </w:style>
  <w:style w:type="paragraph" w:customStyle="1" w:styleId="block2ndindentnl">
    <w:name w:val="block 2nd indent nl"/>
    <w:basedOn w:val="block2ndindent"/>
    <w:uiPriority w:val="99"/>
    <w:semiHidden/>
    <w:pPr>
      <w:tabs>
        <w:tab w:val="left" w:pos="1260"/>
      </w:tabs>
      <w:ind w:left="1920" w:hanging="480"/>
    </w:pPr>
  </w:style>
  <w:style w:type="paragraph" w:customStyle="1" w:styleId="block2ndindent0">
    <w:name w:val="block 2nd indent/+/+"/>
    <w:basedOn w:val="Normal"/>
    <w:autoRedefine/>
    <w:uiPriority w:val="99"/>
    <w:semiHidden/>
    <w:pPr>
      <w:spacing w:after="240" w:line="240" w:lineRule="auto"/>
      <w:ind w:left="1440" w:firstLine="720"/>
    </w:pPr>
    <w:rPr>
      <w:rFonts w:ascii="Times New Roman" w:eastAsiaTheme="minorHAnsi" w:hAnsi="Times New Roman"/>
      <w:sz w:val="20"/>
      <w:szCs w:val="24"/>
    </w:rPr>
  </w:style>
  <w:style w:type="paragraph" w:customStyle="1" w:styleId="block2ndindent-p">
    <w:name w:val="block 2nd indent-p"/>
    <w:basedOn w:val="block2ndindent"/>
    <w:autoRedefine/>
    <w:uiPriority w:val="99"/>
    <w:semiHidden/>
    <w:pPr>
      <w:ind w:firstLine="720"/>
    </w:pPr>
  </w:style>
  <w:style w:type="paragraph" w:customStyle="1" w:styleId="block3rdindent">
    <w:name w:val="block 3rd indent"/>
    <w:basedOn w:val="Normal"/>
    <w:autoRedefine/>
    <w:uiPriority w:val="99"/>
    <w:semiHidden/>
    <w:qFormat/>
    <w:pPr>
      <w:spacing w:after="240" w:line="240" w:lineRule="auto"/>
      <w:ind w:left="2160" w:firstLine="720"/>
    </w:pPr>
    <w:rPr>
      <w:rFonts w:ascii="Times New Roman" w:hAnsi="Times New Roman" w:cs="Times New Roman"/>
      <w:sz w:val="20"/>
    </w:rPr>
  </w:style>
  <w:style w:type="paragraph" w:customStyle="1" w:styleId="blockbullet">
    <w:name w:val="block bullet"/>
    <w:basedOn w:val="Normal"/>
    <w:autoRedefine/>
    <w:semiHidden/>
    <w:qFormat/>
    <w:pPr>
      <w:spacing w:after="0" w:line="240" w:lineRule="auto"/>
      <w:ind w:left="900" w:hanging="180"/>
    </w:pPr>
    <w:rPr>
      <w:rFonts w:ascii="Times New Roman" w:hAnsi="Times New Roman"/>
      <w:sz w:val="20"/>
    </w:rPr>
  </w:style>
  <w:style w:type="paragraph" w:customStyle="1" w:styleId="block-f">
    <w:name w:val="block-f +/+"/>
    <w:basedOn w:val="Normal"/>
    <w:autoRedefine/>
    <w:uiPriority w:val="99"/>
    <w:semiHidden/>
    <w:qFormat/>
    <w:pPr>
      <w:spacing w:before="240" w:after="240" w:line="240" w:lineRule="auto"/>
      <w:ind w:left="720"/>
    </w:pPr>
    <w:rPr>
      <w:rFonts w:ascii="Times New Roman" w:hAnsi="Times New Roman"/>
      <w:sz w:val="20"/>
      <w:szCs w:val="24"/>
    </w:rPr>
  </w:style>
  <w:style w:type="paragraph" w:customStyle="1" w:styleId="blocknumberlist">
    <w:name w:val="block number list"/>
    <w:basedOn w:val="block-f"/>
    <w:autoRedefine/>
    <w:uiPriority w:val="99"/>
    <w:semiHidden/>
    <w:qFormat/>
    <w:pPr>
      <w:widowControl w:val="0"/>
      <w:tabs>
        <w:tab w:val="left" w:pos="1080"/>
      </w:tabs>
      <w:autoSpaceDE w:val="0"/>
      <w:autoSpaceDN w:val="0"/>
      <w:adjustRightInd w:val="0"/>
      <w:spacing w:before="0" w:after="0"/>
      <w:ind w:left="1440" w:hanging="360"/>
      <w:textAlignment w:val="center"/>
    </w:pPr>
    <w:rPr>
      <w:rFonts w:cs="ITC New Baskerville Std"/>
      <w:color w:val="000000"/>
      <w:szCs w:val="21"/>
    </w:rPr>
  </w:style>
  <w:style w:type="paragraph" w:customStyle="1" w:styleId="blocknumberlistnlii">
    <w:name w:val="block number list/nl/(ii)"/>
    <w:basedOn w:val="blocknumberlist"/>
    <w:autoRedefine/>
    <w:uiPriority w:val="99"/>
    <w:semiHidden/>
    <w:qFormat/>
    <w:pPr>
      <w:tabs>
        <w:tab w:val="left" w:pos="1400"/>
      </w:tabs>
      <w:ind w:left="2160"/>
    </w:pPr>
  </w:style>
  <w:style w:type="paragraph" w:customStyle="1" w:styleId="blocknumberlistnlii1">
    <w:name w:val="block number list nl/(ii)(1)"/>
    <w:basedOn w:val="blocknumberlistnlii"/>
    <w:autoRedefine/>
    <w:uiPriority w:val="99"/>
    <w:semiHidden/>
    <w:qFormat/>
  </w:style>
  <w:style w:type="paragraph" w:customStyle="1" w:styleId="blocknumberlistal">
    <w:name w:val="block number list/al"/>
    <w:basedOn w:val="Normal"/>
    <w:autoRedefine/>
    <w:semiHidden/>
    <w:qFormat/>
    <w:pPr>
      <w:widowControl w:val="0"/>
      <w:tabs>
        <w:tab w:val="left" w:pos="1200"/>
      </w:tabs>
      <w:autoSpaceDE w:val="0"/>
      <w:autoSpaceDN w:val="0"/>
      <w:adjustRightInd w:val="0"/>
      <w:spacing w:after="0" w:line="240" w:lineRule="auto"/>
      <w:ind w:left="1560" w:hanging="360"/>
      <w:textAlignment w:val="center"/>
    </w:pPr>
    <w:rPr>
      <w:rFonts w:ascii="Times New Roman" w:hAnsi="Times New Roman" w:cs="Times New Roman"/>
      <w:color w:val="000000"/>
      <w:sz w:val="20"/>
      <w:szCs w:val="20"/>
    </w:rPr>
  </w:style>
  <w:style w:type="paragraph" w:customStyle="1" w:styleId="blockquotenumberliststart">
    <w:name w:val="block quote number list start"/>
    <w:basedOn w:val="Normal"/>
    <w:autoRedefine/>
    <w:semiHidden/>
    <w:qFormat/>
    <w:pPr>
      <w:tabs>
        <w:tab w:val="left" w:pos="1200"/>
      </w:tabs>
      <w:spacing w:before="240" w:after="0" w:line="240" w:lineRule="auto"/>
      <w:ind w:left="1200" w:hanging="480"/>
    </w:pPr>
    <w:rPr>
      <w:rFonts w:ascii="Times New Roman" w:hAnsi="Times New Roman"/>
      <w:sz w:val="20"/>
      <w:szCs w:val="20"/>
    </w:rPr>
  </w:style>
  <w:style w:type="paragraph" w:customStyle="1" w:styleId="blocknumbernl">
    <w:name w:val="block number nl"/>
    <w:basedOn w:val="blockquotenumberliststart"/>
    <w:autoRedefine/>
    <w:semiHidden/>
    <w:qFormat/>
    <w:pPr>
      <w:spacing w:before="0"/>
    </w:pPr>
  </w:style>
  <w:style w:type="paragraph" w:customStyle="1" w:styleId="footnote">
    <w:name w:val="footnote"/>
    <w:basedOn w:val="Normal"/>
    <w:link w:val="footnoteChar"/>
    <w:autoRedefine/>
    <w:uiPriority w:val="99"/>
    <w:semiHidden/>
    <w:qFormat/>
    <w:pPr>
      <w:widowControl w:val="0"/>
      <w:spacing w:after="0" w:line="240" w:lineRule="auto"/>
      <w:ind w:firstLine="720"/>
    </w:pPr>
    <w:rPr>
      <w:rFonts w:ascii="Times New Roman" w:eastAsia="Times New Roman" w:hAnsi="Times New Roman" w:cs="Times New Roman"/>
      <w:sz w:val="20"/>
    </w:rPr>
  </w:style>
  <w:style w:type="paragraph" w:customStyle="1" w:styleId="blocknumbernlstart">
    <w:name w:val="block number nl start"/>
    <w:basedOn w:val="footnote"/>
    <w:autoRedefine/>
    <w:semiHidden/>
    <w:qFormat/>
    <w:pPr>
      <w:spacing w:before="240"/>
      <w:ind w:left="1200" w:hanging="480"/>
    </w:pPr>
  </w:style>
  <w:style w:type="paragraph" w:customStyle="1" w:styleId="blockp">
    <w:name w:val="block p +/+"/>
    <w:basedOn w:val="Normal"/>
    <w:autoRedefine/>
    <w:uiPriority w:val="99"/>
    <w:semiHidden/>
    <w:pPr>
      <w:widowControl w:val="0"/>
      <w:autoSpaceDE w:val="0"/>
      <w:autoSpaceDN w:val="0"/>
      <w:adjustRightInd w:val="0"/>
      <w:spacing w:before="240" w:after="240" w:line="240" w:lineRule="auto"/>
      <w:ind w:left="439" w:firstLine="439"/>
      <w:textAlignment w:val="center"/>
    </w:pPr>
    <w:rPr>
      <w:rFonts w:ascii="Times New Roman" w:hAnsi="Times New Roman" w:cs="ITC New Baskerville Std"/>
      <w:color w:val="000000"/>
      <w:sz w:val="20"/>
      <w:szCs w:val="20"/>
    </w:rPr>
  </w:style>
  <w:style w:type="paragraph" w:customStyle="1" w:styleId="blockquote">
    <w:name w:val="block quote"/>
    <w:basedOn w:val="Normal"/>
    <w:autoRedefine/>
    <w:uiPriority w:val="99"/>
    <w:semiHidden/>
    <w:qFormat/>
    <w:pPr>
      <w:spacing w:before="240" w:after="240" w:line="240" w:lineRule="auto"/>
      <w:ind w:left="720"/>
    </w:pPr>
    <w:rPr>
      <w:rFonts w:ascii="Times New Roman" w:hAnsi="Times New Roman"/>
      <w:sz w:val="20"/>
      <w:szCs w:val="28"/>
    </w:rPr>
  </w:style>
  <w:style w:type="paragraph" w:customStyle="1" w:styleId="Blockquote0">
    <w:name w:val="Block quote"/>
    <w:basedOn w:val="text"/>
    <w:autoRedefine/>
    <w:uiPriority w:val="99"/>
    <w:semiHidden/>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left="720" w:firstLine="0"/>
      <w:jc w:val="both"/>
      <w:textAlignment w:val="center"/>
    </w:pPr>
    <w:rPr>
      <w:rFonts w:eastAsiaTheme="minorEastAsia" w:cs="NewCenturySchlbk"/>
      <w:color w:val="000000"/>
      <w:sz w:val="20"/>
      <w:szCs w:val="20"/>
    </w:rPr>
  </w:style>
  <w:style w:type="paragraph" w:customStyle="1" w:styleId="blockquotenoparaindent">
    <w:name w:val="block quote / no para indent"/>
    <w:basedOn w:val="Normal"/>
    <w:autoRedefine/>
    <w:uiPriority w:val="99"/>
    <w:semiHidden/>
    <w:pPr>
      <w:widowControl w:val="0"/>
      <w:autoSpaceDE w:val="0"/>
      <w:autoSpaceDN w:val="0"/>
      <w:adjustRightInd w:val="0"/>
      <w:spacing w:before="240" w:after="240" w:line="240" w:lineRule="auto"/>
      <w:ind w:left="720"/>
      <w:textAlignment w:val="center"/>
    </w:pPr>
    <w:rPr>
      <w:rFonts w:ascii="Times New Roman" w:hAnsi="Times New Roman" w:cs="ITC New Baskerville Std"/>
      <w:color w:val="000000"/>
      <w:sz w:val="20"/>
      <w:szCs w:val="20"/>
    </w:rPr>
  </w:style>
  <w:style w:type="paragraph" w:customStyle="1" w:styleId="block-f-">
    <w:name w:val="block-f +/-"/>
    <w:basedOn w:val="Normal"/>
    <w:autoRedefine/>
    <w:uiPriority w:val="99"/>
    <w:semiHidden/>
    <w:pPr>
      <w:widowControl w:val="0"/>
      <w:autoSpaceDE w:val="0"/>
      <w:autoSpaceDN w:val="0"/>
      <w:adjustRightInd w:val="0"/>
      <w:spacing w:before="240" w:after="0" w:line="240" w:lineRule="auto"/>
      <w:ind w:left="720"/>
      <w:textAlignment w:val="center"/>
    </w:pPr>
    <w:rPr>
      <w:rFonts w:ascii="Times New Roman" w:hAnsi="Times New Roman" w:cs="ITC New Baskerville Std"/>
      <w:color w:val="000000"/>
      <w:sz w:val="20"/>
      <w:szCs w:val="20"/>
    </w:rPr>
  </w:style>
  <w:style w:type="paragraph" w:customStyle="1" w:styleId="blockquote16pt">
    <w:name w:val="block quote 1/6 pt"/>
    <w:basedOn w:val="block-f-"/>
    <w:autoRedefine/>
    <w:uiPriority w:val="99"/>
    <w:semiHidden/>
    <w:pPr>
      <w:spacing w:after="120"/>
    </w:pPr>
  </w:style>
  <w:style w:type="paragraph" w:customStyle="1" w:styleId="blockquote2ndindent-2pt">
    <w:name w:val="block quote 2nd indent -/2 pt"/>
    <w:basedOn w:val="Normal"/>
    <w:autoRedefine/>
    <w:uiPriority w:val="99"/>
    <w:semiHidden/>
    <w:pPr>
      <w:widowControl w:val="0"/>
      <w:autoSpaceDE w:val="0"/>
      <w:autoSpaceDN w:val="0"/>
      <w:adjustRightInd w:val="0"/>
      <w:spacing w:after="0" w:line="240" w:lineRule="auto"/>
      <w:ind w:left="1440"/>
      <w:textAlignment w:val="center"/>
    </w:pPr>
    <w:rPr>
      <w:rFonts w:ascii="Times New Roman" w:hAnsi="Times New Roman" w:cs="Times LT Std"/>
      <w:color w:val="000000"/>
      <w:sz w:val="20"/>
      <w:szCs w:val="20"/>
    </w:rPr>
  </w:style>
  <w:style w:type="paragraph" w:customStyle="1" w:styleId="blockquote3rdindent">
    <w:name w:val="block quote 3rd indent"/>
    <w:basedOn w:val="Normal"/>
    <w:autoRedefine/>
    <w:uiPriority w:val="99"/>
    <w:semiHidden/>
    <w:pPr>
      <w:widowControl w:val="0"/>
      <w:autoSpaceDE w:val="0"/>
      <w:autoSpaceDN w:val="0"/>
      <w:adjustRightInd w:val="0"/>
      <w:spacing w:after="0" w:line="240" w:lineRule="auto"/>
      <w:ind w:left="2160"/>
      <w:textAlignment w:val="center"/>
    </w:pPr>
    <w:rPr>
      <w:rFonts w:ascii="Times New Roman" w:hAnsi="Times New Roman" w:cs="Times LT Std"/>
      <w:color w:val="000000"/>
      <w:sz w:val="20"/>
      <w:szCs w:val="20"/>
    </w:rPr>
  </w:style>
  <w:style w:type="paragraph" w:customStyle="1" w:styleId="blockquote62">
    <w:name w:val="block quote 6/2"/>
    <w:basedOn w:val="blockquote"/>
    <w:autoRedefine/>
    <w:uiPriority w:val="99"/>
    <w:semiHidden/>
    <w:pPr>
      <w:widowControl w:val="0"/>
      <w:autoSpaceDE w:val="0"/>
      <w:autoSpaceDN w:val="0"/>
      <w:adjustRightInd w:val="0"/>
      <w:spacing w:after="0"/>
      <w:textAlignment w:val="center"/>
    </w:pPr>
    <w:rPr>
      <w:rFonts w:cs="Times LT Std"/>
      <w:color w:val="000000"/>
    </w:rPr>
  </w:style>
  <w:style w:type="paragraph" w:customStyle="1" w:styleId="Blockquoteflush">
    <w:name w:val="Block quote flush"/>
    <w:basedOn w:val="Normal"/>
    <w:autoRedefine/>
    <w:uiPriority w:val="99"/>
    <w:semiHidden/>
    <w:pPr>
      <w:spacing w:before="240" w:after="240" w:line="240" w:lineRule="auto"/>
      <w:ind w:left="720"/>
    </w:pPr>
    <w:rPr>
      <w:rFonts w:ascii="Times New Roman" w:hAnsi="Times New Roman"/>
      <w:sz w:val="20"/>
      <w:szCs w:val="20"/>
    </w:rPr>
  </w:style>
  <w:style w:type="paragraph" w:customStyle="1" w:styleId="blockquotenumberlist">
    <w:name w:val="block quote number list"/>
    <w:basedOn w:val="blockquotenumberliststart"/>
    <w:autoRedefine/>
    <w:semiHidden/>
    <w:qFormat/>
    <w:pPr>
      <w:spacing w:before="0"/>
    </w:pPr>
  </w:style>
  <w:style w:type="paragraph" w:customStyle="1" w:styleId="blockquotelist1p6">
    <w:name w:val="block quote list 1p6"/>
    <w:basedOn w:val="blockquotenumberlist"/>
    <w:autoRedefine/>
    <w:uiPriority w:val="99"/>
    <w:semiHidden/>
    <w:pPr>
      <w:widowControl w:val="0"/>
      <w:tabs>
        <w:tab w:val="clear" w:pos="1200"/>
        <w:tab w:val="left" w:pos="760"/>
      </w:tabs>
      <w:autoSpaceDE w:val="0"/>
      <w:autoSpaceDN w:val="0"/>
      <w:adjustRightInd w:val="0"/>
      <w:ind w:left="1080" w:hanging="360"/>
      <w:textAlignment w:val="center"/>
    </w:pPr>
    <w:rPr>
      <w:rFonts w:cs="Times LT Std"/>
      <w:color w:val="000000"/>
    </w:rPr>
  </w:style>
  <w:style w:type="paragraph" w:customStyle="1" w:styleId="blockquotenumberlistend">
    <w:name w:val="block quote number list end"/>
    <w:basedOn w:val="Normal"/>
    <w:autoRedefine/>
    <w:semiHidden/>
    <w:qFormat/>
    <w:pPr>
      <w:tabs>
        <w:tab w:val="left" w:pos="1200"/>
      </w:tabs>
      <w:spacing w:after="240" w:line="240" w:lineRule="auto"/>
      <w:ind w:left="1200" w:hanging="480"/>
    </w:pPr>
    <w:rPr>
      <w:rFonts w:ascii="Times New Roman" w:hAnsi="Times New Roman"/>
      <w:sz w:val="20"/>
      <w:szCs w:val="20"/>
    </w:rPr>
  </w:style>
  <w:style w:type="paragraph" w:customStyle="1" w:styleId="blockquotepara02">
    <w:name w:val="block quote para 0/2"/>
    <w:basedOn w:val="Normal"/>
    <w:autoRedefine/>
    <w:uiPriority w:val="99"/>
    <w:semiHidden/>
    <w:pPr>
      <w:widowControl w:val="0"/>
      <w:autoSpaceDE w:val="0"/>
      <w:autoSpaceDN w:val="0"/>
      <w:adjustRightInd w:val="0"/>
      <w:spacing w:after="0" w:line="240" w:lineRule="auto"/>
      <w:ind w:left="720" w:firstLine="720"/>
      <w:textAlignment w:val="center"/>
    </w:pPr>
    <w:rPr>
      <w:rFonts w:ascii="Times New Roman" w:hAnsi="Times New Roman" w:cs="Times LT Std"/>
      <w:color w:val="000000"/>
      <w:sz w:val="20"/>
    </w:rPr>
  </w:style>
  <w:style w:type="paragraph" w:customStyle="1" w:styleId="blockquotepara06">
    <w:name w:val="block quote para 0/6"/>
    <w:basedOn w:val="Normal"/>
    <w:autoRedefine/>
    <w:uiPriority w:val="99"/>
    <w:semiHidden/>
    <w:pPr>
      <w:widowControl w:val="0"/>
      <w:autoSpaceDE w:val="0"/>
      <w:autoSpaceDN w:val="0"/>
      <w:adjustRightInd w:val="0"/>
      <w:spacing w:after="240" w:line="240" w:lineRule="auto"/>
      <w:ind w:left="720" w:firstLine="720"/>
      <w:textAlignment w:val="center"/>
    </w:pPr>
    <w:rPr>
      <w:rFonts w:ascii="Times New Roman" w:hAnsi="Times New Roman" w:cs="Times LT Std"/>
      <w:color w:val="000000"/>
      <w:sz w:val="20"/>
    </w:rPr>
  </w:style>
  <w:style w:type="paragraph" w:customStyle="1" w:styleId="blockquotepara62">
    <w:name w:val="block quote para 6/2"/>
    <w:basedOn w:val="Normal"/>
    <w:autoRedefine/>
    <w:uiPriority w:val="99"/>
    <w:semiHidden/>
    <w:pPr>
      <w:widowControl w:val="0"/>
      <w:autoSpaceDE w:val="0"/>
      <w:autoSpaceDN w:val="0"/>
      <w:adjustRightInd w:val="0"/>
      <w:spacing w:before="240" w:after="0" w:line="240" w:lineRule="auto"/>
      <w:ind w:left="720" w:firstLine="720"/>
      <w:textAlignment w:val="center"/>
    </w:pPr>
    <w:rPr>
      <w:rFonts w:ascii="Times New Roman" w:hAnsi="Times New Roman" w:cs="Times LT Std"/>
      <w:color w:val="000000"/>
      <w:sz w:val="20"/>
    </w:rPr>
  </w:style>
  <w:style w:type="paragraph" w:customStyle="1" w:styleId="block-p-">
    <w:name w:val="block-p/+/-"/>
    <w:basedOn w:val="block-p"/>
    <w:autoRedefine/>
    <w:semiHidden/>
    <w:qFormat/>
    <w:pPr>
      <w:spacing w:after="0"/>
      <w:ind w:firstLine="720"/>
    </w:pPr>
  </w:style>
  <w:style w:type="paragraph" w:customStyle="1" w:styleId="block-p--">
    <w:name w:val="block-p/-/-"/>
    <w:basedOn w:val="block-p-"/>
    <w:autoRedefine/>
    <w:semiHidden/>
    <w:qFormat/>
    <w:pPr>
      <w:spacing w:before="0"/>
    </w:pPr>
  </w:style>
  <w:style w:type="paragraph" w:customStyle="1" w:styleId="blockquote-f--">
    <w:name w:val="block quote-f /-/-"/>
    <w:basedOn w:val="block-p--"/>
    <w:autoRedefine/>
    <w:uiPriority w:val="99"/>
    <w:semiHidden/>
    <w:pPr>
      <w:widowControl w:val="0"/>
      <w:autoSpaceDE w:val="0"/>
      <w:autoSpaceDN w:val="0"/>
      <w:adjustRightInd w:val="0"/>
      <w:ind w:firstLine="0"/>
      <w:jc w:val="both"/>
      <w:textAlignment w:val="center"/>
    </w:pPr>
    <w:rPr>
      <w:rFonts w:cs="ITC New Baskerville Std"/>
      <w:color w:val="000000"/>
      <w:szCs w:val="20"/>
    </w:rPr>
  </w:style>
  <w:style w:type="paragraph" w:customStyle="1" w:styleId="blockquote-p">
    <w:name w:val="block quote-p"/>
    <w:basedOn w:val="Normal"/>
    <w:autoRedefine/>
    <w:semiHidden/>
    <w:qFormat/>
    <w:pPr>
      <w:spacing w:before="240" w:after="240" w:line="240" w:lineRule="auto"/>
      <w:ind w:left="720" w:firstLine="720"/>
    </w:pPr>
    <w:rPr>
      <w:rFonts w:ascii="Times New Roman" w:hAnsi="Times New Roman"/>
      <w:sz w:val="24"/>
    </w:rPr>
  </w:style>
  <w:style w:type="paragraph" w:customStyle="1" w:styleId="blockquote-p0">
    <w:name w:val="block quote-p +/+"/>
    <w:basedOn w:val="Normal"/>
    <w:autoRedefine/>
    <w:uiPriority w:val="99"/>
    <w:semiHidden/>
    <w:pPr>
      <w:widowControl w:val="0"/>
      <w:autoSpaceDE w:val="0"/>
      <w:autoSpaceDN w:val="0"/>
      <w:adjustRightInd w:val="0"/>
      <w:spacing w:before="240" w:after="240" w:line="240" w:lineRule="auto"/>
      <w:ind w:left="720" w:firstLine="720"/>
      <w:jc w:val="both"/>
      <w:textAlignment w:val="center"/>
    </w:pPr>
    <w:rPr>
      <w:rFonts w:ascii="Times New Roman" w:hAnsi="Times New Roman" w:cs="Times New Roman"/>
      <w:color w:val="000000"/>
      <w:sz w:val="20"/>
      <w:szCs w:val="20"/>
    </w:rPr>
  </w:style>
  <w:style w:type="paragraph" w:styleId="BlockText">
    <w:name w:val="Block Text"/>
    <w:basedOn w:val="Normal"/>
    <w:autoRedefine/>
    <w:uiPriority w:val="99"/>
    <w:semiHidden/>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spacing w:before="240" w:after="240" w:line="240" w:lineRule="auto"/>
      <w:ind w:left="720" w:firstLine="720"/>
    </w:pPr>
    <w:rPr>
      <w:rFonts w:ascii="Times New Roman" w:hAnsi="Times New Roman"/>
      <w:i/>
      <w:iCs/>
      <w:sz w:val="20"/>
    </w:rPr>
  </w:style>
  <w:style w:type="paragraph" w:customStyle="1" w:styleId="block-bl">
    <w:name w:val="block-bl"/>
    <w:basedOn w:val="Normal"/>
    <w:autoRedefine/>
    <w:uiPriority w:val="99"/>
    <w:semiHidden/>
    <w:pPr>
      <w:widowControl w:val="0"/>
      <w:tabs>
        <w:tab w:val="left" w:pos="900"/>
      </w:tabs>
      <w:autoSpaceDE w:val="0"/>
      <w:autoSpaceDN w:val="0"/>
      <w:adjustRightInd w:val="0"/>
      <w:spacing w:after="0" w:line="240" w:lineRule="auto"/>
      <w:ind w:left="900" w:hanging="180"/>
      <w:textAlignment w:val="center"/>
    </w:pPr>
    <w:rPr>
      <w:rFonts w:ascii="Times New Roman" w:hAnsi="Times New Roman" w:cs="ITC New Baskerville Std"/>
      <w:color w:val="000000"/>
      <w:sz w:val="20"/>
      <w:szCs w:val="20"/>
    </w:rPr>
  </w:style>
  <w:style w:type="paragraph" w:customStyle="1" w:styleId="block-f--0">
    <w:name w:val="block-f -/-"/>
    <w:basedOn w:val="Normal"/>
    <w:autoRedefine/>
    <w:uiPriority w:val="99"/>
    <w:semiHidden/>
    <w:qFormat/>
    <w:pPr>
      <w:spacing w:after="0" w:line="240" w:lineRule="auto"/>
      <w:ind w:left="720"/>
    </w:pPr>
    <w:rPr>
      <w:rFonts w:ascii="Times New Roman" w:hAnsi="Times New Roman"/>
      <w:sz w:val="20"/>
    </w:rPr>
  </w:style>
  <w:style w:type="paragraph" w:customStyle="1" w:styleId="block-f-0">
    <w:name w:val="block-f/+/-"/>
    <w:basedOn w:val="Normal"/>
    <w:autoRedefine/>
    <w:semiHidden/>
    <w:qFormat/>
    <w:pPr>
      <w:spacing w:before="240" w:after="0" w:line="240" w:lineRule="auto"/>
      <w:ind w:left="720"/>
    </w:pPr>
    <w:rPr>
      <w:rFonts w:ascii="Times New Roman" w:hAnsi="Times New Roman"/>
      <w:sz w:val="20"/>
    </w:rPr>
  </w:style>
  <w:style w:type="paragraph" w:customStyle="1" w:styleId="block-f-1">
    <w:name w:val="block-f -/+"/>
    <w:basedOn w:val="block-f-0"/>
    <w:autoRedefine/>
    <w:uiPriority w:val="99"/>
    <w:semiHidden/>
    <w:qFormat/>
    <w:pPr>
      <w:spacing w:before="0" w:after="240"/>
    </w:pPr>
  </w:style>
  <w:style w:type="paragraph" w:customStyle="1" w:styleId="block-f-6">
    <w:name w:val="block-f -/6"/>
    <w:basedOn w:val="block-f-"/>
    <w:autoRedefine/>
    <w:uiPriority w:val="99"/>
    <w:semiHidden/>
    <w:pPr>
      <w:spacing w:before="0" w:after="120"/>
    </w:pPr>
  </w:style>
  <w:style w:type="paragraph" w:customStyle="1" w:styleId="block-f-6pt">
    <w:name w:val="block-f -/6 pt"/>
    <w:basedOn w:val="block-f-"/>
    <w:autoRedefine/>
    <w:uiPriority w:val="99"/>
    <w:semiHidden/>
    <w:qFormat/>
    <w:pPr>
      <w:spacing w:before="120"/>
      <w:ind w:left="439"/>
    </w:pPr>
    <w:rPr>
      <w:szCs w:val="21"/>
    </w:rPr>
  </w:style>
  <w:style w:type="paragraph" w:customStyle="1" w:styleId="Block-f-2">
    <w:name w:val="Block-f +/-"/>
    <w:basedOn w:val="blockquote"/>
    <w:autoRedefine/>
    <w:uiPriority w:val="99"/>
    <w:semiHidden/>
    <w:pPr>
      <w:widowControl w:val="0"/>
      <w:autoSpaceDE w:val="0"/>
      <w:autoSpaceDN w:val="0"/>
      <w:adjustRightInd w:val="0"/>
      <w:spacing w:after="0"/>
      <w:textAlignment w:val="center"/>
    </w:pPr>
    <w:rPr>
      <w:rFonts w:cs="NewCenturySchlbk"/>
      <w:color w:val="000000"/>
      <w:szCs w:val="20"/>
    </w:rPr>
  </w:style>
  <w:style w:type="paragraph" w:customStyle="1" w:styleId="Block-f0">
    <w:name w:val="Block-f +/+"/>
    <w:basedOn w:val="Normal"/>
    <w:autoRedefine/>
    <w:semiHidden/>
    <w:qFormat/>
    <w:pPr>
      <w:spacing w:before="240" w:after="240" w:line="240" w:lineRule="auto"/>
      <w:ind w:left="720"/>
    </w:pPr>
    <w:rPr>
      <w:rFonts w:ascii="Times New Roman" w:hAnsi="Times New Roman"/>
      <w:sz w:val="20"/>
    </w:rPr>
  </w:style>
  <w:style w:type="paragraph" w:customStyle="1" w:styleId="block-f-3">
    <w:name w:val="block-f/-/+"/>
    <w:basedOn w:val="block-f-0"/>
    <w:autoRedefine/>
    <w:semiHidden/>
    <w:qFormat/>
    <w:pPr>
      <w:spacing w:before="0" w:after="240"/>
    </w:pPr>
  </w:style>
  <w:style w:type="paragraph" w:customStyle="1" w:styleId="block-p-0">
    <w:name w:val="block-p -/+"/>
    <w:basedOn w:val="Normal"/>
    <w:autoRedefine/>
    <w:uiPriority w:val="99"/>
    <w:semiHidden/>
    <w:qFormat/>
    <w:pPr>
      <w:spacing w:after="240" w:line="240" w:lineRule="auto"/>
      <w:ind w:left="720" w:firstLine="720"/>
    </w:pPr>
    <w:rPr>
      <w:rFonts w:ascii="Times New Roman" w:hAnsi="Times New Roman"/>
      <w:sz w:val="20"/>
    </w:rPr>
  </w:style>
  <w:style w:type="paragraph" w:customStyle="1" w:styleId="block-p--0">
    <w:name w:val="block-p -/-"/>
    <w:basedOn w:val="block-p-0"/>
    <w:autoRedefine/>
    <w:uiPriority w:val="99"/>
    <w:semiHidden/>
    <w:qFormat/>
    <w:pPr>
      <w:spacing w:after="0"/>
    </w:pPr>
  </w:style>
  <w:style w:type="paragraph" w:customStyle="1" w:styleId="Block-p-1">
    <w:name w:val="Block-p -/+"/>
    <w:basedOn w:val="Normal"/>
    <w:autoRedefine/>
    <w:uiPriority w:val="99"/>
    <w:semiHidden/>
    <w:pPr>
      <w:widowControl w:val="0"/>
      <w:autoSpaceDE w:val="0"/>
      <w:autoSpaceDN w:val="0"/>
      <w:adjustRightInd w:val="0"/>
      <w:spacing w:after="240" w:line="240" w:lineRule="auto"/>
      <w:ind w:left="720" w:firstLine="720"/>
      <w:textAlignment w:val="center"/>
    </w:pPr>
    <w:rPr>
      <w:rFonts w:ascii="Times New Roman" w:hAnsi="Times New Roman" w:cs="NewCenturySchlbk"/>
      <w:color w:val="000000"/>
      <w:sz w:val="20"/>
      <w:szCs w:val="20"/>
    </w:rPr>
  </w:style>
  <w:style w:type="paragraph" w:customStyle="1" w:styleId="block-p-6">
    <w:name w:val="block-p -/6"/>
    <w:basedOn w:val="block-p-0"/>
    <w:autoRedefine/>
    <w:uiPriority w:val="99"/>
    <w:semiHidden/>
    <w:pPr>
      <w:widowControl w:val="0"/>
      <w:autoSpaceDE w:val="0"/>
      <w:autoSpaceDN w:val="0"/>
      <w:adjustRightInd w:val="0"/>
      <w:spacing w:after="120"/>
      <w:textAlignment w:val="center"/>
    </w:pPr>
    <w:rPr>
      <w:rFonts w:cs="ITC New Baskerville Std"/>
      <w:color w:val="000000"/>
      <w:szCs w:val="20"/>
    </w:rPr>
  </w:style>
  <w:style w:type="paragraph" w:customStyle="1" w:styleId="block-p-2">
    <w:name w:val="block-p +/-"/>
    <w:basedOn w:val="Normal"/>
    <w:autoRedefine/>
    <w:uiPriority w:val="99"/>
    <w:semiHidden/>
    <w:qFormat/>
    <w:pPr>
      <w:spacing w:before="240" w:after="0" w:line="240" w:lineRule="auto"/>
      <w:ind w:left="720" w:firstLine="720"/>
    </w:pPr>
    <w:rPr>
      <w:rFonts w:ascii="Times New Roman" w:hAnsi="Times New Roman"/>
      <w:sz w:val="20"/>
    </w:rPr>
  </w:style>
  <w:style w:type="paragraph" w:customStyle="1" w:styleId="Block-p0">
    <w:name w:val="Block-p +/+"/>
    <w:basedOn w:val="Block-f0"/>
    <w:autoRedefine/>
    <w:semiHidden/>
    <w:qFormat/>
    <w:pPr>
      <w:ind w:firstLine="720"/>
    </w:pPr>
  </w:style>
  <w:style w:type="paragraph" w:customStyle="1" w:styleId="block-p1">
    <w:name w:val="block-p +/+"/>
    <w:basedOn w:val="Normal"/>
    <w:autoRedefine/>
    <w:uiPriority w:val="99"/>
    <w:semiHidden/>
    <w:qFormat/>
    <w:pPr>
      <w:spacing w:before="240" w:after="240" w:line="240" w:lineRule="auto"/>
      <w:ind w:left="720" w:firstLine="720"/>
    </w:pPr>
    <w:rPr>
      <w:rFonts w:ascii="Times New Roman" w:hAnsi="Times New Roman" w:cs="Times New Roman"/>
      <w:sz w:val="20"/>
    </w:rPr>
  </w:style>
  <w:style w:type="paragraph" w:customStyle="1" w:styleId="block-p16pt">
    <w:name w:val="block-p 1/6 pt"/>
    <w:basedOn w:val="Normal"/>
    <w:autoRedefine/>
    <w:uiPriority w:val="99"/>
    <w:semiHidden/>
    <w:pPr>
      <w:widowControl w:val="0"/>
      <w:autoSpaceDE w:val="0"/>
      <w:autoSpaceDN w:val="0"/>
      <w:adjustRightInd w:val="0"/>
      <w:spacing w:before="240" w:after="120" w:line="240" w:lineRule="auto"/>
      <w:ind w:left="720" w:firstLine="720"/>
      <w:textAlignment w:val="center"/>
    </w:pPr>
    <w:rPr>
      <w:rFonts w:ascii="Times New Roman" w:hAnsi="Times New Roman" w:cs="ITC New Baskerville Std"/>
      <w:color w:val="000000"/>
      <w:sz w:val="20"/>
      <w:szCs w:val="20"/>
    </w:rPr>
  </w:style>
  <w:style w:type="paragraph" w:customStyle="1" w:styleId="block-p--3p4para">
    <w:name w:val="block-p/-/- 3p4 para"/>
    <w:basedOn w:val="block-p--"/>
    <w:autoRedefine/>
    <w:uiPriority w:val="99"/>
    <w:semiHidden/>
    <w:pPr>
      <w:widowControl w:val="0"/>
      <w:autoSpaceDE w:val="0"/>
      <w:autoSpaceDN w:val="0"/>
      <w:adjustRightInd w:val="0"/>
      <w:ind w:firstLine="1440"/>
      <w:jc w:val="both"/>
      <w:textAlignment w:val="center"/>
    </w:pPr>
    <w:rPr>
      <w:rFonts w:cs="ITC New Baskerville Std"/>
      <w:color w:val="000000"/>
      <w:szCs w:val="20"/>
    </w:rPr>
  </w:style>
  <w:style w:type="paragraph" w:customStyle="1" w:styleId="block-p-3">
    <w:name w:val="block-p/-/+"/>
    <w:basedOn w:val="Normal"/>
    <w:autoRedefine/>
    <w:semiHidden/>
    <w:qFormat/>
    <w:pPr>
      <w:spacing w:after="240" w:line="240" w:lineRule="auto"/>
      <w:ind w:left="720" w:firstLine="720"/>
    </w:pPr>
    <w:rPr>
      <w:rFonts w:ascii="Times New Roman" w:hAnsi="Times New Roman"/>
      <w:sz w:val="20"/>
    </w:rPr>
  </w:style>
  <w:style w:type="paragraph" w:customStyle="1" w:styleId="boldflush">
    <w:name w:val="bold flush"/>
    <w:basedOn w:val="text"/>
    <w:autoRedefine/>
    <w:uiPriority w:val="99"/>
    <w:semiHidden/>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textAlignment w:val="center"/>
    </w:pPr>
    <w:rPr>
      <w:rFonts w:eastAsiaTheme="minorEastAsia" w:cs="ITC New Baskerville Std"/>
      <w:b/>
      <w:bCs/>
      <w:color w:val="000000"/>
      <w:szCs w:val="22"/>
    </w:rPr>
  </w:style>
  <w:style w:type="paragraph" w:customStyle="1" w:styleId="boldhead">
    <w:name w:val="bold head"/>
    <w:basedOn w:val="text"/>
    <w:autoRedefine/>
    <w:uiPriority w:val="99"/>
    <w:semiHidden/>
    <w:pPr>
      <w:widowControl w:val="0"/>
      <w:tabs>
        <w:tab w:val="clear" w:pos="4320"/>
        <w:tab w:val="clear" w:pos="5040"/>
        <w:tab w:val="clear" w:pos="5760"/>
        <w:tab w:val="left" w:pos="360"/>
        <w:tab w:val="left" w:pos="1080"/>
        <w:tab w:val="left" w:pos="1800"/>
      </w:tabs>
      <w:suppressAutoHyphens/>
      <w:autoSpaceDE w:val="0"/>
      <w:autoSpaceDN w:val="0"/>
      <w:adjustRightInd w:val="0"/>
      <w:spacing w:before="240" w:after="240"/>
      <w:ind w:firstLine="0"/>
      <w:textAlignment w:val="center"/>
    </w:pPr>
    <w:rPr>
      <w:rFonts w:eastAsiaTheme="minorEastAsia" w:cs="Times LT Std"/>
      <w:b/>
      <w:bCs/>
      <w:color w:val="000000"/>
      <w:szCs w:val="22"/>
    </w:rPr>
  </w:style>
  <w:style w:type="paragraph" w:customStyle="1" w:styleId="textflush">
    <w:name w:val="text flush"/>
    <w:basedOn w:val="Normal"/>
    <w:autoRedefine/>
    <w:uiPriority w:val="99"/>
    <w:semiHidden/>
    <w:qFormat/>
    <w:pPr>
      <w:spacing w:after="0" w:line="240" w:lineRule="auto"/>
    </w:pPr>
    <w:rPr>
      <w:rFonts w:ascii="Times New Roman" w:eastAsia="Calibri" w:hAnsi="Times New Roman" w:cs="ITC New Baskerville Std"/>
      <w:color w:val="000000"/>
      <w:sz w:val="24"/>
      <w:szCs w:val="24"/>
    </w:rPr>
  </w:style>
  <w:style w:type="paragraph" w:customStyle="1" w:styleId="boldheadflush">
    <w:name w:val="bold head flush"/>
    <w:basedOn w:val="textflush"/>
    <w:autoRedefine/>
    <w:uiPriority w:val="99"/>
    <w:semiHidden/>
    <w:pPr>
      <w:widowControl w:val="0"/>
      <w:suppressAutoHyphens/>
      <w:autoSpaceDE w:val="0"/>
      <w:autoSpaceDN w:val="0"/>
      <w:adjustRightInd w:val="0"/>
      <w:spacing w:before="240" w:after="240"/>
      <w:textAlignment w:val="center"/>
    </w:pPr>
    <w:rPr>
      <w:rFonts w:eastAsiaTheme="minorEastAsia"/>
      <w:b/>
      <w:bCs/>
      <w:szCs w:val="22"/>
    </w:rPr>
  </w:style>
  <w:style w:type="paragraph" w:customStyle="1" w:styleId="bolditalicflushheadA">
    <w:name w:val="bold italic flush head A."/>
    <w:basedOn w:val="Normal"/>
    <w:autoRedefine/>
    <w:uiPriority w:val="99"/>
    <w:semiHidden/>
    <w:pPr>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ITC New Baskerville Std"/>
      <w:b/>
      <w:bCs/>
      <w:i/>
      <w:iCs/>
      <w:color w:val="000000"/>
    </w:rPr>
  </w:style>
  <w:style w:type="paragraph" w:customStyle="1" w:styleId="boldnumberlist">
    <w:name w:val="bold number list"/>
    <w:basedOn w:val="textflush"/>
    <w:autoRedefine/>
    <w:uiPriority w:val="99"/>
    <w:semiHidden/>
    <w:pPr>
      <w:widowControl w:val="0"/>
      <w:tabs>
        <w:tab w:val="left" w:pos="420"/>
      </w:tabs>
      <w:autoSpaceDE w:val="0"/>
      <w:autoSpaceDN w:val="0"/>
      <w:adjustRightInd w:val="0"/>
      <w:spacing w:before="60"/>
      <w:ind w:left="420" w:hanging="420"/>
      <w:textAlignment w:val="center"/>
    </w:pPr>
    <w:rPr>
      <w:rFonts w:eastAsiaTheme="minorEastAsia" w:cs="Times LT Std"/>
      <w:b/>
      <w:bCs/>
      <w:szCs w:val="22"/>
    </w:rPr>
  </w:style>
  <w:style w:type="paragraph" w:customStyle="1" w:styleId="bulletliststart">
    <w:name w:val="bullet list start"/>
    <w:basedOn w:val="Normal"/>
    <w:autoRedefine/>
    <w:uiPriority w:val="99"/>
    <w:semiHidden/>
    <w:qFormat/>
    <w:pPr>
      <w:spacing w:before="240" w:after="0" w:line="240" w:lineRule="auto"/>
      <w:ind w:left="619" w:hanging="180"/>
    </w:pPr>
    <w:rPr>
      <w:rFonts w:ascii="Times New Roman" w:hAnsi="Times New Roman"/>
      <w:sz w:val="24"/>
    </w:rPr>
  </w:style>
  <w:style w:type="paragraph" w:customStyle="1" w:styleId="bullet">
    <w:name w:val="bullet"/>
    <w:basedOn w:val="bulletliststart"/>
    <w:autoRedefine/>
    <w:uiPriority w:val="99"/>
    <w:semiHidden/>
    <w:qFormat/>
    <w:pPr>
      <w:spacing w:before="0"/>
    </w:pPr>
    <w:rPr>
      <w:rFonts w:eastAsia="Times New Roman" w:cs="Times New Roman"/>
    </w:rPr>
  </w:style>
  <w:style w:type="paragraph" w:customStyle="1" w:styleId="bulletdash">
    <w:name w:val="bullet dash"/>
    <w:basedOn w:val="Normal"/>
    <w:autoRedefine/>
    <w:uiPriority w:val="99"/>
    <w:semiHidden/>
    <w:pPr>
      <w:widowControl w:val="0"/>
      <w:tabs>
        <w:tab w:val="left" w:pos="900"/>
      </w:tabs>
      <w:autoSpaceDE w:val="0"/>
      <w:autoSpaceDN w:val="0"/>
      <w:adjustRightInd w:val="0"/>
      <w:spacing w:after="0" w:line="240" w:lineRule="auto"/>
      <w:ind w:left="900" w:hanging="180"/>
      <w:jc w:val="both"/>
      <w:textAlignment w:val="center"/>
    </w:pPr>
    <w:rPr>
      <w:rFonts w:ascii="Times New Roman" w:hAnsi="Times New Roman" w:cs="Times LT Std"/>
      <w:color w:val="000000"/>
      <w:sz w:val="24"/>
    </w:rPr>
  </w:style>
  <w:style w:type="paragraph" w:customStyle="1" w:styleId="bulletend">
    <w:name w:val="bullet end"/>
    <w:basedOn w:val="Normal"/>
    <w:autoRedefine/>
    <w:uiPriority w:val="99"/>
    <w:semiHidden/>
    <w:pPr>
      <w:spacing w:after="240" w:line="240" w:lineRule="auto"/>
      <w:ind w:left="619" w:hanging="180"/>
    </w:pPr>
    <w:rPr>
      <w:rFonts w:ascii="Times New Roman" w:hAnsi="Times New Roman" w:cs="Times New Roman"/>
      <w:sz w:val="24"/>
    </w:rPr>
  </w:style>
  <w:style w:type="paragraph" w:customStyle="1" w:styleId="bulletlist">
    <w:name w:val="bullet list"/>
    <w:basedOn w:val="bulletliststart"/>
    <w:autoRedefine/>
    <w:uiPriority w:val="99"/>
    <w:semiHidden/>
    <w:qFormat/>
    <w:pPr>
      <w:spacing w:before="0"/>
    </w:pPr>
  </w:style>
  <w:style w:type="paragraph" w:customStyle="1" w:styleId="BulletList0">
    <w:name w:val="Bullet List"/>
    <w:basedOn w:val="Normal"/>
    <w:autoRedefine/>
    <w:semiHidden/>
    <w:qFormat/>
    <w:pPr>
      <w:spacing w:after="0" w:line="240" w:lineRule="auto"/>
      <w:ind w:left="619" w:hanging="180"/>
    </w:pPr>
    <w:rPr>
      <w:rFonts w:ascii="Times New Roman" w:hAnsi="Times New Roman"/>
      <w:sz w:val="24"/>
    </w:rPr>
  </w:style>
  <w:style w:type="paragraph" w:customStyle="1" w:styleId="bulletlistend">
    <w:name w:val="bullet list end"/>
    <w:basedOn w:val="bulletlist"/>
    <w:autoRedefine/>
    <w:uiPriority w:val="99"/>
    <w:semiHidden/>
    <w:qFormat/>
    <w:pPr>
      <w:spacing w:after="240"/>
    </w:pPr>
  </w:style>
  <w:style w:type="paragraph" w:customStyle="1" w:styleId="bulletlistspaceabove">
    <w:name w:val="bullet list space above"/>
    <w:basedOn w:val="bulletlist"/>
    <w:autoRedefine/>
    <w:uiPriority w:val="99"/>
    <w:semiHidden/>
    <w:pPr>
      <w:widowControl w:val="0"/>
      <w:tabs>
        <w:tab w:val="left" w:pos="660"/>
      </w:tabs>
      <w:autoSpaceDE w:val="0"/>
      <w:autoSpaceDN w:val="0"/>
      <w:adjustRightInd w:val="0"/>
      <w:spacing w:before="240"/>
      <w:textAlignment w:val="center"/>
    </w:pPr>
    <w:rPr>
      <w:rFonts w:cs="ITC New Baskerville Std"/>
      <w:color w:val="000000"/>
      <w:szCs w:val="24"/>
    </w:rPr>
  </w:style>
  <w:style w:type="paragraph" w:customStyle="1" w:styleId="bulletlistblpnl">
    <w:name w:val="bullet list/ bl/pnl"/>
    <w:basedOn w:val="bulletlist"/>
    <w:autoRedefine/>
    <w:uiPriority w:val="99"/>
    <w:semiHidden/>
    <w:pPr>
      <w:widowControl w:val="0"/>
      <w:tabs>
        <w:tab w:val="left" w:pos="1140"/>
      </w:tabs>
      <w:autoSpaceDE w:val="0"/>
      <w:autoSpaceDN w:val="0"/>
      <w:adjustRightInd w:val="0"/>
      <w:ind w:left="1140" w:hanging="480"/>
      <w:textAlignment w:val="center"/>
    </w:pPr>
    <w:rPr>
      <w:rFonts w:cs="Times LT Std"/>
      <w:color w:val="000000"/>
    </w:rPr>
  </w:style>
  <w:style w:type="paragraph" w:customStyle="1" w:styleId="bulletnumberbullet">
    <w:name w:val="bullet number/bullet"/>
    <w:basedOn w:val="Normal"/>
    <w:autoRedefine/>
    <w:uiPriority w:val="99"/>
    <w:semiHidden/>
    <w:pPr>
      <w:widowControl w:val="0"/>
      <w:tabs>
        <w:tab w:val="left" w:pos="940"/>
      </w:tabs>
      <w:autoSpaceDE w:val="0"/>
      <w:autoSpaceDN w:val="0"/>
      <w:adjustRightInd w:val="0"/>
      <w:spacing w:after="0" w:line="240" w:lineRule="auto"/>
      <w:ind w:left="941" w:hanging="180"/>
      <w:textAlignment w:val="center"/>
    </w:pPr>
    <w:rPr>
      <w:rFonts w:ascii="Times New Roman" w:hAnsi="Times New Roman" w:cs="Times LT Std"/>
      <w:color w:val="000000"/>
      <w:sz w:val="20"/>
      <w:szCs w:val="20"/>
    </w:rPr>
  </w:style>
  <w:style w:type="paragraph" w:customStyle="1" w:styleId="bulletspaceabove">
    <w:name w:val="bullet space above"/>
    <w:basedOn w:val="Normal"/>
    <w:autoRedefine/>
    <w:uiPriority w:val="99"/>
    <w:semiHidden/>
    <w:qFormat/>
    <w:pPr>
      <w:spacing w:before="240" w:after="0" w:line="240" w:lineRule="auto"/>
      <w:ind w:left="619" w:hanging="180"/>
    </w:pPr>
    <w:rPr>
      <w:rFonts w:ascii="Times New Roman" w:hAnsi="Times New Roman"/>
      <w:sz w:val="24"/>
    </w:rPr>
  </w:style>
  <w:style w:type="paragraph" w:customStyle="1" w:styleId="bulletspacebelow">
    <w:name w:val="bullet space below"/>
    <w:basedOn w:val="bulletspaceabove"/>
    <w:autoRedefine/>
    <w:semiHidden/>
    <w:qFormat/>
    <w:pPr>
      <w:spacing w:before="0" w:after="240"/>
    </w:pPr>
  </w:style>
  <w:style w:type="paragraph" w:customStyle="1" w:styleId="bulletstart">
    <w:name w:val="bullet start"/>
    <w:basedOn w:val="bullet"/>
    <w:autoRedefine/>
    <w:uiPriority w:val="99"/>
    <w:semiHidden/>
    <w:pPr>
      <w:widowControl w:val="0"/>
      <w:tabs>
        <w:tab w:val="left" w:pos="620"/>
      </w:tabs>
      <w:autoSpaceDE w:val="0"/>
      <w:autoSpaceDN w:val="0"/>
      <w:adjustRightInd w:val="0"/>
      <w:spacing w:before="240"/>
      <w:jc w:val="both"/>
      <w:textAlignment w:val="center"/>
    </w:pPr>
    <w:rPr>
      <w:rFonts w:cs="ITC New Baskerville Std"/>
      <w:color w:val="000000"/>
    </w:rPr>
  </w:style>
  <w:style w:type="paragraph" w:customStyle="1" w:styleId="bulletbullet">
    <w:name w:val="bullet/bullet"/>
    <w:basedOn w:val="bulletlist"/>
    <w:autoRedefine/>
    <w:uiPriority w:val="99"/>
    <w:semiHidden/>
    <w:pPr>
      <w:widowControl w:val="0"/>
      <w:tabs>
        <w:tab w:val="left" w:pos="800"/>
      </w:tabs>
      <w:autoSpaceDE w:val="0"/>
      <w:autoSpaceDN w:val="0"/>
      <w:adjustRightInd w:val="0"/>
      <w:ind w:left="1080"/>
      <w:textAlignment w:val="center"/>
    </w:pPr>
    <w:rPr>
      <w:rFonts w:cs="Times LT Std"/>
      <w:color w:val="000000"/>
    </w:rPr>
  </w:style>
  <w:style w:type="paragraph" w:customStyle="1" w:styleId="bulletdash0">
    <w:name w:val="bullet/dash"/>
    <w:basedOn w:val="Normal"/>
    <w:autoRedefine/>
    <w:semiHidden/>
    <w:qFormat/>
    <w:pPr>
      <w:tabs>
        <w:tab w:val="left" w:pos="900"/>
      </w:tabs>
      <w:spacing w:after="0" w:line="240" w:lineRule="auto"/>
      <w:ind w:left="900" w:hanging="180"/>
    </w:pPr>
    <w:rPr>
      <w:rFonts w:ascii="Times New Roman" w:hAnsi="Times New Roman"/>
      <w:sz w:val="24"/>
    </w:rPr>
  </w:style>
  <w:style w:type="paragraph" w:customStyle="1" w:styleId="caseheadbolditalic">
    <w:name w:val="case head (bold italic)"/>
    <w:basedOn w:val="text"/>
    <w:autoRedefine/>
    <w:uiPriority w:val="99"/>
    <w:semiHidden/>
    <w:pPr>
      <w:keepNext/>
      <w:widowControl w:val="0"/>
      <w:tabs>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before="240" w:after="240"/>
      <w:ind w:firstLine="0"/>
      <w:textAlignment w:val="center"/>
    </w:pPr>
    <w:rPr>
      <w:rFonts w:eastAsiaTheme="minorEastAsia" w:cs="ITC New Baskerville Std"/>
      <w:b/>
      <w:bCs/>
      <w:i/>
      <w:iCs/>
      <w:color w:val="000000"/>
      <w:szCs w:val="22"/>
    </w:rPr>
  </w:style>
  <w:style w:type="paragraph" w:customStyle="1" w:styleId="caseheadunderscore">
    <w:name w:val="case head (underscore)"/>
    <w:basedOn w:val="text"/>
    <w:autoRedefine/>
    <w:uiPriority w:val="99"/>
    <w:semiHidden/>
    <w:pPr>
      <w:keepNext/>
      <w:widowControl w:val="0"/>
      <w:tabs>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after="120"/>
      <w:ind w:firstLine="0"/>
      <w:textAlignment w:val="center"/>
    </w:pPr>
    <w:rPr>
      <w:rFonts w:eastAsiaTheme="minorEastAsia" w:cs="ITC New Baskerville Std"/>
      <w:color w:val="000000"/>
      <w:szCs w:val="22"/>
      <w:u w:val="thick"/>
    </w:rPr>
  </w:style>
  <w:style w:type="paragraph" w:customStyle="1" w:styleId="caseheadunderscorespaceabove">
    <w:name w:val="case head (underscore + space above)"/>
    <w:basedOn w:val="caseheadunderscore"/>
    <w:autoRedefine/>
    <w:uiPriority w:val="99"/>
    <w:semiHidden/>
    <w:pPr>
      <w:spacing w:before="240" w:after="240"/>
    </w:pPr>
  </w:style>
  <w:style w:type="paragraph" w:customStyle="1" w:styleId="chspacebelownoneabove">
    <w:name w:val="ch space below / none above"/>
    <w:basedOn w:val="Normal"/>
    <w:next w:val="Normal"/>
    <w:autoRedefine/>
    <w:uiPriority w:val="99"/>
    <w:semiHidden/>
    <w:pPr>
      <w:keepNext/>
      <w:widowControl w:val="0"/>
      <w:suppressAutoHyphens/>
      <w:autoSpaceDE w:val="0"/>
      <w:autoSpaceDN w:val="0"/>
      <w:adjustRightInd w:val="0"/>
      <w:spacing w:after="240" w:line="240" w:lineRule="auto"/>
      <w:jc w:val="center"/>
      <w:textAlignment w:val="center"/>
    </w:pPr>
    <w:rPr>
      <w:rFonts w:ascii="Times New Roman" w:hAnsi="Times New Roman" w:cs="ITC New Baskerville Std"/>
      <w:smallCaps/>
      <w:color w:val="000000"/>
      <w:sz w:val="24"/>
      <w:szCs w:val="24"/>
    </w:rPr>
  </w:style>
  <w:style w:type="paragraph" w:customStyle="1" w:styleId="ChapterNumber">
    <w:name w:val="Chapter Number"/>
    <w:basedOn w:val="Normal"/>
    <w:next w:val="Normal"/>
    <w:autoRedefine/>
    <w:uiPriority w:val="99"/>
    <w:semiHidden/>
    <w:qFormat/>
    <w:pPr>
      <w:widowControl w:val="0"/>
      <w:suppressAutoHyphens/>
      <w:autoSpaceDE w:val="0"/>
      <w:autoSpaceDN w:val="0"/>
      <w:adjustRightInd w:val="0"/>
      <w:spacing w:after="240" w:line="240" w:lineRule="auto"/>
      <w:jc w:val="center"/>
      <w:textAlignment w:val="center"/>
    </w:pPr>
    <w:rPr>
      <w:rFonts w:ascii="Times New Roman" w:hAnsi="Times New Roman" w:cs="Times New Roman"/>
      <w:smallCaps/>
      <w:color w:val="000000"/>
      <w:sz w:val="20"/>
      <w:szCs w:val="28"/>
    </w:rPr>
  </w:style>
  <w:style w:type="paragraph" w:customStyle="1" w:styleId="chapternumber0">
    <w:name w:val="chapter number"/>
    <w:basedOn w:val="Normal"/>
    <w:autoRedefine/>
    <w:uiPriority w:val="99"/>
    <w:semiHidden/>
    <w:pPr>
      <w:widowControl w:val="0"/>
      <w:suppressAutoHyphens/>
      <w:autoSpaceDE w:val="0"/>
      <w:autoSpaceDN w:val="0"/>
      <w:adjustRightInd w:val="0"/>
      <w:spacing w:after="240" w:line="240" w:lineRule="auto"/>
      <w:textAlignment w:val="center"/>
    </w:pPr>
    <w:rPr>
      <w:rFonts w:ascii="Times New Roman" w:eastAsia="Times New Roman" w:hAnsi="Times New Roman" w:cs="ITC New Baskerville Std"/>
      <w:b/>
      <w:bCs/>
      <w:color w:val="000000"/>
      <w:sz w:val="28"/>
      <w:szCs w:val="56"/>
    </w:rPr>
  </w:style>
  <w:style w:type="paragraph" w:customStyle="1" w:styleId="ChapterTitle">
    <w:name w:val="Chapter Title"/>
    <w:basedOn w:val="ChapterNumber"/>
    <w:autoRedefine/>
    <w:uiPriority w:val="99"/>
    <w:semiHidden/>
    <w:qFormat/>
    <w:pPr>
      <w:spacing w:after="720"/>
    </w:pPr>
    <w:rPr>
      <w:b/>
      <w:smallCaps w:val="0"/>
      <w:sz w:val="28"/>
      <w:szCs w:val="40"/>
    </w:rPr>
  </w:style>
  <w:style w:type="paragraph" w:customStyle="1" w:styleId="chaptertitle0">
    <w:name w:val="chapter title"/>
    <w:basedOn w:val="Normal"/>
    <w:autoRedefine/>
    <w:uiPriority w:val="99"/>
    <w:semiHidden/>
    <w:qFormat/>
    <w:pPr>
      <w:spacing w:after="240" w:line="240" w:lineRule="auto"/>
    </w:pPr>
    <w:rPr>
      <w:rFonts w:ascii="Times New Roman" w:hAnsi="Times New Roman"/>
      <w:sz w:val="28"/>
    </w:rPr>
  </w:style>
  <w:style w:type="paragraph" w:customStyle="1" w:styleId="ChapterTitle14ptBoldCentered">
    <w:name w:val="Chapter Title 14 pt Bold Centered"/>
    <w:basedOn w:val="Normal"/>
    <w:autoRedefine/>
    <w:semiHidden/>
    <w:qFormat/>
    <w:pPr>
      <w:spacing w:after="480" w:line="240" w:lineRule="auto"/>
      <w:jc w:val="center"/>
    </w:pPr>
    <w:rPr>
      <w:rFonts w:ascii="Times New Roman" w:hAnsi="Times New Roman"/>
      <w:b/>
      <w:caps/>
      <w:sz w:val="28"/>
    </w:rPr>
  </w:style>
  <w:style w:type="paragraph" w:customStyle="1" w:styleId="dhscpapertitle">
    <w:name w:val="dh s/c paper title"/>
    <w:basedOn w:val="Normal"/>
    <w:autoRedefine/>
    <w:uiPriority w:val="99"/>
    <w:semiHidden/>
    <w:pPr>
      <w:widowControl w:val="0"/>
      <w:autoSpaceDE w:val="0"/>
      <w:autoSpaceDN w:val="0"/>
      <w:adjustRightInd w:val="0"/>
      <w:spacing w:after="240" w:line="240" w:lineRule="auto"/>
      <w:jc w:val="center"/>
      <w:textAlignment w:val="center"/>
    </w:pPr>
    <w:rPr>
      <w:rFonts w:ascii="Times New Roman" w:hAnsi="Times New Roman" w:cs="ITC New Baskerville Std"/>
      <w:smallCaps/>
      <w:color w:val="000000"/>
      <w:sz w:val="24"/>
      <w:szCs w:val="20"/>
    </w:rPr>
  </w:style>
  <w:style w:type="paragraph" w:customStyle="1" w:styleId="flushitalichead">
    <w:name w:val="flush italic head"/>
    <w:basedOn w:val="3rdlevelhead1i"/>
    <w:autoRedefine/>
    <w:uiPriority w:val="99"/>
    <w:semiHidden/>
    <w:pPr>
      <w:keepNext/>
      <w:widowControl w:val="0"/>
      <w:suppressAutoHyphens/>
      <w:autoSpaceDE w:val="0"/>
      <w:autoSpaceDN w:val="0"/>
      <w:adjustRightInd w:val="0"/>
      <w:ind w:left="0" w:firstLine="0"/>
      <w:textAlignment w:val="center"/>
    </w:pPr>
    <w:rPr>
      <w:rFonts w:cs="ITC New Baskerville Std"/>
      <w:iCs/>
      <w:color w:val="000000"/>
    </w:rPr>
  </w:style>
  <w:style w:type="paragraph" w:customStyle="1" w:styleId="flushitalichead-">
    <w:name w:val="flush italic head -/+"/>
    <w:basedOn w:val="flushitalichead"/>
    <w:autoRedefine/>
    <w:uiPriority w:val="99"/>
    <w:semiHidden/>
    <w:pPr>
      <w:keepNext w:val="0"/>
      <w:suppressAutoHyphens w:val="0"/>
      <w:spacing w:before="0"/>
    </w:pPr>
  </w:style>
  <w:style w:type="paragraph" w:customStyle="1" w:styleId="footnote0">
    <w:name w:val="footnote *"/>
    <w:basedOn w:val="footnote"/>
    <w:autoRedefine/>
    <w:uiPriority w:val="99"/>
    <w:semiHidden/>
    <w:pPr>
      <w:pBdr>
        <w:top w:val="single" w:sz="4" w:space="12" w:color="auto"/>
      </w:pBdr>
      <w:autoSpaceDE w:val="0"/>
      <w:autoSpaceDN w:val="0"/>
      <w:adjustRightInd w:val="0"/>
      <w:textAlignment w:val="center"/>
    </w:pPr>
    <w:rPr>
      <w:rFonts w:cs="Times LT Std"/>
      <w:color w:val="000000"/>
      <w:szCs w:val="18"/>
    </w:rPr>
  </w:style>
  <w:style w:type="paragraph" w:customStyle="1" w:styleId="Footnote1">
    <w:name w:val="Footnote *"/>
    <w:basedOn w:val="Normal"/>
    <w:autoRedefine/>
    <w:uiPriority w:val="99"/>
    <w:semiHidden/>
    <w:pPr>
      <w:pBdr>
        <w:top w:val="single" w:sz="4" w:space="12" w:color="auto"/>
      </w:pBdr>
      <w:autoSpaceDE w:val="0"/>
      <w:autoSpaceDN w:val="0"/>
      <w:adjustRightInd w:val="0"/>
      <w:spacing w:after="0" w:line="240" w:lineRule="auto"/>
      <w:ind w:firstLine="720"/>
      <w:textAlignment w:val="center"/>
    </w:pPr>
    <w:rPr>
      <w:rFonts w:ascii="Times New Roman" w:hAnsi="Times New Roman" w:cs="Times New Roman"/>
      <w:color w:val="000000"/>
      <w:sz w:val="20"/>
      <w:szCs w:val="18"/>
    </w:rPr>
  </w:style>
  <w:style w:type="paragraph" w:customStyle="1" w:styleId="footnoteindent">
    <w:name w:val="footnote indent"/>
    <w:basedOn w:val="Normal"/>
    <w:autoRedefine/>
    <w:uiPriority w:val="99"/>
    <w:semiHidden/>
    <w:pPr>
      <w:widowControl w:val="0"/>
      <w:autoSpaceDE w:val="0"/>
      <w:autoSpaceDN w:val="0"/>
      <w:adjustRightInd w:val="0"/>
      <w:spacing w:after="0" w:line="240" w:lineRule="auto"/>
      <w:ind w:left="720"/>
      <w:textAlignment w:val="center"/>
    </w:pPr>
    <w:rPr>
      <w:rFonts w:ascii="Times New Roman" w:hAnsi="Times New Roman" w:cs="ITC New Baskerville Std"/>
      <w:color w:val="000000"/>
      <w:sz w:val="20"/>
      <w:szCs w:val="16"/>
    </w:rPr>
  </w:style>
  <w:style w:type="paragraph" w:customStyle="1" w:styleId="footnote2ndindent">
    <w:name w:val="footnote 2nd indent"/>
    <w:basedOn w:val="footnoteindent"/>
    <w:autoRedefine/>
    <w:uiPriority w:val="99"/>
    <w:semiHidden/>
  </w:style>
  <w:style w:type="paragraph" w:customStyle="1" w:styleId="footnote2ndindentwpara">
    <w:name w:val="footnote 2nd indent w/para"/>
    <w:basedOn w:val="Normal"/>
    <w:autoRedefine/>
    <w:uiPriority w:val="99"/>
    <w:semiHidden/>
    <w:pPr>
      <w:widowControl w:val="0"/>
      <w:autoSpaceDE w:val="0"/>
      <w:autoSpaceDN w:val="0"/>
      <w:adjustRightInd w:val="0"/>
      <w:spacing w:after="240" w:line="240" w:lineRule="auto"/>
      <w:ind w:left="720" w:firstLine="720"/>
      <w:textAlignment w:val="center"/>
    </w:pPr>
    <w:rPr>
      <w:rFonts w:ascii="Times New Roman" w:hAnsi="Times New Roman" w:cs="ITC New Baskerville Std"/>
      <w:color w:val="000000"/>
      <w:sz w:val="20"/>
      <w:szCs w:val="16"/>
    </w:rPr>
  </w:style>
  <w:style w:type="paragraph" w:customStyle="1" w:styleId="footnotebl">
    <w:name w:val="footnote bl"/>
    <w:basedOn w:val="Normal"/>
    <w:autoRedefine/>
    <w:uiPriority w:val="99"/>
    <w:semiHidden/>
    <w:pPr>
      <w:widowControl w:val="0"/>
      <w:tabs>
        <w:tab w:val="left" w:pos="540"/>
      </w:tabs>
      <w:autoSpaceDE w:val="0"/>
      <w:autoSpaceDN w:val="0"/>
      <w:adjustRightInd w:val="0"/>
      <w:spacing w:after="0" w:line="240" w:lineRule="auto"/>
      <w:ind w:left="540" w:hanging="180"/>
      <w:textAlignment w:val="center"/>
    </w:pPr>
    <w:rPr>
      <w:rFonts w:ascii="Times New Roman" w:hAnsi="Times New Roman" w:cs="ITC New Baskerville Std"/>
      <w:color w:val="000000"/>
      <w:sz w:val="20"/>
      <w:szCs w:val="18"/>
    </w:rPr>
  </w:style>
  <w:style w:type="paragraph" w:customStyle="1" w:styleId="footnoteblock">
    <w:name w:val="footnote block"/>
    <w:basedOn w:val="footnote"/>
    <w:autoRedefine/>
    <w:uiPriority w:val="99"/>
    <w:semiHidden/>
    <w:qFormat/>
    <w:pPr>
      <w:autoSpaceDE w:val="0"/>
      <w:autoSpaceDN w:val="0"/>
      <w:adjustRightInd w:val="0"/>
      <w:ind w:left="720" w:firstLine="0"/>
      <w:textAlignment w:val="center"/>
    </w:pPr>
    <w:rPr>
      <w:rFonts w:cs="ITC New Baskerville Std"/>
      <w:color w:val="000000"/>
      <w:szCs w:val="18"/>
    </w:rPr>
  </w:style>
  <w:style w:type="paragraph" w:customStyle="1" w:styleId="footnoteblockindent">
    <w:name w:val="footnote block indent"/>
    <w:basedOn w:val="footnote"/>
    <w:autoRedefine/>
    <w:uiPriority w:val="99"/>
    <w:semiHidden/>
    <w:pPr>
      <w:autoSpaceDE w:val="0"/>
      <w:autoSpaceDN w:val="0"/>
      <w:adjustRightInd w:val="0"/>
      <w:spacing w:before="40"/>
      <w:ind w:left="720" w:firstLine="0"/>
      <w:textAlignment w:val="center"/>
    </w:pPr>
    <w:rPr>
      <w:rFonts w:cs="NewCenturySchlbk"/>
      <w:color w:val="000000"/>
      <w:szCs w:val="18"/>
    </w:rPr>
  </w:style>
  <w:style w:type="paragraph" w:customStyle="1" w:styleId="footnoteblockindentnoparaindent">
    <w:name w:val="footnote block indent (no para indent)"/>
    <w:basedOn w:val="footnote"/>
    <w:autoRedefine/>
    <w:uiPriority w:val="99"/>
    <w:semiHidden/>
    <w:pPr>
      <w:autoSpaceDE w:val="0"/>
      <w:autoSpaceDN w:val="0"/>
      <w:adjustRightInd w:val="0"/>
      <w:ind w:left="720" w:firstLine="0"/>
      <w:textAlignment w:val="center"/>
    </w:pPr>
    <w:rPr>
      <w:rFonts w:cs="NewCenturySchlbk"/>
      <w:color w:val="000000"/>
      <w:szCs w:val="16"/>
    </w:rPr>
  </w:style>
  <w:style w:type="paragraph" w:customStyle="1" w:styleId="footnoteblockindentwpara">
    <w:name w:val="footnote block indent w/ para"/>
    <w:basedOn w:val="footnoteblockindentnoparaindent"/>
    <w:autoRedefine/>
    <w:uiPriority w:val="99"/>
    <w:semiHidden/>
    <w:pPr>
      <w:ind w:firstLine="720"/>
    </w:pPr>
  </w:style>
  <w:style w:type="paragraph" w:customStyle="1" w:styleId="footnoteblockwithparaindent">
    <w:name w:val="footnote block with para indent"/>
    <w:basedOn w:val="footnoteblock"/>
    <w:autoRedefine/>
    <w:uiPriority w:val="99"/>
    <w:semiHidden/>
    <w:qFormat/>
    <w:pPr>
      <w:ind w:firstLine="720"/>
    </w:pPr>
  </w:style>
  <w:style w:type="paragraph" w:customStyle="1" w:styleId="footnotebulletlist">
    <w:name w:val="footnote bullet list"/>
    <w:basedOn w:val="Normal"/>
    <w:autoRedefine/>
    <w:uiPriority w:val="99"/>
    <w:semiHidden/>
    <w:pPr>
      <w:widowControl w:val="0"/>
      <w:tabs>
        <w:tab w:val="left" w:pos="620"/>
      </w:tabs>
      <w:autoSpaceDE w:val="0"/>
      <w:autoSpaceDN w:val="0"/>
      <w:adjustRightInd w:val="0"/>
      <w:spacing w:after="0" w:line="240" w:lineRule="auto"/>
      <w:ind w:left="900" w:hanging="180"/>
      <w:textAlignment w:val="center"/>
    </w:pPr>
    <w:rPr>
      <w:rFonts w:ascii="Times New Roman" w:hAnsi="Times New Roman" w:cs="Times LT Std"/>
      <w:color w:val="000000"/>
      <w:sz w:val="20"/>
      <w:szCs w:val="16"/>
    </w:rPr>
  </w:style>
  <w:style w:type="paragraph" w:customStyle="1" w:styleId="footnotecircuit">
    <w:name w:val="footnote circuit"/>
    <w:basedOn w:val="Normal"/>
    <w:autoRedefine/>
    <w:uiPriority w:val="99"/>
    <w:semiHidden/>
    <w:pPr>
      <w:widowControl w:val="0"/>
      <w:tabs>
        <w:tab w:val="left" w:pos="1680"/>
      </w:tabs>
      <w:autoSpaceDE w:val="0"/>
      <w:autoSpaceDN w:val="0"/>
      <w:adjustRightInd w:val="0"/>
      <w:spacing w:after="0" w:line="240" w:lineRule="auto"/>
      <w:ind w:left="2040" w:hanging="1320"/>
      <w:textAlignment w:val="center"/>
    </w:pPr>
    <w:rPr>
      <w:rFonts w:ascii="Times New Roman" w:hAnsi="Times New Roman" w:cs="Times LT Std"/>
      <w:color w:val="000000"/>
      <w:sz w:val="20"/>
      <w:szCs w:val="18"/>
    </w:rPr>
  </w:style>
  <w:style w:type="paragraph" w:customStyle="1" w:styleId="footnoteflush">
    <w:name w:val="footnote flush"/>
    <w:basedOn w:val="Normal"/>
    <w:autoRedefine/>
    <w:uiPriority w:val="99"/>
    <w:semiHidden/>
    <w:qFormat/>
    <w:pPr>
      <w:widowControl w:val="0"/>
      <w:autoSpaceDE w:val="0"/>
      <w:autoSpaceDN w:val="0"/>
      <w:adjustRightInd w:val="0"/>
      <w:spacing w:after="0" w:line="240" w:lineRule="auto"/>
      <w:textAlignment w:val="center"/>
    </w:pPr>
    <w:rPr>
      <w:rFonts w:ascii="Times New Roman" w:hAnsi="Times New Roman" w:cs="ITC New Baskerville Std"/>
      <w:color w:val="000000"/>
      <w:sz w:val="20"/>
      <w:szCs w:val="16"/>
    </w:rPr>
  </w:style>
  <w:style w:type="paragraph" w:customStyle="1" w:styleId="footnoteindentpara">
    <w:name w:val="footnote indent / para"/>
    <w:basedOn w:val="footnoteindent"/>
    <w:autoRedefine/>
    <w:uiPriority w:val="99"/>
    <w:semiHidden/>
    <w:pPr>
      <w:ind w:firstLine="720"/>
    </w:pPr>
    <w:rPr>
      <w:rFonts w:cs="Times LT Std"/>
      <w:szCs w:val="19"/>
    </w:rPr>
  </w:style>
  <w:style w:type="paragraph" w:customStyle="1" w:styleId="footnoteindentflush">
    <w:name w:val="footnote indent flush"/>
    <w:basedOn w:val="Normal"/>
    <w:autoRedefine/>
    <w:uiPriority w:val="99"/>
    <w:semiHidden/>
    <w:qFormat/>
    <w:pPr>
      <w:widowControl w:val="0"/>
      <w:autoSpaceDE w:val="0"/>
      <w:autoSpaceDN w:val="0"/>
      <w:adjustRightInd w:val="0"/>
      <w:spacing w:before="40" w:after="40" w:line="240" w:lineRule="auto"/>
      <w:ind w:left="720"/>
      <w:textAlignment w:val="center"/>
    </w:pPr>
    <w:rPr>
      <w:rFonts w:ascii="Times New Roman" w:hAnsi="Times New Roman" w:cs="Times LT Std"/>
      <w:color w:val="000000"/>
      <w:sz w:val="20"/>
      <w:szCs w:val="18"/>
    </w:rPr>
  </w:style>
  <w:style w:type="paragraph" w:customStyle="1" w:styleId="footnoteindentparaindent">
    <w:name w:val="footnote indent para indent"/>
    <w:basedOn w:val="Normal"/>
    <w:autoRedefine/>
    <w:uiPriority w:val="99"/>
    <w:semiHidden/>
    <w:pPr>
      <w:widowControl w:val="0"/>
      <w:autoSpaceDE w:val="0"/>
      <w:autoSpaceDN w:val="0"/>
      <w:adjustRightInd w:val="0"/>
      <w:spacing w:after="0" w:line="240" w:lineRule="auto"/>
      <w:ind w:left="720" w:firstLine="720"/>
      <w:textAlignment w:val="center"/>
    </w:pPr>
    <w:rPr>
      <w:rFonts w:ascii="Times New Roman" w:hAnsi="Times New Roman" w:cs="Times LT Std"/>
      <w:color w:val="000000"/>
      <w:sz w:val="20"/>
      <w:szCs w:val="18"/>
    </w:rPr>
  </w:style>
  <w:style w:type="paragraph" w:customStyle="1" w:styleId="footnoteindentwpara">
    <w:name w:val="footnote indent w/para"/>
    <w:basedOn w:val="footnoteindent"/>
    <w:autoRedefine/>
    <w:uiPriority w:val="99"/>
    <w:semiHidden/>
  </w:style>
  <w:style w:type="paragraph" w:customStyle="1" w:styleId="footnoteindentwpnospace">
    <w:name w:val="footnote indent w/p no space"/>
    <w:basedOn w:val="footnoteindentwpara"/>
    <w:autoRedefine/>
    <w:uiPriority w:val="99"/>
    <w:semiHidden/>
  </w:style>
  <w:style w:type="paragraph" w:customStyle="1" w:styleId="footnoteindentwpara0">
    <w:name w:val="footnote indent/w para"/>
    <w:basedOn w:val="Normal"/>
    <w:autoRedefine/>
    <w:uiPriority w:val="99"/>
    <w:semiHidden/>
    <w:pPr>
      <w:widowControl w:val="0"/>
      <w:autoSpaceDE w:val="0"/>
      <w:autoSpaceDN w:val="0"/>
      <w:adjustRightInd w:val="0"/>
      <w:spacing w:after="0" w:line="240" w:lineRule="auto"/>
      <w:ind w:left="720" w:firstLine="720"/>
      <w:textAlignment w:val="center"/>
    </w:pPr>
    <w:rPr>
      <w:rFonts w:ascii="Times New Roman" w:hAnsi="Times New Roman" w:cs="Times LT Std"/>
      <w:color w:val="000000"/>
      <w:sz w:val="20"/>
      <w:szCs w:val="18"/>
    </w:rPr>
  </w:style>
  <w:style w:type="paragraph" w:customStyle="1" w:styleId="footnoteindent-p">
    <w:name w:val="footnote indent-p"/>
    <w:basedOn w:val="footnoteindent"/>
    <w:autoRedefine/>
    <w:uiPriority w:val="99"/>
    <w:semiHidden/>
    <w:pPr>
      <w:ind w:firstLine="720"/>
    </w:pPr>
    <w:rPr>
      <w:rFonts w:cs="Times LT Std"/>
      <w:szCs w:val="18"/>
    </w:rPr>
  </w:style>
  <w:style w:type="paragraph" w:customStyle="1" w:styleId="footnotenl">
    <w:name w:val="footnote nl"/>
    <w:basedOn w:val="footnoteindent"/>
    <w:autoRedefine/>
    <w:uiPriority w:val="99"/>
    <w:semiHidden/>
    <w:qFormat/>
    <w:pPr>
      <w:tabs>
        <w:tab w:val="left" w:pos="680"/>
      </w:tabs>
      <w:ind w:left="1032" w:hanging="312"/>
    </w:pPr>
  </w:style>
  <w:style w:type="paragraph" w:customStyle="1" w:styleId="footnotenlal">
    <w:name w:val="footnote nl/al"/>
    <w:basedOn w:val="footnotenl"/>
    <w:autoRedefine/>
    <w:uiPriority w:val="99"/>
    <w:semiHidden/>
    <w:qFormat/>
    <w:pPr>
      <w:tabs>
        <w:tab w:val="left" w:pos="1040"/>
      </w:tabs>
      <w:ind w:left="1440" w:hanging="360"/>
    </w:pPr>
  </w:style>
  <w:style w:type="paragraph" w:customStyle="1" w:styleId="footnotenumberlist">
    <w:name w:val="footnote number list"/>
    <w:basedOn w:val="Normal"/>
    <w:autoRedefine/>
    <w:uiPriority w:val="99"/>
    <w:semiHidden/>
    <w:pPr>
      <w:widowControl w:val="0"/>
      <w:tabs>
        <w:tab w:val="left" w:pos="600"/>
      </w:tabs>
      <w:autoSpaceDE w:val="0"/>
      <w:autoSpaceDN w:val="0"/>
      <w:adjustRightInd w:val="0"/>
      <w:spacing w:after="0" w:line="240" w:lineRule="auto"/>
      <w:ind w:left="960" w:hanging="240"/>
      <w:textAlignment w:val="center"/>
    </w:pPr>
    <w:rPr>
      <w:rFonts w:ascii="Times New Roman" w:hAnsi="Times New Roman" w:cs="Times LT Std"/>
      <w:color w:val="000000"/>
      <w:sz w:val="20"/>
      <w:szCs w:val="18"/>
    </w:rPr>
  </w:style>
  <w:style w:type="paragraph" w:customStyle="1" w:styleId="footnotenumberlist2ndlevel">
    <w:name w:val="footnote number list 2nd level"/>
    <w:basedOn w:val="footnotenumberlist"/>
    <w:autoRedefine/>
    <w:uiPriority w:val="99"/>
    <w:semiHidden/>
    <w:pPr>
      <w:tabs>
        <w:tab w:val="clear" w:pos="600"/>
        <w:tab w:val="left" w:pos="1080"/>
      </w:tabs>
      <w:spacing w:before="40"/>
      <w:ind w:left="1440" w:hanging="360"/>
    </w:pPr>
    <w:rPr>
      <w:rFonts w:cs="NewCenturySchlbk"/>
    </w:rPr>
  </w:style>
  <w:style w:type="paragraph" w:customStyle="1" w:styleId="footnotenumberpl">
    <w:name w:val="footnote number pl"/>
    <w:basedOn w:val="Normal"/>
    <w:autoRedefine/>
    <w:uiPriority w:val="99"/>
    <w:semiHidden/>
    <w:pPr>
      <w:widowControl w:val="0"/>
      <w:tabs>
        <w:tab w:val="left" w:pos="720"/>
      </w:tabs>
      <w:autoSpaceDE w:val="0"/>
      <w:autoSpaceDN w:val="0"/>
      <w:adjustRightInd w:val="0"/>
      <w:spacing w:after="0" w:line="240" w:lineRule="auto"/>
      <w:ind w:left="1080" w:hanging="360"/>
      <w:textAlignment w:val="center"/>
    </w:pPr>
    <w:rPr>
      <w:rFonts w:ascii="Times New Roman" w:hAnsi="Times New Roman" w:cs="Times LT Std"/>
      <w:color w:val="000000"/>
      <w:sz w:val="20"/>
      <w:szCs w:val="18"/>
    </w:rPr>
  </w:style>
  <w:style w:type="paragraph" w:customStyle="1" w:styleId="footnotepara">
    <w:name w:val="footnote para"/>
    <w:basedOn w:val="footnote"/>
    <w:autoRedefine/>
    <w:uiPriority w:val="99"/>
    <w:semiHidden/>
    <w:pPr>
      <w:autoSpaceDE w:val="0"/>
      <w:autoSpaceDN w:val="0"/>
      <w:adjustRightInd w:val="0"/>
      <w:textAlignment w:val="center"/>
    </w:pPr>
    <w:rPr>
      <w:rFonts w:cs="Times LT Std"/>
      <w:color w:val="000000"/>
      <w:szCs w:val="18"/>
    </w:rPr>
  </w:style>
  <w:style w:type="paragraph" w:customStyle="1" w:styleId="footnoteparaindent">
    <w:name w:val="footnote para indent"/>
    <w:basedOn w:val="Normal"/>
    <w:autoRedefine/>
    <w:uiPriority w:val="99"/>
    <w:semiHidden/>
    <w:qFormat/>
    <w:pPr>
      <w:widowControl w:val="0"/>
      <w:autoSpaceDE w:val="0"/>
      <w:autoSpaceDN w:val="0"/>
      <w:adjustRightInd w:val="0"/>
      <w:spacing w:after="0" w:line="240" w:lineRule="auto"/>
      <w:ind w:firstLine="720"/>
      <w:textAlignment w:val="center"/>
    </w:pPr>
    <w:rPr>
      <w:rFonts w:ascii="Times New Roman" w:hAnsi="Times New Roman" w:cs="ITC New Baskerville Std"/>
      <w:color w:val="000000"/>
      <w:sz w:val="20"/>
      <w:szCs w:val="16"/>
    </w:rPr>
  </w:style>
  <w:style w:type="character" w:styleId="FootnoteReference">
    <w:name w:val="footnote reference"/>
    <w:basedOn w:val="DefaultParagraphFont"/>
    <w:uiPriority w:val="99"/>
    <w:semiHidden/>
    <w:rPr>
      <w:rFonts w:ascii="Times New Roman" w:hAnsi="Times New Roman"/>
      <w:b w:val="0"/>
      <w:i w:val="0"/>
      <w:sz w:val="20"/>
      <w:vertAlign w:val="superscript"/>
    </w:rPr>
  </w:style>
  <w:style w:type="paragraph" w:customStyle="1" w:styleId="footnoteregpara">
    <w:name w:val="footnote reg para"/>
    <w:basedOn w:val="footnote"/>
    <w:autoRedefine/>
    <w:uiPriority w:val="99"/>
    <w:semiHidden/>
    <w:pPr>
      <w:autoSpaceDE w:val="0"/>
      <w:autoSpaceDN w:val="0"/>
      <w:adjustRightInd w:val="0"/>
      <w:textAlignment w:val="center"/>
    </w:pPr>
    <w:rPr>
      <w:rFonts w:cs="ITC New Baskerville Std"/>
      <w:color w:val="000000"/>
      <w:szCs w:val="18"/>
    </w:rPr>
  </w:style>
  <w:style w:type="paragraph" w:customStyle="1" w:styleId="footnoteregparaindent">
    <w:name w:val="footnote reg para indent"/>
    <w:basedOn w:val="footnote"/>
    <w:link w:val="footnoteregparaindentChar"/>
    <w:autoRedefine/>
    <w:uiPriority w:val="99"/>
    <w:semiHidden/>
    <w:pPr>
      <w:widowControl/>
      <w:autoSpaceDE w:val="0"/>
      <w:autoSpaceDN w:val="0"/>
      <w:adjustRightInd w:val="0"/>
      <w:textAlignment w:val="center"/>
    </w:pPr>
    <w:rPr>
      <w:rFonts w:cs="Times LT Std"/>
      <w:color w:val="000000"/>
      <w:szCs w:val="18"/>
    </w:rPr>
  </w:style>
  <w:style w:type="paragraph" w:customStyle="1" w:styleId="footnoteregwpara">
    <w:name w:val="footnote reg w/para"/>
    <w:basedOn w:val="Normal"/>
    <w:autoRedefine/>
    <w:uiPriority w:val="99"/>
    <w:semiHidden/>
    <w:pPr>
      <w:widowControl w:val="0"/>
      <w:autoSpaceDE w:val="0"/>
      <w:autoSpaceDN w:val="0"/>
      <w:adjustRightInd w:val="0"/>
      <w:spacing w:after="0" w:line="240" w:lineRule="auto"/>
      <w:ind w:firstLine="720"/>
      <w:textAlignment w:val="center"/>
    </w:pPr>
    <w:rPr>
      <w:rFonts w:ascii="Times New Roman" w:hAnsi="Times New Roman" w:cs="Times LT Std"/>
      <w:color w:val="000000"/>
      <w:sz w:val="20"/>
      <w:szCs w:val="16"/>
    </w:rPr>
  </w:style>
  <w:style w:type="paragraph" w:customStyle="1" w:styleId="footnoteregular">
    <w:name w:val="footnote regular"/>
    <w:basedOn w:val="footnote"/>
    <w:autoRedefine/>
    <w:uiPriority w:val="99"/>
    <w:semiHidden/>
    <w:pPr>
      <w:autoSpaceDE w:val="0"/>
      <w:autoSpaceDN w:val="0"/>
      <w:adjustRightInd w:val="0"/>
      <w:textAlignment w:val="center"/>
    </w:pPr>
    <w:rPr>
      <w:rFonts w:cs="ITC New Baskerville Std"/>
      <w:color w:val="000000"/>
      <w:szCs w:val="16"/>
    </w:rPr>
  </w:style>
  <w:style w:type="paragraph" w:styleId="FootnoteText">
    <w:name w:val="footnote text"/>
    <w:basedOn w:val="Normal"/>
    <w:link w:val="FootnoteTextChar"/>
    <w:autoRedefine/>
    <w:uiPriority w:val="99"/>
    <w:semiHidden/>
    <w:rsid w:val="000B6C5F"/>
    <w:pPr>
      <w:spacing w:after="0" w:line="240" w:lineRule="auto"/>
      <w:ind w:firstLine="72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0B6C5F"/>
    <w:rPr>
      <w:rFonts w:ascii="Times New Roman" w:eastAsiaTheme="minorEastAsia" w:hAnsi="Times New Roman"/>
      <w:sz w:val="20"/>
      <w:szCs w:val="20"/>
    </w:rPr>
  </w:style>
  <w:style w:type="paragraph" w:customStyle="1" w:styleId="footnotewithpara">
    <w:name w:val="footnote with para"/>
    <w:basedOn w:val="footnote"/>
    <w:autoRedefine/>
    <w:uiPriority w:val="99"/>
    <w:semiHidden/>
    <w:pPr>
      <w:autoSpaceDE w:val="0"/>
      <w:autoSpaceDN w:val="0"/>
      <w:adjustRightInd w:val="0"/>
      <w:jc w:val="both"/>
      <w:textAlignment w:val="center"/>
    </w:pPr>
    <w:rPr>
      <w:rFonts w:cs="NewCenturySchlbk"/>
      <w:color w:val="000000"/>
      <w:szCs w:val="16"/>
    </w:rPr>
  </w:style>
  <w:style w:type="paragraph" w:customStyle="1" w:styleId="footnotewithparaident">
    <w:name w:val="footnote with para ident"/>
    <w:basedOn w:val="footnoteflush"/>
    <w:autoRedefine/>
    <w:uiPriority w:val="99"/>
    <w:semiHidden/>
    <w:pPr>
      <w:ind w:firstLine="720"/>
    </w:pPr>
    <w:rPr>
      <w:rFonts w:cs="Times LT Std"/>
      <w:szCs w:val="19"/>
    </w:rPr>
  </w:style>
  <w:style w:type="paragraph" w:customStyle="1" w:styleId="hangtext">
    <w:name w:val="hang text"/>
    <w:basedOn w:val="text"/>
    <w:autoRedefine/>
    <w:uiPriority w:val="99"/>
    <w:semiHidden/>
    <w:pPr>
      <w:widowControl w:val="0"/>
      <w:autoSpaceDE w:val="0"/>
      <w:autoSpaceDN w:val="0"/>
      <w:adjustRightInd w:val="0"/>
      <w:ind w:left="439" w:hanging="439"/>
      <w:jc w:val="both"/>
      <w:textAlignment w:val="center"/>
    </w:pPr>
    <w:rPr>
      <w:rFonts w:eastAsiaTheme="minorEastAsia" w:cs="NewCenturySchlbk"/>
      <w:color w:val="000000"/>
      <w:szCs w:val="22"/>
    </w:rPr>
  </w:style>
  <w:style w:type="paragraph" w:customStyle="1" w:styleId="hangingblurb">
    <w:name w:val="hanging blurb"/>
    <w:basedOn w:val="text"/>
    <w:autoRedefine/>
    <w:uiPriority w:val="99"/>
    <w:semiHidden/>
    <w:pPr>
      <w:widowControl w:val="0"/>
      <w:tabs>
        <w:tab w:val="clear" w:pos="720"/>
        <w:tab w:val="clear" w:pos="2160"/>
        <w:tab w:val="clear" w:pos="2880"/>
        <w:tab w:val="clear" w:pos="3600"/>
        <w:tab w:val="clear" w:pos="4320"/>
        <w:tab w:val="clear" w:pos="5040"/>
        <w:tab w:val="clear" w:pos="5760"/>
      </w:tabs>
      <w:autoSpaceDE w:val="0"/>
      <w:autoSpaceDN w:val="0"/>
      <w:adjustRightInd w:val="0"/>
      <w:ind w:left="1680" w:hanging="1680"/>
      <w:textAlignment w:val="center"/>
    </w:pPr>
    <w:rPr>
      <w:rFonts w:eastAsiaTheme="minorEastAsia" w:cs="ITC New Baskerville Std"/>
      <w:color w:val="000000"/>
      <w:szCs w:val="22"/>
    </w:rPr>
  </w:style>
  <w:style w:type="character" w:customStyle="1" w:styleId="Heading1Char">
    <w:name w:val="Heading 1 Char"/>
    <w:basedOn w:val="DefaultParagraphFont"/>
    <w:link w:val="Heading1"/>
    <w:uiPriority w:val="9"/>
    <w:semiHidden/>
    <w:rPr>
      <w:rFonts w:ascii="Times New Roman" w:eastAsiaTheme="majorEastAsia" w:hAnsi="Times New Roman" w:cstheme="majorBidi"/>
      <w:sz w:val="32"/>
      <w:szCs w:val="32"/>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sz w:val="26"/>
      <w:szCs w:val="26"/>
    </w:rPr>
  </w:style>
  <w:style w:type="paragraph" w:customStyle="1" w:styleId="ItalicHead">
    <w:name w:val="Italic Head"/>
    <w:basedOn w:val="text"/>
    <w:autoRedefine/>
    <w:uiPriority w:val="99"/>
    <w:semiHidden/>
    <w:pPr>
      <w:keepNext/>
      <w:widowControl w:val="0"/>
      <w:tabs>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before="240" w:after="240"/>
      <w:ind w:firstLine="0"/>
      <w:textAlignment w:val="center"/>
    </w:pPr>
    <w:rPr>
      <w:rFonts w:eastAsiaTheme="minorEastAsia" w:cs="ITC New Baskerville Std"/>
      <w:i/>
      <w:iCs/>
      <w:color w:val="000000"/>
      <w:szCs w:val="22"/>
    </w:rPr>
  </w:style>
  <w:style w:type="paragraph" w:customStyle="1" w:styleId="italichead0">
    <w:name w:val="italic head +/+"/>
    <w:basedOn w:val="Normal"/>
    <w:autoRedefine/>
    <w:uiPriority w:val="99"/>
    <w:semiHidden/>
    <w:pPr>
      <w:widowControl w:val="0"/>
      <w:tabs>
        <w:tab w:val="left" w:pos="480"/>
      </w:tabs>
      <w:suppressAutoHyphens/>
      <w:autoSpaceDE w:val="0"/>
      <w:autoSpaceDN w:val="0"/>
      <w:adjustRightInd w:val="0"/>
      <w:spacing w:before="240" w:after="240" w:line="240" w:lineRule="auto"/>
      <w:ind w:left="480" w:hanging="480"/>
      <w:textAlignment w:val="center"/>
    </w:pPr>
    <w:rPr>
      <w:rFonts w:ascii="Times New Roman" w:hAnsi="Times New Roman" w:cs="Times LT Std"/>
      <w:i/>
      <w:iCs/>
      <w:color w:val="000000"/>
      <w:sz w:val="24"/>
    </w:rPr>
  </w:style>
  <w:style w:type="paragraph" w:customStyle="1" w:styleId="l1">
    <w:name w:val="l1"/>
    <w:basedOn w:val="Normal"/>
    <w:autoRedefine/>
    <w:uiPriority w:val="99"/>
    <w:semiHidden/>
    <w:pPr>
      <w:keepNext/>
      <w:widowControl w:val="0"/>
      <w:suppressAutoHyphens/>
      <w:autoSpaceDE w:val="0"/>
      <w:autoSpaceDN w:val="0"/>
      <w:adjustRightInd w:val="0"/>
      <w:spacing w:before="480" w:after="240" w:line="240" w:lineRule="auto"/>
      <w:ind w:firstLine="720"/>
      <w:jc w:val="center"/>
      <w:textAlignment w:val="center"/>
    </w:pPr>
    <w:rPr>
      <w:rFonts w:ascii="Times New Roman" w:hAnsi="Times New Roman" w:cs="Times SC"/>
      <w:smallCaps/>
      <w:color w:val="000000"/>
      <w:sz w:val="24"/>
    </w:rPr>
  </w:style>
  <w:style w:type="paragraph" w:customStyle="1" w:styleId="l1-ct">
    <w:name w:val="l1-ct"/>
    <w:basedOn w:val="l1"/>
    <w:autoRedefine/>
    <w:uiPriority w:val="99"/>
    <w:semiHidden/>
    <w:pPr>
      <w:spacing w:before="0"/>
      <w:contextualSpacing/>
    </w:pPr>
    <w:rPr>
      <w:szCs w:val="24"/>
    </w:rPr>
  </w:style>
  <w:style w:type="paragraph" w:customStyle="1" w:styleId="l2">
    <w:name w:val="l2"/>
    <w:basedOn w:val="Normal"/>
    <w:autoRedefine/>
    <w:uiPriority w:val="99"/>
    <w:semiHidden/>
    <w:pPr>
      <w:keepNext/>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Times LT Std"/>
      <w:b/>
      <w:bCs/>
      <w:color w:val="000000"/>
      <w:sz w:val="24"/>
    </w:rPr>
  </w:style>
  <w:style w:type="paragraph" w:customStyle="1" w:styleId="l2-1">
    <w:name w:val="l2-1"/>
    <w:basedOn w:val="l2"/>
    <w:autoRedefine/>
    <w:uiPriority w:val="99"/>
    <w:semiHidden/>
    <w:pPr>
      <w:spacing w:before="0"/>
    </w:pPr>
  </w:style>
  <w:style w:type="paragraph" w:customStyle="1" w:styleId="l3">
    <w:name w:val="l3"/>
    <w:basedOn w:val="Normal"/>
    <w:autoRedefine/>
    <w:uiPriority w:val="99"/>
    <w:semiHidden/>
    <w:pPr>
      <w:keepNext/>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Times LT Std"/>
      <w:i/>
      <w:iCs/>
      <w:color w:val="000000"/>
      <w:sz w:val="24"/>
    </w:rPr>
  </w:style>
  <w:style w:type="paragraph" w:customStyle="1" w:styleId="l3-2">
    <w:name w:val="l3-2"/>
    <w:basedOn w:val="l3"/>
    <w:autoRedefine/>
    <w:uiPriority w:val="99"/>
    <w:semiHidden/>
    <w:pPr>
      <w:spacing w:before="0"/>
    </w:pPr>
  </w:style>
  <w:style w:type="paragraph" w:customStyle="1" w:styleId="l4">
    <w:name w:val="l4"/>
    <w:basedOn w:val="Normal"/>
    <w:autoRedefine/>
    <w:uiPriority w:val="99"/>
    <w:semiHidden/>
    <w:pPr>
      <w:keepNext/>
      <w:widowControl w:val="0"/>
      <w:tabs>
        <w:tab w:val="left" w:pos="881"/>
      </w:tabs>
      <w:suppressAutoHyphens/>
      <w:autoSpaceDE w:val="0"/>
      <w:autoSpaceDN w:val="0"/>
      <w:adjustRightInd w:val="0"/>
      <w:spacing w:before="240" w:after="240" w:line="240" w:lineRule="auto"/>
      <w:ind w:left="799" w:hanging="360"/>
      <w:textAlignment w:val="center"/>
    </w:pPr>
    <w:rPr>
      <w:rFonts w:ascii="Times New Roman" w:hAnsi="Times New Roman" w:cs="Times LT Std"/>
      <w:i/>
      <w:iCs/>
      <w:color w:val="000000"/>
      <w:sz w:val="24"/>
    </w:rPr>
  </w:style>
  <w:style w:type="paragraph" w:customStyle="1" w:styleId="l4-3">
    <w:name w:val="l4-3"/>
    <w:basedOn w:val="l4"/>
    <w:autoRedefine/>
    <w:uiPriority w:val="99"/>
    <w:semiHidden/>
    <w:pPr>
      <w:tabs>
        <w:tab w:val="clear" w:pos="881"/>
      </w:tabs>
      <w:spacing w:before="0"/>
    </w:pPr>
  </w:style>
  <w:style w:type="paragraph" w:customStyle="1" w:styleId="l5">
    <w:name w:val="l5"/>
    <w:basedOn w:val="l4"/>
    <w:autoRedefine/>
    <w:uiPriority w:val="99"/>
    <w:semiHidden/>
    <w:pPr>
      <w:tabs>
        <w:tab w:val="left" w:pos="1240"/>
      </w:tabs>
      <w:ind w:left="1241"/>
    </w:pPr>
  </w:style>
  <w:style w:type="paragraph" w:customStyle="1" w:styleId="l5-4">
    <w:name w:val="l5-4"/>
    <w:basedOn w:val="Normal"/>
    <w:autoRedefine/>
    <w:uiPriority w:val="99"/>
    <w:semiHidden/>
    <w:pPr>
      <w:keepNext/>
      <w:widowControl w:val="0"/>
      <w:tabs>
        <w:tab w:val="left" w:pos="1240"/>
      </w:tabs>
      <w:suppressAutoHyphens/>
      <w:autoSpaceDE w:val="0"/>
      <w:autoSpaceDN w:val="0"/>
      <w:adjustRightInd w:val="0"/>
      <w:spacing w:after="240" w:line="240" w:lineRule="auto"/>
      <w:ind w:left="1241" w:hanging="360"/>
      <w:textAlignment w:val="center"/>
    </w:pPr>
    <w:rPr>
      <w:rFonts w:ascii="Times New Roman" w:hAnsi="Times New Roman" w:cs="Times LT Std"/>
      <w:i/>
      <w:iCs/>
      <w:color w:val="000000"/>
      <w:sz w:val="24"/>
    </w:rPr>
  </w:style>
  <w:style w:type="paragraph" w:customStyle="1" w:styleId="L6">
    <w:name w:val="L6"/>
    <w:basedOn w:val="l5"/>
    <w:autoRedefine/>
    <w:uiPriority w:val="99"/>
    <w:semiHidden/>
    <w:pPr>
      <w:tabs>
        <w:tab w:val="clear" w:pos="881"/>
        <w:tab w:val="left" w:pos="1680"/>
      </w:tabs>
      <w:ind w:left="1680" w:hanging="480"/>
    </w:pPr>
    <w:rPr>
      <w:szCs w:val="24"/>
    </w:rPr>
  </w:style>
  <w:style w:type="paragraph" w:customStyle="1" w:styleId="l60">
    <w:name w:val="l6"/>
    <w:basedOn w:val="text"/>
    <w:autoRedefine/>
    <w:semiHidden/>
    <w:qFormat/>
    <w:pPr>
      <w:tabs>
        <w:tab w:val="left" w:pos="2040"/>
      </w:tabs>
      <w:spacing w:before="240" w:after="240"/>
      <w:ind w:left="840" w:hanging="480"/>
    </w:pPr>
    <w:rPr>
      <w:i/>
    </w:rPr>
  </w:style>
  <w:style w:type="paragraph" w:customStyle="1" w:styleId="Level1Head10">
    <w:name w:val="Level 1 Head (10)"/>
    <w:basedOn w:val="Normal"/>
    <w:autoRedefine/>
    <w:uiPriority w:val="99"/>
    <w:semiHidden/>
    <w:pPr>
      <w:keepNext/>
      <w:widowControl w:val="0"/>
      <w:tabs>
        <w:tab w:val="left" w:pos="720"/>
      </w:tabs>
      <w:suppressAutoHyphens/>
      <w:autoSpaceDE w:val="0"/>
      <w:autoSpaceDN w:val="0"/>
      <w:adjustRightInd w:val="0"/>
      <w:spacing w:before="480" w:after="360" w:line="240" w:lineRule="auto"/>
      <w:ind w:left="720" w:hanging="720"/>
      <w:textAlignment w:val="center"/>
    </w:pPr>
    <w:rPr>
      <w:rFonts w:ascii="Times New Roman" w:hAnsi="Times New Roman" w:cs="NewCenturySchlbk"/>
      <w:b/>
      <w:bCs/>
      <w:color w:val="000000"/>
      <w:sz w:val="24"/>
      <w:szCs w:val="24"/>
    </w:rPr>
  </w:style>
  <w:style w:type="paragraph" w:customStyle="1" w:styleId="Level21">
    <w:name w:val="Level 2 / 1"/>
    <w:basedOn w:val="Normal"/>
    <w:autoRedefine/>
    <w:uiPriority w:val="99"/>
    <w:semiHidden/>
    <w:pPr>
      <w:keepNext/>
      <w:widowControl w:val="0"/>
      <w:tabs>
        <w:tab w:val="left" w:pos="480"/>
      </w:tabs>
      <w:suppressAutoHyphens/>
      <w:autoSpaceDE w:val="0"/>
      <w:autoSpaceDN w:val="0"/>
      <w:adjustRightInd w:val="0"/>
      <w:spacing w:after="240" w:line="240" w:lineRule="auto"/>
      <w:ind w:left="480" w:hanging="480"/>
      <w:textAlignment w:val="center"/>
    </w:pPr>
    <w:rPr>
      <w:rFonts w:ascii="Times New Roman" w:hAnsi="Times New Roman" w:cs="NewCenturySchlbk"/>
      <w:b/>
      <w:bCs/>
      <w:i/>
      <w:iCs/>
      <w:color w:val="000000"/>
      <w:sz w:val="24"/>
    </w:rPr>
  </w:style>
  <w:style w:type="paragraph" w:customStyle="1" w:styleId="Level2Head">
    <w:name w:val="Level 2 Head"/>
    <w:basedOn w:val="Normal"/>
    <w:autoRedefine/>
    <w:uiPriority w:val="99"/>
    <w:semiHidden/>
    <w:pPr>
      <w:keepNext/>
      <w:widowControl w:val="0"/>
      <w:tabs>
        <w:tab w:val="left" w:pos="480"/>
      </w:tabs>
      <w:suppressAutoHyphens/>
      <w:autoSpaceDE w:val="0"/>
      <w:autoSpaceDN w:val="0"/>
      <w:adjustRightInd w:val="0"/>
      <w:spacing w:before="360" w:after="240" w:line="240" w:lineRule="auto"/>
      <w:ind w:left="480" w:hanging="480"/>
      <w:textAlignment w:val="center"/>
    </w:pPr>
    <w:rPr>
      <w:rFonts w:ascii="Times New Roman" w:hAnsi="Times New Roman" w:cs="NewCenturySchlbk"/>
      <w:b/>
      <w:bCs/>
      <w:i/>
      <w:iCs/>
      <w:color w:val="000000"/>
      <w:sz w:val="24"/>
    </w:rPr>
  </w:style>
  <w:style w:type="paragraph" w:customStyle="1" w:styleId="Level3Head">
    <w:name w:val="Level 3 Head"/>
    <w:basedOn w:val="Normal"/>
    <w:autoRedefine/>
    <w:uiPriority w:val="99"/>
    <w:semiHidden/>
    <w:pPr>
      <w:keepNext/>
      <w:widowControl w:val="0"/>
      <w:tabs>
        <w:tab w:val="left" w:pos="920"/>
      </w:tabs>
      <w:suppressAutoHyphens/>
      <w:autoSpaceDE w:val="0"/>
      <w:autoSpaceDN w:val="0"/>
      <w:adjustRightInd w:val="0"/>
      <w:spacing w:before="240" w:after="240" w:line="240" w:lineRule="auto"/>
      <w:ind w:left="919" w:hanging="480"/>
      <w:textAlignment w:val="center"/>
    </w:pPr>
    <w:rPr>
      <w:rFonts w:ascii="Times New Roman" w:hAnsi="Times New Roman" w:cs="NewCenturySchlbk"/>
      <w:i/>
      <w:iCs/>
      <w:color w:val="000000"/>
      <w:sz w:val="24"/>
    </w:rPr>
  </w:style>
  <w:style w:type="paragraph" w:customStyle="1" w:styleId="Level32">
    <w:name w:val="Level 3 / 2"/>
    <w:basedOn w:val="Level3Head"/>
    <w:autoRedefine/>
    <w:uiPriority w:val="99"/>
    <w:semiHidden/>
    <w:pPr>
      <w:spacing w:before="0"/>
    </w:pPr>
  </w:style>
  <w:style w:type="paragraph" w:customStyle="1" w:styleId="Level4Head">
    <w:name w:val="Level 4 Head"/>
    <w:basedOn w:val="text"/>
    <w:autoRedefine/>
    <w:uiPriority w:val="99"/>
    <w:semiHidden/>
    <w:pPr>
      <w:keepNext/>
      <w:widowControl w:val="0"/>
      <w:tabs>
        <w:tab w:val="clear" w:pos="720"/>
        <w:tab w:val="clear" w:pos="1440"/>
        <w:tab w:val="clear" w:pos="2160"/>
        <w:tab w:val="clear" w:pos="2880"/>
        <w:tab w:val="clear" w:pos="3600"/>
        <w:tab w:val="clear" w:pos="4320"/>
        <w:tab w:val="clear" w:pos="5040"/>
        <w:tab w:val="clear" w:pos="5760"/>
        <w:tab w:val="left" w:pos="920"/>
      </w:tabs>
      <w:suppressAutoHyphens/>
      <w:autoSpaceDE w:val="0"/>
      <w:autoSpaceDN w:val="0"/>
      <w:adjustRightInd w:val="0"/>
      <w:spacing w:before="240" w:after="240"/>
      <w:ind w:left="919" w:hanging="480"/>
      <w:textAlignment w:val="center"/>
    </w:pPr>
    <w:rPr>
      <w:rFonts w:eastAsiaTheme="minorEastAsia" w:cs="NewCenturySchlbk"/>
      <w:i/>
      <w:iCs/>
      <w:color w:val="000000"/>
      <w:szCs w:val="22"/>
    </w:rPr>
  </w:style>
  <w:style w:type="paragraph" w:customStyle="1" w:styleId="Level43">
    <w:name w:val="Level 4/3"/>
    <w:basedOn w:val="Level4Head"/>
    <w:autoRedefine/>
    <w:uiPriority w:val="99"/>
    <w:semiHidden/>
    <w:pPr>
      <w:spacing w:before="0"/>
    </w:pPr>
  </w:style>
  <w:style w:type="paragraph" w:customStyle="1" w:styleId="Level5D">
    <w:name w:val="Level 5 (D)"/>
    <w:basedOn w:val="Level4Head"/>
    <w:autoRedefine/>
    <w:uiPriority w:val="99"/>
    <w:semiHidden/>
    <w:pPr>
      <w:ind w:left="1399"/>
    </w:pPr>
  </w:style>
  <w:style w:type="paragraph" w:customStyle="1" w:styleId="Level6i">
    <w:name w:val="Level 6 (i)"/>
    <w:basedOn w:val="Level5D"/>
    <w:autoRedefine/>
    <w:uiPriority w:val="99"/>
    <w:semiHidden/>
    <w:pPr>
      <w:tabs>
        <w:tab w:val="left" w:pos="1880"/>
      </w:tabs>
      <w:ind w:left="1879"/>
    </w:pPr>
  </w:style>
  <w:style w:type="paragraph" w:customStyle="1" w:styleId="namecentered">
    <w:name w:val="name centered"/>
    <w:basedOn w:val="Normal"/>
    <w:autoRedefine/>
    <w:uiPriority w:val="99"/>
    <w:semiHidden/>
    <w:pPr>
      <w:widowControl w:val="0"/>
      <w:suppressAutoHyphens/>
      <w:autoSpaceDE w:val="0"/>
      <w:autoSpaceDN w:val="0"/>
      <w:adjustRightInd w:val="0"/>
      <w:spacing w:before="240" w:after="0" w:line="240" w:lineRule="auto"/>
      <w:ind w:left="221" w:hanging="221"/>
      <w:jc w:val="center"/>
      <w:textAlignment w:val="center"/>
    </w:pPr>
    <w:rPr>
      <w:rFonts w:ascii="Times New Roman Bold" w:hAnsi="Times New Roman Bold" w:cs="Times SC"/>
      <w:b/>
      <w:bCs/>
      <w:smallCaps/>
      <w:color w:val="000000"/>
      <w:sz w:val="23"/>
      <w:szCs w:val="23"/>
    </w:rPr>
  </w:style>
  <w:style w:type="paragraph" w:customStyle="1" w:styleId="note">
    <w:name w:val="note"/>
    <w:basedOn w:val="Normal"/>
    <w:autoRedefine/>
    <w:uiPriority w:val="99"/>
    <w:semiHidden/>
    <w:pPr>
      <w:widowControl w:val="0"/>
      <w:autoSpaceDE w:val="0"/>
      <w:autoSpaceDN w:val="0"/>
      <w:adjustRightInd w:val="0"/>
      <w:spacing w:after="0" w:line="240" w:lineRule="auto"/>
      <w:ind w:firstLine="720"/>
      <w:textAlignment w:val="center"/>
    </w:pPr>
    <w:rPr>
      <w:rFonts w:ascii="Times New Roman" w:hAnsi="Times New Roman" w:cs="Times LT Std"/>
      <w:color w:val="000000"/>
      <w:sz w:val="20"/>
      <w:szCs w:val="18"/>
    </w:rPr>
  </w:style>
  <w:style w:type="paragraph" w:customStyle="1" w:styleId="ntblockindentnoparaindent">
    <w:name w:val="nt block indent (no para indent)"/>
    <w:basedOn w:val="footnote"/>
    <w:autoRedefine/>
    <w:uiPriority w:val="99"/>
    <w:semiHidden/>
    <w:pPr>
      <w:autoSpaceDE w:val="0"/>
      <w:autoSpaceDN w:val="0"/>
      <w:adjustRightInd w:val="0"/>
      <w:ind w:left="720" w:firstLine="0"/>
      <w:jc w:val="both"/>
      <w:textAlignment w:val="center"/>
    </w:pPr>
    <w:rPr>
      <w:rFonts w:cs="NewCenturySchlbk"/>
      <w:color w:val="000000"/>
      <w:szCs w:val="18"/>
    </w:rPr>
  </w:style>
  <w:style w:type="paragraph" w:customStyle="1" w:styleId="ntflush">
    <w:name w:val="nt flush"/>
    <w:basedOn w:val="footnote"/>
    <w:autoRedefine/>
    <w:uiPriority w:val="99"/>
    <w:semiHidden/>
    <w:pPr>
      <w:autoSpaceDE w:val="0"/>
      <w:autoSpaceDN w:val="0"/>
      <w:adjustRightInd w:val="0"/>
      <w:ind w:firstLine="0"/>
      <w:jc w:val="both"/>
      <w:textAlignment w:val="center"/>
    </w:pPr>
    <w:rPr>
      <w:rFonts w:cs="NewCenturySchlbk"/>
      <w:color w:val="000000"/>
      <w:szCs w:val="18"/>
    </w:rPr>
  </w:style>
  <w:style w:type="paragraph" w:customStyle="1" w:styleId="ntindent">
    <w:name w:val="nt indent"/>
    <w:basedOn w:val="footnote"/>
    <w:autoRedefine/>
    <w:uiPriority w:val="99"/>
    <w:semiHidden/>
    <w:pPr>
      <w:autoSpaceDE w:val="0"/>
      <w:autoSpaceDN w:val="0"/>
      <w:adjustRightInd w:val="0"/>
      <w:ind w:left="720" w:firstLine="0"/>
      <w:textAlignment w:val="center"/>
    </w:pPr>
    <w:rPr>
      <w:rFonts w:cs="Times LT Std"/>
      <w:color w:val="000000"/>
      <w:szCs w:val="18"/>
    </w:rPr>
  </w:style>
  <w:style w:type="paragraph" w:customStyle="1" w:styleId="ntnumberlist">
    <w:name w:val="nt number list"/>
    <w:basedOn w:val="Normal"/>
    <w:autoRedefine/>
    <w:uiPriority w:val="99"/>
    <w:semiHidden/>
    <w:pPr>
      <w:widowControl w:val="0"/>
      <w:tabs>
        <w:tab w:val="left" w:pos="600"/>
      </w:tabs>
      <w:autoSpaceDE w:val="0"/>
      <w:autoSpaceDN w:val="0"/>
      <w:adjustRightInd w:val="0"/>
      <w:spacing w:after="0" w:line="240" w:lineRule="auto"/>
      <w:ind w:left="960" w:hanging="240"/>
      <w:textAlignment w:val="center"/>
    </w:pPr>
    <w:rPr>
      <w:rFonts w:ascii="Times New Roman" w:hAnsi="Times New Roman" w:cs="Times LT Std"/>
      <w:color w:val="000000"/>
      <w:sz w:val="20"/>
      <w:szCs w:val="18"/>
    </w:rPr>
  </w:style>
  <w:style w:type="paragraph" w:customStyle="1" w:styleId="ntpara">
    <w:name w:val="nt para"/>
    <w:basedOn w:val="ntblockindentnoparaindent"/>
    <w:autoRedefine/>
    <w:uiPriority w:val="99"/>
    <w:semiHidden/>
    <w:pPr>
      <w:ind w:left="0" w:firstLine="720"/>
      <w:jc w:val="left"/>
    </w:pPr>
  </w:style>
  <w:style w:type="paragraph" w:customStyle="1" w:styleId="ntregpara">
    <w:name w:val="nt reg para"/>
    <w:basedOn w:val="Normal"/>
    <w:autoRedefine/>
    <w:uiPriority w:val="99"/>
    <w:semiHidden/>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firstLine="720"/>
      <w:jc w:val="both"/>
      <w:textAlignment w:val="center"/>
    </w:pPr>
    <w:rPr>
      <w:rFonts w:ascii="Times New Roman" w:hAnsi="Times New Roman" w:cs="Times LT Std"/>
      <w:color w:val="000000"/>
      <w:sz w:val="20"/>
      <w:szCs w:val="18"/>
    </w:rPr>
  </w:style>
  <w:style w:type="paragraph" w:customStyle="1" w:styleId="nt-indent">
    <w:name w:val="nt-indent"/>
    <w:basedOn w:val="footnote"/>
    <w:autoRedefine/>
    <w:uiPriority w:val="99"/>
    <w:semiHidden/>
    <w:pPr>
      <w:autoSpaceDE w:val="0"/>
      <w:autoSpaceDN w:val="0"/>
      <w:adjustRightInd w:val="0"/>
      <w:ind w:left="720" w:firstLine="0"/>
      <w:textAlignment w:val="center"/>
    </w:pPr>
    <w:rPr>
      <w:rFonts w:cs="Times LT Std"/>
      <w:color w:val="000000"/>
      <w:szCs w:val="16"/>
    </w:rPr>
  </w:style>
  <w:style w:type="paragraph" w:customStyle="1" w:styleId="Numberlist">
    <w:name w:val="Number list"/>
    <w:basedOn w:val="Normal"/>
    <w:autoRedefine/>
    <w:uiPriority w:val="99"/>
    <w:semiHidden/>
    <w:pPr>
      <w:widowControl w:val="0"/>
      <w:tabs>
        <w:tab w:val="left" w:pos="800"/>
      </w:tabs>
      <w:autoSpaceDE w:val="0"/>
      <w:autoSpaceDN w:val="0"/>
      <w:adjustRightInd w:val="0"/>
      <w:spacing w:after="0" w:line="240" w:lineRule="auto"/>
      <w:ind w:left="919" w:hanging="480"/>
      <w:jc w:val="both"/>
      <w:textAlignment w:val="center"/>
    </w:pPr>
    <w:rPr>
      <w:rFonts w:ascii="Times New Roman" w:hAnsi="Times New Roman" w:cs="ITC New Baskerville Std"/>
      <w:color w:val="000000"/>
      <w:sz w:val="24"/>
    </w:rPr>
  </w:style>
  <w:style w:type="paragraph" w:customStyle="1" w:styleId="numberlistplstart">
    <w:name w:val="number list pl_start"/>
    <w:basedOn w:val="Normal"/>
    <w:autoRedefine/>
    <w:semiHidden/>
    <w:qFormat/>
    <w:pPr>
      <w:tabs>
        <w:tab w:val="left" w:pos="919"/>
      </w:tabs>
      <w:spacing w:before="240" w:after="0" w:line="240" w:lineRule="auto"/>
      <w:ind w:left="919" w:hanging="480"/>
    </w:pPr>
    <w:rPr>
      <w:rFonts w:ascii="Times New Roman" w:hAnsi="Times New Roman" w:cs="NewCenturySchlbk"/>
      <w:color w:val="000000"/>
      <w:sz w:val="24"/>
    </w:rPr>
  </w:style>
  <w:style w:type="paragraph" w:customStyle="1" w:styleId="numberlist0">
    <w:name w:val="number list"/>
    <w:basedOn w:val="numberlistplstart"/>
    <w:autoRedefine/>
    <w:uiPriority w:val="99"/>
    <w:semiHidden/>
    <w:qFormat/>
    <w:pPr>
      <w:spacing w:before="0"/>
    </w:pPr>
  </w:style>
  <w:style w:type="paragraph" w:customStyle="1" w:styleId="numberlistplend">
    <w:name w:val="number list pl end"/>
    <w:basedOn w:val="Normal"/>
    <w:autoRedefine/>
    <w:uiPriority w:val="99"/>
    <w:semiHidden/>
    <w:pPr>
      <w:tabs>
        <w:tab w:val="left" w:pos="919"/>
      </w:tabs>
      <w:spacing w:after="240" w:line="240" w:lineRule="auto"/>
      <w:ind w:left="919" w:hanging="480"/>
    </w:pPr>
    <w:rPr>
      <w:rFonts w:ascii="Times New Roman" w:hAnsi="Times New Roman" w:cs="Times New Roman"/>
      <w:sz w:val="24"/>
    </w:rPr>
  </w:style>
  <w:style w:type="paragraph" w:customStyle="1" w:styleId="numberlistend">
    <w:name w:val="number list end"/>
    <w:basedOn w:val="numberlistplend"/>
    <w:autoRedefine/>
    <w:uiPriority w:val="99"/>
    <w:semiHidden/>
    <w:qFormat/>
  </w:style>
  <w:style w:type="paragraph" w:customStyle="1" w:styleId="numberlistpl">
    <w:name w:val="number list pl"/>
    <w:basedOn w:val="Normal"/>
    <w:autoRedefine/>
    <w:uiPriority w:val="99"/>
    <w:semiHidden/>
    <w:qFormat/>
    <w:pPr>
      <w:widowControl w:val="0"/>
      <w:tabs>
        <w:tab w:val="left" w:pos="920"/>
      </w:tabs>
      <w:autoSpaceDE w:val="0"/>
      <w:autoSpaceDN w:val="0"/>
      <w:adjustRightInd w:val="0"/>
      <w:spacing w:after="0" w:line="240" w:lineRule="auto"/>
      <w:ind w:left="919" w:hanging="480"/>
      <w:textAlignment w:val="center"/>
    </w:pPr>
    <w:rPr>
      <w:rFonts w:ascii="Times New Roman" w:hAnsi="Times New Roman" w:cs="ITC New Baskerville Std"/>
      <w:color w:val="000000"/>
      <w:sz w:val="24"/>
    </w:rPr>
  </w:style>
  <w:style w:type="paragraph" w:customStyle="1" w:styleId="numberlistplstart0">
    <w:name w:val="number list pl start"/>
    <w:basedOn w:val="Normal"/>
    <w:next w:val="numberlistplend"/>
    <w:autoRedefine/>
    <w:uiPriority w:val="99"/>
    <w:semiHidden/>
    <w:pPr>
      <w:widowControl w:val="0"/>
      <w:tabs>
        <w:tab w:val="left" w:pos="920"/>
      </w:tabs>
      <w:autoSpaceDE w:val="0"/>
      <w:autoSpaceDN w:val="0"/>
      <w:adjustRightInd w:val="0"/>
      <w:spacing w:before="240" w:after="0" w:line="240" w:lineRule="auto"/>
      <w:ind w:left="919" w:hanging="480"/>
      <w:textAlignment w:val="center"/>
    </w:pPr>
    <w:rPr>
      <w:rFonts w:ascii="Times New Roman" w:hAnsi="Times New Roman" w:cs="ITC New Baskerville Std"/>
      <w:color w:val="000000"/>
      <w:sz w:val="24"/>
    </w:rPr>
  </w:style>
  <w:style w:type="paragraph" w:customStyle="1" w:styleId="numberlistplal">
    <w:name w:val="number list pl / al"/>
    <w:basedOn w:val="numberlistplstart0"/>
    <w:autoRedefine/>
    <w:semiHidden/>
    <w:qFormat/>
    <w:pPr>
      <w:tabs>
        <w:tab w:val="clear" w:pos="920"/>
        <w:tab w:val="left" w:pos="1399"/>
      </w:tabs>
      <w:spacing w:before="0"/>
      <w:ind w:left="1399"/>
    </w:pPr>
  </w:style>
  <w:style w:type="paragraph" w:customStyle="1" w:styleId="numberlistpl2ndlevela">
    <w:name w:val="number list pl /2nd level (a)"/>
    <w:basedOn w:val="numberlistpl"/>
    <w:autoRedefine/>
    <w:uiPriority w:val="99"/>
    <w:semiHidden/>
    <w:pPr>
      <w:tabs>
        <w:tab w:val="clear" w:pos="920"/>
        <w:tab w:val="left" w:pos="1180"/>
      </w:tabs>
      <w:ind w:left="1320" w:hanging="360"/>
    </w:pPr>
    <w:rPr>
      <w:rFonts w:cs="Times LT Std"/>
    </w:rPr>
  </w:style>
  <w:style w:type="paragraph" w:customStyle="1" w:styleId="numberlistplal0">
    <w:name w:val="number list pl/al"/>
    <w:basedOn w:val="numberlistpl"/>
    <w:autoRedefine/>
    <w:uiPriority w:val="99"/>
    <w:semiHidden/>
    <w:pPr>
      <w:tabs>
        <w:tab w:val="clear" w:pos="920"/>
        <w:tab w:val="left" w:pos="1440"/>
      </w:tabs>
      <w:ind w:left="1440"/>
      <w:jc w:val="both"/>
    </w:pPr>
    <w:rPr>
      <w:rFonts w:cs="Times LT Std"/>
    </w:rPr>
  </w:style>
  <w:style w:type="paragraph" w:customStyle="1" w:styleId="numberlistplalnl">
    <w:name w:val="number list pl/al/nl"/>
    <w:basedOn w:val="numberlistplal0"/>
    <w:autoRedefine/>
    <w:uiPriority w:val="99"/>
    <w:semiHidden/>
    <w:pPr>
      <w:tabs>
        <w:tab w:val="clear" w:pos="1440"/>
        <w:tab w:val="left" w:pos="1920"/>
      </w:tabs>
      <w:ind w:left="1920"/>
    </w:pPr>
  </w:style>
  <w:style w:type="paragraph" w:customStyle="1" w:styleId="numberlistplbullet">
    <w:name w:val="number list pl/bullet"/>
    <w:basedOn w:val="Normal"/>
    <w:autoRedefine/>
    <w:uiPriority w:val="99"/>
    <w:semiHidden/>
    <w:pPr>
      <w:widowControl w:val="0"/>
      <w:tabs>
        <w:tab w:val="left" w:pos="1060"/>
      </w:tabs>
      <w:autoSpaceDE w:val="0"/>
      <w:autoSpaceDN w:val="0"/>
      <w:adjustRightInd w:val="0"/>
      <w:spacing w:after="0" w:line="240" w:lineRule="auto"/>
      <w:ind w:left="1061" w:hanging="180"/>
      <w:textAlignment w:val="center"/>
    </w:pPr>
    <w:rPr>
      <w:rFonts w:ascii="Times New Roman" w:hAnsi="Times New Roman" w:cs="Times LT Std"/>
      <w:color w:val="000000"/>
      <w:sz w:val="24"/>
    </w:rPr>
  </w:style>
  <w:style w:type="paragraph" w:customStyle="1" w:styleId="numberlistplend0">
    <w:name w:val="number list pl_end"/>
    <w:basedOn w:val="Normal"/>
    <w:autoRedefine/>
    <w:uiPriority w:val="99"/>
    <w:semiHidden/>
    <w:pPr>
      <w:widowControl w:val="0"/>
      <w:tabs>
        <w:tab w:val="left" w:pos="920"/>
      </w:tabs>
      <w:autoSpaceDE w:val="0"/>
      <w:autoSpaceDN w:val="0"/>
      <w:adjustRightInd w:val="0"/>
      <w:spacing w:after="240" w:line="240" w:lineRule="auto"/>
      <w:ind w:left="919" w:hanging="480"/>
      <w:textAlignment w:val="center"/>
    </w:pPr>
    <w:rPr>
      <w:rFonts w:ascii="Times New Roman" w:hAnsi="Times New Roman" w:cs="Times New Roman"/>
      <w:sz w:val="24"/>
    </w:rPr>
  </w:style>
  <w:style w:type="paragraph" w:customStyle="1" w:styleId="numberlistpnl">
    <w:name w:val="number list pnl"/>
    <w:basedOn w:val="Normal"/>
    <w:autoRedefine/>
    <w:uiPriority w:val="99"/>
    <w:semiHidden/>
    <w:qFormat/>
    <w:pPr>
      <w:widowControl w:val="0"/>
      <w:tabs>
        <w:tab w:val="left" w:pos="1020"/>
      </w:tabs>
      <w:autoSpaceDE w:val="0"/>
      <w:autoSpaceDN w:val="0"/>
      <w:adjustRightInd w:val="0"/>
      <w:spacing w:after="0" w:line="240" w:lineRule="auto"/>
      <w:ind w:left="919" w:hanging="480"/>
      <w:textAlignment w:val="center"/>
    </w:pPr>
    <w:rPr>
      <w:rFonts w:ascii="Times New Roman" w:hAnsi="Times New Roman" w:cs="ITC New Baskerville Std"/>
      <w:color w:val="000000"/>
      <w:sz w:val="24"/>
      <w:szCs w:val="24"/>
    </w:rPr>
  </w:style>
  <w:style w:type="paragraph" w:customStyle="1" w:styleId="numberliststart">
    <w:name w:val="number list start"/>
    <w:basedOn w:val="Normal"/>
    <w:autoRedefine/>
    <w:uiPriority w:val="99"/>
    <w:semiHidden/>
    <w:qFormat/>
    <w:pPr>
      <w:spacing w:before="240" w:after="0" w:line="240" w:lineRule="auto"/>
      <w:ind w:left="919" w:hanging="480"/>
    </w:pPr>
    <w:rPr>
      <w:rFonts w:ascii="Times New Roman" w:hAnsi="Times New Roman"/>
      <w:sz w:val="24"/>
    </w:rPr>
  </w:style>
  <w:style w:type="paragraph" w:customStyle="1" w:styleId="Numberliststart0">
    <w:name w:val="Number list start"/>
    <w:basedOn w:val="Normal"/>
    <w:autoRedefine/>
    <w:uiPriority w:val="99"/>
    <w:semiHidden/>
    <w:pPr>
      <w:widowControl w:val="0"/>
      <w:tabs>
        <w:tab w:val="left" w:pos="800"/>
      </w:tabs>
      <w:autoSpaceDE w:val="0"/>
      <w:autoSpaceDN w:val="0"/>
      <w:adjustRightInd w:val="0"/>
      <w:spacing w:before="240" w:after="0" w:line="240" w:lineRule="auto"/>
      <w:ind w:left="919" w:hanging="480"/>
      <w:textAlignment w:val="center"/>
    </w:pPr>
    <w:rPr>
      <w:rFonts w:ascii="Times New Roman" w:eastAsiaTheme="minorHAnsi" w:hAnsi="Times New Roman" w:cs="ITC New Baskerville Std"/>
      <w:color w:val="000000"/>
      <w:sz w:val="24"/>
      <w:szCs w:val="24"/>
    </w:rPr>
  </w:style>
  <w:style w:type="paragraph" w:customStyle="1" w:styleId="numberliststop">
    <w:name w:val="number list stop"/>
    <w:basedOn w:val="numberliststart"/>
    <w:autoRedefine/>
    <w:uiPriority w:val="99"/>
    <w:semiHidden/>
    <w:pPr>
      <w:widowControl w:val="0"/>
      <w:tabs>
        <w:tab w:val="left" w:pos="800"/>
      </w:tabs>
      <w:autoSpaceDE w:val="0"/>
      <w:autoSpaceDN w:val="0"/>
      <w:adjustRightInd w:val="0"/>
      <w:spacing w:before="0" w:after="240"/>
      <w:textAlignment w:val="center"/>
    </w:pPr>
    <w:rPr>
      <w:rFonts w:cs="NewCenturySchlbk"/>
      <w:color w:val="000000"/>
    </w:rPr>
  </w:style>
  <w:style w:type="paragraph" w:customStyle="1" w:styleId="numberllistpl2ndlevel">
    <w:name w:val="numberl list pl 2nd level"/>
    <w:basedOn w:val="Normal"/>
    <w:autoRedefine/>
    <w:uiPriority w:val="99"/>
    <w:semiHidden/>
    <w:pPr>
      <w:tabs>
        <w:tab w:val="left" w:pos="1400"/>
      </w:tabs>
      <w:spacing w:after="0" w:line="240" w:lineRule="auto"/>
      <w:ind w:left="1399" w:hanging="480"/>
      <w:jc w:val="both"/>
    </w:pPr>
    <w:rPr>
      <w:rFonts w:ascii="Times New Roman" w:hAnsi="Times New Roman"/>
      <w:sz w:val="24"/>
    </w:rPr>
  </w:style>
  <w:style w:type="paragraph" w:customStyle="1" w:styleId="parttextflush">
    <w:name w:val="part text flush"/>
    <w:basedOn w:val="Normal"/>
    <w:autoRedefine/>
    <w:uiPriority w:val="99"/>
    <w:semiHidden/>
    <w:pPr>
      <w:widowControl w:val="0"/>
      <w:autoSpaceDE w:val="0"/>
      <w:autoSpaceDN w:val="0"/>
      <w:adjustRightInd w:val="0"/>
      <w:spacing w:after="0" w:line="240" w:lineRule="auto"/>
      <w:textAlignment w:val="center"/>
    </w:pPr>
    <w:rPr>
      <w:rFonts w:ascii="Times New Roman" w:hAnsi="Times New Roman" w:cs="Times LT Std"/>
      <w:i/>
      <w:iCs/>
      <w:color w:val="000000"/>
      <w:sz w:val="24"/>
    </w:rPr>
  </w:style>
  <w:style w:type="paragraph" w:customStyle="1" w:styleId="partboldhead-">
    <w:name w:val="part bold head -/+"/>
    <w:basedOn w:val="parttextflush"/>
    <w:autoRedefine/>
    <w:uiPriority w:val="99"/>
    <w:semiHidden/>
    <w:pPr>
      <w:spacing w:after="240"/>
    </w:pPr>
    <w:rPr>
      <w:b/>
      <w:bCs/>
      <w:i w:val="0"/>
      <w:iCs w:val="0"/>
    </w:rPr>
  </w:style>
  <w:style w:type="paragraph" w:customStyle="1" w:styleId="partbulletlist">
    <w:name w:val="part bullet list"/>
    <w:basedOn w:val="Normal"/>
    <w:autoRedefine/>
    <w:uiPriority w:val="99"/>
    <w:semiHidden/>
    <w:pPr>
      <w:widowControl w:val="0"/>
      <w:tabs>
        <w:tab w:val="left" w:pos="180"/>
      </w:tabs>
      <w:autoSpaceDE w:val="0"/>
      <w:autoSpaceDN w:val="0"/>
      <w:adjustRightInd w:val="0"/>
      <w:spacing w:after="0" w:line="240" w:lineRule="auto"/>
      <w:ind w:left="180" w:hanging="180"/>
      <w:textAlignment w:val="center"/>
    </w:pPr>
    <w:rPr>
      <w:rFonts w:ascii="Times New Roman" w:hAnsi="Times New Roman" w:cs="Times LT Std"/>
      <w:color w:val="000000"/>
      <w:sz w:val="24"/>
    </w:rPr>
  </w:style>
  <w:style w:type="paragraph" w:customStyle="1" w:styleId="parttextitalic">
    <w:name w:val="part text italic"/>
    <w:basedOn w:val="Normal"/>
    <w:autoRedefine/>
    <w:semiHidden/>
    <w:qFormat/>
    <w:pPr>
      <w:spacing w:after="0" w:line="240" w:lineRule="auto"/>
    </w:pPr>
    <w:rPr>
      <w:rFonts w:ascii="Times New Roman" w:hAnsi="Times New Roman"/>
      <w:i/>
      <w:sz w:val="24"/>
    </w:rPr>
  </w:style>
  <w:style w:type="paragraph" w:customStyle="1" w:styleId="PracticeTip">
    <w:name w:val="Practice Tip"/>
    <w:basedOn w:val="text"/>
    <w:autoRedefine/>
    <w:uiPriority w:val="99"/>
    <w:semiHidden/>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left="480" w:right="480" w:firstLine="0"/>
      <w:textAlignment w:val="center"/>
    </w:pPr>
    <w:rPr>
      <w:rFonts w:eastAsiaTheme="minorEastAsia" w:cs="Times LT Std"/>
      <w:iCs/>
      <w:color w:val="000000"/>
    </w:rPr>
  </w:style>
  <w:style w:type="paragraph" w:customStyle="1" w:styleId="practicetiptextnoindentwrule">
    <w:name w:val="practice tip text no indent w/rule"/>
    <w:basedOn w:val="Normal"/>
    <w:autoRedefine/>
    <w:uiPriority w:val="99"/>
    <w:semiHidden/>
    <w:pPr>
      <w:widowControl w:val="0"/>
      <w:pBdr>
        <w:bottom w:val="single" w:sz="8" w:space="12" w:color="auto"/>
      </w:pBdr>
      <w:autoSpaceDE w:val="0"/>
      <w:autoSpaceDN w:val="0"/>
      <w:adjustRightInd w:val="0"/>
      <w:spacing w:after="240" w:line="240" w:lineRule="auto"/>
      <w:textAlignment w:val="center"/>
    </w:pPr>
    <w:rPr>
      <w:rFonts w:ascii="Times New Roman" w:hAnsi="Times New Roman" w:cs="ITC New Baskerville Std"/>
      <w:color w:val="000000"/>
      <w:sz w:val="24"/>
    </w:rPr>
  </w:style>
  <w:style w:type="paragraph" w:customStyle="1" w:styleId="praticetiphead">
    <w:name w:val="pratice tip head"/>
    <w:basedOn w:val="text"/>
    <w:autoRedefine/>
    <w:uiPriority w:val="99"/>
    <w:semiHidden/>
    <w:pPr>
      <w:widowControl w:val="0"/>
      <w:pBdr>
        <w:top w:val="single" w:sz="8" w:space="18" w:color="auto"/>
      </w:pBdr>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480" w:after="240"/>
      <w:ind w:firstLine="0"/>
      <w:jc w:val="center"/>
      <w:textAlignment w:val="center"/>
    </w:pPr>
    <w:rPr>
      <w:rFonts w:ascii="Times New Roman Bold" w:eastAsiaTheme="minorEastAsia" w:hAnsi="Times New Roman Bold" w:cs="ITC New Baskerville Std"/>
      <w:b/>
      <w:bCs/>
      <w:caps/>
      <w:color w:val="000000"/>
      <w:szCs w:val="22"/>
    </w:rPr>
  </w:style>
  <w:style w:type="paragraph" w:customStyle="1" w:styleId="romanlistIIA">
    <w:name w:val="roman list II.A."/>
    <w:basedOn w:val="Normal"/>
    <w:autoRedefine/>
    <w:uiPriority w:val="99"/>
    <w:semiHidden/>
    <w:pPr>
      <w:widowControl w:val="0"/>
      <w:tabs>
        <w:tab w:val="left" w:pos="480"/>
      </w:tabs>
      <w:autoSpaceDE w:val="0"/>
      <w:autoSpaceDN w:val="0"/>
      <w:adjustRightInd w:val="0"/>
      <w:spacing w:before="120" w:after="240" w:line="240" w:lineRule="auto"/>
      <w:ind w:left="480" w:hanging="480"/>
      <w:textAlignment w:val="center"/>
    </w:pPr>
    <w:rPr>
      <w:rFonts w:ascii="Times New Roman" w:hAnsi="Times New Roman" w:cs="Times LT Std"/>
      <w:b/>
      <w:bCs/>
      <w:color w:val="000000"/>
      <w:sz w:val="24"/>
    </w:rPr>
  </w:style>
  <w:style w:type="paragraph" w:customStyle="1" w:styleId="RuleHead">
    <w:name w:val="Rule Head"/>
    <w:basedOn w:val="textflush"/>
    <w:autoRedefine/>
    <w:uiPriority w:val="99"/>
    <w:semiHidden/>
    <w:pPr>
      <w:widowControl w:val="0"/>
      <w:autoSpaceDE w:val="0"/>
      <w:autoSpaceDN w:val="0"/>
      <w:adjustRightInd w:val="0"/>
      <w:spacing w:before="240" w:after="240"/>
      <w:textAlignment w:val="center"/>
    </w:pPr>
    <w:rPr>
      <w:rFonts w:eastAsiaTheme="minorEastAsia"/>
      <w:b/>
      <w:bCs/>
      <w:i/>
      <w:iCs/>
      <w:szCs w:val="22"/>
    </w:rPr>
  </w:style>
  <w:style w:type="character" w:customStyle="1" w:styleId="smallcaps">
    <w:name w:val="small caps"/>
    <w:uiPriority w:val="99"/>
    <w:semiHidden/>
    <w:rPr>
      <w:rFonts w:ascii="Times New Roman" w:hAnsi="Times New Roman" w:cs="NewCenturySchlbk LT Std"/>
      <w:caps w:val="0"/>
      <w:smallCaps/>
      <w:w w:val="70"/>
    </w:rPr>
  </w:style>
  <w:style w:type="paragraph" w:customStyle="1" w:styleId="StateBold">
    <w:name w:val="State Bold"/>
    <w:basedOn w:val="Normal"/>
    <w:uiPriority w:val="99"/>
    <w:semiHidden/>
    <w:pPr>
      <w:widowControl w:val="0"/>
      <w:autoSpaceDE w:val="0"/>
      <w:autoSpaceDN w:val="0"/>
      <w:adjustRightInd w:val="0"/>
      <w:spacing w:before="240" w:after="240" w:line="240" w:lineRule="auto"/>
      <w:textAlignment w:val="center"/>
    </w:pPr>
    <w:rPr>
      <w:rFonts w:ascii="Times New Roman" w:hAnsi="Times New Roman" w:cs="Times LT Std"/>
      <w:b/>
      <w:bCs/>
      <w:color w:val="000000"/>
      <w:sz w:val="24"/>
      <w:szCs w:val="24"/>
    </w:rPr>
  </w:style>
  <w:style w:type="paragraph" w:styleId="Subtitle">
    <w:name w:val="Subtitle"/>
    <w:basedOn w:val="Normal"/>
    <w:next w:val="Normal"/>
    <w:link w:val="SubtitleChar"/>
    <w:autoRedefine/>
    <w:uiPriority w:val="11"/>
    <w:semiHidden/>
    <w:qFormat/>
    <w:pPr>
      <w:numPr>
        <w:ilvl w:val="1"/>
      </w:numPr>
      <w:spacing w:after="0" w:line="240" w:lineRule="auto"/>
      <w:ind w:firstLine="720"/>
    </w:pPr>
    <w:rPr>
      <w:rFonts w:ascii="Times New Roman" w:hAnsi="Times New Roman"/>
      <w:color w:val="5A5A5A" w:themeColor="text1" w:themeTint="A5"/>
      <w:spacing w:val="15"/>
      <w:sz w:val="24"/>
    </w:rPr>
  </w:style>
  <w:style w:type="character" w:customStyle="1" w:styleId="SubtitleChar">
    <w:name w:val="Subtitle Char"/>
    <w:basedOn w:val="DefaultParagraphFont"/>
    <w:link w:val="Subtitle"/>
    <w:uiPriority w:val="11"/>
    <w:semiHidden/>
    <w:rPr>
      <w:rFonts w:ascii="Times New Roman" w:eastAsiaTheme="minorEastAsia" w:hAnsi="Times New Roman"/>
      <w:color w:val="5A5A5A" w:themeColor="text1" w:themeTint="A5"/>
      <w:spacing w:val="15"/>
      <w:sz w:val="24"/>
    </w:rPr>
  </w:style>
  <w:style w:type="character" w:customStyle="1" w:styleId="superscript">
    <w:name w:val="superscript"/>
    <w:uiPriority w:val="99"/>
    <w:semiHidden/>
    <w:rPr>
      <w:vertAlign w:val="superscript"/>
    </w:rPr>
  </w:style>
  <w:style w:type="paragraph" w:customStyle="1" w:styleId="TableTitle">
    <w:name w:val="Table Title"/>
    <w:basedOn w:val="Normal"/>
    <w:autoRedefine/>
    <w:uiPriority w:val="99"/>
    <w:semiHidden/>
    <w:pPr>
      <w:widowControl w:val="0"/>
      <w:suppressAutoHyphens/>
      <w:autoSpaceDE w:val="0"/>
      <w:autoSpaceDN w:val="0"/>
      <w:adjustRightInd w:val="0"/>
      <w:spacing w:before="240" w:after="240" w:line="240" w:lineRule="auto"/>
      <w:textAlignment w:val="center"/>
    </w:pPr>
    <w:rPr>
      <w:rFonts w:ascii="Times New Roman" w:hAnsi="Times New Roman" w:cs="ITC New Baskerville Std"/>
      <w:b/>
      <w:bCs/>
      <w:color w:val="000000"/>
      <w:sz w:val="24"/>
    </w:rPr>
  </w:style>
  <w:style w:type="paragraph" w:customStyle="1" w:styleId="Text0">
    <w:name w:val="Text"/>
    <w:basedOn w:val="Normal"/>
    <w:autoRedefine/>
    <w:semiHidden/>
    <w:qFormat/>
    <w:pPr>
      <w:spacing w:after="0" w:line="240" w:lineRule="auto"/>
    </w:pPr>
    <w:rPr>
      <w:rFonts w:ascii="Times New Roman" w:hAnsi="Times New Roman"/>
      <w:sz w:val="24"/>
    </w:rPr>
  </w:style>
  <w:style w:type="paragraph" w:customStyle="1" w:styleId="text-0">
    <w:name w:val="text +/-"/>
    <w:basedOn w:val="text"/>
    <w:autoRedefine/>
    <w:uiPriority w:val="99"/>
    <w:semiHidden/>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ind w:firstLine="439"/>
      <w:textAlignment w:val="center"/>
    </w:pPr>
    <w:rPr>
      <w:rFonts w:eastAsiaTheme="minorEastAsia" w:cs="Times LT Std"/>
      <w:color w:val="000000"/>
      <w:szCs w:val="22"/>
    </w:rPr>
  </w:style>
  <w:style w:type="paragraph" w:customStyle="1" w:styleId="text1">
    <w:name w:val="text +/+"/>
    <w:basedOn w:val="Normal"/>
    <w:autoRedefine/>
    <w:uiPriority w:val="99"/>
    <w:semiHidden/>
    <w:pPr>
      <w:widowControl w:val="0"/>
      <w:autoSpaceDE w:val="0"/>
      <w:autoSpaceDN w:val="0"/>
      <w:adjustRightInd w:val="0"/>
      <w:spacing w:before="120" w:after="120" w:line="240" w:lineRule="auto"/>
      <w:ind w:firstLine="720"/>
      <w:textAlignment w:val="center"/>
    </w:pPr>
    <w:rPr>
      <w:rFonts w:ascii="Times New Roman" w:hAnsi="Times New Roman" w:cs="ITC New Baskerville Std"/>
      <w:color w:val="000000"/>
      <w:sz w:val="24"/>
    </w:rPr>
  </w:style>
  <w:style w:type="paragraph" w:customStyle="1" w:styleId="text16picaindent">
    <w:name w:val="text 1.6 pica indent"/>
    <w:basedOn w:val="Normal"/>
    <w:autoRedefine/>
    <w:uiPriority w:val="99"/>
    <w:semiHidden/>
    <w:pPr>
      <w:widowControl w:val="0"/>
      <w:autoSpaceDE w:val="0"/>
      <w:autoSpaceDN w:val="0"/>
      <w:adjustRightInd w:val="0"/>
      <w:spacing w:after="0" w:line="240" w:lineRule="auto"/>
      <w:ind w:left="439"/>
      <w:textAlignment w:val="center"/>
    </w:pPr>
    <w:rPr>
      <w:rFonts w:ascii="Times New Roman" w:hAnsi="Times New Roman" w:cs="Times LT Std"/>
      <w:color w:val="000000"/>
      <w:sz w:val="24"/>
    </w:rPr>
  </w:style>
  <w:style w:type="paragraph" w:customStyle="1" w:styleId="text6emparaindent">
    <w:name w:val="text 6 em para indent"/>
    <w:basedOn w:val="Normal"/>
    <w:autoRedefine/>
    <w:uiPriority w:val="99"/>
    <w:semiHidden/>
    <w:pPr>
      <w:widowControl w:val="0"/>
      <w:tabs>
        <w:tab w:val="left" w:pos="360"/>
        <w:tab w:val="left" w:pos="720"/>
        <w:tab w:val="left" w:pos="1080"/>
        <w:tab w:val="left" w:pos="1440"/>
        <w:tab w:val="left" w:pos="1800"/>
      </w:tabs>
      <w:autoSpaceDE w:val="0"/>
      <w:autoSpaceDN w:val="0"/>
      <w:adjustRightInd w:val="0"/>
      <w:spacing w:after="0" w:line="240" w:lineRule="auto"/>
      <w:ind w:firstLine="1320"/>
      <w:textAlignment w:val="center"/>
    </w:pPr>
    <w:rPr>
      <w:rFonts w:ascii="Times New Roman" w:hAnsi="Times New Roman" w:cs="Times LT Std"/>
      <w:b/>
      <w:bCs/>
      <w:color w:val="000000"/>
      <w:sz w:val="24"/>
    </w:rPr>
  </w:style>
  <w:style w:type="paragraph" w:customStyle="1" w:styleId="text6ptsbelow">
    <w:name w:val="text 6 pts below"/>
    <w:basedOn w:val="Normal"/>
    <w:autoRedefine/>
    <w:uiPriority w:val="99"/>
    <w:semiHidden/>
    <w:pPr>
      <w:widowControl w:val="0"/>
      <w:autoSpaceDE w:val="0"/>
      <w:autoSpaceDN w:val="0"/>
      <w:adjustRightInd w:val="0"/>
      <w:spacing w:after="120" w:line="240" w:lineRule="auto"/>
      <w:ind w:firstLine="720"/>
      <w:textAlignment w:val="center"/>
    </w:pPr>
    <w:rPr>
      <w:rFonts w:ascii="Times New Roman" w:hAnsi="Times New Roman" w:cs="Times LT Std"/>
      <w:color w:val="000000"/>
      <w:sz w:val="24"/>
    </w:rPr>
  </w:style>
  <w:style w:type="paragraph" w:customStyle="1" w:styleId="text8emparaindent">
    <w:name w:val="text 8 em para indent"/>
    <w:basedOn w:val="text6emparaindent"/>
    <w:autoRedefine/>
    <w:uiPriority w:val="99"/>
    <w:semiHidden/>
    <w:pPr>
      <w:ind w:firstLine="1760"/>
    </w:pPr>
    <w:rPr>
      <w:b w:val="0"/>
    </w:rPr>
  </w:style>
  <w:style w:type="paragraph" w:customStyle="1" w:styleId="textaddbld-">
    <w:name w:val="text add bld -/+"/>
    <w:basedOn w:val="Normal"/>
    <w:autoRedefine/>
    <w:uiPriority w:val="99"/>
    <w:semiHidden/>
    <w:pPr>
      <w:widowControl w:val="0"/>
      <w:autoSpaceDE w:val="0"/>
      <w:autoSpaceDN w:val="0"/>
      <w:adjustRightInd w:val="0"/>
      <w:spacing w:after="240" w:line="240" w:lineRule="auto"/>
      <w:textAlignment w:val="center"/>
    </w:pPr>
    <w:rPr>
      <w:rFonts w:ascii="Times New Roman" w:hAnsi="Times New Roman" w:cs="NewCenturySchlbk"/>
      <w:b/>
      <w:bCs/>
      <w:color w:val="000000"/>
      <w:sz w:val="24"/>
    </w:rPr>
  </w:style>
  <w:style w:type="paragraph" w:customStyle="1" w:styleId="textaddbld">
    <w:name w:val="text add bld +/+"/>
    <w:basedOn w:val="textaddbld-"/>
    <w:autoRedefine/>
    <w:uiPriority w:val="99"/>
    <w:semiHidden/>
    <w:pPr>
      <w:spacing w:before="240"/>
    </w:pPr>
  </w:style>
  <w:style w:type="paragraph" w:customStyle="1" w:styleId="textbold-">
    <w:name w:val="text bold -/+"/>
    <w:basedOn w:val="text"/>
    <w:autoRedefine/>
    <w:uiPriority w:val="99"/>
    <w:semiHidden/>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ITC New Baskerville Std"/>
      <w:b/>
      <w:bCs/>
      <w:color w:val="000000"/>
    </w:rPr>
  </w:style>
  <w:style w:type="paragraph" w:customStyle="1" w:styleId="textbold">
    <w:name w:val="text bold +/+"/>
    <w:basedOn w:val="textbold-"/>
    <w:autoRedefine/>
    <w:uiPriority w:val="99"/>
    <w:semiHidden/>
    <w:pPr>
      <w:spacing w:before="240"/>
    </w:pPr>
    <w:rPr>
      <w:rFonts w:cs="Times LT Std"/>
      <w:szCs w:val="22"/>
    </w:rPr>
  </w:style>
  <w:style w:type="paragraph" w:customStyle="1" w:styleId="textcentered">
    <w:name w:val="text centered"/>
    <w:basedOn w:val="textflush"/>
    <w:autoRedefine/>
    <w:uiPriority w:val="99"/>
    <w:semiHidden/>
    <w:pPr>
      <w:widowControl w:val="0"/>
      <w:autoSpaceDE w:val="0"/>
      <w:autoSpaceDN w:val="0"/>
      <w:adjustRightInd w:val="0"/>
      <w:spacing w:after="120"/>
      <w:jc w:val="center"/>
      <w:textAlignment w:val="center"/>
    </w:pPr>
    <w:rPr>
      <w:rFonts w:eastAsiaTheme="minorEastAsia" w:cs="Times LT Std"/>
      <w:szCs w:val="22"/>
    </w:rPr>
  </w:style>
  <w:style w:type="paragraph" w:customStyle="1" w:styleId="textEdNote">
    <w:name w:val="text Ed Note"/>
    <w:basedOn w:val="text"/>
    <w:autoRedefine/>
    <w:uiPriority w:val="99"/>
    <w:semiHidden/>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jc w:val="both"/>
      <w:textAlignment w:val="center"/>
    </w:pPr>
    <w:rPr>
      <w:rFonts w:eastAsiaTheme="minorEastAsia" w:cs="Times LT Std"/>
      <w:color w:val="000000"/>
    </w:rPr>
  </w:style>
  <w:style w:type="paragraph" w:customStyle="1" w:styleId="textEdNote-">
    <w:name w:val="text Ed Note -/+"/>
    <w:basedOn w:val="text"/>
    <w:autoRedefine/>
    <w:uiPriority w:val="99"/>
    <w:semiHidden/>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Times LT Std"/>
      <w:color w:val="000000"/>
    </w:rPr>
  </w:style>
  <w:style w:type="paragraph" w:customStyle="1" w:styleId="textflushspacebelow">
    <w:name w:val="text flush + space below"/>
    <w:basedOn w:val="textflush"/>
    <w:autoRedefine/>
    <w:uiPriority w:val="99"/>
    <w:semiHidden/>
    <w:pPr>
      <w:widowControl w:val="0"/>
      <w:autoSpaceDE w:val="0"/>
      <w:autoSpaceDN w:val="0"/>
      <w:adjustRightInd w:val="0"/>
      <w:spacing w:after="240"/>
      <w:jc w:val="both"/>
      <w:textAlignment w:val="center"/>
    </w:pPr>
    <w:rPr>
      <w:rFonts w:eastAsiaTheme="minorEastAsia" w:cs="Times LT Std"/>
      <w:szCs w:val="22"/>
    </w:rPr>
  </w:style>
  <w:style w:type="paragraph" w:customStyle="1" w:styleId="textednote0">
    <w:name w:val="text ed note +/+"/>
    <w:basedOn w:val="textflushspacebelow"/>
    <w:autoRedefine/>
    <w:uiPriority w:val="99"/>
    <w:semiHidden/>
    <w:pPr>
      <w:spacing w:before="240"/>
      <w:jc w:val="left"/>
    </w:pPr>
    <w:rPr>
      <w:i/>
      <w:iCs/>
    </w:rPr>
  </w:style>
  <w:style w:type="paragraph" w:customStyle="1" w:styleId="texteditorsnote">
    <w:name w:val="text editors note +/+"/>
    <w:basedOn w:val="text"/>
    <w:autoRedefine/>
    <w:uiPriority w:val="99"/>
    <w:semiHidden/>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textAlignment w:val="center"/>
    </w:pPr>
    <w:rPr>
      <w:rFonts w:eastAsiaTheme="minorEastAsia" w:cs="ITC New Baskerville Std"/>
      <w:color w:val="000000"/>
    </w:rPr>
  </w:style>
  <w:style w:type="paragraph" w:customStyle="1" w:styleId="texteditorsnote-">
    <w:name w:val="text editors note -/+"/>
    <w:basedOn w:val="texteditorsnote"/>
    <w:autoRedefine/>
    <w:uiPriority w:val="99"/>
    <w:semiHidden/>
    <w:pPr>
      <w:spacing w:before="0"/>
    </w:pPr>
  </w:style>
  <w:style w:type="paragraph" w:customStyle="1" w:styleId="texteditorsnote-0">
    <w:name w:val="text editors note +/-"/>
    <w:basedOn w:val="Normal"/>
    <w:autoRedefine/>
    <w:uiPriority w:val="99"/>
    <w:semiHidden/>
    <w:pPr>
      <w:widowControl w:val="0"/>
      <w:autoSpaceDE w:val="0"/>
      <w:autoSpaceDN w:val="0"/>
      <w:adjustRightInd w:val="0"/>
      <w:spacing w:before="240" w:after="0" w:line="240" w:lineRule="auto"/>
      <w:ind w:firstLine="720"/>
      <w:textAlignment w:val="center"/>
    </w:pPr>
    <w:rPr>
      <w:rFonts w:ascii="Times New Roman" w:hAnsi="Times New Roman" w:cs="ITC New Baskerville Std"/>
      <w:color w:val="000000"/>
      <w:sz w:val="24"/>
      <w:szCs w:val="24"/>
    </w:rPr>
  </w:style>
  <w:style w:type="paragraph" w:customStyle="1" w:styleId="textflush-">
    <w:name w:val="text flush -/+"/>
    <w:basedOn w:val="textflush"/>
    <w:autoRedefine/>
    <w:uiPriority w:val="99"/>
    <w:semiHidden/>
    <w:pPr>
      <w:widowControl w:val="0"/>
      <w:autoSpaceDE w:val="0"/>
      <w:autoSpaceDN w:val="0"/>
      <w:adjustRightInd w:val="0"/>
      <w:spacing w:after="240"/>
      <w:textAlignment w:val="center"/>
    </w:pPr>
    <w:rPr>
      <w:rFonts w:eastAsiaTheme="minorEastAsia"/>
      <w:i/>
      <w:iCs/>
      <w:szCs w:val="22"/>
    </w:rPr>
  </w:style>
  <w:style w:type="paragraph" w:customStyle="1" w:styleId="textflush0">
    <w:name w:val="text flush +/+"/>
    <w:basedOn w:val="textflush"/>
    <w:autoRedefine/>
    <w:uiPriority w:val="99"/>
    <w:semiHidden/>
    <w:pPr>
      <w:widowControl w:val="0"/>
      <w:autoSpaceDE w:val="0"/>
      <w:autoSpaceDN w:val="0"/>
      <w:adjustRightInd w:val="0"/>
      <w:spacing w:before="240" w:after="240"/>
      <w:textAlignment w:val="center"/>
    </w:pPr>
    <w:rPr>
      <w:rFonts w:eastAsiaTheme="minorEastAsia"/>
      <w:i/>
      <w:iCs/>
      <w:szCs w:val="22"/>
    </w:rPr>
  </w:style>
  <w:style w:type="paragraph" w:customStyle="1" w:styleId="textflushbold">
    <w:name w:val="text flush bold +/+"/>
    <w:basedOn w:val="Normal"/>
    <w:autoRedefine/>
    <w:uiPriority w:val="99"/>
    <w:semiHidden/>
    <w:pPr>
      <w:widowControl w:val="0"/>
      <w:autoSpaceDE w:val="0"/>
      <w:autoSpaceDN w:val="0"/>
      <w:adjustRightInd w:val="0"/>
      <w:spacing w:before="240" w:after="240" w:line="240" w:lineRule="auto"/>
      <w:contextualSpacing/>
      <w:textAlignment w:val="center"/>
    </w:pPr>
    <w:rPr>
      <w:rFonts w:ascii="Times New Roman" w:hAnsi="Times New Roman" w:cs="ITC New Baskerville Std"/>
      <w:b/>
      <w:bCs/>
      <w:color w:val="000000"/>
      <w:sz w:val="24"/>
    </w:rPr>
  </w:style>
  <w:style w:type="paragraph" w:customStyle="1" w:styleId="textflushbold-">
    <w:name w:val="text flush bold -/+"/>
    <w:basedOn w:val="textflushbold"/>
    <w:autoRedefine/>
    <w:uiPriority w:val="99"/>
    <w:semiHidden/>
    <w:pPr>
      <w:spacing w:before="0"/>
      <w:contextualSpacing w:val="0"/>
    </w:pPr>
  </w:style>
  <w:style w:type="paragraph" w:customStyle="1" w:styleId="textflushbold--">
    <w:name w:val="text flush bold -/-"/>
    <w:basedOn w:val="textflushbold-"/>
    <w:autoRedefine/>
    <w:uiPriority w:val="99"/>
    <w:semiHidden/>
    <w:pPr>
      <w:spacing w:after="0"/>
    </w:pPr>
  </w:style>
  <w:style w:type="paragraph" w:customStyle="1" w:styleId="textflushednote-">
    <w:name w:val="text flush ed note -/+"/>
    <w:basedOn w:val="Normal"/>
    <w:autoRedefine/>
    <w:uiPriority w:val="99"/>
    <w:semiHidden/>
    <w:qFormat/>
    <w:pPr>
      <w:widowControl w:val="0"/>
      <w:autoSpaceDE w:val="0"/>
      <w:autoSpaceDN w:val="0"/>
      <w:adjustRightInd w:val="0"/>
      <w:spacing w:after="240" w:line="240" w:lineRule="auto"/>
      <w:textAlignment w:val="center"/>
    </w:pPr>
    <w:rPr>
      <w:rFonts w:ascii="Times New Roman" w:hAnsi="Times New Roman" w:cs="Times LT Std"/>
      <w:color w:val="000000"/>
      <w:sz w:val="24"/>
    </w:rPr>
  </w:style>
  <w:style w:type="paragraph" w:customStyle="1" w:styleId="textflushednote">
    <w:name w:val="text flush ed note +/+"/>
    <w:basedOn w:val="textflushednote-"/>
    <w:autoRedefine/>
    <w:uiPriority w:val="99"/>
    <w:semiHidden/>
    <w:pPr>
      <w:spacing w:before="240"/>
    </w:pPr>
  </w:style>
  <w:style w:type="paragraph" w:customStyle="1" w:styleId="textinsert-">
    <w:name w:val="text insert -/+"/>
    <w:basedOn w:val="Normal"/>
    <w:autoRedefine/>
    <w:uiPriority w:val="99"/>
    <w:semiHidden/>
    <w:pPr>
      <w:widowControl w:val="0"/>
      <w:autoSpaceDE w:val="0"/>
      <w:autoSpaceDN w:val="0"/>
      <w:adjustRightInd w:val="0"/>
      <w:spacing w:before="240" w:after="240" w:line="240" w:lineRule="auto"/>
      <w:ind w:firstLine="720"/>
      <w:contextualSpacing/>
      <w:textAlignment w:val="center"/>
    </w:pPr>
    <w:rPr>
      <w:rFonts w:ascii="Times New Roman" w:hAnsi="Times New Roman" w:cs="ITC New Baskerville Std"/>
      <w:color w:val="000000"/>
      <w:sz w:val="24"/>
    </w:rPr>
  </w:style>
  <w:style w:type="paragraph" w:customStyle="1" w:styleId="textinsert-0">
    <w:name w:val="text insert /+/-"/>
    <w:basedOn w:val="texteditorsnote"/>
    <w:autoRedefine/>
    <w:uiPriority w:val="99"/>
    <w:semiHidden/>
    <w:pPr>
      <w:spacing w:after="0"/>
    </w:pPr>
    <w:rPr>
      <w:b/>
      <w:bCs/>
      <w:i/>
      <w:iCs/>
    </w:rPr>
  </w:style>
  <w:style w:type="paragraph" w:customStyle="1" w:styleId="textinsert-1">
    <w:name w:val="text insert +/-"/>
    <w:basedOn w:val="texteditorsnote"/>
    <w:autoRedefine/>
    <w:uiPriority w:val="99"/>
    <w:semiHidden/>
    <w:pPr>
      <w:spacing w:after="0"/>
    </w:pPr>
  </w:style>
  <w:style w:type="paragraph" w:customStyle="1" w:styleId="textinsert">
    <w:name w:val="text insert +/+"/>
    <w:basedOn w:val="textflush"/>
    <w:autoRedefine/>
    <w:uiPriority w:val="99"/>
    <w:semiHidden/>
    <w:pPr>
      <w:widowControl w:val="0"/>
      <w:autoSpaceDE w:val="0"/>
      <w:autoSpaceDN w:val="0"/>
      <w:adjustRightInd w:val="0"/>
      <w:spacing w:before="240" w:after="240"/>
      <w:ind w:firstLine="720"/>
      <w:textAlignment w:val="center"/>
    </w:pPr>
    <w:rPr>
      <w:rFonts w:eastAsiaTheme="minorEastAsia"/>
      <w:szCs w:val="22"/>
    </w:rPr>
  </w:style>
  <w:style w:type="paragraph" w:customStyle="1" w:styleId="textinsertparaindent">
    <w:name w:val="text insert +/+ para indent"/>
    <w:basedOn w:val="Normal"/>
    <w:autoRedefine/>
    <w:semiHidden/>
    <w:qFormat/>
    <w:pPr>
      <w:spacing w:before="240" w:after="240" w:line="240" w:lineRule="auto"/>
      <w:ind w:firstLine="720"/>
    </w:pPr>
    <w:rPr>
      <w:rFonts w:ascii="Times New Roman" w:hAnsi="Times New Roman"/>
      <w:sz w:val="24"/>
    </w:rPr>
  </w:style>
  <w:style w:type="paragraph" w:customStyle="1" w:styleId="textinsertflushbold-">
    <w:name w:val="text insert flush bold -/+"/>
    <w:basedOn w:val="Normal"/>
    <w:autoRedefine/>
    <w:uiPriority w:val="99"/>
    <w:semiHidden/>
    <w:pPr>
      <w:widowControl w:val="0"/>
      <w:autoSpaceDE w:val="0"/>
      <w:autoSpaceDN w:val="0"/>
      <w:adjustRightInd w:val="0"/>
      <w:spacing w:after="240" w:line="240" w:lineRule="auto"/>
      <w:textAlignment w:val="center"/>
    </w:pPr>
    <w:rPr>
      <w:rFonts w:ascii="Times New Roman" w:hAnsi="Times New Roman" w:cs="Times LT Std"/>
      <w:b/>
      <w:bCs/>
      <w:color w:val="000000"/>
      <w:sz w:val="24"/>
    </w:rPr>
  </w:style>
  <w:style w:type="paragraph" w:customStyle="1" w:styleId="textinsertflushbold">
    <w:name w:val="text insert flush bold +/+"/>
    <w:basedOn w:val="text"/>
    <w:autoRedefine/>
    <w:uiPriority w:val="99"/>
    <w:semiHidden/>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textAlignment w:val="center"/>
    </w:pPr>
    <w:rPr>
      <w:rFonts w:eastAsiaTheme="minorEastAsia" w:cs="Times LT Std"/>
      <w:b/>
      <w:bCs/>
      <w:color w:val="000000"/>
      <w:szCs w:val="22"/>
    </w:rPr>
  </w:style>
  <w:style w:type="paragraph" w:customStyle="1" w:styleId="textinsert-f">
    <w:name w:val="text insert-f +/+"/>
    <w:basedOn w:val="textinsert"/>
    <w:autoRedefine/>
    <w:uiPriority w:val="99"/>
    <w:semiHidden/>
  </w:style>
  <w:style w:type="paragraph" w:customStyle="1" w:styleId="textonpage-">
    <w:name w:val="text on page . . .  -/+"/>
    <w:basedOn w:val="text"/>
    <w:autoRedefine/>
    <w:uiPriority w:val="99"/>
    <w:semiHidden/>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after="240"/>
      <w:textAlignment w:val="center"/>
    </w:pPr>
    <w:rPr>
      <w:rFonts w:eastAsiaTheme="minorEastAsia" w:cs="ITC New Baskerville Std"/>
      <w:color w:val="000000"/>
    </w:rPr>
  </w:style>
  <w:style w:type="paragraph" w:customStyle="1" w:styleId="textonpage-0">
    <w:name w:val="text on page +/-"/>
    <w:basedOn w:val="text"/>
    <w:autoRedefine/>
    <w:uiPriority w:val="99"/>
    <w:semiHidden/>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textAlignment w:val="center"/>
    </w:pPr>
    <w:rPr>
      <w:rFonts w:eastAsiaTheme="minorEastAsia" w:cs="ITC New Baskerville Std"/>
      <w:color w:val="000000"/>
    </w:rPr>
  </w:style>
  <w:style w:type="paragraph" w:customStyle="1" w:styleId="textonpage">
    <w:name w:val="text on page +/+"/>
    <w:basedOn w:val="text"/>
    <w:autoRedefine/>
    <w:uiPriority w:val="99"/>
    <w:semiHidden/>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textAlignment w:val="center"/>
    </w:pPr>
    <w:rPr>
      <w:rFonts w:eastAsiaTheme="minorEastAsia" w:cs="ITC New Baskerville Std"/>
      <w:color w:val="000000"/>
    </w:rPr>
  </w:style>
  <w:style w:type="paragraph" w:customStyle="1" w:styleId="textonpagebold-flush">
    <w:name w:val="text on page bold -/+ flush"/>
    <w:basedOn w:val="Normal"/>
    <w:autoRedefine/>
    <w:uiPriority w:val="99"/>
    <w:semiHidden/>
    <w:qFormat/>
    <w:pPr>
      <w:widowControl w:val="0"/>
      <w:autoSpaceDE w:val="0"/>
      <w:autoSpaceDN w:val="0"/>
      <w:adjustRightInd w:val="0"/>
      <w:spacing w:after="240" w:line="240" w:lineRule="atLeast"/>
      <w:textAlignment w:val="center"/>
    </w:pPr>
    <w:rPr>
      <w:rFonts w:ascii="Times New Roman" w:hAnsi="Times New Roman" w:cs="Times LT Std"/>
      <w:b/>
      <w:bCs/>
      <w:color w:val="000000"/>
      <w:sz w:val="24"/>
    </w:rPr>
  </w:style>
  <w:style w:type="paragraph" w:customStyle="1" w:styleId="textonpagebold">
    <w:name w:val="text on page bold +/+"/>
    <w:basedOn w:val="Normal"/>
    <w:autoRedefine/>
    <w:uiPriority w:val="99"/>
    <w:semiHidden/>
    <w:pPr>
      <w:widowControl w:val="0"/>
      <w:autoSpaceDE w:val="0"/>
      <w:autoSpaceDN w:val="0"/>
      <w:adjustRightInd w:val="0"/>
      <w:spacing w:before="240" w:after="240" w:line="240" w:lineRule="auto"/>
      <w:textAlignment w:val="center"/>
    </w:pPr>
    <w:rPr>
      <w:rFonts w:ascii="Times New Roman" w:hAnsi="Times New Roman" w:cs="ITC New Baskerville Std"/>
      <w:b/>
      <w:bCs/>
      <w:color w:val="000000"/>
      <w:sz w:val="24"/>
      <w:szCs w:val="24"/>
    </w:rPr>
  </w:style>
  <w:style w:type="paragraph" w:customStyle="1" w:styleId="textonpageboldflush">
    <w:name w:val="text on page bold +/+ flush"/>
    <w:basedOn w:val="Normal"/>
    <w:autoRedefine/>
    <w:uiPriority w:val="99"/>
    <w:semiHidden/>
    <w:pPr>
      <w:widowControl w:val="0"/>
      <w:autoSpaceDE w:val="0"/>
      <w:autoSpaceDN w:val="0"/>
      <w:adjustRightInd w:val="0"/>
      <w:spacing w:before="240" w:after="240" w:line="240" w:lineRule="auto"/>
      <w:textAlignment w:val="center"/>
    </w:pPr>
    <w:rPr>
      <w:rFonts w:ascii="Times New Roman" w:hAnsi="Times New Roman" w:cs="Times LT Std"/>
      <w:b/>
      <w:bCs/>
      <w:color w:val="000000"/>
      <w:sz w:val="24"/>
    </w:rPr>
  </w:style>
  <w:style w:type="paragraph" w:customStyle="1" w:styleId="textwith6ptbelow">
    <w:name w:val="text with 6 pt below"/>
    <w:basedOn w:val="text"/>
    <w:autoRedefine/>
    <w:uiPriority w:val="99"/>
    <w:semiHidden/>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ITC New Baskerville Std"/>
      <w:b/>
      <w:bCs/>
      <w:color w:val="000000"/>
    </w:rPr>
  </w:style>
  <w:style w:type="paragraph" w:customStyle="1" w:styleId="text-bold-">
    <w:name w:val="text-bold -/+"/>
    <w:basedOn w:val="text"/>
    <w:autoRedefine/>
    <w:uiPriority w:val="99"/>
    <w:semiHidden/>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Times LT Std"/>
      <w:b/>
      <w:bCs/>
      <w:color w:val="000000"/>
      <w:szCs w:val="22"/>
    </w:rPr>
  </w:style>
  <w:style w:type="paragraph" w:customStyle="1" w:styleId="text-bold">
    <w:name w:val="text-bold +/+"/>
    <w:basedOn w:val="text-bold-"/>
    <w:autoRedefine/>
    <w:uiPriority w:val="99"/>
    <w:semiHidden/>
    <w:pPr>
      <w:spacing w:before="240"/>
    </w:pPr>
  </w:style>
  <w:style w:type="paragraph" w:customStyle="1" w:styleId="text-flush">
    <w:name w:val="text-flush"/>
    <w:basedOn w:val="text"/>
    <w:autoRedefine/>
    <w:semiHidden/>
    <w:qFormat/>
  </w:style>
  <w:style w:type="paragraph" w:styleId="Title">
    <w:name w:val="Title"/>
    <w:basedOn w:val="Normal"/>
    <w:next w:val="Normal"/>
    <w:link w:val="TitleChar"/>
    <w:autoRedefine/>
    <w:uiPriority w:val="10"/>
    <w:semiHidden/>
    <w:qFormat/>
    <w:pPr>
      <w:spacing w:after="0" w:line="240" w:lineRule="auto"/>
      <w:ind w:firstLine="720"/>
      <w:contextualSpacing/>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semiHidden/>
    <w:rPr>
      <w:rFonts w:ascii="Times New Roman" w:eastAsiaTheme="majorEastAsia" w:hAnsi="Times New Roman" w:cstheme="majorBidi"/>
      <w:spacing w:val="-10"/>
      <w:kern w:val="28"/>
      <w:sz w:val="56"/>
      <w:szCs w:val="56"/>
    </w:rPr>
  </w:style>
  <w:style w:type="paragraph" w:customStyle="1" w:styleId="TOC1I">
    <w:name w:val="TOC1_I."/>
    <w:basedOn w:val="Normal"/>
    <w:autoRedefine/>
    <w:uiPriority w:val="99"/>
    <w:semiHidden/>
    <w:pPr>
      <w:widowControl w:val="0"/>
      <w:tabs>
        <w:tab w:val="right" w:pos="420"/>
        <w:tab w:val="left" w:pos="540"/>
        <w:tab w:val="right" w:leader="dot" w:pos="6240"/>
        <w:tab w:val="right" w:pos="6960"/>
      </w:tabs>
      <w:autoSpaceDE w:val="0"/>
      <w:autoSpaceDN w:val="0"/>
      <w:adjustRightInd w:val="0"/>
      <w:spacing w:after="0" w:line="220" w:lineRule="atLeast"/>
      <w:ind w:left="540" w:hanging="540"/>
      <w:textAlignment w:val="center"/>
    </w:pPr>
    <w:rPr>
      <w:rFonts w:ascii="Times New Roman" w:hAnsi="Times New Roman" w:cs="Times LT Std"/>
      <w:color w:val="000000"/>
      <w:szCs w:val="20"/>
    </w:rPr>
  </w:style>
  <w:style w:type="paragraph" w:customStyle="1" w:styleId="TOC1Secondary">
    <w:name w:val="TOC 1_Secondary"/>
    <w:basedOn w:val="TOC1I"/>
    <w:autoRedefine/>
    <w:uiPriority w:val="99"/>
    <w:semiHidden/>
    <w:qFormat/>
    <w:pPr>
      <w:tabs>
        <w:tab w:val="clear" w:pos="420"/>
        <w:tab w:val="clear" w:pos="540"/>
        <w:tab w:val="right" w:pos="480"/>
        <w:tab w:val="left" w:pos="600"/>
      </w:tabs>
      <w:suppressAutoHyphens/>
      <w:spacing w:line="240" w:lineRule="auto"/>
      <w:ind w:left="799" w:hanging="199"/>
    </w:pPr>
    <w:rPr>
      <w:szCs w:val="21"/>
    </w:rPr>
  </w:style>
  <w:style w:type="paragraph" w:customStyle="1" w:styleId="TOCChapter">
    <w:name w:val="TOC Chapter"/>
    <w:basedOn w:val="Normal"/>
    <w:autoRedefine/>
    <w:uiPriority w:val="99"/>
    <w:semiHidden/>
    <w:pPr>
      <w:tabs>
        <w:tab w:val="left" w:pos="1440"/>
        <w:tab w:val="right" w:leader="dot" w:pos="5640"/>
        <w:tab w:val="right" w:pos="6240"/>
        <w:tab w:val="right" w:pos="6960"/>
      </w:tabs>
      <w:suppressAutoHyphens/>
      <w:autoSpaceDE w:val="0"/>
      <w:autoSpaceDN w:val="0"/>
      <w:adjustRightInd w:val="0"/>
      <w:spacing w:before="240" w:after="0" w:line="220" w:lineRule="atLeast"/>
      <w:ind w:left="1440" w:hanging="1440"/>
      <w:textAlignment w:val="center"/>
    </w:pPr>
    <w:rPr>
      <w:rFonts w:ascii="Times New Roman" w:eastAsiaTheme="minorHAnsi" w:hAnsi="Times New Roman" w:cs="Times"/>
      <w:smallCaps/>
      <w:color w:val="000000"/>
      <w:spacing w:val="-2"/>
      <w:sz w:val="20"/>
      <w:szCs w:val="20"/>
    </w:rPr>
  </w:style>
  <w:style w:type="paragraph" w:customStyle="1" w:styleId="tocchapter0">
    <w:name w:val="toc chapter #"/>
    <w:basedOn w:val="Normal"/>
    <w:autoRedefine/>
    <w:uiPriority w:val="99"/>
    <w:semiHidden/>
    <w:pPr>
      <w:widowControl w:val="0"/>
      <w:tabs>
        <w:tab w:val="left" w:pos="1440"/>
        <w:tab w:val="right" w:leader="dot" w:pos="6240"/>
        <w:tab w:val="right" w:pos="6960"/>
      </w:tabs>
      <w:autoSpaceDE w:val="0"/>
      <w:autoSpaceDN w:val="0"/>
      <w:adjustRightInd w:val="0"/>
      <w:spacing w:before="240" w:after="240" w:line="240" w:lineRule="auto"/>
      <w:ind w:left="1440" w:hanging="1440"/>
      <w:textAlignment w:val="center"/>
    </w:pPr>
    <w:rPr>
      <w:rFonts w:ascii="Times New Roman" w:hAnsi="Times New Roman" w:cs="NewCenturySchlbk"/>
      <w:smallCaps/>
      <w:color w:val="000000"/>
      <w:sz w:val="24"/>
    </w:rPr>
  </w:style>
  <w:style w:type="paragraph" w:customStyle="1" w:styleId="tocflush">
    <w:name w:val="toc flush"/>
    <w:basedOn w:val="Normal"/>
    <w:autoRedefine/>
    <w:uiPriority w:val="99"/>
    <w:semiHidden/>
    <w:pPr>
      <w:widowControl w:val="0"/>
      <w:tabs>
        <w:tab w:val="left" w:pos="480"/>
        <w:tab w:val="right" w:leader="dot" w:pos="6240"/>
        <w:tab w:val="right" w:pos="6960"/>
      </w:tabs>
      <w:autoSpaceDE w:val="0"/>
      <w:autoSpaceDN w:val="0"/>
      <w:adjustRightInd w:val="0"/>
      <w:spacing w:after="240" w:line="240" w:lineRule="auto"/>
      <w:textAlignment w:val="center"/>
    </w:pPr>
    <w:rPr>
      <w:rFonts w:ascii="Times New Roman" w:hAnsi="Times New Roman" w:cs="Times New Roman"/>
      <w:smallCaps/>
      <w:color w:val="000000"/>
      <w:sz w:val="24"/>
    </w:rPr>
  </w:style>
  <w:style w:type="paragraph" w:customStyle="1" w:styleId="tocI">
    <w:name w:val="toc I."/>
    <w:basedOn w:val="Normal"/>
    <w:autoRedefine/>
    <w:uiPriority w:val="99"/>
    <w:semiHidden/>
    <w:pPr>
      <w:widowControl w:val="0"/>
      <w:tabs>
        <w:tab w:val="right" w:pos="600"/>
        <w:tab w:val="left" w:pos="720"/>
        <w:tab w:val="left" w:leader="dot" w:pos="6240"/>
        <w:tab w:val="left" w:pos="6960"/>
      </w:tabs>
      <w:suppressAutoHyphens/>
      <w:autoSpaceDE w:val="0"/>
      <w:autoSpaceDN w:val="0"/>
      <w:adjustRightInd w:val="0"/>
      <w:spacing w:after="0" w:line="240" w:lineRule="auto"/>
      <w:ind w:left="720" w:hanging="720"/>
      <w:textAlignment w:val="center"/>
    </w:pPr>
    <w:rPr>
      <w:rFonts w:ascii="Times New Roman" w:hAnsi="Times New Roman" w:cs="ITC New Baskerville Std"/>
      <w:color w:val="000000"/>
    </w:rPr>
  </w:style>
  <w:style w:type="paragraph" w:customStyle="1" w:styleId="toc11">
    <w:name w:val="toc1 1."/>
    <w:basedOn w:val="text"/>
    <w:autoRedefine/>
    <w:uiPriority w:val="99"/>
    <w:semiHidden/>
    <w:pPr>
      <w:widowControl w:val="0"/>
      <w:tabs>
        <w:tab w:val="clear" w:pos="1440"/>
        <w:tab w:val="clear" w:pos="2160"/>
        <w:tab w:val="clear" w:pos="2880"/>
        <w:tab w:val="clear" w:pos="3600"/>
        <w:tab w:val="clear" w:pos="4320"/>
        <w:tab w:val="clear" w:pos="5040"/>
        <w:tab w:val="clear" w:pos="5760"/>
        <w:tab w:val="left" w:pos="600"/>
        <w:tab w:val="right" w:leader="dot" w:pos="6240"/>
        <w:tab w:val="right" w:pos="6960"/>
      </w:tabs>
      <w:autoSpaceDE w:val="0"/>
      <w:autoSpaceDN w:val="0"/>
      <w:adjustRightInd w:val="0"/>
      <w:spacing w:line="240" w:lineRule="atLeast"/>
      <w:ind w:left="600" w:hanging="600"/>
      <w:textAlignment w:val="center"/>
    </w:pPr>
    <w:rPr>
      <w:rFonts w:eastAsiaTheme="minorEastAsia" w:cs="NewCenturySchlbk"/>
      <w:color w:val="000000"/>
      <w:szCs w:val="22"/>
    </w:rPr>
  </w:style>
  <w:style w:type="paragraph" w:customStyle="1" w:styleId="toc1A">
    <w:name w:val="toc1 A."/>
    <w:basedOn w:val="Normal"/>
    <w:autoRedefine/>
    <w:uiPriority w:val="99"/>
    <w:semiHidden/>
    <w:pPr>
      <w:widowControl w:val="0"/>
      <w:tabs>
        <w:tab w:val="left" w:pos="1080"/>
        <w:tab w:val="left" w:leader="dot" w:pos="6240"/>
        <w:tab w:val="left" w:pos="6960"/>
      </w:tabs>
      <w:suppressAutoHyphens/>
      <w:autoSpaceDE w:val="0"/>
      <w:autoSpaceDN w:val="0"/>
      <w:adjustRightInd w:val="0"/>
      <w:spacing w:after="0" w:line="240" w:lineRule="auto"/>
      <w:ind w:left="1080" w:hanging="360"/>
      <w:textAlignment w:val="center"/>
    </w:pPr>
    <w:rPr>
      <w:rFonts w:ascii="Times New Roman" w:hAnsi="Times New Roman" w:cs="ITC New Baskerville Std"/>
      <w:color w:val="000000"/>
    </w:rPr>
  </w:style>
  <w:style w:type="paragraph" w:customStyle="1" w:styleId="TOC1ES">
    <w:name w:val="TOC1 ES"/>
    <w:basedOn w:val="toc1"/>
    <w:autoRedefine/>
    <w:semiHidden/>
    <w:qFormat/>
    <w:pPr>
      <w:tabs>
        <w:tab w:val="right" w:pos="960"/>
      </w:tabs>
      <w:ind w:left="960" w:hanging="960"/>
    </w:pPr>
    <w:rPr>
      <w:rFonts w:cs="Times New Roman"/>
    </w:rPr>
  </w:style>
  <w:style w:type="paragraph" w:customStyle="1" w:styleId="TOC1ESDD">
    <w:name w:val="TOC1 ES DD"/>
    <w:basedOn w:val="toc1"/>
    <w:autoRedefine/>
    <w:semiHidden/>
    <w:qFormat/>
    <w:pPr>
      <w:tabs>
        <w:tab w:val="left" w:pos="1080"/>
      </w:tabs>
      <w:ind w:left="1080" w:hanging="1080"/>
    </w:pPr>
    <w:rPr>
      <w:rFonts w:cs="Times New Roman"/>
    </w:rPr>
  </w:style>
  <w:style w:type="paragraph" w:customStyle="1" w:styleId="toc1I0">
    <w:name w:val="toc1 I."/>
    <w:basedOn w:val="text"/>
    <w:autoRedefine/>
    <w:uiPriority w:val="99"/>
    <w:semiHidden/>
    <w:qFormat/>
    <w:pPr>
      <w:widowControl w:val="0"/>
      <w:tabs>
        <w:tab w:val="clear" w:pos="720"/>
        <w:tab w:val="clear" w:pos="1440"/>
        <w:tab w:val="clear" w:pos="2160"/>
        <w:tab w:val="clear" w:pos="2880"/>
        <w:tab w:val="clear" w:pos="3600"/>
        <w:tab w:val="clear" w:pos="4320"/>
        <w:tab w:val="clear" w:pos="5040"/>
        <w:tab w:val="clear" w:pos="5760"/>
        <w:tab w:val="right" w:pos="480"/>
        <w:tab w:val="left" w:pos="600"/>
        <w:tab w:val="left" w:leader="dot" w:pos="6240"/>
        <w:tab w:val="right" w:pos="6960"/>
      </w:tabs>
      <w:autoSpaceDE w:val="0"/>
      <w:autoSpaceDN w:val="0"/>
      <w:adjustRightInd w:val="0"/>
      <w:ind w:left="600" w:hanging="600"/>
      <w:textAlignment w:val="center"/>
    </w:pPr>
    <w:rPr>
      <w:rFonts w:eastAsiaTheme="minorEastAsia"/>
      <w:color w:val="000000"/>
      <w:szCs w:val="20"/>
    </w:rPr>
  </w:style>
  <w:style w:type="paragraph" w:customStyle="1" w:styleId="TOC1I1">
    <w:name w:val="TOC1 I."/>
    <w:basedOn w:val="Normal"/>
    <w:autoRedefine/>
    <w:uiPriority w:val="99"/>
    <w:semiHidden/>
    <w:pPr>
      <w:widowControl w:val="0"/>
      <w:tabs>
        <w:tab w:val="right" w:pos="600"/>
        <w:tab w:val="left" w:pos="720"/>
        <w:tab w:val="right" w:leader="dot" w:pos="6240"/>
        <w:tab w:val="left" w:pos="6960"/>
      </w:tabs>
      <w:suppressAutoHyphens/>
      <w:autoSpaceDE w:val="0"/>
      <w:autoSpaceDN w:val="0"/>
      <w:adjustRightInd w:val="0"/>
      <w:spacing w:after="0" w:line="240" w:lineRule="auto"/>
      <w:ind w:left="720" w:hanging="720"/>
      <w:textAlignment w:val="center"/>
    </w:pPr>
    <w:rPr>
      <w:rFonts w:ascii="Times New Roman" w:hAnsi="Times New Roman" w:cs="ITC New Baskerville Std"/>
      <w:color w:val="000000"/>
      <w:szCs w:val="24"/>
    </w:rPr>
  </w:style>
  <w:style w:type="paragraph" w:customStyle="1" w:styleId="TOC1I2">
    <w:name w:val="TOC1_I"/>
    <w:basedOn w:val="Normal"/>
    <w:autoRedefine/>
    <w:uiPriority w:val="99"/>
    <w:semiHidden/>
    <w:pPr>
      <w:widowControl w:val="0"/>
      <w:tabs>
        <w:tab w:val="right" w:pos="480"/>
        <w:tab w:val="left" w:pos="600"/>
        <w:tab w:val="right" w:leader="dot" w:pos="6240"/>
        <w:tab w:val="right" w:pos="6960"/>
      </w:tabs>
      <w:suppressAutoHyphens/>
      <w:autoSpaceDE w:val="0"/>
      <w:autoSpaceDN w:val="0"/>
      <w:adjustRightInd w:val="0"/>
      <w:spacing w:after="0" w:line="240" w:lineRule="auto"/>
      <w:ind w:left="600" w:hanging="600"/>
      <w:textAlignment w:val="center"/>
    </w:pPr>
    <w:rPr>
      <w:rFonts w:ascii="Times New Roman" w:hAnsi="Times New Roman" w:cs="Times LT Std"/>
      <w:color w:val="000000"/>
      <w:sz w:val="24"/>
      <w:szCs w:val="24"/>
    </w:rPr>
  </w:style>
  <w:style w:type="paragraph" w:customStyle="1" w:styleId="toc2">
    <w:name w:val="toc2"/>
    <w:basedOn w:val="Normal"/>
    <w:autoRedefine/>
    <w:uiPriority w:val="99"/>
    <w:semiHidden/>
    <w:pPr>
      <w:widowControl w:val="0"/>
      <w:tabs>
        <w:tab w:val="left" w:pos="720"/>
        <w:tab w:val="right" w:leader="dot" w:pos="6240"/>
        <w:tab w:val="left" w:pos="6960"/>
      </w:tabs>
      <w:autoSpaceDE w:val="0"/>
      <w:autoSpaceDN w:val="0"/>
      <w:adjustRightInd w:val="0"/>
      <w:spacing w:after="0" w:line="240" w:lineRule="auto"/>
      <w:ind w:left="1080" w:hanging="360"/>
      <w:textAlignment w:val="center"/>
    </w:pPr>
    <w:rPr>
      <w:rFonts w:ascii="Times New Roman" w:hAnsi="Times New Roman" w:cs="Times New Roman"/>
      <w:color w:val="000000"/>
    </w:rPr>
  </w:style>
  <w:style w:type="paragraph" w:customStyle="1" w:styleId="toc21">
    <w:name w:val="toc2 1."/>
    <w:basedOn w:val="toc1A"/>
    <w:autoRedefine/>
    <w:uiPriority w:val="99"/>
    <w:semiHidden/>
    <w:pPr>
      <w:tabs>
        <w:tab w:val="clear" w:pos="1080"/>
        <w:tab w:val="left" w:pos="1380"/>
      </w:tabs>
      <w:ind w:left="1380" w:hanging="300"/>
    </w:pPr>
  </w:style>
  <w:style w:type="paragraph" w:customStyle="1" w:styleId="toc2A">
    <w:name w:val="toc2 A."/>
    <w:basedOn w:val="Normal"/>
    <w:autoRedefine/>
    <w:uiPriority w:val="99"/>
    <w:semiHidden/>
    <w:pPr>
      <w:widowControl w:val="0"/>
      <w:tabs>
        <w:tab w:val="left" w:pos="1080"/>
        <w:tab w:val="right" w:leader="dot" w:pos="6240"/>
        <w:tab w:val="right" w:pos="6960"/>
      </w:tabs>
      <w:autoSpaceDE w:val="0"/>
      <w:autoSpaceDN w:val="0"/>
      <w:adjustRightInd w:val="0"/>
      <w:spacing w:after="0" w:line="240" w:lineRule="auto"/>
      <w:ind w:left="1080" w:hanging="360"/>
      <w:textAlignment w:val="center"/>
    </w:pPr>
    <w:rPr>
      <w:rFonts w:ascii="Times New Roman" w:hAnsi="Times New Roman" w:cs="NewCenturySchlbk"/>
      <w:color w:val="000000"/>
      <w:sz w:val="24"/>
    </w:rPr>
  </w:style>
  <w:style w:type="paragraph" w:customStyle="1" w:styleId="toc2dd">
    <w:name w:val="toc2 dd"/>
    <w:basedOn w:val="Normal"/>
    <w:autoRedefine/>
    <w:uiPriority w:val="99"/>
    <w:semiHidden/>
    <w:qFormat/>
    <w:pPr>
      <w:widowControl w:val="0"/>
      <w:tabs>
        <w:tab w:val="left" w:pos="1200"/>
        <w:tab w:val="left" w:leader="dot" w:pos="6240"/>
        <w:tab w:val="left" w:pos="6960"/>
      </w:tabs>
      <w:suppressAutoHyphens/>
      <w:autoSpaceDE w:val="0"/>
      <w:autoSpaceDN w:val="0"/>
      <w:adjustRightInd w:val="0"/>
      <w:spacing w:after="0" w:line="240" w:lineRule="auto"/>
      <w:ind w:left="1200" w:hanging="480"/>
      <w:textAlignment w:val="center"/>
    </w:pPr>
    <w:rPr>
      <w:rFonts w:ascii="Times New Roman" w:hAnsi="Times New Roman" w:cs="ITC New Baskerville Std"/>
      <w:color w:val="000000"/>
      <w:sz w:val="24"/>
    </w:rPr>
  </w:style>
  <w:style w:type="paragraph" w:customStyle="1" w:styleId="TOC2A0">
    <w:name w:val="TOC2_A."/>
    <w:basedOn w:val="TOC1I"/>
    <w:uiPriority w:val="99"/>
    <w:semiHidden/>
    <w:pPr>
      <w:tabs>
        <w:tab w:val="clear" w:pos="420"/>
        <w:tab w:val="clear" w:pos="540"/>
      </w:tabs>
      <w:ind w:left="840" w:hanging="300"/>
    </w:pPr>
  </w:style>
  <w:style w:type="paragraph" w:customStyle="1" w:styleId="TOC2secondary">
    <w:name w:val="TOC2_secondary"/>
    <w:basedOn w:val="TOC2A0"/>
    <w:autoRedefine/>
    <w:uiPriority w:val="99"/>
    <w:semiHidden/>
    <w:qFormat/>
    <w:pPr>
      <w:tabs>
        <w:tab w:val="left" w:pos="960"/>
      </w:tabs>
      <w:suppressAutoHyphens/>
      <w:spacing w:line="240" w:lineRule="auto"/>
      <w:ind w:left="1320" w:hanging="360"/>
    </w:pPr>
    <w:rPr>
      <w:szCs w:val="21"/>
    </w:rPr>
  </w:style>
  <w:style w:type="paragraph" w:customStyle="1" w:styleId="toc3">
    <w:name w:val="toc3"/>
    <w:basedOn w:val="toc2"/>
    <w:autoRedefine/>
    <w:uiPriority w:val="99"/>
    <w:semiHidden/>
    <w:pPr>
      <w:tabs>
        <w:tab w:val="left" w:pos="1680"/>
      </w:tabs>
      <w:ind w:left="1680" w:hanging="480"/>
    </w:pPr>
  </w:style>
  <w:style w:type="paragraph" w:customStyle="1" w:styleId="toc31">
    <w:name w:val="toc3 1."/>
    <w:basedOn w:val="toc2A"/>
    <w:autoRedefine/>
    <w:uiPriority w:val="99"/>
    <w:semiHidden/>
    <w:pPr>
      <w:tabs>
        <w:tab w:val="left" w:pos="1320"/>
      </w:tabs>
      <w:ind w:left="1320"/>
    </w:pPr>
  </w:style>
  <w:style w:type="paragraph" w:customStyle="1" w:styleId="toc3100">
    <w:name w:val="toc3 100."/>
    <w:basedOn w:val="toc3"/>
    <w:autoRedefine/>
    <w:uiPriority w:val="99"/>
    <w:semiHidden/>
    <w:pPr>
      <w:ind w:hanging="600"/>
    </w:pPr>
    <w:rPr>
      <w:rFonts w:cs="ITC New Baskerville Std"/>
    </w:rPr>
  </w:style>
  <w:style w:type="paragraph" w:customStyle="1" w:styleId="toc3a">
    <w:name w:val="toc3 a."/>
    <w:basedOn w:val="toc21"/>
    <w:autoRedefine/>
    <w:uiPriority w:val="99"/>
    <w:semiHidden/>
    <w:pPr>
      <w:tabs>
        <w:tab w:val="clear" w:pos="1380"/>
        <w:tab w:val="left" w:pos="1680"/>
      </w:tabs>
      <w:ind w:left="1680"/>
    </w:pPr>
  </w:style>
  <w:style w:type="paragraph" w:customStyle="1" w:styleId="toc3dd">
    <w:name w:val="toc3 dd"/>
    <w:basedOn w:val="toc3"/>
    <w:uiPriority w:val="99"/>
    <w:semiHidden/>
    <w:pPr>
      <w:tabs>
        <w:tab w:val="left" w:pos="1500"/>
      </w:tabs>
      <w:spacing w:line="240" w:lineRule="atLeast"/>
      <w:ind w:left="1500"/>
    </w:pPr>
  </w:style>
  <w:style w:type="paragraph" w:customStyle="1" w:styleId="toc3i">
    <w:name w:val="toc3 i."/>
    <w:basedOn w:val="toc2A"/>
    <w:autoRedefine/>
    <w:uiPriority w:val="99"/>
    <w:semiHidden/>
    <w:pPr>
      <w:tabs>
        <w:tab w:val="left" w:pos="1320"/>
      </w:tabs>
      <w:ind w:left="1320" w:hanging="480"/>
    </w:pPr>
  </w:style>
  <w:style w:type="paragraph" w:customStyle="1" w:styleId="TOC310">
    <w:name w:val="TOC3_1."/>
    <w:basedOn w:val="TOC2A0"/>
    <w:uiPriority w:val="99"/>
    <w:semiHidden/>
    <w:pPr>
      <w:tabs>
        <w:tab w:val="left" w:pos="1200"/>
      </w:tabs>
      <w:ind w:left="1200" w:hanging="360"/>
    </w:pPr>
  </w:style>
  <w:style w:type="paragraph" w:customStyle="1" w:styleId="toc4">
    <w:name w:val="toc4"/>
    <w:basedOn w:val="toc3"/>
    <w:autoRedefine/>
    <w:uiPriority w:val="99"/>
    <w:semiHidden/>
    <w:pPr>
      <w:tabs>
        <w:tab w:val="left" w:pos="2160"/>
      </w:tabs>
      <w:ind w:left="2160"/>
    </w:pPr>
  </w:style>
  <w:style w:type="paragraph" w:customStyle="1" w:styleId="toc41">
    <w:name w:val="toc4 (1)"/>
    <w:basedOn w:val="toc3a"/>
    <w:autoRedefine/>
    <w:uiPriority w:val="99"/>
    <w:semiHidden/>
    <w:pPr>
      <w:tabs>
        <w:tab w:val="clear" w:pos="1680"/>
        <w:tab w:val="left" w:pos="2100"/>
      </w:tabs>
      <w:ind w:left="2100" w:hanging="420"/>
    </w:pPr>
  </w:style>
  <w:style w:type="paragraph" w:customStyle="1" w:styleId="toc4100a">
    <w:name w:val="toc4 100/a"/>
    <w:basedOn w:val="toc4"/>
    <w:autoRedefine/>
    <w:uiPriority w:val="99"/>
    <w:semiHidden/>
    <w:pPr>
      <w:tabs>
        <w:tab w:val="left" w:pos="1980"/>
      </w:tabs>
      <w:ind w:left="1980" w:hanging="300"/>
    </w:pPr>
    <w:rPr>
      <w:rFonts w:cs="ITC New Baskerville Std"/>
    </w:rPr>
  </w:style>
  <w:style w:type="paragraph" w:customStyle="1" w:styleId="toc4a">
    <w:name w:val="toc4 a."/>
    <w:basedOn w:val="toc31"/>
    <w:autoRedefine/>
    <w:uiPriority w:val="99"/>
    <w:semiHidden/>
    <w:pPr>
      <w:tabs>
        <w:tab w:val="clear" w:pos="1320"/>
        <w:tab w:val="left" w:pos="1680"/>
      </w:tabs>
      <w:spacing w:line="240" w:lineRule="atLeast"/>
      <w:ind w:left="1680"/>
    </w:pPr>
  </w:style>
  <w:style w:type="paragraph" w:customStyle="1" w:styleId="toc4dd">
    <w:name w:val="toc4 dd"/>
    <w:basedOn w:val="toc4"/>
    <w:autoRedefine/>
    <w:uiPriority w:val="99"/>
    <w:semiHidden/>
    <w:qFormat/>
    <w:pPr>
      <w:tabs>
        <w:tab w:val="left" w:pos="1920"/>
        <w:tab w:val="right" w:leader="dot" w:pos="5400"/>
        <w:tab w:val="right" w:pos="6240"/>
      </w:tabs>
      <w:spacing w:after="40" w:line="240" w:lineRule="atLeast"/>
      <w:ind w:left="1920" w:hanging="420"/>
    </w:pPr>
    <w:rPr>
      <w:rFonts w:cs="ITC New Baskerville Std"/>
    </w:rPr>
  </w:style>
  <w:style w:type="paragraph" w:customStyle="1" w:styleId="TOC4a0">
    <w:name w:val="TOC4_a."/>
    <w:basedOn w:val="TOC310"/>
    <w:uiPriority w:val="99"/>
    <w:semiHidden/>
    <w:pPr>
      <w:tabs>
        <w:tab w:val="clear" w:pos="1200"/>
      </w:tabs>
      <w:ind w:left="1560"/>
    </w:pPr>
  </w:style>
  <w:style w:type="paragraph" w:customStyle="1" w:styleId="toc5">
    <w:name w:val="toc5"/>
    <w:basedOn w:val="toc4"/>
    <w:autoRedefine/>
    <w:uiPriority w:val="99"/>
    <w:semiHidden/>
    <w:pPr>
      <w:tabs>
        <w:tab w:val="left" w:pos="2520"/>
      </w:tabs>
      <w:ind w:left="2520"/>
    </w:pPr>
  </w:style>
  <w:style w:type="paragraph" w:customStyle="1" w:styleId="toc5a0">
    <w:name w:val="toc5 (a)"/>
    <w:basedOn w:val="toc41"/>
    <w:autoRedefine/>
    <w:uiPriority w:val="99"/>
    <w:semiHidden/>
    <w:pPr>
      <w:tabs>
        <w:tab w:val="clear" w:pos="2100"/>
        <w:tab w:val="left" w:pos="2520"/>
      </w:tabs>
      <w:ind w:left="2520"/>
    </w:pPr>
  </w:style>
  <w:style w:type="paragraph" w:customStyle="1" w:styleId="toc5ii">
    <w:name w:val="toc5 ii."/>
    <w:basedOn w:val="toc4a"/>
    <w:autoRedefine/>
    <w:uiPriority w:val="99"/>
    <w:semiHidden/>
    <w:pPr>
      <w:tabs>
        <w:tab w:val="clear" w:pos="1680"/>
        <w:tab w:val="right" w:pos="2160"/>
        <w:tab w:val="left" w:pos="2280"/>
        <w:tab w:val="right" w:pos="6240"/>
      </w:tabs>
      <w:spacing w:line="220" w:lineRule="atLeast"/>
      <w:ind w:left="2280" w:hanging="600"/>
    </w:pPr>
    <w:rPr>
      <w:rFonts w:cs="Times LT Std"/>
      <w:szCs w:val="20"/>
    </w:rPr>
  </w:style>
  <w:style w:type="paragraph" w:customStyle="1" w:styleId="TOC5i">
    <w:name w:val="TOC5_i."/>
    <w:basedOn w:val="TOC4a0"/>
    <w:autoRedefine/>
    <w:uiPriority w:val="99"/>
    <w:semiHidden/>
    <w:qFormat/>
    <w:pPr>
      <w:tabs>
        <w:tab w:val="left" w:pos="1440"/>
        <w:tab w:val="right" w:pos="2040"/>
        <w:tab w:val="left" w:pos="2160"/>
      </w:tabs>
      <w:suppressAutoHyphens/>
      <w:spacing w:line="240" w:lineRule="auto"/>
      <w:ind w:left="2160" w:hanging="480"/>
    </w:pPr>
    <w:rPr>
      <w:szCs w:val="21"/>
    </w:rPr>
  </w:style>
  <w:style w:type="paragraph" w:customStyle="1" w:styleId="TOC5ii0">
    <w:name w:val="TOC5_ii."/>
    <w:basedOn w:val="TOC4a0"/>
    <w:autoRedefine/>
    <w:uiPriority w:val="99"/>
    <w:semiHidden/>
    <w:pPr>
      <w:tabs>
        <w:tab w:val="right" w:pos="2040"/>
        <w:tab w:val="left" w:pos="2160"/>
        <w:tab w:val="left" w:leader="dot" w:pos="6240"/>
      </w:tabs>
      <w:spacing w:line="240" w:lineRule="atLeast"/>
      <w:ind w:left="2160" w:hanging="480"/>
    </w:pPr>
    <w:rPr>
      <w:szCs w:val="22"/>
    </w:rPr>
  </w:style>
  <w:style w:type="paragraph" w:customStyle="1" w:styleId="toc6">
    <w:name w:val="toc6"/>
    <w:basedOn w:val="toc5"/>
    <w:autoRedefine/>
    <w:uiPriority w:val="99"/>
    <w:semiHidden/>
    <w:pPr>
      <w:tabs>
        <w:tab w:val="clear" w:pos="2520"/>
        <w:tab w:val="left" w:pos="3000"/>
      </w:tabs>
      <w:ind w:left="3000"/>
    </w:pPr>
    <w:rPr>
      <w:rFonts w:cs="ITC New Baskerville Std"/>
    </w:rPr>
  </w:style>
  <w:style w:type="paragraph" w:customStyle="1" w:styleId="TOC61">
    <w:name w:val="TOC6 (1)"/>
    <w:basedOn w:val="TOC5ii0"/>
    <w:autoRedefine/>
    <w:uiPriority w:val="99"/>
    <w:semiHidden/>
    <w:pPr>
      <w:tabs>
        <w:tab w:val="clear" w:pos="2040"/>
        <w:tab w:val="clear" w:pos="2160"/>
        <w:tab w:val="left" w:pos="2640"/>
      </w:tabs>
      <w:spacing w:line="240" w:lineRule="auto"/>
      <w:ind w:left="2640"/>
    </w:pPr>
  </w:style>
  <w:style w:type="paragraph" w:customStyle="1" w:styleId="toc7">
    <w:name w:val="toc7"/>
    <w:basedOn w:val="toc6"/>
    <w:autoRedefine/>
    <w:uiPriority w:val="99"/>
    <w:semiHidden/>
    <w:qFormat/>
    <w:pPr>
      <w:tabs>
        <w:tab w:val="clear" w:pos="3000"/>
        <w:tab w:val="left" w:pos="3360"/>
      </w:tabs>
      <w:ind w:left="3360"/>
    </w:pPr>
  </w:style>
  <w:style w:type="paragraph" w:customStyle="1" w:styleId="toc8">
    <w:name w:val="toc8"/>
    <w:basedOn w:val="toc7"/>
    <w:autoRedefine/>
    <w:uiPriority w:val="99"/>
    <w:semiHidden/>
    <w:qFormat/>
    <w:pPr>
      <w:tabs>
        <w:tab w:val="clear" w:pos="3360"/>
        <w:tab w:val="left" w:pos="3840"/>
      </w:tabs>
      <w:ind w:left="3840"/>
    </w:pPr>
  </w:style>
  <w:style w:type="paragraph" w:customStyle="1" w:styleId="toc410">
    <w:name w:val="toc4 (10)"/>
    <w:basedOn w:val="toc41"/>
    <w:uiPriority w:val="99"/>
    <w:semiHidden/>
    <w:pPr>
      <w:tabs>
        <w:tab w:val="clear" w:pos="2100"/>
        <w:tab w:val="left" w:pos="2160"/>
        <w:tab w:val="right" w:pos="6960"/>
      </w:tabs>
      <w:spacing w:line="240" w:lineRule="atLeast"/>
      <w:ind w:left="2160" w:hanging="480"/>
    </w:pPr>
  </w:style>
  <w:style w:type="paragraph" w:customStyle="1" w:styleId="toc6iii">
    <w:name w:val="toc6 (iii)"/>
    <w:basedOn w:val="toc5a"/>
    <w:uiPriority w:val="99"/>
    <w:semiHidden/>
    <w:pPr>
      <w:widowControl w:val="0"/>
      <w:tabs>
        <w:tab w:val="clear" w:pos="2100"/>
        <w:tab w:val="left" w:pos="2640"/>
        <w:tab w:val="left" w:pos="3240"/>
        <w:tab w:val="right" w:pos="6960"/>
      </w:tabs>
      <w:ind w:left="3240" w:hanging="600"/>
    </w:pPr>
  </w:style>
  <w:style w:type="paragraph" w:customStyle="1" w:styleId="6thlevelheadar">
    <w:name w:val="6th level head (a)_r"/>
    <w:basedOn w:val="5thlevelhead1i"/>
    <w:autoRedefine/>
    <w:uiPriority w:val="99"/>
    <w:semiHidden/>
    <w:pPr>
      <w:tabs>
        <w:tab w:val="clear" w:pos="800"/>
      </w:tabs>
      <w:ind w:left="1181"/>
    </w:pPr>
  </w:style>
  <w:style w:type="paragraph" w:customStyle="1" w:styleId="3rdlevelhead10i">
    <w:name w:val="3rd level head 10._i"/>
    <w:basedOn w:val="3rdlevelhead1i"/>
    <w:autoRedefine/>
    <w:uiPriority w:val="99"/>
    <w:semiHidden/>
    <w:qFormat/>
    <w:pPr>
      <w:keepNext/>
      <w:widowControl w:val="0"/>
      <w:tabs>
        <w:tab w:val="clear" w:pos="360"/>
        <w:tab w:val="left" w:pos="480"/>
      </w:tabs>
      <w:suppressAutoHyphens/>
      <w:autoSpaceDE w:val="0"/>
      <w:autoSpaceDN w:val="0"/>
      <w:adjustRightInd w:val="0"/>
      <w:ind w:left="480" w:hanging="480"/>
      <w:textAlignment w:val="center"/>
    </w:pPr>
    <w:rPr>
      <w:rFonts w:cs="Times LT Std"/>
      <w:iCs/>
      <w:color w:val="000000"/>
    </w:rPr>
  </w:style>
  <w:style w:type="paragraph" w:customStyle="1" w:styleId="toc51">
    <w:name w:val="toc5 (1)"/>
    <w:basedOn w:val="toc4a"/>
    <w:autoRedefine/>
    <w:uiPriority w:val="99"/>
    <w:semiHidden/>
    <w:pPr>
      <w:tabs>
        <w:tab w:val="clear" w:pos="1080"/>
        <w:tab w:val="clear" w:pos="1680"/>
        <w:tab w:val="left" w:pos="2160"/>
      </w:tabs>
      <w:ind w:left="2160" w:hanging="480"/>
    </w:pPr>
  </w:style>
  <w:style w:type="paragraph" w:customStyle="1" w:styleId="numberlistpnlstart">
    <w:name w:val="number list pnl start"/>
    <w:basedOn w:val="numberlistpnl"/>
    <w:autoRedefine/>
    <w:uiPriority w:val="99"/>
    <w:semiHidden/>
    <w:pPr>
      <w:tabs>
        <w:tab w:val="clear" w:pos="1020"/>
        <w:tab w:val="left" w:pos="840"/>
      </w:tabs>
      <w:spacing w:before="240"/>
    </w:pPr>
    <w:rPr>
      <w:rFonts w:cs="NewCenturySchlbk"/>
      <w:szCs w:val="22"/>
    </w:rPr>
  </w:style>
  <w:style w:type="paragraph" w:customStyle="1" w:styleId="tocED1">
    <w:name w:val="toc ED 1."/>
    <w:basedOn w:val="tocI"/>
    <w:autoRedefine/>
    <w:semiHidden/>
    <w:qFormat/>
    <w:pPr>
      <w:tabs>
        <w:tab w:val="clear" w:pos="600"/>
        <w:tab w:val="clear" w:pos="720"/>
        <w:tab w:val="right" w:pos="480"/>
      </w:tabs>
      <w:ind w:left="480" w:hanging="480"/>
    </w:pPr>
  </w:style>
  <w:style w:type="paragraph" w:customStyle="1" w:styleId="tocEDa">
    <w:name w:val="toc ED a."/>
    <w:basedOn w:val="toc2"/>
    <w:autoRedefine/>
    <w:semiHidden/>
    <w:qFormat/>
    <w:pPr>
      <w:tabs>
        <w:tab w:val="left" w:pos="960"/>
      </w:tabs>
    </w:pPr>
  </w:style>
  <w:style w:type="paragraph" w:customStyle="1" w:styleId="block-f2ndindent">
    <w:name w:val="block-f 2nd indent"/>
    <w:basedOn w:val="text"/>
    <w:autoRedefine/>
    <w:uiPriority w:val="99"/>
    <w:semiHidden/>
    <w:pPr>
      <w:widowControl w:val="0"/>
      <w:tabs>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ind w:left="1440" w:firstLine="0"/>
      <w:textAlignment w:val="center"/>
    </w:pPr>
    <w:rPr>
      <w:rFonts w:eastAsiaTheme="minorEastAsia" w:cs="ITC New Baskerville Std"/>
      <w:color w:val="000000"/>
      <w:sz w:val="20"/>
      <w:szCs w:val="22"/>
      <w:lang w:eastAsia="en-US"/>
    </w:rPr>
  </w:style>
  <w:style w:type="paragraph" w:customStyle="1" w:styleId="Indentname">
    <w:name w:val="Indent name"/>
    <w:basedOn w:val="Normal"/>
    <w:autoRedefine/>
    <w:uiPriority w:val="99"/>
    <w:semiHidden/>
    <w:pPr>
      <w:widowControl w:val="0"/>
      <w:tabs>
        <w:tab w:val="left" w:pos="960"/>
        <w:tab w:val="left" w:pos="1440"/>
      </w:tabs>
      <w:autoSpaceDE w:val="0"/>
      <w:autoSpaceDN w:val="0"/>
      <w:adjustRightInd w:val="0"/>
      <w:spacing w:before="240" w:after="0" w:line="240" w:lineRule="auto"/>
      <w:ind w:left="720"/>
      <w:textAlignment w:val="center"/>
    </w:pPr>
    <w:rPr>
      <w:rFonts w:ascii="Times New Roman" w:hAnsi="Times New Roman" w:cs="ITC New Baskerville Std"/>
      <w:color w:val="000000"/>
      <w:sz w:val="24"/>
      <w:szCs w:val="24"/>
    </w:rPr>
  </w:style>
  <w:style w:type="paragraph" w:customStyle="1" w:styleId="HeadingCenter11Underscore">
    <w:name w:val="Heading Center 11 Underscore"/>
    <w:basedOn w:val="Normal"/>
    <w:autoRedefine/>
    <w:uiPriority w:val="99"/>
    <w:semiHidden/>
    <w:pPr>
      <w:widowControl w:val="0"/>
      <w:tabs>
        <w:tab w:val="left" w:pos="480"/>
        <w:tab w:val="left" w:pos="960"/>
        <w:tab w:val="left" w:pos="1440"/>
        <w:tab w:val="left" w:pos="1920"/>
        <w:tab w:val="left" w:pos="2400"/>
        <w:tab w:val="left" w:pos="2880"/>
      </w:tabs>
      <w:autoSpaceDE w:val="0"/>
      <w:autoSpaceDN w:val="0"/>
      <w:adjustRightInd w:val="0"/>
      <w:spacing w:before="240" w:after="120" w:line="240" w:lineRule="auto"/>
      <w:jc w:val="center"/>
      <w:textAlignment w:val="center"/>
    </w:pPr>
    <w:rPr>
      <w:rFonts w:ascii="Times New Roman" w:hAnsi="Times New Roman" w:cs="ITC New Baskerville Std"/>
      <w:bCs/>
      <w:color w:val="000000"/>
      <w:u w:val="thick"/>
    </w:rPr>
  </w:style>
  <w:style w:type="paragraph" w:customStyle="1" w:styleId="HeadingCenter11underscore-">
    <w:name w:val="Heading Center 11 underscore -/+"/>
    <w:basedOn w:val="HeadingCenter11Underscore"/>
    <w:autoRedefine/>
    <w:uiPriority w:val="99"/>
    <w:semiHidden/>
    <w:pPr>
      <w:spacing w:before="0"/>
      <w:ind w:firstLine="480"/>
    </w:pPr>
  </w:style>
  <w:style w:type="paragraph" w:customStyle="1" w:styleId="Question">
    <w:name w:val="Question"/>
    <w:basedOn w:val="text"/>
    <w:autoRedefine/>
    <w:uiPriority w:val="99"/>
    <w:semiHidden/>
    <w:pPr>
      <w:widowControl w:val="0"/>
      <w:tabs>
        <w:tab w:val="clear" w:pos="720"/>
        <w:tab w:val="clear" w:pos="1440"/>
        <w:tab w:val="clear" w:pos="2160"/>
        <w:tab w:val="clear" w:pos="2880"/>
        <w:tab w:val="clear" w:pos="3600"/>
        <w:tab w:val="clear" w:pos="4320"/>
        <w:tab w:val="clear" w:pos="5040"/>
        <w:tab w:val="clear" w:pos="5760"/>
        <w:tab w:val="left" w:pos="480"/>
      </w:tabs>
      <w:autoSpaceDE w:val="0"/>
      <w:autoSpaceDN w:val="0"/>
      <w:adjustRightInd w:val="0"/>
      <w:spacing w:before="480" w:after="240" w:line="260" w:lineRule="atLeast"/>
      <w:ind w:left="480" w:hanging="480"/>
      <w:textAlignment w:val="center"/>
    </w:pPr>
    <w:rPr>
      <w:rFonts w:eastAsiaTheme="minorEastAsia" w:cs="ITC New Baskerville Std"/>
      <w:b/>
      <w:bCs/>
      <w:color w:val="000000"/>
      <w:lang w:eastAsia="en-US"/>
    </w:rPr>
  </w:style>
  <w:style w:type="paragraph" w:customStyle="1" w:styleId="Questiona-">
    <w:name w:val="Question a. -/+"/>
    <w:basedOn w:val="Normal"/>
    <w:autoRedefine/>
    <w:uiPriority w:val="99"/>
    <w:semiHidden/>
    <w:pPr>
      <w:widowControl w:val="0"/>
      <w:tabs>
        <w:tab w:val="left" w:pos="1440"/>
      </w:tabs>
      <w:autoSpaceDE w:val="0"/>
      <w:autoSpaceDN w:val="0"/>
      <w:adjustRightInd w:val="0"/>
      <w:spacing w:after="240" w:line="240" w:lineRule="atLeast"/>
      <w:ind w:left="1440" w:hanging="480"/>
      <w:textAlignment w:val="center"/>
    </w:pPr>
    <w:rPr>
      <w:rFonts w:ascii="Times New Roman" w:hAnsi="Times New Roman" w:cs="ITC New Baskerville Std"/>
      <w:b/>
      <w:bCs/>
      <w:color w:val="000000"/>
    </w:rPr>
  </w:style>
  <w:style w:type="paragraph" w:customStyle="1" w:styleId="TOC2A1">
    <w:name w:val="TOC2 A."/>
    <w:basedOn w:val="TOC1I1"/>
    <w:autoRedefine/>
    <w:uiPriority w:val="99"/>
    <w:semiHidden/>
    <w:pPr>
      <w:tabs>
        <w:tab w:val="clear" w:pos="600"/>
      </w:tabs>
      <w:ind w:left="1080" w:hanging="360"/>
    </w:pPr>
  </w:style>
  <w:style w:type="paragraph" w:customStyle="1" w:styleId="TOC311">
    <w:name w:val="TOC3 1."/>
    <w:basedOn w:val="TOC2A1"/>
    <w:autoRedefine/>
    <w:uiPriority w:val="99"/>
    <w:semiHidden/>
    <w:pPr>
      <w:tabs>
        <w:tab w:val="clear" w:pos="720"/>
        <w:tab w:val="left" w:pos="1080"/>
      </w:tabs>
      <w:ind w:left="1440"/>
    </w:pPr>
  </w:style>
  <w:style w:type="paragraph" w:customStyle="1" w:styleId="textboldwp">
    <w:name w:val="text bold w/p"/>
    <w:basedOn w:val="textonpage-0"/>
    <w:autoRedefine/>
    <w:uiPriority w:val="99"/>
    <w:semiHidden/>
    <w:pPr>
      <w:spacing w:before="120" w:after="120"/>
    </w:pPr>
    <w:rPr>
      <w:b/>
      <w:bCs/>
      <w:lang w:eastAsia="en-US"/>
    </w:rPr>
  </w:style>
  <w:style w:type="paragraph" w:customStyle="1" w:styleId="blocknlrl">
    <w:name w:val="block nl/rl"/>
    <w:basedOn w:val="blocknumberlist"/>
    <w:autoRedefine/>
    <w:uiPriority w:val="99"/>
    <w:semiHidden/>
    <w:pPr>
      <w:tabs>
        <w:tab w:val="clear" w:pos="1080"/>
        <w:tab w:val="left" w:pos="1400"/>
      </w:tabs>
      <w:ind w:left="1920" w:hanging="480"/>
    </w:pPr>
  </w:style>
  <w:style w:type="paragraph" w:customStyle="1" w:styleId="1stlevelhead10b">
    <w:name w:val="1st level head (10)_b"/>
    <w:basedOn w:val="Normal"/>
    <w:autoRedefine/>
    <w:uiPriority w:val="99"/>
    <w:semiHidden/>
    <w:pPr>
      <w:keepNext/>
      <w:widowControl w:val="0"/>
      <w:tabs>
        <w:tab w:val="left" w:pos="720"/>
      </w:tabs>
      <w:suppressAutoHyphens/>
      <w:autoSpaceDE w:val="0"/>
      <w:autoSpaceDN w:val="0"/>
      <w:adjustRightInd w:val="0"/>
      <w:spacing w:before="480" w:after="360" w:line="240" w:lineRule="auto"/>
      <w:ind w:left="720" w:hanging="720"/>
      <w:textAlignment w:val="center"/>
    </w:pPr>
    <w:rPr>
      <w:rFonts w:ascii="Times New Roman" w:hAnsi="Times New Roman" w:cs="NewCenturySchlbk"/>
      <w:b/>
      <w:bCs/>
      <w:color w:val="000000"/>
      <w:sz w:val="24"/>
      <w:szCs w:val="24"/>
    </w:rPr>
  </w:style>
  <w:style w:type="paragraph" w:customStyle="1" w:styleId="footnoteintextbox">
    <w:name w:val="footnote in text box"/>
    <w:basedOn w:val="Normal"/>
    <w:autoRedefine/>
    <w:uiPriority w:val="99"/>
    <w:semiHidden/>
    <w:pPr>
      <w:pBdr>
        <w:top w:val="single" w:sz="4" w:space="12" w:color="auto"/>
      </w:pBdr>
      <w:autoSpaceDE w:val="0"/>
      <w:autoSpaceDN w:val="0"/>
      <w:adjustRightInd w:val="0"/>
      <w:spacing w:after="0" w:line="240" w:lineRule="auto"/>
      <w:ind w:firstLine="720"/>
      <w:textAlignment w:val="center"/>
    </w:pPr>
    <w:rPr>
      <w:rFonts w:ascii="Times New Roman" w:hAnsi="Times New Roman" w:cs="ITC New Baskerville Std"/>
      <w:color w:val="000000"/>
      <w:sz w:val="20"/>
      <w:szCs w:val="18"/>
    </w:rPr>
  </w:style>
  <w:style w:type="paragraph" w:customStyle="1" w:styleId="block-fbold-">
    <w:name w:val="block-f bold +/-"/>
    <w:basedOn w:val="Normal"/>
    <w:autoRedefine/>
    <w:uiPriority w:val="99"/>
    <w:semiHidden/>
    <w:pPr>
      <w:widowControl w:val="0"/>
      <w:tabs>
        <w:tab w:val="left" w:pos="960"/>
        <w:tab w:val="left" w:pos="1440"/>
      </w:tabs>
      <w:autoSpaceDE w:val="0"/>
      <w:autoSpaceDN w:val="0"/>
      <w:adjustRightInd w:val="0"/>
      <w:spacing w:before="240" w:after="0" w:line="240" w:lineRule="auto"/>
      <w:ind w:left="720"/>
      <w:textAlignment w:val="center"/>
    </w:pPr>
    <w:rPr>
      <w:rFonts w:ascii="Times New Roman Bold" w:hAnsi="Times New Roman Bold" w:cs="ITC New Baskerville Std"/>
      <w:b/>
      <w:bCs/>
      <w:color w:val="000000"/>
      <w:sz w:val="20"/>
    </w:rPr>
  </w:style>
  <w:style w:type="paragraph" w:customStyle="1" w:styleId="AdditionalTopicssubheadb">
    <w:name w:val="Additional Topics subhead_b +/+"/>
    <w:basedOn w:val="Normal"/>
    <w:autoRedefine/>
    <w:uiPriority w:val="99"/>
    <w:semiHidden/>
    <w:pPr>
      <w:widowControl w:val="0"/>
      <w:tabs>
        <w:tab w:val="left" w:pos="480"/>
        <w:tab w:val="left" w:pos="960"/>
        <w:tab w:val="left" w:pos="1440"/>
        <w:tab w:val="left" w:pos="1920"/>
        <w:tab w:val="left" w:pos="2400"/>
        <w:tab w:val="left" w:pos="2880"/>
      </w:tabs>
      <w:suppressAutoHyphens/>
      <w:autoSpaceDE w:val="0"/>
      <w:autoSpaceDN w:val="0"/>
      <w:adjustRightInd w:val="0"/>
      <w:spacing w:before="240" w:after="240" w:line="260" w:lineRule="atLeast"/>
      <w:textAlignment w:val="center"/>
    </w:pPr>
    <w:rPr>
      <w:rFonts w:ascii="Times New Roman" w:hAnsi="Times New Roman" w:cs="ITC New Baskerville Std"/>
      <w:b/>
      <w:bCs/>
      <w:color w:val="000000"/>
      <w:sz w:val="24"/>
      <w:szCs w:val="24"/>
    </w:rPr>
  </w:style>
  <w:style w:type="paragraph" w:customStyle="1" w:styleId="block-p2ndindent">
    <w:name w:val="block-p 2nd indent"/>
    <w:basedOn w:val="text"/>
    <w:autoRedefine/>
    <w:uiPriority w:val="99"/>
    <w:semiHidden/>
    <w:pPr>
      <w:widowControl w:val="0"/>
      <w:tabs>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ind w:left="1440"/>
      <w:textAlignment w:val="center"/>
    </w:pPr>
    <w:rPr>
      <w:rFonts w:eastAsiaTheme="minorEastAsia" w:cs="ITC New Baskerville Std"/>
      <w:color w:val="000000"/>
      <w:sz w:val="20"/>
      <w:szCs w:val="22"/>
      <w:lang w:eastAsia="en-US"/>
    </w:rPr>
  </w:style>
  <w:style w:type="paragraph" w:customStyle="1" w:styleId="block-f3rdindent">
    <w:name w:val="block-f 3rd indent"/>
    <w:basedOn w:val="block-f2ndindent"/>
    <w:autoRedefine/>
    <w:uiPriority w:val="99"/>
    <w:semiHidden/>
    <w:pPr>
      <w:ind w:left="2160"/>
    </w:pPr>
  </w:style>
  <w:style w:type="paragraph" w:customStyle="1" w:styleId="bulletedparagraph-">
    <w:name w:val="bulleted paragraph +/-"/>
    <w:basedOn w:val="text"/>
    <w:autoRedefine/>
    <w:uiPriority w:val="99"/>
    <w:semiHidden/>
    <w:pPr>
      <w:widowControl w:val="0"/>
      <w:tabs>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before="240"/>
      <w:textAlignment w:val="center"/>
    </w:pPr>
    <w:rPr>
      <w:rFonts w:eastAsiaTheme="minorEastAsia" w:cs="ITC New Baskerville Std"/>
      <w:color w:val="000000"/>
      <w:lang w:eastAsia="en-US"/>
    </w:rPr>
  </w:style>
  <w:style w:type="paragraph" w:customStyle="1" w:styleId="Italicheadindented">
    <w:name w:val="Italic head indented +/+"/>
    <w:basedOn w:val="Normal"/>
    <w:autoRedefine/>
    <w:uiPriority w:val="99"/>
    <w:semiHidden/>
    <w:pPr>
      <w:widowControl w:val="0"/>
      <w:tabs>
        <w:tab w:val="left" w:pos="480"/>
        <w:tab w:val="left" w:pos="960"/>
        <w:tab w:val="left" w:pos="1440"/>
        <w:tab w:val="left" w:pos="1920"/>
        <w:tab w:val="left" w:pos="2400"/>
        <w:tab w:val="left" w:pos="2880"/>
      </w:tabs>
      <w:autoSpaceDE w:val="0"/>
      <w:autoSpaceDN w:val="0"/>
      <w:adjustRightInd w:val="0"/>
      <w:spacing w:before="240" w:after="240" w:line="240" w:lineRule="auto"/>
      <w:ind w:left="720"/>
      <w:textAlignment w:val="center"/>
    </w:pPr>
    <w:rPr>
      <w:rFonts w:ascii="Times New Roman" w:hAnsi="Times New Roman" w:cs="ITC New Baskerville Std"/>
      <w:i/>
      <w:iCs/>
      <w:color w:val="000000"/>
      <w:sz w:val="24"/>
      <w:szCs w:val="24"/>
    </w:rPr>
  </w:style>
  <w:style w:type="paragraph" w:customStyle="1" w:styleId="textednote-0">
    <w:name w:val="text ed note -/+"/>
    <w:basedOn w:val="Normal"/>
    <w:autoRedefine/>
    <w:uiPriority w:val="99"/>
    <w:semiHidden/>
    <w:pPr>
      <w:widowControl w:val="0"/>
      <w:tabs>
        <w:tab w:val="left" w:pos="480"/>
        <w:tab w:val="left" w:pos="960"/>
        <w:tab w:val="left" w:pos="1440"/>
        <w:tab w:val="left" w:pos="1920"/>
        <w:tab w:val="left" w:pos="2400"/>
        <w:tab w:val="left" w:pos="2880"/>
      </w:tabs>
      <w:autoSpaceDE w:val="0"/>
      <w:autoSpaceDN w:val="0"/>
      <w:adjustRightInd w:val="0"/>
      <w:spacing w:after="240" w:line="240" w:lineRule="auto"/>
      <w:textAlignment w:val="center"/>
    </w:pPr>
    <w:rPr>
      <w:rFonts w:ascii="Times New Roman" w:hAnsi="Times New Roman" w:cs="ITC New Baskerville Std"/>
      <w:color w:val="000000"/>
      <w:sz w:val="24"/>
      <w:szCs w:val="24"/>
    </w:rPr>
  </w:style>
  <w:style w:type="paragraph" w:customStyle="1" w:styleId="2ndlevelFormHead">
    <w:name w:val="2nd level Form Head"/>
    <w:basedOn w:val="2ndlevelheadAbi"/>
    <w:autoRedefine/>
    <w:uiPriority w:val="99"/>
    <w:semiHidden/>
    <w:pPr>
      <w:keepNext/>
      <w:widowControl w:val="0"/>
      <w:tabs>
        <w:tab w:val="left" w:pos="1500"/>
      </w:tabs>
      <w:suppressAutoHyphens/>
      <w:autoSpaceDE w:val="0"/>
      <w:autoSpaceDN w:val="0"/>
      <w:adjustRightInd w:val="0"/>
      <w:spacing w:before="360"/>
      <w:ind w:left="1500" w:hanging="1500"/>
      <w:textAlignment w:val="center"/>
    </w:pPr>
    <w:rPr>
      <w:rFonts w:ascii="Times New Roman" w:hAnsi="Times New Roman" w:cs="NewCenturySchlbk"/>
      <w:bCs/>
      <w:i w:val="0"/>
      <w:color w:val="000000"/>
      <w:szCs w:val="24"/>
    </w:rPr>
  </w:style>
  <w:style w:type="paragraph" w:customStyle="1" w:styleId="boldheadExample">
    <w:name w:val="bold head +/+ (Example)"/>
    <w:basedOn w:val="textflush"/>
    <w:autoRedefine/>
    <w:uiPriority w:val="99"/>
    <w:semiHidden/>
    <w:pPr>
      <w:widowControl w:val="0"/>
      <w:autoSpaceDE w:val="0"/>
      <w:autoSpaceDN w:val="0"/>
      <w:adjustRightInd w:val="0"/>
      <w:spacing w:before="240" w:after="240"/>
      <w:textAlignment w:val="center"/>
    </w:pPr>
    <w:rPr>
      <w:rFonts w:eastAsiaTheme="minorEastAsia" w:cs="NewCenturySchlbk"/>
      <w:b/>
      <w:bCs/>
      <w:sz w:val="22"/>
      <w:szCs w:val="22"/>
    </w:rPr>
  </w:style>
  <w:style w:type="paragraph" w:customStyle="1" w:styleId="blockquotelist">
    <w:name w:val="block quote # list"/>
    <w:basedOn w:val="block-f"/>
    <w:autoRedefine/>
    <w:uiPriority w:val="99"/>
    <w:semiHidden/>
    <w:pPr>
      <w:widowControl w:val="0"/>
      <w:tabs>
        <w:tab w:val="left" w:pos="860"/>
      </w:tabs>
      <w:autoSpaceDE w:val="0"/>
      <w:autoSpaceDN w:val="0"/>
      <w:adjustRightInd w:val="0"/>
      <w:spacing w:before="0" w:after="120"/>
      <w:ind w:left="859" w:hanging="420"/>
      <w:textAlignment w:val="center"/>
    </w:pPr>
    <w:rPr>
      <w:rFonts w:cs="NewCenturySchlbk"/>
      <w:color w:val="000000"/>
      <w:szCs w:val="20"/>
    </w:rPr>
  </w:style>
  <w:style w:type="paragraph" w:customStyle="1" w:styleId="1stlevelheadIbdd">
    <w:name w:val="1st level head I._b dd"/>
    <w:basedOn w:val="Normal"/>
    <w:autoRedefine/>
    <w:uiPriority w:val="99"/>
    <w:semiHidden/>
    <w:pPr>
      <w:keepNext/>
      <w:widowControl w:val="0"/>
      <w:tabs>
        <w:tab w:val="left" w:pos="840"/>
      </w:tabs>
      <w:suppressAutoHyphens/>
      <w:autoSpaceDE w:val="0"/>
      <w:autoSpaceDN w:val="0"/>
      <w:adjustRightInd w:val="0"/>
      <w:spacing w:before="360" w:after="240" w:line="240" w:lineRule="auto"/>
      <w:ind w:left="840" w:hanging="840"/>
      <w:textAlignment w:val="center"/>
    </w:pPr>
    <w:rPr>
      <w:rFonts w:ascii="Times New Roman" w:hAnsi="Times New Roman" w:cs="NewCenturySchlbk"/>
      <w:b/>
      <w:bCs/>
      <w:color w:val="000000"/>
      <w:sz w:val="24"/>
      <w:szCs w:val="24"/>
    </w:rPr>
  </w:style>
  <w:style w:type="paragraph" w:customStyle="1" w:styleId="Blockquote2indent">
    <w:name w:val="Block quote 2 indent"/>
    <w:basedOn w:val="block-f-"/>
    <w:autoRedefine/>
    <w:uiPriority w:val="99"/>
    <w:semiHidden/>
    <w:pPr>
      <w:spacing w:before="120"/>
      <w:ind w:left="1440"/>
    </w:pPr>
    <w:rPr>
      <w:rFonts w:cs="NewCenturySchlbk"/>
    </w:rPr>
  </w:style>
  <w:style w:type="paragraph" w:customStyle="1" w:styleId="appendixarticlehead">
    <w:name w:val="appendix article head"/>
    <w:basedOn w:val="Normal"/>
    <w:autoRedefine/>
    <w:uiPriority w:val="99"/>
    <w:semiHidden/>
    <w:pPr>
      <w:widowControl w:val="0"/>
      <w:tabs>
        <w:tab w:val="center" w:pos="3480"/>
        <w:tab w:val="right" w:pos="6960"/>
      </w:tabs>
      <w:autoSpaceDE w:val="0"/>
      <w:autoSpaceDN w:val="0"/>
      <w:adjustRightInd w:val="0"/>
      <w:spacing w:before="240" w:after="120" w:line="240" w:lineRule="auto"/>
      <w:jc w:val="center"/>
      <w:textAlignment w:val="center"/>
    </w:pPr>
    <w:rPr>
      <w:rFonts w:ascii="Times New Roman" w:hAnsi="Times New Roman" w:cs="NewCenturySchlbk"/>
      <w:color w:val="000000"/>
      <w:sz w:val="24"/>
    </w:rPr>
  </w:style>
  <w:style w:type="paragraph" w:customStyle="1" w:styleId="appendixcenteredhead">
    <w:name w:val="appendix centered head"/>
    <w:basedOn w:val="text"/>
    <w:autoRedefine/>
    <w:uiPriority w:val="99"/>
    <w:semiHidden/>
    <w:pPr>
      <w:widowControl w:val="0"/>
      <w:tabs>
        <w:tab w:val="clear" w:pos="720"/>
        <w:tab w:val="clear" w:pos="1440"/>
        <w:tab w:val="clear" w:pos="2160"/>
        <w:tab w:val="clear" w:pos="2880"/>
        <w:tab w:val="clear" w:pos="3600"/>
        <w:tab w:val="clear" w:pos="4320"/>
        <w:tab w:val="clear" w:pos="5040"/>
        <w:tab w:val="clear" w:pos="5760"/>
        <w:tab w:val="center" w:pos="3480"/>
        <w:tab w:val="right" w:pos="6960"/>
      </w:tabs>
      <w:autoSpaceDE w:val="0"/>
      <w:autoSpaceDN w:val="0"/>
      <w:adjustRightInd w:val="0"/>
      <w:spacing w:before="120" w:after="120"/>
      <w:ind w:firstLine="0"/>
      <w:jc w:val="center"/>
      <w:textAlignment w:val="center"/>
    </w:pPr>
    <w:rPr>
      <w:rFonts w:eastAsiaTheme="minorEastAsia" w:cs="NewCenturySchlbk"/>
      <w:color w:val="000000"/>
      <w:szCs w:val="22"/>
      <w:lang w:eastAsia="en-US"/>
    </w:rPr>
  </w:style>
  <w:style w:type="paragraph" w:customStyle="1" w:styleId="Appendixboldhead11">
    <w:name w:val="Appendix bold head 1/1"/>
    <w:basedOn w:val="Normal"/>
    <w:autoRedefine/>
    <w:uiPriority w:val="99"/>
    <w:semiHidden/>
    <w:pPr>
      <w:keepNext/>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NewCenturySchlbk"/>
      <w:b/>
      <w:bCs/>
      <w:color w:val="000000"/>
      <w:sz w:val="24"/>
    </w:rPr>
  </w:style>
  <w:style w:type="paragraph" w:customStyle="1" w:styleId="TOC4a1">
    <w:name w:val="TOC4 a."/>
    <w:basedOn w:val="TOC311"/>
    <w:autoRedefine/>
    <w:uiPriority w:val="99"/>
    <w:semiHidden/>
    <w:pPr>
      <w:tabs>
        <w:tab w:val="clear" w:pos="1080"/>
        <w:tab w:val="left" w:pos="1824"/>
      </w:tabs>
      <w:suppressAutoHyphens w:val="0"/>
      <w:ind w:left="1800"/>
    </w:pPr>
    <w:rPr>
      <w:rFonts w:cs="Times LT Std"/>
      <w:szCs w:val="23"/>
    </w:rPr>
  </w:style>
  <w:style w:type="paragraph" w:customStyle="1" w:styleId="COChapterNumber">
    <w:name w:val="CO_Chapter Number"/>
    <w:basedOn w:val="text"/>
    <w:autoRedefine/>
    <w:uiPriority w:val="99"/>
    <w:semiHidden/>
    <w:pPr>
      <w:tabs>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after="240"/>
      <w:ind w:firstLine="0"/>
      <w:jc w:val="center"/>
      <w:textAlignment w:val="center"/>
    </w:pPr>
    <w:rPr>
      <w:rFonts w:eastAsiaTheme="minorEastAsia" w:cs="Times LT Std"/>
      <w:smallCaps/>
      <w:color w:val="000000"/>
      <w:sz w:val="36"/>
      <w:szCs w:val="36"/>
      <w:lang w:eastAsia="en-US"/>
    </w:rPr>
  </w:style>
  <w:style w:type="paragraph" w:customStyle="1" w:styleId="COChapterTitle">
    <w:name w:val="CO_Chapter Title"/>
    <w:basedOn w:val="text"/>
    <w:autoRedefine/>
    <w:uiPriority w:val="99"/>
    <w:semiHidden/>
    <w:pPr>
      <w:tabs>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after="600"/>
      <w:ind w:firstLine="0"/>
      <w:jc w:val="center"/>
      <w:textAlignment w:val="center"/>
    </w:pPr>
    <w:rPr>
      <w:rFonts w:eastAsiaTheme="minorEastAsia" w:cs="Times LT Std"/>
      <w:b/>
      <w:bCs/>
      <w:color w:val="000000"/>
      <w:sz w:val="40"/>
      <w:szCs w:val="40"/>
      <w:lang w:eastAsia="en-US"/>
    </w:rPr>
  </w:style>
  <w:style w:type="paragraph" w:customStyle="1" w:styleId="COitalichead">
    <w:name w:val="CO_italic head"/>
    <w:basedOn w:val="text"/>
    <w:autoRedefine/>
    <w:uiPriority w:val="99"/>
    <w:semiHidden/>
    <w:pPr>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120"/>
      <w:ind w:firstLine="0"/>
      <w:jc w:val="center"/>
      <w:textAlignment w:val="center"/>
    </w:pPr>
    <w:rPr>
      <w:rFonts w:eastAsiaTheme="minorEastAsia" w:cs="Times LT Std"/>
      <w:b/>
      <w:bCs/>
      <w:i/>
      <w:iCs/>
      <w:color w:val="000000"/>
      <w:lang w:eastAsia="en-US"/>
    </w:rPr>
  </w:style>
  <w:style w:type="paragraph" w:customStyle="1" w:styleId="COName">
    <w:name w:val="CO_Name"/>
    <w:basedOn w:val="text"/>
    <w:autoRedefine/>
    <w:uiPriority w:val="99"/>
    <w:semiHidden/>
    <w:pPr>
      <w:tabs>
        <w:tab w:val="clear" w:pos="720"/>
        <w:tab w:val="clear" w:pos="1440"/>
        <w:tab w:val="clear" w:pos="2160"/>
        <w:tab w:val="clear" w:pos="2880"/>
        <w:tab w:val="clear" w:pos="3600"/>
        <w:tab w:val="clear" w:pos="4320"/>
        <w:tab w:val="clear" w:pos="5040"/>
        <w:tab w:val="clear" w:pos="5760"/>
      </w:tabs>
      <w:autoSpaceDE w:val="0"/>
      <w:autoSpaceDN w:val="0"/>
      <w:adjustRightInd w:val="0"/>
      <w:ind w:firstLine="0"/>
      <w:jc w:val="center"/>
      <w:textAlignment w:val="center"/>
    </w:pPr>
    <w:rPr>
      <w:rFonts w:eastAsiaTheme="minorEastAsia" w:cs="Times LT Std"/>
      <w:smallCaps/>
      <w:color w:val="000000"/>
      <w:lang w:eastAsia="en-US"/>
    </w:rPr>
  </w:style>
  <w:style w:type="paragraph" w:customStyle="1" w:styleId="COAff">
    <w:name w:val="CO_Aff"/>
    <w:basedOn w:val="text"/>
    <w:autoRedefine/>
    <w:uiPriority w:val="99"/>
    <w:semiHidden/>
    <w:pPr>
      <w:tabs>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jc w:val="center"/>
      <w:textAlignment w:val="center"/>
    </w:pPr>
    <w:rPr>
      <w:rFonts w:eastAsiaTheme="minorEastAsia" w:cs="Times LT Std"/>
      <w:i/>
      <w:iCs/>
      <w:color w:val="000000"/>
      <w:lang w:eastAsia="en-US"/>
    </w:rPr>
  </w:style>
  <w:style w:type="paragraph" w:customStyle="1" w:styleId="TOC5i0">
    <w:name w:val="TOC5 (i.)"/>
    <w:basedOn w:val="TOC4a1"/>
    <w:autoRedefine/>
    <w:uiPriority w:val="99"/>
    <w:semiHidden/>
    <w:pPr>
      <w:tabs>
        <w:tab w:val="clear" w:pos="1824"/>
        <w:tab w:val="left" w:pos="2280"/>
      </w:tabs>
      <w:ind w:left="2280" w:hanging="600"/>
    </w:pPr>
  </w:style>
  <w:style w:type="paragraph" w:customStyle="1" w:styleId="5thlevelheadiiii0">
    <w:name w:val="5th level head (iii)_i"/>
    <w:basedOn w:val="5thlevelheadii0"/>
    <w:autoRedefine/>
    <w:uiPriority w:val="99"/>
    <w:semiHidden/>
    <w:pPr>
      <w:tabs>
        <w:tab w:val="clear" w:pos="1280"/>
        <w:tab w:val="left" w:pos="1060"/>
      </w:tabs>
      <w:suppressAutoHyphens/>
      <w:ind w:left="1519" w:hanging="600"/>
    </w:pPr>
  </w:style>
  <w:style w:type="paragraph" w:customStyle="1" w:styleId="footnotepnl">
    <w:name w:val="footnote pnl"/>
    <w:basedOn w:val="footnotenl"/>
    <w:autoRedefine/>
    <w:uiPriority w:val="99"/>
    <w:semiHidden/>
    <w:pPr>
      <w:tabs>
        <w:tab w:val="clear" w:pos="680"/>
        <w:tab w:val="left" w:pos="720"/>
      </w:tabs>
      <w:ind w:left="1080" w:hanging="360"/>
    </w:pPr>
    <w:rPr>
      <w:rFonts w:cs="Times LT Std"/>
      <w:szCs w:val="18"/>
    </w:rPr>
  </w:style>
  <w:style w:type="paragraph" w:customStyle="1" w:styleId="footnotepnlpnl">
    <w:name w:val="footnote pnl/pnl"/>
    <w:basedOn w:val="footnotepnl"/>
    <w:autoRedefine/>
    <w:uiPriority w:val="99"/>
    <w:semiHidden/>
    <w:pPr>
      <w:tabs>
        <w:tab w:val="left" w:pos="1080"/>
      </w:tabs>
      <w:ind w:left="1800"/>
    </w:pPr>
  </w:style>
  <w:style w:type="paragraph" w:customStyle="1" w:styleId="5thlevelheadnospaceii">
    <w:name w:val="5th level head no space (i)_i"/>
    <w:basedOn w:val="5thlevelheadii0"/>
    <w:autoRedefine/>
    <w:uiPriority w:val="99"/>
    <w:semiHidden/>
    <w:pPr>
      <w:keepNext/>
      <w:tabs>
        <w:tab w:val="clear" w:pos="1280"/>
        <w:tab w:val="left" w:pos="940"/>
      </w:tabs>
      <w:suppressAutoHyphens/>
      <w:spacing w:before="0"/>
      <w:ind w:left="941" w:hanging="480"/>
    </w:pPr>
  </w:style>
  <w:style w:type="paragraph" w:customStyle="1" w:styleId="footnote2ndindent-p">
    <w:name w:val="footnote 2nd indent-p"/>
    <w:basedOn w:val="footnote2ndindent"/>
    <w:autoRedefine/>
    <w:uiPriority w:val="99"/>
    <w:semiHidden/>
    <w:pPr>
      <w:ind w:firstLine="720"/>
    </w:pPr>
    <w:rPr>
      <w:rFonts w:cs="Times LT Std"/>
      <w:szCs w:val="18"/>
    </w:rPr>
  </w:style>
  <w:style w:type="paragraph" w:customStyle="1" w:styleId="Author">
    <w:name w:val="Author"/>
    <w:basedOn w:val="text"/>
    <w:uiPriority w:val="99"/>
    <w:semiHidden/>
    <w:pPr>
      <w:widowControl w:val="0"/>
      <w:tabs>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after="480" w:line="300" w:lineRule="atLeast"/>
      <w:ind w:firstLine="0"/>
      <w:jc w:val="center"/>
      <w:textAlignment w:val="center"/>
    </w:pPr>
    <w:rPr>
      <w:rFonts w:eastAsiaTheme="minorEastAsia" w:cs="ITC New Baskerville Std"/>
      <w:color w:val="000000"/>
      <w:sz w:val="28"/>
      <w:szCs w:val="28"/>
      <w:lang w:eastAsia="en-US"/>
    </w:rPr>
  </w:style>
  <w:style w:type="paragraph" w:customStyle="1" w:styleId="blocknumberlistend">
    <w:name w:val="block number list end"/>
    <w:basedOn w:val="blocknumberlist"/>
    <w:autoRedefine/>
    <w:uiPriority w:val="99"/>
    <w:semiHidden/>
    <w:pPr>
      <w:spacing w:after="240"/>
    </w:pPr>
    <w:rPr>
      <w:szCs w:val="22"/>
    </w:rPr>
  </w:style>
  <w:style w:type="paragraph" w:customStyle="1" w:styleId="Questiona">
    <w:name w:val="Question a."/>
    <w:basedOn w:val="Question"/>
    <w:autoRedefine/>
    <w:uiPriority w:val="99"/>
    <w:semiHidden/>
    <w:pPr>
      <w:tabs>
        <w:tab w:val="clear" w:pos="480"/>
        <w:tab w:val="left" w:pos="960"/>
      </w:tabs>
      <w:spacing w:before="240" w:line="240" w:lineRule="auto"/>
      <w:ind w:left="960"/>
    </w:pPr>
    <w:rPr>
      <w:sz w:val="22"/>
      <w:szCs w:val="22"/>
    </w:rPr>
  </w:style>
  <w:style w:type="paragraph" w:customStyle="1" w:styleId="Asterisk">
    <w:name w:val="Asterisk"/>
    <w:basedOn w:val="HeadingCenter11Underscore"/>
    <w:autoRedefine/>
    <w:uiPriority w:val="99"/>
    <w:semiHidden/>
    <w:pPr>
      <w:spacing w:before="0" w:after="0"/>
    </w:pPr>
    <w:rPr>
      <w:b/>
      <w:sz w:val="20"/>
      <w:u w:val="none"/>
    </w:rPr>
  </w:style>
  <w:style w:type="paragraph" w:customStyle="1" w:styleId="IndentName--">
    <w:name w:val="Indent Name -/-"/>
    <w:basedOn w:val="Indentname"/>
    <w:autoRedefine/>
    <w:uiPriority w:val="99"/>
    <w:semiHidden/>
    <w:pPr>
      <w:spacing w:before="0" w:after="240"/>
    </w:pPr>
  </w:style>
  <w:style w:type="paragraph" w:customStyle="1" w:styleId="Italicheadindented-">
    <w:name w:val="Italic head indented -/+"/>
    <w:basedOn w:val="text"/>
    <w:autoRedefine/>
    <w:uiPriority w:val="99"/>
    <w:semiHidden/>
    <w:pPr>
      <w:widowControl w:val="0"/>
      <w:tabs>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after="240"/>
      <w:ind w:left="720" w:firstLine="0"/>
      <w:textAlignment w:val="center"/>
    </w:pPr>
    <w:rPr>
      <w:rFonts w:eastAsiaTheme="minorEastAsia" w:cs="ITC New Baskerville Std"/>
      <w:i/>
      <w:iCs/>
      <w:color w:val="000000"/>
      <w:lang w:eastAsia="en-US"/>
    </w:rPr>
  </w:style>
  <w:style w:type="paragraph" w:customStyle="1" w:styleId="AdditionalTopicsHead">
    <w:name w:val="Additional Topics Head"/>
    <w:basedOn w:val="text"/>
    <w:autoRedefine/>
    <w:uiPriority w:val="99"/>
    <w:semiHidden/>
    <w:pPr>
      <w:widowControl w:val="0"/>
      <w:tabs>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before="480" w:after="240"/>
      <w:ind w:firstLine="0"/>
      <w:jc w:val="center"/>
      <w:textAlignment w:val="center"/>
    </w:pPr>
    <w:rPr>
      <w:rFonts w:eastAsiaTheme="minorEastAsia" w:cs="ITC New Baskerville Std"/>
      <w:b/>
      <w:bCs/>
      <w:color w:val="000000"/>
      <w:u w:val="thick" w:color="000000"/>
      <w:lang w:eastAsia="en-US"/>
    </w:rPr>
  </w:style>
  <w:style w:type="paragraph" w:customStyle="1" w:styleId="AdditionalTopicssubheadb-">
    <w:name w:val="Additional Topics subhead_b -/+"/>
    <w:basedOn w:val="Normal"/>
    <w:autoRedefine/>
    <w:uiPriority w:val="99"/>
    <w:semiHidden/>
    <w:pPr>
      <w:widowControl w:val="0"/>
      <w:tabs>
        <w:tab w:val="left" w:pos="480"/>
        <w:tab w:val="left" w:pos="960"/>
        <w:tab w:val="left" w:pos="1440"/>
        <w:tab w:val="left" w:pos="1920"/>
        <w:tab w:val="left" w:pos="2400"/>
        <w:tab w:val="left" w:pos="2880"/>
      </w:tabs>
      <w:suppressAutoHyphens/>
      <w:autoSpaceDE w:val="0"/>
      <w:autoSpaceDN w:val="0"/>
      <w:adjustRightInd w:val="0"/>
      <w:spacing w:after="240" w:line="240" w:lineRule="auto"/>
      <w:textAlignment w:val="center"/>
    </w:pPr>
    <w:rPr>
      <w:rFonts w:ascii="Times New Roman" w:hAnsi="Times New Roman" w:cs="ITC New Baskerville Std"/>
      <w:b/>
      <w:bCs/>
      <w:color w:val="000000"/>
      <w:sz w:val="24"/>
      <w:szCs w:val="24"/>
    </w:rPr>
  </w:style>
  <w:style w:type="paragraph" w:customStyle="1" w:styleId="IndentName0">
    <w:name w:val="Indent Name +/+"/>
    <w:basedOn w:val="Indentname"/>
    <w:autoRedefine/>
    <w:uiPriority w:val="99"/>
    <w:semiHidden/>
    <w:pPr>
      <w:spacing w:after="240"/>
    </w:pPr>
  </w:style>
  <w:style w:type="paragraph" w:customStyle="1" w:styleId="blocknumberliststart">
    <w:name w:val="block number list start"/>
    <w:basedOn w:val="blocknumberlist"/>
    <w:autoRedefine/>
    <w:uiPriority w:val="99"/>
    <w:semiHidden/>
    <w:pPr>
      <w:spacing w:before="240"/>
    </w:pPr>
    <w:rPr>
      <w:szCs w:val="22"/>
    </w:rPr>
  </w:style>
  <w:style w:type="paragraph" w:customStyle="1" w:styleId="numberlist1a">
    <w:name w:val="number list 1.a."/>
    <w:basedOn w:val="numberlist0"/>
    <w:autoRedefine/>
    <w:uiPriority w:val="99"/>
    <w:semiHidden/>
    <w:pPr>
      <w:widowControl w:val="0"/>
      <w:tabs>
        <w:tab w:val="clear" w:pos="919"/>
        <w:tab w:val="left" w:pos="1200"/>
      </w:tabs>
      <w:autoSpaceDE w:val="0"/>
      <w:autoSpaceDN w:val="0"/>
      <w:adjustRightInd w:val="0"/>
      <w:ind w:left="1279" w:hanging="360"/>
      <w:textAlignment w:val="center"/>
    </w:pPr>
    <w:rPr>
      <w:rFonts w:cs="ITC New Baskerville Std"/>
      <w:szCs w:val="24"/>
    </w:rPr>
  </w:style>
  <w:style w:type="paragraph" w:customStyle="1" w:styleId="bulletliststart0">
    <w:name w:val="bullet list / start"/>
    <w:basedOn w:val="bulletlist"/>
    <w:autoRedefine/>
    <w:uiPriority w:val="99"/>
    <w:semiHidden/>
    <w:pPr>
      <w:widowControl w:val="0"/>
      <w:tabs>
        <w:tab w:val="left" w:pos="720"/>
      </w:tabs>
      <w:autoSpaceDE w:val="0"/>
      <w:autoSpaceDN w:val="0"/>
      <w:adjustRightInd w:val="0"/>
      <w:spacing w:before="240"/>
      <w:textAlignment w:val="center"/>
    </w:pPr>
    <w:rPr>
      <w:rFonts w:cs="ITC New Baskerville Std"/>
      <w:color w:val="000000"/>
      <w:szCs w:val="24"/>
    </w:rPr>
  </w:style>
  <w:style w:type="paragraph" w:customStyle="1" w:styleId="footnotebullet">
    <w:name w:val="footnote bullet"/>
    <w:basedOn w:val="footnoteblock"/>
    <w:autoRedefine/>
    <w:uiPriority w:val="99"/>
    <w:semiHidden/>
    <w:pPr>
      <w:tabs>
        <w:tab w:val="left" w:pos="540"/>
      </w:tabs>
      <w:ind w:left="900" w:hanging="180"/>
    </w:pPr>
    <w:rPr>
      <w:rFonts w:eastAsiaTheme="minorEastAsia"/>
    </w:rPr>
  </w:style>
  <w:style w:type="paragraph" w:customStyle="1" w:styleId="indentedboldhead">
    <w:name w:val="indented bold head"/>
    <w:basedOn w:val="text"/>
    <w:autoRedefine/>
    <w:uiPriority w:val="99"/>
    <w:semiHidden/>
    <w:pPr>
      <w:keepLines/>
      <w:widowControl w:val="0"/>
      <w:tabs>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before="120"/>
      <w:ind w:left="720" w:firstLine="0"/>
      <w:textAlignment w:val="center"/>
    </w:pPr>
    <w:rPr>
      <w:rFonts w:eastAsiaTheme="minorEastAsia" w:cs="ITC New Baskerville Std"/>
      <w:b/>
      <w:bCs/>
      <w:color w:val="000000"/>
      <w:lang w:eastAsia="en-US"/>
    </w:rPr>
  </w:style>
  <w:style w:type="paragraph" w:customStyle="1" w:styleId="bulletnumberlist">
    <w:name w:val="bullet number list"/>
    <w:basedOn w:val="bullet"/>
    <w:autoRedefine/>
    <w:semiHidden/>
    <w:qFormat/>
    <w:pPr>
      <w:tabs>
        <w:tab w:val="left" w:pos="1032"/>
      </w:tabs>
      <w:ind w:left="1032" w:hanging="480"/>
    </w:pPr>
  </w:style>
  <w:style w:type="paragraph" w:customStyle="1" w:styleId="NoParagraphStyle">
    <w:name w:val="[No Paragraph Style]"/>
    <w:pPr>
      <w:widowControl w:val="0"/>
      <w:autoSpaceDE w:val="0"/>
      <w:autoSpaceDN w:val="0"/>
      <w:adjustRightInd w:val="0"/>
      <w:spacing w:after="0" w:line="288" w:lineRule="auto"/>
      <w:textAlignment w:val="center"/>
    </w:pPr>
    <w:rPr>
      <w:rFonts w:ascii="Times Roman" w:eastAsiaTheme="minorEastAsia" w:hAnsi="Times Roman" w:cs="Times Roman"/>
      <w:color w:val="000000"/>
      <w:sz w:val="24"/>
      <w:szCs w:val="24"/>
    </w:rPr>
  </w:style>
  <w:style w:type="paragraph" w:customStyle="1" w:styleId="BasicParagraph">
    <w:name w:val="[Basic Paragraph]"/>
    <w:basedOn w:val="NoParagraphStyle"/>
    <w:uiPriority w:val="99"/>
    <w:semiHidden/>
    <w:pPr>
      <w:spacing w:line="260" w:lineRule="atLeast"/>
    </w:pPr>
    <w:rPr>
      <w:rFonts w:ascii="ITC New Baskerville Std" w:hAnsi="ITC New Baskerville Std" w:cs="ITC New Baskerville Std"/>
    </w:rPr>
  </w:style>
  <w:style w:type="paragraph" w:customStyle="1" w:styleId="textcrossreference">
    <w:name w:val="text cross reference"/>
    <w:basedOn w:val="BasicParagraph"/>
    <w:uiPriority w:val="99"/>
    <w:semiHidden/>
    <w:pPr>
      <w:ind w:firstLine="480"/>
      <w:jc w:val="both"/>
    </w:pPr>
  </w:style>
  <w:style w:type="paragraph" w:customStyle="1" w:styleId="bulletlistend0">
    <w:name w:val="bullet list / end"/>
    <w:basedOn w:val="bulletliststart0"/>
    <w:uiPriority w:val="99"/>
    <w:semiHidden/>
    <w:pPr>
      <w:spacing w:before="0" w:after="240" w:line="260" w:lineRule="atLeast"/>
      <w:ind w:left="720" w:hanging="240"/>
      <w:jc w:val="both"/>
    </w:pPr>
    <w:rPr>
      <w:rFonts w:ascii="ITC New Baskerville Std" w:hAnsi="ITC New Baskerville Std"/>
    </w:rPr>
  </w:style>
  <w:style w:type="paragraph" w:customStyle="1" w:styleId="footnotecrossreference">
    <w:name w:val="footnote cross reference"/>
    <w:basedOn w:val="NoParagraphStyle"/>
    <w:uiPriority w:val="99"/>
    <w:semiHidden/>
    <w:pPr>
      <w:spacing w:line="190" w:lineRule="atLeast"/>
      <w:ind w:firstLine="360"/>
      <w:jc w:val="both"/>
    </w:pPr>
    <w:rPr>
      <w:rFonts w:ascii="ITC New Baskerville Std" w:hAnsi="ITC New Baskerville Std" w:cs="ITC New Baskerville Std"/>
      <w:sz w:val="18"/>
      <w:szCs w:val="18"/>
    </w:rPr>
  </w:style>
  <w:style w:type="paragraph" w:customStyle="1" w:styleId="footnoteregparaindentcrossref">
    <w:name w:val="footnote reg para indent cross ref"/>
    <w:basedOn w:val="footnoteregparaindent"/>
    <w:uiPriority w:val="99"/>
    <w:semiHidden/>
    <w:pPr>
      <w:spacing w:line="190" w:lineRule="atLeast"/>
      <w:ind w:firstLine="360"/>
      <w:jc w:val="both"/>
    </w:pPr>
    <w:rPr>
      <w:rFonts w:ascii="ITC New Baskerville Std" w:eastAsiaTheme="minorEastAsia" w:hAnsi="ITC New Baskerville Std" w:cs="ITC New Baskerville Std"/>
      <w:sz w:val="18"/>
    </w:rPr>
  </w:style>
  <w:style w:type="character" w:customStyle="1" w:styleId="footnotesuperscript">
    <w:name w:val="footnote superscript"/>
    <w:uiPriority w:val="99"/>
    <w:semiHidden/>
    <w:rPr>
      <w:vertAlign w:val="superscript"/>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Pr>
      <w:rFonts w:eastAsiaTheme="minorEastAsia"/>
    </w:rPr>
  </w:style>
  <w:style w:type="paragraph" w:styleId="Footer">
    <w:name w:val="footer"/>
    <w:basedOn w:val="Normal"/>
    <w:link w:val="FooterChar"/>
    <w:uiPriority w:val="99"/>
    <w:semiHidden/>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Pr>
      <w:rFonts w:eastAsiaTheme="minorEastAsia"/>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styleId="BalloonText">
    <w:name w:val="Balloon Text"/>
    <w:basedOn w:val="Normal"/>
    <w:link w:val="BalloonTextChar"/>
    <w:uiPriority w:val="99"/>
    <w:semiHidden/>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character" w:customStyle="1" w:styleId="apple-converted-space">
    <w:name w:val="apple-converted-space"/>
    <w:basedOn w:val="DefaultParagraphFont"/>
    <w:semiHidden/>
  </w:style>
  <w:style w:type="paragraph" w:styleId="Revision">
    <w:name w:val="Revision"/>
    <w:hidden/>
    <w:uiPriority w:val="99"/>
    <w:semiHidden/>
    <w:pPr>
      <w:spacing w:after="0" w:line="240" w:lineRule="auto"/>
    </w:pPr>
    <w:rPr>
      <w:rFonts w:eastAsiaTheme="minorEastAsia"/>
    </w:rPr>
  </w:style>
  <w:style w:type="paragraph" w:customStyle="1" w:styleId="DocID">
    <w:name w:val="DocID"/>
    <w:basedOn w:val="Footer"/>
    <w:next w:val="Footer"/>
    <w:link w:val="DocIDChar"/>
    <w:semiHidden/>
    <w:pPr>
      <w:tabs>
        <w:tab w:val="clear" w:pos="4680"/>
        <w:tab w:val="clear" w:pos="9360"/>
      </w:tabs>
    </w:pPr>
    <w:rPr>
      <w:rFonts w:ascii="Times New Roman" w:eastAsia="Times New Roman" w:hAnsi="Times New Roman" w:cs="Times New Roman"/>
      <w:sz w:val="18"/>
      <w:szCs w:val="20"/>
    </w:rPr>
  </w:style>
  <w:style w:type="character" w:customStyle="1" w:styleId="footnoteChar">
    <w:name w:val="footnote Char"/>
    <w:basedOn w:val="DefaultParagraphFont"/>
    <w:link w:val="footnote"/>
    <w:uiPriority w:val="99"/>
    <w:semiHidden/>
    <w:rPr>
      <w:rFonts w:ascii="Times New Roman" w:eastAsia="Times New Roman" w:hAnsi="Times New Roman" w:cs="Times New Roman"/>
      <w:sz w:val="20"/>
    </w:rPr>
  </w:style>
  <w:style w:type="character" w:customStyle="1" w:styleId="footnoteregparaindentChar">
    <w:name w:val="footnote reg para indent Char"/>
    <w:basedOn w:val="footnoteChar"/>
    <w:link w:val="footnoteregparaindent"/>
    <w:uiPriority w:val="99"/>
    <w:semiHidden/>
    <w:rPr>
      <w:rFonts w:ascii="Times New Roman" w:eastAsia="Times New Roman" w:hAnsi="Times New Roman" w:cs="Times LT Std"/>
      <w:color w:val="000000"/>
      <w:sz w:val="20"/>
      <w:szCs w:val="18"/>
    </w:rPr>
  </w:style>
  <w:style w:type="character" w:customStyle="1" w:styleId="DocIDChar">
    <w:name w:val="DocID Char"/>
    <w:basedOn w:val="footnoteregparaindentChar"/>
    <w:link w:val="DocID"/>
    <w:semiHidden/>
    <w:rPr>
      <w:rFonts w:ascii="Times New Roman" w:eastAsia="Times New Roman" w:hAnsi="Times New Roman" w:cs="Times New Roman"/>
      <w:color w:val="000000"/>
      <w:sz w:val="18"/>
      <w:szCs w:val="20"/>
    </w:rPr>
  </w:style>
  <w:style w:type="paragraph" w:customStyle="1" w:styleId="01ChapterNumber">
    <w:name w:val="01 Chapter Number"/>
    <w:basedOn w:val="ChapterNumber"/>
    <w:link w:val="01ChapterNumberChar"/>
    <w:qFormat/>
  </w:style>
  <w:style w:type="character" w:customStyle="1" w:styleId="01ChapterNumberChar">
    <w:name w:val="01 Chapter Number Char"/>
    <w:link w:val="01ChapterNumber"/>
    <w:rPr>
      <w:rFonts w:ascii="Times New Roman" w:eastAsiaTheme="minorEastAsia" w:hAnsi="Times New Roman" w:cs="Times New Roman"/>
      <w:smallCaps/>
      <w:color w:val="000000"/>
      <w:sz w:val="20"/>
      <w:szCs w:val="28"/>
    </w:rPr>
  </w:style>
  <w:style w:type="paragraph" w:customStyle="1" w:styleId="02ChapterTitle">
    <w:name w:val="02 Chapter Title"/>
    <w:basedOn w:val="ChapterTitle"/>
    <w:link w:val="02ChapterTitleChar"/>
    <w:qFormat/>
  </w:style>
  <w:style w:type="character" w:customStyle="1" w:styleId="02ChapterTitleChar">
    <w:name w:val="02 Chapter Title Char"/>
    <w:link w:val="02ChapterTitle"/>
    <w:rPr>
      <w:rFonts w:ascii="Times New Roman" w:eastAsiaTheme="minorEastAsia" w:hAnsi="Times New Roman" w:cs="Times New Roman"/>
      <w:b/>
      <w:color w:val="000000"/>
      <w:sz w:val="28"/>
      <w:szCs w:val="40"/>
    </w:rPr>
  </w:style>
  <w:style w:type="paragraph" w:customStyle="1" w:styleId="03TableofContents">
    <w:name w:val="03 Table of Contents"/>
    <w:basedOn w:val="10BTextWithoutIndent"/>
    <w:link w:val="03TableofContentsChar"/>
    <w:qFormat/>
    <w:pPr>
      <w:widowControl w:val="0"/>
      <w:suppressAutoHyphens/>
      <w:autoSpaceDE w:val="0"/>
      <w:autoSpaceDN w:val="0"/>
      <w:adjustRightInd w:val="0"/>
      <w:spacing w:before="0" w:after="0"/>
      <w:textAlignment w:val="center"/>
    </w:pPr>
    <w:rPr>
      <w:color w:val="000000"/>
    </w:rPr>
  </w:style>
  <w:style w:type="character" w:customStyle="1" w:styleId="03TableofContentsChar">
    <w:name w:val="03 Table of Contents Char"/>
    <w:link w:val="03TableofContents"/>
    <w:rPr>
      <w:rFonts w:ascii="Times New Roman" w:eastAsia="Times New Roman" w:hAnsi="Times New Roman" w:cs="Times New Roman"/>
      <w:color w:val="000000"/>
      <w:sz w:val="24"/>
      <w:szCs w:val="24"/>
    </w:rPr>
  </w:style>
  <w:style w:type="paragraph" w:customStyle="1" w:styleId="04First-LevelHeadIIIIII">
    <w:name w:val="04 First-Level Head I. II. III."/>
    <w:basedOn w:val="Normal"/>
    <w:link w:val="04First-LevelHeadIIIIIIChar"/>
    <w:qFormat/>
    <w:pPr>
      <w:spacing w:before="480" w:after="240" w:line="240" w:lineRule="auto"/>
      <w:jc w:val="center"/>
    </w:pPr>
    <w:rPr>
      <w:rFonts w:ascii="Times New Roman" w:eastAsia="Times New Roman" w:hAnsi="Times New Roman" w:cs="Times New Roman"/>
      <w:smallCaps/>
      <w:sz w:val="24"/>
      <w:szCs w:val="24"/>
    </w:rPr>
  </w:style>
  <w:style w:type="character" w:customStyle="1" w:styleId="04First-LevelHeadIIIIIIChar">
    <w:name w:val="04 First-Level Head I. II. III. Char"/>
    <w:link w:val="04First-LevelHeadIIIIII"/>
    <w:rPr>
      <w:rFonts w:ascii="Times New Roman" w:eastAsia="Times New Roman" w:hAnsi="Times New Roman" w:cs="Times New Roman"/>
      <w:smallCaps/>
      <w:sz w:val="24"/>
      <w:szCs w:val="24"/>
    </w:rPr>
  </w:style>
  <w:style w:type="paragraph" w:customStyle="1" w:styleId="05Second-LevelHeadABC">
    <w:name w:val="05 Second-Level Head A. B. C."/>
    <w:basedOn w:val="Normal"/>
    <w:link w:val="05Second-LevelHeadABCChar"/>
    <w:qFormat/>
    <w:pPr>
      <w:spacing w:before="360" w:after="240" w:line="240" w:lineRule="auto"/>
      <w:ind w:left="720" w:hanging="720"/>
    </w:pPr>
    <w:rPr>
      <w:rFonts w:ascii="Times New Roman" w:eastAsia="Times New Roman" w:hAnsi="Times New Roman" w:cs="Times New Roman"/>
      <w:b/>
      <w:sz w:val="24"/>
      <w:szCs w:val="24"/>
    </w:rPr>
  </w:style>
  <w:style w:type="character" w:customStyle="1" w:styleId="05Second-LevelHeadABCChar">
    <w:name w:val="05 Second-Level Head A. B. C. Char"/>
    <w:link w:val="05Second-LevelHeadABC"/>
    <w:rPr>
      <w:rFonts w:ascii="Times New Roman" w:eastAsia="Times New Roman" w:hAnsi="Times New Roman" w:cs="Times New Roman"/>
      <w:b/>
      <w:sz w:val="24"/>
      <w:szCs w:val="24"/>
    </w:rPr>
  </w:style>
  <w:style w:type="paragraph" w:customStyle="1" w:styleId="06Third-LevelHead123">
    <w:name w:val="06 Third-Level Head 1. 2. 3."/>
    <w:basedOn w:val="Normal"/>
    <w:link w:val="06Third-LevelHead123Char"/>
    <w:qFormat/>
    <w:pPr>
      <w:spacing w:before="360" w:after="240" w:line="240" w:lineRule="auto"/>
      <w:ind w:left="720" w:hanging="720"/>
    </w:pPr>
    <w:rPr>
      <w:rFonts w:ascii="Times New Roman" w:eastAsia="Times New Roman" w:hAnsi="Times New Roman" w:cs="Times New Roman"/>
      <w:b/>
      <w:i/>
      <w:sz w:val="24"/>
      <w:szCs w:val="24"/>
    </w:rPr>
  </w:style>
  <w:style w:type="character" w:customStyle="1" w:styleId="06Third-LevelHead123Char">
    <w:name w:val="06 Third-Level Head 1. 2. 3. Char"/>
    <w:link w:val="06Third-LevelHead123"/>
    <w:rPr>
      <w:rFonts w:ascii="Times New Roman" w:eastAsia="Times New Roman" w:hAnsi="Times New Roman" w:cs="Times New Roman"/>
      <w:b/>
      <w:i/>
      <w:sz w:val="24"/>
      <w:szCs w:val="24"/>
    </w:rPr>
  </w:style>
  <w:style w:type="paragraph" w:customStyle="1" w:styleId="07Fourth-LevelHeadabc">
    <w:name w:val="07 Fourth-Level Head a. b. c."/>
    <w:basedOn w:val="Normal"/>
    <w:link w:val="07Fourth-LevelHeadabcChar"/>
    <w:qFormat/>
    <w:pPr>
      <w:spacing w:before="360" w:after="240" w:line="240" w:lineRule="auto"/>
      <w:ind w:left="720"/>
    </w:pPr>
    <w:rPr>
      <w:rFonts w:ascii="Times New Roman" w:eastAsia="Times New Roman" w:hAnsi="Times New Roman" w:cs="Times New Roman"/>
      <w:i/>
      <w:sz w:val="24"/>
      <w:szCs w:val="24"/>
    </w:rPr>
  </w:style>
  <w:style w:type="character" w:customStyle="1" w:styleId="07Fourth-LevelHeadabcChar">
    <w:name w:val="07 Fourth-Level Head a. b. c. Char"/>
    <w:link w:val="07Fourth-LevelHeadabc"/>
    <w:rPr>
      <w:rFonts w:ascii="Times New Roman" w:eastAsia="Times New Roman" w:hAnsi="Times New Roman" w:cs="Times New Roman"/>
      <w:i/>
      <w:sz w:val="24"/>
      <w:szCs w:val="24"/>
    </w:rPr>
  </w:style>
  <w:style w:type="paragraph" w:customStyle="1" w:styleId="08Fifth-LevelHeadi">
    <w:name w:val="08 Fifth-Level Head (i.)"/>
    <w:aliases w:val="(ii.),(iii.)"/>
    <w:basedOn w:val="Normal"/>
    <w:link w:val="08Fifth-LevelHeadiChar"/>
    <w:qFormat/>
    <w:pPr>
      <w:spacing w:before="360" w:after="240" w:line="240" w:lineRule="auto"/>
      <w:ind w:left="1440"/>
    </w:pPr>
    <w:rPr>
      <w:rFonts w:ascii="Times New Roman" w:eastAsia="Times New Roman" w:hAnsi="Times New Roman" w:cs="Times New Roman"/>
      <w:i/>
      <w:sz w:val="24"/>
      <w:szCs w:val="24"/>
    </w:rPr>
  </w:style>
  <w:style w:type="character" w:customStyle="1" w:styleId="08Fifth-LevelHeadiChar">
    <w:name w:val="08 Fifth-Level Head (i.) Char"/>
    <w:aliases w:val="(ii.) Char,(iii.) Char"/>
    <w:link w:val="08Fifth-LevelHeadi"/>
    <w:rPr>
      <w:rFonts w:ascii="Times New Roman" w:eastAsia="Times New Roman" w:hAnsi="Times New Roman" w:cs="Times New Roman"/>
      <w:i/>
      <w:sz w:val="24"/>
      <w:szCs w:val="24"/>
    </w:rPr>
  </w:style>
  <w:style w:type="paragraph" w:customStyle="1" w:styleId="09ABlockQuoteWithIndent">
    <w:name w:val="09A Block Quote With ¶ Indent"/>
    <w:basedOn w:val="Normal"/>
    <w:qFormat/>
    <w:pPr>
      <w:spacing w:before="120" w:after="120" w:line="240" w:lineRule="auto"/>
      <w:ind w:left="720" w:firstLine="720"/>
    </w:pPr>
    <w:rPr>
      <w:rFonts w:ascii="Times New Roman" w:eastAsia="Times New Roman" w:hAnsi="Times New Roman" w:cs="Times New Roman"/>
      <w:sz w:val="20"/>
      <w:szCs w:val="24"/>
    </w:rPr>
  </w:style>
  <w:style w:type="paragraph" w:customStyle="1" w:styleId="09BBlockQuoteWithoutIndent">
    <w:name w:val="09B Block Quote Without ¶ Indent"/>
    <w:basedOn w:val="Normal"/>
    <w:link w:val="09BBlockQuoteWithoutIndentChar"/>
    <w:qFormat/>
    <w:pPr>
      <w:spacing w:before="120" w:after="120" w:line="240" w:lineRule="auto"/>
      <w:ind w:left="720"/>
    </w:pPr>
    <w:rPr>
      <w:rFonts w:ascii="Times New Roman" w:eastAsia="Times New Roman" w:hAnsi="Times New Roman" w:cs="Times New Roman"/>
      <w:sz w:val="20"/>
      <w:szCs w:val="24"/>
    </w:rPr>
  </w:style>
  <w:style w:type="character" w:customStyle="1" w:styleId="09BBlockQuoteWithoutIndentChar">
    <w:name w:val="09B Block Quote Without ¶ Indent Char"/>
    <w:link w:val="09BBlockQuoteWithoutIndent"/>
    <w:rPr>
      <w:rFonts w:ascii="Times New Roman" w:eastAsia="Times New Roman" w:hAnsi="Times New Roman" w:cs="Times New Roman"/>
      <w:sz w:val="20"/>
      <w:szCs w:val="24"/>
    </w:rPr>
  </w:style>
  <w:style w:type="paragraph" w:customStyle="1" w:styleId="10ATextWithIndent">
    <w:name w:val="10A Text With ¶ Indent"/>
    <w:basedOn w:val="Normal"/>
    <w:link w:val="10ATextWithIndentChar"/>
    <w:qFormat/>
    <w:pPr>
      <w:spacing w:before="120" w:after="120" w:line="240" w:lineRule="auto"/>
      <w:ind w:firstLine="720"/>
    </w:pPr>
    <w:rPr>
      <w:rFonts w:ascii="Times New Roman" w:eastAsia="Times New Roman" w:hAnsi="Times New Roman" w:cs="Times New Roman"/>
      <w:sz w:val="24"/>
      <w:szCs w:val="24"/>
    </w:rPr>
  </w:style>
  <w:style w:type="character" w:customStyle="1" w:styleId="10ATextWithIndentChar">
    <w:name w:val="10A Text With ¶ Indent Char"/>
    <w:link w:val="10ATextWithIndent"/>
    <w:rPr>
      <w:rFonts w:ascii="Times New Roman" w:eastAsia="Times New Roman" w:hAnsi="Times New Roman" w:cs="Times New Roman"/>
      <w:sz w:val="24"/>
      <w:szCs w:val="24"/>
    </w:rPr>
  </w:style>
  <w:style w:type="paragraph" w:customStyle="1" w:styleId="10BTextWithoutIndent">
    <w:name w:val="10B Text Without ¶ Indent"/>
    <w:basedOn w:val="Normal"/>
    <w:qFormat/>
    <w:pPr>
      <w:spacing w:before="120" w:after="120" w:line="240" w:lineRule="auto"/>
    </w:pPr>
    <w:rPr>
      <w:rFonts w:ascii="Times New Roman" w:eastAsia="Times New Roman" w:hAnsi="Times New Roman" w:cs="Times New Roman"/>
      <w:sz w:val="24"/>
      <w:szCs w:val="24"/>
    </w:rPr>
  </w:style>
  <w:style w:type="paragraph" w:customStyle="1" w:styleId="11AFirst-LevelList123forshortphrases">
    <w:name w:val="11A First-Level List (1) (2) (3) (for short phrases)"/>
    <w:basedOn w:val="Normal"/>
    <w:link w:val="11AFirst-LevelList123forshortphrasesChar"/>
    <w:qFormat/>
    <w:pPr>
      <w:spacing w:before="120" w:after="120" w:line="240" w:lineRule="auto"/>
      <w:ind w:left="1267" w:hanging="547"/>
    </w:pPr>
    <w:rPr>
      <w:rFonts w:ascii="Times New Roman" w:eastAsia="Times New Roman" w:hAnsi="Times New Roman" w:cs="Times New Roman"/>
      <w:sz w:val="24"/>
      <w:szCs w:val="24"/>
    </w:rPr>
  </w:style>
  <w:style w:type="character" w:customStyle="1" w:styleId="11AFirst-LevelList123forshortphrasesChar">
    <w:name w:val="11A First-Level List (1) (2) (3) (for short phrases) Char"/>
    <w:link w:val="11AFirst-LevelList123forshortphrases"/>
    <w:rPr>
      <w:rFonts w:ascii="Times New Roman" w:eastAsia="Times New Roman" w:hAnsi="Times New Roman" w:cs="Times New Roman"/>
      <w:sz w:val="24"/>
      <w:szCs w:val="24"/>
    </w:rPr>
  </w:style>
  <w:style w:type="paragraph" w:customStyle="1" w:styleId="11BSecond-LevelListabcforshortphrases">
    <w:name w:val="11B Second-Level List (a) (b) (c) (for short phrases)"/>
    <w:basedOn w:val="Normal"/>
    <w:link w:val="11BSecond-LevelListabcforshortphrasesChar"/>
    <w:qFormat/>
    <w:pPr>
      <w:spacing w:before="120" w:after="120" w:line="240" w:lineRule="auto"/>
    </w:pPr>
    <w:rPr>
      <w:rFonts w:ascii="Times New Roman" w:eastAsia="Times New Roman" w:hAnsi="Times New Roman" w:cs="Times New Roman"/>
      <w:sz w:val="24"/>
      <w:szCs w:val="24"/>
    </w:rPr>
  </w:style>
  <w:style w:type="character" w:customStyle="1" w:styleId="11BSecond-LevelListabcforshortphrasesChar">
    <w:name w:val="11B Second-Level List (a) (b) (c) (for short phrases) Char"/>
    <w:link w:val="11BSecond-LevelListabcforshortphrases"/>
    <w:rPr>
      <w:rFonts w:ascii="Times New Roman" w:eastAsia="Times New Roman" w:hAnsi="Times New Roman" w:cs="Times New Roman"/>
      <w:sz w:val="24"/>
      <w:szCs w:val="24"/>
    </w:rPr>
  </w:style>
  <w:style w:type="paragraph" w:customStyle="1" w:styleId="12AFirst-LevelList123forcompletesentences">
    <w:name w:val="12A First-Level List 1. 2. 3. (for complete sentences)"/>
    <w:basedOn w:val="Normal"/>
    <w:link w:val="12AFirst-LevelList123forcompletesentencesChar"/>
    <w:qFormat/>
    <w:rsid w:val="00740B42"/>
    <w:pPr>
      <w:spacing w:before="120" w:after="120" w:line="240" w:lineRule="auto"/>
      <w:ind w:left="1080" w:hanging="360"/>
    </w:pPr>
    <w:rPr>
      <w:rFonts w:ascii="Times New Roman" w:eastAsia="Times New Roman" w:hAnsi="Times New Roman" w:cs="Times New Roman"/>
      <w:sz w:val="24"/>
      <w:szCs w:val="24"/>
    </w:rPr>
  </w:style>
  <w:style w:type="character" w:customStyle="1" w:styleId="12AFirst-LevelList123forcompletesentencesChar">
    <w:name w:val="12A First-Level List 1. 2. 3. (for complete sentences) Char"/>
    <w:link w:val="12AFirst-LevelList123forcompletesentences"/>
    <w:rsid w:val="00740B42"/>
    <w:rPr>
      <w:rFonts w:ascii="Times New Roman" w:eastAsia="Times New Roman" w:hAnsi="Times New Roman" w:cs="Times New Roman"/>
      <w:sz w:val="24"/>
      <w:szCs w:val="24"/>
    </w:rPr>
  </w:style>
  <w:style w:type="paragraph" w:customStyle="1" w:styleId="12BSecond-LevelListabcforcompletesentences">
    <w:name w:val="12B Second-Level List a. b. c. (for complete sentences)"/>
    <w:basedOn w:val="Normal"/>
    <w:link w:val="12BSecond-LevelListabcforcompletesentencesChar"/>
    <w:qFormat/>
    <w:pPr>
      <w:spacing w:before="120" w:after="120" w:line="240" w:lineRule="auto"/>
    </w:pPr>
    <w:rPr>
      <w:rFonts w:ascii="Times New Roman" w:eastAsia="Times New Roman" w:hAnsi="Times New Roman" w:cs="Times New Roman"/>
      <w:sz w:val="24"/>
      <w:szCs w:val="24"/>
    </w:rPr>
  </w:style>
  <w:style w:type="character" w:customStyle="1" w:styleId="12BSecond-LevelListabcforcompletesentencesChar">
    <w:name w:val="12B Second-Level List a. b. c. (for complete sentences) Char"/>
    <w:link w:val="12BSecond-LevelListabcforcompletesentences"/>
    <w:rPr>
      <w:rFonts w:ascii="Times New Roman" w:eastAsia="Times New Roman" w:hAnsi="Times New Roman" w:cs="Times New Roman"/>
      <w:sz w:val="24"/>
      <w:szCs w:val="24"/>
    </w:rPr>
  </w:style>
  <w:style w:type="paragraph" w:customStyle="1" w:styleId="13AFirst-LevelBulletedList">
    <w:name w:val="13A First-Level Bulleted List"/>
    <w:basedOn w:val="Normal"/>
    <w:link w:val="13AFirst-LevelBulletedListChar"/>
    <w:qFormat/>
    <w:pPr>
      <w:numPr>
        <w:numId w:val="13"/>
      </w:numPr>
      <w:spacing w:before="120" w:after="120" w:line="240" w:lineRule="auto"/>
    </w:pPr>
    <w:rPr>
      <w:rFonts w:ascii="Times New Roman" w:eastAsia="Times New Roman" w:hAnsi="Times New Roman" w:cs="Times New Roman"/>
      <w:sz w:val="24"/>
      <w:szCs w:val="24"/>
    </w:rPr>
  </w:style>
  <w:style w:type="character" w:customStyle="1" w:styleId="13AFirst-LevelBulletedListChar">
    <w:name w:val="13A First-Level Bulleted List Char"/>
    <w:link w:val="13AFirst-LevelBulletedList"/>
    <w:rPr>
      <w:rFonts w:ascii="Times New Roman" w:eastAsia="Times New Roman" w:hAnsi="Times New Roman" w:cs="Times New Roman"/>
      <w:sz w:val="24"/>
      <w:szCs w:val="24"/>
    </w:rPr>
  </w:style>
  <w:style w:type="paragraph" w:customStyle="1" w:styleId="13BSecond-LevelBulletedList">
    <w:name w:val="13B Second-Level Bulleted List"/>
    <w:basedOn w:val="Normal"/>
    <w:link w:val="13BSecond-LevelBulletedListChar"/>
    <w:qFormat/>
    <w:pPr>
      <w:spacing w:before="120" w:after="120" w:line="240" w:lineRule="auto"/>
    </w:pPr>
    <w:rPr>
      <w:rFonts w:ascii="Times New Roman" w:eastAsia="Times New Roman" w:hAnsi="Times New Roman" w:cs="Times New Roman"/>
      <w:sz w:val="24"/>
      <w:szCs w:val="24"/>
    </w:rPr>
  </w:style>
  <w:style w:type="character" w:customStyle="1" w:styleId="13BSecond-LevelBulletedListChar">
    <w:name w:val="13B Second-Level Bulleted List Char"/>
    <w:link w:val="13BSecond-LevelBulletedList"/>
    <w:rPr>
      <w:rFonts w:ascii="Times New Roman" w:eastAsia="Times New Roman" w:hAnsi="Times New Roman" w:cs="Times New Roman"/>
      <w:sz w:val="24"/>
      <w:szCs w:val="24"/>
    </w:rPr>
  </w:style>
  <w:style w:type="paragraph" w:customStyle="1" w:styleId="14Footnote">
    <w:name w:val="14 Footnote"/>
    <w:basedOn w:val="Normal"/>
    <w:qFormat/>
    <w:rsid w:val="003E61AD"/>
    <w:pPr>
      <w:spacing w:after="120" w:line="240" w:lineRule="auto"/>
      <w:ind w:firstLine="720"/>
    </w:pPr>
    <w:rPr>
      <w:rFonts w:ascii="Times New Roman" w:eastAsia="Times New Roman" w:hAnsi="Times New Roman" w:cs="Times New Roman"/>
      <w:sz w:val="20"/>
      <w:szCs w:val="24"/>
    </w:rPr>
  </w:style>
  <w:style w:type="paragraph" w:customStyle="1" w:styleId="15AFootnoteBlockQuoteWithIndent">
    <w:name w:val="15A Footnote Block Quote With ¶ Indent"/>
    <w:basedOn w:val="Normal"/>
    <w:qFormat/>
    <w:pPr>
      <w:spacing w:before="120" w:after="120" w:line="240" w:lineRule="auto"/>
      <w:ind w:left="720" w:right="720" w:firstLine="360"/>
      <w:jc w:val="both"/>
    </w:pPr>
    <w:rPr>
      <w:rFonts w:ascii="Times New Roman" w:eastAsia="Times New Roman" w:hAnsi="Times New Roman" w:cs="Times New Roman"/>
      <w:sz w:val="20"/>
      <w:szCs w:val="24"/>
    </w:rPr>
  </w:style>
  <w:style w:type="paragraph" w:customStyle="1" w:styleId="15BFootnoteBlockQuoteWithoutIndent">
    <w:name w:val="15B Footnote Block Quote Without ¶ Indent"/>
    <w:basedOn w:val="Normal"/>
    <w:qFormat/>
    <w:pPr>
      <w:spacing w:before="120" w:after="120" w:line="240" w:lineRule="auto"/>
      <w:ind w:left="720" w:right="720"/>
    </w:pPr>
    <w:rPr>
      <w:rFonts w:ascii="Times New Roman" w:eastAsia="Times New Roman" w:hAnsi="Times New Roman" w:cs="Times New Roman"/>
      <w:sz w:val="20"/>
      <w:szCs w:val="24"/>
    </w:rPr>
  </w:style>
  <w:style w:type="paragraph" w:customStyle="1" w:styleId="16AFirst-LevelFootnoteList123forshortphrases">
    <w:name w:val="16A First-Level Footnote List (1) (2) (3) (for short phrases)"/>
    <w:basedOn w:val="Normal"/>
    <w:qFormat/>
    <w:pPr>
      <w:spacing w:before="120" w:after="120" w:line="240" w:lineRule="auto"/>
    </w:pPr>
    <w:rPr>
      <w:rFonts w:ascii="Times New Roman" w:eastAsia="Times New Roman" w:hAnsi="Times New Roman" w:cs="Times New Roman"/>
      <w:sz w:val="20"/>
      <w:szCs w:val="24"/>
    </w:rPr>
  </w:style>
  <w:style w:type="paragraph" w:customStyle="1" w:styleId="16BSecond-LevelFootnoteListabcforshortphrases">
    <w:name w:val="16B Second-Level Footnote List (a) (b) (c) (for short phrases)"/>
    <w:basedOn w:val="Normal"/>
    <w:qFormat/>
    <w:pPr>
      <w:spacing w:before="120" w:after="120" w:line="240" w:lineRule="auto"/>
    </w:pPr>
    <w:rPr>
      <w:rFonts w:ascii="Times New Roman" w:eastAsia="Times New Roman" w:hAnsi="Times New Roman" w:cs="Times New Roman"/>
      <w:sz w:val="20"/>
      <w:szCs w:val="20"/>
    </w:rPr>
  </w:style>
  <w:style w:type="paragraph" w:customStyle="1" w:styleId="17AFirst-LevelFootnoteList123forcompletesentences">
    <w:name w:val="17A First-Level Footnote List 1. 2. 3. (for complete sentences)"/>
    <w:basedOn w:val="Normal"/>
    <w:qFormat/>
    <w:pPr>
      <w:spacing w:before="120" w:after="120" w:line="240" w:lineRule="auto"/>
    </w:pPr>
    <w:rPr>
      <w:rFonts w:ascii="Times New Roman" w:eastAsia="Times New Roman" w:hAnsi="Times New Roman" w:cs="Times New Roman"/>
      <w:sz w:val="20"/>
      <w:szCs w:val="20"/>
    </w:rPr>
  </w:style>
  <w:style w:type="paragraph" w:customStyle="1" w:styleId="17BSecond-LevelFootnoteListabcforcompletesentences">
    <w:name w:val="17B Second-Level Footnote List a. b. c. (for complete sentences)"/>
    <w:basedOn w:val="Normal"/>
    <w:qFormat/>
    <w:pPr>
      <w:spacing w:before="120" w:after="120" w:line="240" w:lineRule="auto"/>
    </w:pPr>
    <w:rPr>
      <w:rFonts w:ascii="Times New Roman" w:eastAsia="Times New Roman" w:hAnsi="Times New Roman" w:cs="Times New Roman"/>
      <w:sz w:val="20"/>
      <w:szCs w:val="24"/>
    </w:rPr>
  </w:style>
  <w:style w:type="paragraph" w:customStyle="1" w:styleId="18AFirst-LevelFootnoteBulletedList">
    <w:name w:val="18A First-Level Footnote Bulleted List"/>
    <w:basedOn w:val="Normal"/>
    <w:qFormat/>
    <w:pPr>
      <w:spacing w:before="120" w:after="120" w:line="240" w:lineRule="auto"/>
    </w:pPr>
    <w:rPr>
      <w:rFonts w:ascii="Times New Roman" w:eastAsia="Times New Roman" w:hAnsi="Times New Roman" w:cs="Times New Roman"/>
      <w:sz w:val="20"/>
      <w:szCs w:val="24"/>
    </w:rPr>
  </w:style>
  <w:style w:type="paragraph" w:customStyle="1" w:styleId="18BSecond-LevelFootnoteBulletedList">
    <w:name w:val="18B Second-Level Footnote Bulleted List"/>
    <w:basedOn w:val="Normal"/>
    <w:qFormat/>
    <w:pPr>
      <w:spacing w:before="120" w:after="120" w:line="240" w:lineRule="auto"/>
    </w:pPr>
    <w:rPr>
      <w:rFonts w:ascii="Times New Roman" w:eastAsia="Times New Roman" w:hAnsi="Times New Roman" w:cs="Times New Roman"/>
      <w:sz w:val="20"/>
      <w:szCs w:val="24"/>
    </w:rPr>
  </w:style>
  <w:style w:type="paragraph" w:customStyle="1" w:styleId="19Table-Figure-ExhibitTitle">
    <w:name w:val="19 Table-Figure-Exhibit Title"/>
    <w:basedOn w:val="Normal"/>
    <w:qFormat/>
    <w:pPr>
      <w:spacing w:after="0" w:line="240" w:lineRule="auto"/>
      <w:jc w:val="center"/>
    </w:pPr>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rPr>
      <w:color w:val="0563C1" w:themeColor="hyperlink"/>
      <w:u w:val="single"/>
    </w:rPr>
  </w:style>
  <w:style w:type="character" w:customStyle="1" w:styleId="UnresolvedMention1">
    <w:name w:val="Unresolved Mention1"/>
    <w:basedOn w:val="DefaultParagraphFont"/>
    <w:uiPriority w:val="99"/>
    <w:semiHidden/>
    <w:rPr>
      <w:color w:val="605E5C"/>
      <w:shd w:val="clear" w:color="auto" w:fill="E1DFDD"/>
    </w:rPr>
  </w:style>
  <w:style w:type="character" w:styleId="FollowedHyperlink">
    <w:name w:val="FollowedHyperlink"/>
    <w:basedOn w:val="DefaultParagraphFont"/>
    <w:uiPriority w:val="99"/>
    <w:semiHidden/>
    <w:rsid w:val="00C73E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319">
      <w:bodyDiv w:val="1"/>
      <w:marLeft w:val="0"/>
      <w:marRight w:val="0"/>
      <w:marTop w:val="0"/>
      <w:marBottom w:val="0"/>
      <w:divBdr>
        <w:top w:val="none" w:sz="0" w:space="0" w:color="auto"/>
        <w:left w:val="none" w:sz="0" w:space="0" w:color="auto"/>
        <w:bottom w:val="none" w:sz="0" w:space="0" w:color="auto"/>
        <w:right w:val="none" w:sz="0" w:space="0" w:color="auto"/>
      </w:divBdr>
      <w:divsChild>
        <w:div w:id="2039887115">
          <w:marLeft w:val="0"/>
          <w:marRight w:val="0"/>
          <w:marTop w:val="0"/>
          <w:marBottom w:val="0"/>
          <w:divBdr>
            <w:top w:val="none" w:sz="0" w:space="0" w:color="auto"/>
            <w:left w:val="none" w:sz="0" w:space="0" w:color="auto"/>
            <w:bottom w:val="none" w:sz="0" w:space="0" w:color="auto"/>
            <w:right w:val="none" w:sz="0" w:space="0" w:color="auto"/>
          </w:divBdr>
          <w:divsChild>
            <w:div w:id="1666662484">
              <w:marLeft w:val="0"/>
              <w:marRight w:val="0"/>
              <w:marTop w:val="0"/>
              <w:marBottom w:val="0"/>
              <w:divBdr>
                <w:top w:val="none" w:sz="0" w:space="0" w:color="auto"/>
                <w:left w:val="none" w:sz="0" w:space="0" w:color="auto"/>
                <w:bottom w:val="none" w:sz="0" w:space="0" w:color="auto"/>
                <w:right w:val="none" w:sz="0" w:space="0" w:color="auto"/>
              </w:divBdr>
              <w:divsChild>
                <w:div w:id="50968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591">
      <w:bodyDiv w:val="1"/>
      <w:marLeft w:val="0"/>
      <w:marRight w:val="0"/>
      <w:marTop w:val="0"/>
      <w:marBottom w:val="0"/>
      <w:divBdr>
        <w:top w:val="none" w:sz="0" w:space="0" w:color="auto"/>
        <w:left w:val="none" w:sz="0" w:space="0" w:color="auto"/>
        <w:bottom w:val="none" w:sz="0" w:space="0" w:color="auto"/>
        <w:right w:val="none" w:sz="0" w:space="0" w:color="auto"/>
      </w:divBdr>
      <w:divsChild>
        <w:div w:id="344988758">
          <w:marLeft w:val="0"/>
          <w:marRight w:val="0"/>
          <w:marTop w:val="0"/>
          <w:marBottom w:val="0"/>
          <w:divBdr>
            <w:top w:val="none" w:sz="0" w:space="0" w:color="auto"/>
            <w:left w:val="none" w:sz="0" w:space="0" w:color="auto"/>
            <w:bottom w:val="none" w:sz="0" w:space="0" w:color="auto"/>
            <w:right w:val="none" w:sz="0" w:space="0" w:color="auto"/>
          </w:divBdr>
          <w:divsChild>
            <w:div w:id="2091000568">
              <w:marLeft w:val="0"/>
              <w:marRight w:val="0"/>
              <w:marTop w:val="0"/>
              <w:marBottom w:val="0"/>
              <w:divBdr>
                <w:top w:val="none" w:sz="0" w:space="0" w:color="auto"/>
                <w:left w:val="none" w:sz="0" w:space="0" w:color="auto"/>
                <w:bottom w:val="none" w:sz="0" w:space="0" w:color="auto"/>
                <w:right w:val="none" w:sz="0" w:space="0" w:color="auto"/>
              </w:divBdr>
              <w:divsChild>
                <w:div w:id="3423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153">
      <w:bodyDiv w:val="1"/>
      <w:marLeft w:val="0"/>
      <w:marRight w:val="0"/>
      <w:marTop w:val="0"/>
      <w:marBottom w:val="0"/>
      <w:divBdr>
        <w:top w:val="none" w:sz="0" w:space="0" w:color="auto"/>
        <w:left w:val="none" w:sz="0" w:space="0" w:color="auto"/>
        <w:bottom w:val="none" w:sz="0" w:space="0" w:color="auto"/>
        <w:right w:val="none" w:sz="0" w:space="0" w:color="auto"/>
      </w:divBdr>
      <w:divsChild>
        <w:div w:id="547109914">
          <w:marLeft w:val="0"/>
          <w:marRight w:val="0"/>
          <w:marTop w:val="0"/>
          <w:marBottom w:val="0"/>
          <w:divBdr>
            <w:top w:val="none" w:sz="0" w:space="0" w:color="auto"/>
            <w:left w:val="none" w:sz="0" w:space="0" w:color="auto"/>
            <w:bottom w:val="none" w:sz="0" w:space="0" w:color="auto"/>
            <w:right w:val="none" w:sz="0" w:space="0" w:color="auto"/>
          </w:divBdr>
          <w:divsChild>
            <w:div w:id="127825762">
              <w:marLeft w:val="0"/>
              <w:marRight w:val="0"/>
              <w:marTop w:val="0"/>
              <w:marBottom w:val="0"/>
              <w:divBdr>
                <w:top w:val="none" w:sz="0" w:space="0" w:color="auto"/>
                <w:left w:val="none" w:sz="0" w:space="0" w:color="auto"/>
                <w:bottom w:val="none" w:sz="0" w:space="0" w:color="auto"/>
                <w:right w:val="none" w:sz="0" w:space="0" w:color="auto"/>
              </w:divBdr>
              <w:divsChild>
                <w:div w:id="3881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187">
      <w:bodyDiv w:val="1"/>
      <w:marLeft w:val="0"/>
      <w:marRight w:val="0"/>
      <w:marTop w:val="0"/>
      <w:marBottom w:val="0"/>
      <w:divBdr>
        <w:top w:val="none" w:sz="0" w:space="0" w:color="auto"/>
        <w:left w:val="none" w:sz="0" w:space="0" w:color="auto"/>
        <w:bottom w:val="none" w:sz="0" w:space="0" w:color="auto"/>
        <w:right w:val="none" w:sz="0" w:space="0" w:color="auto"/>
      </w:divBdr>
      <w:divsChild>
        <w:div w:id="1190336325">
          <w:marLeft w:val="0"/>
          <w:marRight w:val="0"/>
          <w:marTop w:val="0"/>
          <w:marBottom w:val="0"/>
          <w:divBdr>
            <w:top w:val="none" w:sz="0" w:space="0" w:color="auto"/>
            <w:left w:val="none" w:sz="0" w:space="0" w:color="auto"/>
            <w:bottom w:val="none" w:sz="0" w:space="0" w:color="auto"/>
            <w:right w:val="none" w:sz="0" w:space="0" w:color="auto"/>
          </w:divBdr>
          <w:divsChild>
            <w:div w:id="1888447130">
              <w:marLeft w:val="0"/>
              <w:marRight w:val="0"/>
              <w:marTop w:val="0"/>
              <w:marBottom w:val="0"/>
              <w:divBdr>
                <w:top w:val="none" w:sz="0" w:space="0" w:color="auto"/>
                <w:left w:val="none" w:sz="0" w:space="0" w:color="auto"/>
                <w:bottom w:val="none" w:sz="0" w:space="0" w:color="auto"/>
                <w:right w:val="none" w:sz="0" w:space="0" w:color="auto"/>
              </w:divBdr>
              <w:divsChild>
                <w:div w:id="121939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3595">
      <w:bodyDiv w:val="1"/>
      <w:marLeft w:val="0"/>
      <w:marRight w:val="0"/>
      <w:marTop w:val="0"/>
      <w:marBottom w:val="0"/>
      <w:divBdr>
        <w:top w:val="none" w:sz="0" w:space="0" w:color="auto"/>
        <w:left w:val="none" w:sz="0" w:space="0" w:color="auto"/>
        <w:bottom w:val="none" w:sz="0" w:space="0" w:color="auto"/>
        <w:right w:val="none" w:sz="0" w:space="0" w:color="auto"/>
      </w:divBdr>
      <w:divsChild>
        <w:div w:id="402026290">
          <w:marLeft w:val="0"/>
          <w:marRight w:val="0"/>
          <w:marTop w:val="0"/>
          <w:marBottom w:val="0"/>
          <w:divBdr>
            <w:top w:val="none" w:sz="0" w:space="0" w:color="auto"/>
            <w:left w:val="none" w:sz="0" w:space="0" w:color="auto"/>
            <w:bottom w:val="none" w:sz="0" w:space="0" w:color="auto"/>
            <w:right w:val="none" w:sz="0" w:space="0" w:color="auto"/>
          </w:divBdr>
          <w:divsChild>
            <w:div w:id="1402870086">
              <w:marLeft w:val="0"/>
              <w:marRight w:val="0"/>
              <w:marTop w:val="0"/>
              <w:marBottom w:val="0"/>
              <w:divBdr>
                <w:top w:val="none" w:sz="0" w:space="0" w:color="auto"/>
                <w:left w:val="none" w:sz="0" w:space="0" w:color="auto"/>
                <w:bottom w:val="none" w:sz="0" w:space="0" w:color="auto"/>
                <w:right w:val="none" w:sz="0" w:space="0" w:color="auto"/>
              </w:divBdr>
              <w:divsChild>
                <w:div w:id="3814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9989">
      <w:bodyDiv w:val="1"/>
      <w:marLeft w:val="0"/>
      <w:marRight w:val="0"/>
      <w:marTop w:val="0"/>
      <w:marBottom w:val="0"/>
      <w:divBdr>
        <w:top w:val="none" w:sz="0" w:space="0" w:color="auto"/>
        <w:left w:val="none" w:sz="0" w:space="0" w:color="auto"/>
        <w:bottom w:val="none" w:sz="0" w:space="0" w:color="auto"/>
        <w:right w:val="none" w:sz="0" w:space="0" w:color="auto"/>
      </w:divBdr>
      <w:divsChild>
        <w:div w:id="687145423">
          <w:marLeft w:val="0"/>
          <w:marRight w:val="0"/>
          <w:marTop w:val="0"/>
          <w:marBottom w:val="0"/>
          <w:divBdr>
            <w:top w:val="none" w:sz="0" w:space="0" w:color="auto"/>
            <w:left w:val="none" w:sz="0" w:space="0" w:color="auto"/>
            <w:bottom w:val="none" w:sz="0" w:space="0" w:color="auto"/>
            <w:right w:val="none" w:sz="0" w:space="0" w:color="auto"/>
          </w:divBdr>
          <w:divsChild>
            <w:div w:id="911084229">
              <w:marLeft w:val="0"/>
              <w:marRight w:val="0"/>
              <w:marTop w:val="0"/>
              <w:marBottom w:val="0"/>
              <w:divBdr>
                <w:top w:val="none" w:sz="0" w:space="0" w:color="auto"/>
                <w:left w:val="none" w:sz="0" w:space="0" w:color="auto"/>
                <w:bottom w:val="none" w:sz="0" w:space="0" w:color="auto"/>
                <w:right w:val="none" w:sz="0" w:space="0" w:color="auto"/>
              </w:divBdr>
              <w:divsChild>
                <w:div w:id="17659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5720">
      <w:bodyDiv w:val="1"/>
      <w:marLeft w:val="0"/>
      <w:marRight w:val="0"/>
      <w:marTop w:val="0"/>
      <w:marBottom w:val="0"/>
      <w:divBdr>
        <w:top w:val="none" w:sz="0" w:space="0" w:color="auto"/>
        <w:left w:val="none" w:sz="0" w:space="0" w:color="auto"/>
        <w:bottom w:val="none" w:sz="0" w:space="0" w:color="auto"/>
        <w:right w:val="none" w:sz="0" w:space="0" w:color="auto"/>
      </w:divBdr>
      <w:divsChild>
        <w:div w:id="1540974415">
          <w:marLeft w:val="0"/>
          <w:marRight w:val="0"/>
          <w:marTop w:val="0"/>
          <w:marBottom w:val="0"/>
          <w:divBdr>
            <w:top w:val="none" w:sz="0" w:space="0" w:color="auto"/>
            <w:left w:val="none" w:sz="0" w:space="0" w:color="auto"/>
            <w:bottom w:val="none" w:sz="0" w:space="0" w:color="auto"/>
            <w:right w:val="none" w:sz="0" w:space="0" w:color="auto"/>
          </w:divBdr>
          <w:divsChild>
            <w:div w:id="632443085">
              <w:marLeft w:val="0"/>
              <w:marRight w:val="0"/>
              <w:marTop w:val="0"/>
              <w:marBottom w:val="0"/>
              <w:divBdr>
                <w:top w:val="none" w:sz="0" w:space="0" w:color="auto"/>
                <w:left w:val="none" w:sz="0" w:space="0" w:color="auto"/>
                <w:bottom w:val="none" w:sz="0" w:space="0" w:color="auto"/>
                <w:right w:val="none" w:sz="0" w:space="0" w:color="auto"/>
              </w:divBdr>
              <w:divsChild>
                <w:div w:id="92858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899">
      <w:bodyDiv w:val="1"/>
      <w:marLeft w:val="0"/>
      <w:marRight w:val="0"/>
      <w:marTop w:val="0"/>
      <w:marBottom w:val="0"/>
      <w:divBdr>
        <w:top w:val="none" w:sz="0" w:space="0" w:color="auto"/>
        <w:left w:val="none" w:sz="0" w:space="0" w:color="auto"/>
        <w:bottom w:val="none" w:sz="0" w:space="0" w:color="auto"/>
        <w:right w:val="none" w:sz="0" w:space="0" w:color="auto"/>
      </w:divBdr>
      <w:divsChild>
        <w:div w:id="1921713913">
          <w:marLeft w:val="0"/>
          <w:marRight w:val="0"/>
          <w:marTop w:val="0"/>
          <w:marBottom w:val="0"/>
          <w:divBdr>
            <w:top w:val="none" w:sz="0" w:space="0" w:color="auto"/>
            <w:left w:val="none" w:sz="0" w:space="0" w:color="auto"/>
            <w:bottom w:val="none" w:sz="0" w:space="0" w:color="auto"/>
            <w:right w:val="none" w:sz="0" w:space="0" w:color="auto"/>
          </w:divBdr>
          <w:divsChild>
            <w:div w:id="298808978">
              <w:marLeft w:val="0"/>
              <w:marRight w:val="0"/>
              <w:marTop w:val="0"/>
              <w:marBottom w:val="0"/>
              <w:divBdr>
                <w:top w:val="none" w:sz="0" w:space="0" w:color="auto"/>
                <w:left w:val="none" w:sz="0" w:space="0" w:color="auto"/>
                <w:bottom w:val="none" w:sz="0" w:space="0" w:color="auto"/>
                <w:right w:val="none" w:sz="0" w:space="0" w:color="auto"/>
              </w:divBdr>
              <w:divsChild>
                <w:div w:id="4934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24809">
      <w:bodyDiv w:val="1"/>
      <w:marLeft w:val="0"/>
      <w:marRight w:val="0"/>
      <w:marTop w:val="0"/>
      <w:marBottom w:val="0"/>
      <w:divBdr>
        <w:top w:val="none" w:sz="0" w:space="0" w:color="auto"/>
        <w:left w:val="none" w:sz="0" w:space="0" w:color="auto"/>
        <w:bottom w:val="none" w:sz="0" w:space="0" w:color="auto"/>
        <w:right w:val="none" w:sz="0" w:space="0" w:color="auto"/>
      </w:divBdr>
      <w:divsChild>
        <w:div w:id="1993826435">
          <w:marLeft w:val="0"/>
          <w:marRight w:val="0"/>
          <w:marTop w:val="0"/>
          <w:marBottom w:val="0"/>
          <w:divBdr>
            <w:top w:val="none" w:sz="0" w:space="0" w:color="auto"/>
            <w:left w:val="none" w:sz="0" w:space="0" w:color="auto"/>
            <w:bottom w:val="none" w:sz="0" w:space="0" w:color="auto"/>
            <w:right w:val="none" w:sz="0" w:space="0" w:color="auto"/>
          </w:divBdr>
          <w:divsChild>
            <w:div w:id="785083589">
              <w:marLeft w:val="0"/>
              <w:marRight w:val="0"/>
              <w:marTop w:val="0"/>
              <w:marBottom w:val="0"/>
              <w:divBdr>
                <w:top w:val="none" w:sz="0" w:space="0" w:color="auto"/>
                <w:left w:val="none" w:sz="0" w:space="0" w:color="auto"/>
                <w:bottom w:val="none" w:sz="0" w:space="0" w:color="auto"/>
                <w:right w:val="none" w:sz="0" w:space="0" w:color="auto"/>
              </w:divBdr>
              <w:divsChild>
                <w:div w:id="16974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1732">
      <w:bodyDiv w:val="1"/>
      <w:marLeft w:val="0"/>
      <w:marRight w:val="0"/>
      <w:marTop w:val="0"/>
      <w:marBottom w:val="0"/>
      <w:divBdr>
        <w:top w:val="none" w:sz="0" w:space="0" w:color="auto"/>
        <w:left w:val="none" w:sz="0" w:space="0" w:color="auto"/>
        <w:bottom w:val="none" w:sz="0" w:space="0" w:color="auto"/>
        <w:right w:val="none" w:sz="0" w:space="0" w:color="auto"/>
      </w:divBdr>
      <w:divsChild>
        <w:div w:id="287782064">
          <w:marLeft w:val="0"/>
          <w:marRight w:val="0"/>
          <w:marTop w:val="0"/>
          <w:marBottom w:val="0"/>
          <w:divBdr>
            <w:top w:val="none" w:sz="0" w:space="0" w:color="auto"/>
            <w:left w:val="none" w:sz="0" w:space="0" w:color="auto"/>
            <w:bottom w:val="none" w:sz="0" w:space="0" w:color="auto"/>
            <w:right w:val="none" w:sz="0" w:space="0" w:color="auto"/>
          </w:divBdr>
          <w:divsChild>
            <w:div w:id="190726332">
              <w:marLeft w:val="0"/>
              <w:marRight w:val="0"/>
              <w:marTop w:val="0"/>
              <w:marBottom w:val="0"/>
              <w:divBdr>
                <w:top w:val="none" w:sz="0" w:space="0" w:color="auto"/>
                <w:left w:val="none" w:sz="0" w:space="0" w:color="auto"/>
                <w:bottom w:val="none" w:sz="0" w:space="0" w:color="auto"/>
                <w:right w:val="none" w:sz="0" w:space="0" w:color="auto"/>
              </w:divBdr>
              <w:divsChild>
                <w:div w:id="191970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32709">
      <w:bodyDiv w:val="1"/>
      <w:marLeft w:val="0"/>
      <w:marRight w:val="0"/>
      <w:marTop w:val="0"/>
      <w:marBottom w:val="0"/>
      <w:divBdr>
        <w:top w:val="none" w:sz="0" w:space="0" w:color="auto"/>
        <w:left w:val="none" w:sz="0" w:space="0" w:color="auto"/>
        <w:bottom w:val="none" w:sz="0" w:space="0" w:color="auto"/>
        <w:right w:val="none" w:sz="0" w:space="0" w:color="auto"/>
      </w:divBdr>
      <w:divsChild>
        <w:div w:id="1924145488">
          <w:marLeft w:val="0"/>
          <w:marRight w:val="0"/>
          <w:marTop w:val="0"/>
          <w:marBottom w:val="0"/>
          <w:divBdr>
            <w:top w:val="none" w:sz="0" w:space="0" w:color="auto"/>
            <w:left w:val="none" w:sz="0" w:space="0" w:color="auto"/>
            <w:bottom w:val="none" w:sz="0" w:space="0" w:color="auto"/>
            <w:right w:val="none" w:sz="0" w:space="0" w:color="auto"/>
          </w:divBdr>
          <w:divsChild>
            <w:div w:id="1864827563">
              <w:marLeft w:val="0"/>
              <w:marRight w:val="0"/>
              <w:marTop w:val="0"/>
              <w:marBottom w:val="0"/>
              <w:divBdr>
                <w:top w:val="none" w:sz="0" w:space="0" w:color="auto"/>
                <w:left w:val="none" w:sz="0" w:space="0" w:color="auto"/>
                <w:bottom w:val="none" w:sz="0" w:space="0" w:color="auto"/>
                <w:right w:val="none" w:sz="0" w:space="0" w:color="auto"/>
              </w:divBdr>
              <w:divsChild>
                <w:div w:id="7572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4399">
      <w:bodyDiv w:val="1"/>
      <w:marLeft w:val="0"/>
      <w:marRight w:val="0"/>
      <w:marTop w:val="0"/>
      <w:marBottom w:val="0"/>
      <w:divBdr>
        <w:top w:val="none" w:sz="0" w:space="0" w:color="auto"/>
        <w:left w:val="none" w:sz="0" w:space="0" w:color="auto"/>
        <w:bottom w:val="none" w:sz="0" w:space="0" w:color="auto"/>
        <w:right w:val="none" w:sz="0" w:space="0" w:color="auto"/>
      </w:divBdr>
      <w:divsChild>
        <w:div w:id="1664435559">
          <w:marLeft w:val="0"/>
          <w:marRight w:val="0"/>
          <w:marTop w:val="0"/>
          <w:marBottom w:val="0"/>
          <w:divBdr>
            <w:top w:val="none" w:sz="0" w:space="0" w:color="auto"/>
            <w:left w:val="none" w:sz="0" w:space="0" w:color="auto"/>
            <w:bottom w:val="none" w:sz="0" w:space="0" w:color="auto"/>
            <w:right w:val="none" w:sz="0" w:space="0" w:color="auto"/>
          </w:divBdr>
          <w:divsChild>
            <w:div w:id="453452735">
              <w:marLeft w:val="0"/>
              <w:marRight w:val="0"/>
              <w:marTop w:val="0"/>
              <w:marBottom w:val="0"/>
              <w:divBdr>
                <w:top w:val="none" w:sz="0" w:space="0" w:color="auto"/>
                <w:left w:val="none" w:sz="0" w:space="0" w:color="auto"/>
                <w:bottom w:val="none" w:sz="0" w:space="0" w:color="auto"/>
                <w:right w:val="none" w:sz="0" w:space="0" w:color="auto"/>
              </w:divBdr>
              <w:divsChild>
                <w:div w:id="147221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7533">
      <w:bodyDiv w:val="1"/>
      <w:marLeft w:val="0"/>
      <w:marRight w:val="0"/>
      <w:marTop w:val="0"/>
      <w:marBottom w:val="0"/>
      <w:divBdr>
        <w:top w:val="none" w:sz="0" w:space="0" w:color="auto"/>
        <w:left w:val="none" w:sz="0" w:space="0" w:color="auto"/>
        <w:bottom w:val="none" w:sz="0" w:space="0" w:color="auto"/>
        <w:right w:val="none" w:sz="0" w:space="0" w:color="auto"/>
      </w:divBdr>
      <w:divsChild>
        <w:div w:id="1717730883">
          <w:marLeft w:val="0"/>
          <w:marRight w:val="0"/>
          <w:marTop w:val="0"/>
          <w:marBottom w:val="0"/>
          <w:divBdr>
            <w:top w:val="none" w:sz="0" w:space="0" w:color="auto"/>
            <w:left w:val="none" w:sz="0" w:space="0" w:color="auto"/>
            <w:bottom w:val="none" w:sz="0" w:space="0" w:color="auto"/>
            <w:right w:val="none" w:sz="0" w:space="0" w:color="auto"/>
          </w:divBdr>
          <w:divsChild>
            <w:div w:id="759762841">
              <w:marLeft w:val="0"/>
              <w:marRight w:val="0"/>
              <w:marTop w:val="0"/>
              <w:marBottom w:val="0"/>
              <w:divBdr>
                <w:top w:val="none" w:sz="0" w:space="0" w:color="auto"/>
                <w:left w:val="none" w:sz="0" w:space="0" w:color="auto"/>
                <w:bottom w:val="none" w:sz="0" w:space="0" w:color="auto"/>
                <w:right w:val="none" w:sz="0" w:space="0" w:color="auto"/>
              </w:divBdr>
              <w:divsChild>
                <w:div w:id="70683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88827">
      <w:bodyDiv w:val="1"/>
      <w:marLeft w:val="0"/>
      <w:marRight w:val="0"/>
      <w:marTop w:val="0"/>
      <w:marBottom w:val="0"/>
      <w:divBdr>
        <w:top w:val="none" w:sz="0" w:space="0" w:color="auto"/>
        <w:left w:val="none" w:sz="0" w:space="0" w:color="auto"/>
        <w:bottom w:val="none" w:sz="0" w:space="0" w:color="auto"/>
        <w:right w:val="none" w:sz="0" w:space="0" w:color="auto"/>
      </w:divBdr>
      <w:divsChild>
        <w:div w:id="408357328">
          <w:marLeft w:val="0"/>
          <w:marRight w:val="0"/>
          <w:marTop w:val="0"/>
          <w:marBottom w:val="0"/>
          <w:divBdr>
            <w:top w:val="none" w:sz="0" w:space="0" w:color="auto"/>
            <w:left w:val="none" w:sz="0" w:space="0" w:color="auto"/>
            <w:bottom w:val="none" w:sz="0" w:space="0" w:color="auto"/>
            <w:right w:val="none" w:sz="0" w:space="0" w:color="auto"/>
          </w:divBdr>
          <w:divsChild>
            <w:div w:id="1345669733">
              <w:marLeft w:val="0"/>
              <w:marRight w:val="0"/>
              <w:marTop w:val="0"/>
              <w:marBottom w:val="0"/>
              <w:divBdr>
                <w:top w:val="none" w:sz="0" w:space="0" w:color="auto"/>
                <w:left w:val="none" w:sz="0" w:space="0" w:color="auto"/>
                <w:bottom w:val="none" w:sz="0" w:space="0" w:color="auto"/>
                <w:right w:val="none" w:sz="0" w:space="0" w:color="auto"/>
              </w:divBdr>
              <w:divsChild>
                <w:div w:id="17462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8180">
      <w:bodyDiv w:val="1"/>
      <w:marLeft w:val="0"/>
      <w:marRight w:val="0"/>
      <w:marTop w:val="0"/>
      <w:marBottom w:val="0"/>
      <w:divBdr>
        <w:top w:val="none" w:sz="0" w:space="0" w:color="auto"/>
        <w:left w:val="none" w:sz="0" w:space="0" w:color="auto"/>
        <w:bottom w:val="none" w:sz="0" w:space="0" w:color="auto"/>
        <w:right w:val="none" w:sz="0" w:space="0" w:color="auto"/>
      </w:divBdr>
      <w:divsChild>
        <w:div w:id="634606878">
          <w:marLeft w:val="0"/>
          <w:marRight w:val="0"/>
          <w:marTop w:val="0"/>
          <w:marBottom w:val="0"/>
          <w:divBdr>
            <w:top w:val="none" w:sz="0" w:space="0" w:color="auto"/>
            <w:left w:val="none" w:sz="0" w:space="0" w:color="auto"/>
            <w:bottom w:val="none" w:sz="0" w:space="0" w:color="auto"/>
            <w:right w:val="none" w:sz="0" w:space="0" w:color="auto"/>
          </w:divBdr>
          <w:divsChild>
            <w:div w:id="1540775023">
              <w:marLeft w:val="0"/>
              <w:marRight w:val="0"/>
              <w:marTop w:val="0"/>
              <w:marBottom w:val="0"/>
              <w:divBdr>
                <w:top w:val="none" w:sz="0" w:space="0" w:color="auto"/>
                <w:left w:val="none" w:sz="0" w:space="0" w:color="auto"/>
                <w:bottom w:val="none" w:sz="0" w:space="0" w:color="auto"/>
                <w:right w:val="none" w:sz="0" w:space="0" w:color="auto"/>
              </w:divBdr>
              <w:divsChild>
                <w:div w:id="139238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4592">
      <w:bodyDiv w:val="1"/>
      <w:marLeft w:val="0"/>
      <w:marRight w:val="0"/>
      <w:marTop w:val="0"/>
      <w:marBottom w:val="0"/>
      <w:divBdr>
        <w:top w:val="none" w:sz="0" w:space="0" w:color="auto"/>
        <w:left w:val="none" w:sz="0" w:space="0" w:color="auto"/>
        <w:bottom w:val="none" w:sz="0" w:space="0" w:color="auto"/>
        <w:right w:val="none" w:sz="0" w:space="0" w:color="auto"/>
      </w:divBdr>
      <w:divsChild>
        <w:div w:id="1038971478">
          <w:marLeft w:val="0"/>
          <w:marRight w:val="0"/>
          <w:marTop w:val="0"/>
          <w:marBottom w:val="0"/>
          <w:divBdr>
            <w:top w:val="none" w:sz="0" w:space="0" w:color="auto"/>
            <w:left w:val="none" w:sz="0" w:space="0" w:color="auto"/>
            <w:bottom w:val="none" w:sz="0" w:space="0" w:color="auto"/>
            <w:right w:val="none" w:sz="0" w:space="0" w:color="auto"/>
          </w:divBdr>
          <w:divsChild>
            <w:div w:id="1197936442">
              <w:marLeft w:val="0"/>
              <w:marRight w:val="0"/>
              <w:marTop w:val="0"/>
              <w:marBottom w:val="0"/>
              <w:divBdr>
                <w:top w:val="none" w:sz="0" w:space="0" w:color="auto"/>
                <w:left w:val="none" w:sz="0" w:space="0" w:color="auto"/>
                <w:bottom w:val="none" w:sz="0" w:space="0" w:color="auto"/>
                <w:right w:val="none" w:sz="0" w:space="0" w:color="auto"/>
              </w:divBdr>
              <w:divsChild>
                <w:div w:id="12047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80134">
      <w:bodyDiv w:val="1"/>
      <w:marLeft w:val="0"/>
      <w:marRight w:val="0"/>
      <w:marTop w:val="0"/>
      <w:marBottom w:val="0"/>
      <w:divBdr>
        <w:top w:val="none" w:sz="0" w:space="0" w:color="auto"/>
        <w:left w:val="none" w:sz="0" w:space="0" w:color="auto"/>
        <w:bottom w:val="none" w:sz="0" w:space="0" w:color="auto"/>
        <w:right w:val="none" w:sz="0" w:space="0" w:color="auto"/>
      </w:divBdr>
      <w:divsChild>
        <w:div w:id="1036076550">
          <w:marLeft w:val="0"/>
          <w:marRight w:val="0"/>
          <w:marTop w:val="0"/>
          <w:marBottom w:val="0"/>
          <w:divBdr>
            <w:top w:val="none" w:sz="0" w:space="0" w:color="auto"/>
            <w:left w:val="none" w:sz="0" w:space="0" w:color="auto"/>
            <w:bottom w:val="none" w:sz="0" w:space="0" w:color="auto"/>
            <w:right w:val="none" w:sz="0" w:space="0" w:color="auto"/>
          </w:divBdr>
          <w:divsChild>
            <w:div w:id="147405443">
              <w:marLeft w:val="0"/>
              <w:marRight w:val="0"/>
              <w:marTop w:val="0"/>
              <w:marBottom w:val="0"/>
              <w:divBdr>
                <w:top w:val="none" w:sz="0" w:space="0" w:color="auto"/>
                <w:left w:val="none" w:sz="0" w:space="0" w:color="auto"/>
                <w:bottom w:val="none" w:sz="0" w:space="0" w:color="auto"/>
                <w:right w:val="none" w:sz="0" w:space="0" w:color="auto"/>
              </w:divBdr>
              <w:divsChild>
                <w:div w:id="100960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76410">
      <w:bodyDiv w:val="1"/>
      <w:marLeft w:val="0"/>
      <w:marRight w:val="0"/>
      <w:marTop w:val="0"/>
      <w:marBottom w:val="0"/>
      <w:divBdr>
        <w:top w:val="none" w:sz="0" w:space="0" w:color="auto"/>
        <w:left w:val="none" w:sz="0" w:space="0" w:color="auto"/>
        <w:bottom w:val="none" w:sz="0" w:space="0" w:color="auto"/>
        <w:right w:val="none" w:sz="0" w:space="0" w:color="auto"/>
      </w:divBdr>
      <w:divsChild>
        <w:div w:id="1897819421">
          <w:marLeft w:val="0"/>
          <w:marRight w:val="0"/>
          <w:marTop w:val="0"/>
          <w:marBottom w:val="0"/>
          <w:divBdr>
            <w:top w:val="none" w:sz="0" w:space="0" w:color="auto"/>
            <w:left w:val="none" w:sz="0" w:space="0" w:color="auto"/>
            <w:bottom w:val="none" w:sz="0" w:space="0" w:color="auto"/>
            <w:right w:val="none" w:sz="0" w:space="0" w:color="auto"/>
          </w:divBdr>
          <w:divsChild>
            <w:div w:id="1176580249">
              <w:marLeft w:val="0"/>
              <w:marRight w:val="0"/>
              <w:marTop w:val="0"/>
              <w:marBottom w:val="0"/>
              <w:divBdr>
                <w:top w:val="none" w:sz="0" w:space="0" w:color="auto"/>
                <w:left w:val="none" w:sz="0" w:space="0" w:color="auto"/>
                <w:bottom w:val="none" w:sz="0" w:space="0" w:color="auto"/>
                <w:right w:val="none" w:sz="0" w:space="0" w:color="auto"/>
              </w:divBdr>
              <w:divsChild>
                <w:div w:id="6237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29557">
      <w:bodyDiv w:val="1"/>
      <w:marLeft w:val="0"/>
      <w:marRight w:val="0"/>
      <w:marTop w:val="0"/>
      <w:marBottom w:val="0"/>
      <w:divBdr>
        <w:top w:val="none" w:sz="0" w:space="0" w:color="auto"/>
        <w:left w:val="none" w:sz="0" w:space="0" w:color="auto"/>
        <w:bottom w:val="none" w:sz="0" w:space="0" w:color="auto"/>
        <w:right w:val="none" w:sz="0" w:space="0" w:color="auto"/>
      </w:divBdr>
      <w:divsChild>
        <w:div w:id="1404138449">
          <w:marLeft w:val="0"/>
          <w:marRight w:val="0"/>
          <w:marTop w:val="0"/>
          <w:marBottom w:val="0"/>
          <w:divBdr>
            <w:top w:val="none" w:sz="0" w:space="0" w:color="auto"/>
            <w:left w:val="none" w:sz="0" w:space="0" w:color="auto"/>
            <w:bottom w:val="none" w:sz="0" w:space="0" w:color="auto"/>
            <w:right w:val="none" w:sz="0" w:space="0" w:color="auto"/>
          </w:divBdr>
          <w:divsChild>
            <w:div w:id="591815275">
              <w:marLeft w:val="0"/>
              <w:marRight w:val="0"/>
              <w:marTop w:val="0"/>
              <w:marBottom w:val="0"/>
              <w:divBdr>
                <w:top w:val="none" w:sz="0" w:space="0" w:color="auto"/>
                <w:left w:val="none" w:sz="0" w:space="0" w:color="auto"/>
                <w:bottom w:val="none" w:sz="0" w:space="0" w:color="auto"/>
                <w:right w:val="none" w:sz="0" w:space="0" w:color="auto"/>
              </w:divBdr>
              <w:divsChild>
                <w:div w:id="198751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976">
      <w:bodyDiv w:val="1"/>
      <w:marLeft w:val="0"/>
      <w:marRight w:val="0"/>
      <w:marTop w:val="0"/>
      <w:marBottom w:val="0"/>
      <w:divBdr>
        <w:top w:val="none" w:sz="0" w:space="0" w:color="auto"/>
        <w:left w:val="none" w:sz="0" w:space="0" w:color="auto"/>
        <w:bottom w:val="none" w:sz="0" w:space="0" w:color="auto"/>
        <w:right w:val="none" w:sz="0" w:space="0" w:color="auto"/>
      </w:divBdr>
      <w:divsChild>
        <w:div w:id="1652520073">
          <w:marLeft w:val="0"/>
          <w:marRight w:val="0"/>
          <w:marTop w:val="0"/>
          <w:marBottom w:val="0"/>
          <w:divBdr>
            <w:top w:val="none" w:sz="0" w:space="0" w:color="auto"/>
            <w:left w:val="none" w:sz="0" w:space="0" w:color="auto"/>
            <w:bottom w:val="none" w:sz="0" w:space="0" w:color="auto"/>
            <w:right w:val="none" w:sz="0" w:space="0" w:color="auto"/>
          </w:divBdr>
          <w:divsChild>
            <w:div w:id="823349870">
              <w:marLeft w:val="0"/>
              <w:marRight w:val="0"/>
              <w:marTop w:val="0"/>
              <w:marBottom w:val="0"/>
              <w:divBdr>
                <w:top w:val="none" w:sz="0" w:space="0" w:color="auto"/>
                <w:left w:val="none" w:sz="0" w:space="0" w:color="auto"/>
                <w:bottom w:val="none" w:sz="0" w:space="0" w:color="auto"/>
                <w:right w:val="none" w:sz="0" w:space="0" w:color="auto"/>
              </w:divBdr>
              <w:divsChild>
                <w:div w:id="91720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09607">
      <w:bodyDiv w:val="1"/>
      <w:marLeft w:val="0"/>
      <w:marRight w:val="0"/>
      <w:marTop w:val="0"/>
      <w:marBottom w:val="0"/>
      <w:divBdr>
        <w:top w:val="none" w:sz="0" w:space="0" w:color="auto"/>
        <w:left w:val="none" w:sz="0" w:space="0" w:color="auto"/>
        <w:bottom w:val="none" w:sz="0" w:space="0" w:color="auto"/>
        <w:right w:val="none" w:sz="0" w:space="0" w:color="auto"/>
      </w:divBdr>
      <w:divsChild>
        <w:div w:id="719788140">
          <w:marLeft w:val="0"/>
          <w:marRight w:val="0"/>
          <w:marTop w:val="0"/>
          <w:marBottom w:val="0"/>
          <w:divBdr>
            <w:top w:val="none" w:sz="0" w:space="0" w:color="auto"/>
            <w:left w:val="none" w:sz="0" w:space="0" w:color="auto"/>
            <w:bottom w:val="none" w:sz="0" w:space="0" w:color="auto"/>
            <w:right w:val="none" w:sz="0" w:space="0" w:color="auto"/>
          </w:divBdr>
          <w:divsChild>
            <w:div w:id="1167791920">
              <w:marLeft w:val="0"/>
              <w:marRight w:val="0"/>
              <w:marTop w:val="0"/>
              <w:marBottom w:val="0"/>
              <w:divBdr>
                <w:top w:val="none" w:sz="0" w:space="0" w:color="auto"/>
                <w:left w:val="none" w:sz="0" w:space="0" w:color="auto"/>
                <w:bottom w:val="none" w:sz="0" w:space="0" w:color="auto"/>
                <w:right w:val="none" w:sz="0" w:space="0" w:color="auto"/>
              </w:divBdr>
              <w:divsChild>
                <w:div w:id="32343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3528">
      <w:bodyDiv w:val="1"/>
      <w:marLeft w:val="0"/>
      <w:marRight w:val="0"/>
      <w:marTop w:val="0"/>
      <w:marBottom w:val="0"/>
      <w:divBdr>
        <w:top w:val="none" w:sz="0" w:space="0" w:color="auto"/>
        <w:left w:val="none" w:sz="0" w:space="0" w:color="auto"/>
        <w:bottom w:val="none" w:sz="0" w:space="0" w:color="auto"/>
        <w:right w:val="none" w:sz="0" w:space="0" w:color="auto"/>
      </w:divBdr>
      <w:divsChild>
        <w:div w:id="1018000103">
          <w:marLeft w:val="0"/>
          <w:marRight w:val="0"/>
          <w:marTop w:val="0"/>
          <w:marBottom w:val="0"/>
          <w:divBdr>
            <w:top w:val="none" w:sz="0" w:space="0" w:color="auto"/>
            <w:left w:val="none" w:sz="0" w:space="0" w:color="auto"/>
            <w:bottom w:val="none" w:sz="0" w:space="0" w:color="auto"/>
            <w:right w:val="none" w:sz="0" w:space="0" w:color="auto"/>
          </w:divBdr>
          <w:divsChild>
            <w:div w:id="1363048631">
              <w:marLeft w:val="0"/>
              <w:marRight w:val="0"/>
              <w:marTop w:val="0"/>
              <w:marBottom w:val="0"/>
              <w:divBdr>
                <w:top w:val="none" w:sz="0" w:space="0" w:color="auto"/>
                <w:left w:val="none" w:sz="0" w:space="0" w:color="auto"/>
                <w:bottom w:val="none" w:sz="0" w:space="0" w:color="auto"/>
                <w:right w:val="none" w:sz="0" w:space="0" w:color="auto"/>
              </w:divBdr>
              <w:divsChild>
                <w:div w:id="147864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52690">
      <w:bodyDiv w:val="1"/>
      <w:marLeft w:val="0"/>
      <w:marRight w:val="0"/>
      <w:marTop w:val="0"/>
      <w:marBottom w:val="0"/>
      <w:divBdr>
        <w:top w:val="none" w:sz="0" w:space="0" w:color="auto"/>
        <w:left w:val="none" w:sz="0" w:space="0" w:color="auto"/>
        <w:bottom w:val="none" w:sz="0" w:space="0" w:color="auto"/>
        <w:right w:val="none" w:sz="0" w:space="0" w:color="auto"/>
      </w:divBdr>
      <w:divsChild>
        <w:div w:id="2025132047">
          <w:marLeft w:val="0"/>
          <w:marRight w:val="0"/>
          <w:marTop w:val="0"/>
          <w:marBottom w:val="0"/>
          <w:divBdr>
            <w:top w:val="none" w:sz="0" w:space="0" w:color="auto"/>
            <w:left w:val="none" w:sz="0" w:space="0" w:color="auto"/>
            <w:bottom w:val="none" w:sz="0" w:space="0" w:color="auto"/>
            <w:right w:val="none" w:sz="0" w:space="0" w:color="auto"/>
          </w:divBdr>
          <w:divsChild>
            <w:div w:id="651374865">
              <w:marLeft w:val="0"/>
              <w:marRight w:val="0"/>
              <w:marTop w:val="0"/>
              <w:marBottom w:val="0"/>
              <w:divBdr>
                <w:top w:val="none" w:sz="0" w:space="0" w:color="auto"/>
                <w:left w:val="none" w:sz="0" w:space="0" w:color="auto"/>
                <w:bottom w:val="none" w:sz="0" w:space="0" w:color="auto"/>
                <w:right w:val="none" w:sz="0" w:space="0" w:color="auto"/>
              </w:divBdr>
              <w:divsChild>
                <w:div w:id="14772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73918">
      <w:bodyDiv w:val="1"/>
      <w:marLeft w:val="0"/>
      <w:marRight w:val="0"/>
      <w:marTop w:val="0"/>
      <w:marBottom w:val="0"/>
      <w:divBdr>
        <w:top w:val="none" w:sz="0" w:space="0" w:color="auto"/>
        <w:left w:val="none" w:sz="0" w:space="0" w:color="auto"/>
        <w:bottom w:val="none" w:sz="0" w:space="0" w:color="auto"/>
        <w:right w:val="none" w:sz="0" w:space="0" w:color="auto"/>
      </w:divBdr>
      <w:divsChild>
        <w:div w:id="884634672">
          <w:marLeft w:val="0"/>
          <w:marRight w:val="0"/>
          <w:marTop w:val="0"/>
          <w:marBottom w:val="0"/>
          <w:divBdr>
            <w:top w:val="none" w:sz="0" w:space="0" w:color="auto"/>
            <w:left w:val="none" w:sz="0" w:space="0" w:color="auto"/>
            <w:bottom w:val="none" w:sz="0" w:space="0" w:color="auto"/>
            <w:right w:val="none" w:sz="0" w:space="0" w:color="auto"/>
          </w:divBdr>
          <w:divsChild>
            <w:div w:id="1811945014">
              <w:marLeft w:val="0"/>
              <w:marRight w:val="0"/>
              <w:marTop w:val="0"/>
              <w:marBottom w:val="0"/>
              <w:divBdr>
                <w:top w:val="none" w:sz="0" w:space="0" w:color="auto"/>
                <w:left w:val="none" w:sz="0" w:space="0" w:color="auto"/>
                <w:bottom w:val="none" w:sz="0" w:space="0" w:color="auto"/>
                <w:right w:val="none" w:sz="0" w:space="0" w:color="auto"/>
              </w:divBdr>
              <w:divsChild>
                <w:div w:id="5558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493893">
      <w:bodyDiv w:val="1"/>
      <w:marLeft w:val="0"/>
      <w:marRight w:val="0"/>
      <w:marTop w:val="0"/>
      <w:marBottom w:val="0"/>
      <w:divBdr>
        <w:top w:val="none" w:sz="0" w:space="0" w:color="auto"/>
        <w:left w:val="none" w:sz="0" w:space="0" w:color="auto"/>
        <w:bottom w:val="none" w:sz="0" w:space="0" w:color="auto"/>
        <w:right w:val="none" w:sz="0" w:space="0" w:color="auto"/>
      </w:divBdr>
      <w:divsChild>
        <w:div w:id="725297925">
          <w:marLeft w:val="0"/>
          <w:marRight w:val="0"/>
          <w:marTop w:val="0"/>
          <w:marBottom w:val="0"/>
          <w:divBdr>
            <w:top w:val="none" w:sz="0" w:space="0" w:color="auto"/>
            <w:left w:val="none" w:sz="0" w:space="0" w:color="auto"/>
            <w:bottom w:val="none" w:sz="0" w:space="0" w:color="auto"/>
            <w:right w:val="none" w:sz="0" w:space="0" w:color="auto"/>
          </w:divBdr>
          <w:divsChild>
            <w:div w:id="284237520">
              <w:marLeft w:val="0"/>
              <w:marRight w:val="0"/>
              <w:marTop w:val="0"/>
              <w:marBottom w:val="0"/>
              <w:divBdr>
                <w:top w:val="none" w:sz="0" w:space="0" w:color="auto"/>
                <w:left w:val="none" w:sz="0" w:space="0" w:color="auto"/>
                <w:bottom w:val="none" w:sz="0" w:space="0" w:color="auto"/>
                <w:right w:val="none" w:sz="0" w:space="0" w:color="auto"/>
              </w:divBdr>
              <w:divsChild>
                <w:div w:id="5971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691317">
      <w:bodyDiv w:val="1"/>
      <w:marLeft w:val="0"/>
      <w:marRight w:val="0"/>
      <w:marTop w:val="0"/>
      <w:marBottom w:val="0"/>
      <w:divBdr>
        <w:top w:val="none" w:sz="0" w:space="0" w:color="auto"/>
        <w:left w:val="none" w:sz="0" w:space="0" w:color="auto"/>
        <w:bottom w:val="none" w:sz="0" w:space="0" w:color="auto"/>
        <w:right w:val="none" w:sz="0" w:space="0" w:color="auto"/>
      </w:divBdr>
      <w:divsChild>
        <w:div w:id="1563062216">
          <w:marLeft w:val="0"/>
          <w:marRight w:val="0"/>
          <w:marTop w:val="0"/>
          <w:marBottom w:val="0"/>
          <w:divBdr>
            <w:top w:val="none" w:sz="0" w:space="0" w:color="auto"/>
            <w:left w:val="none" w:sz="0" w:space="0" w:color="auto"/>
            <w:bottom w:val="none" w:sz="0" w:space="0" w:color="auto"/>
            <w:right w:val="none" w:sz="0" w:space="0" w:color="auto"/>
          </w:divBdr>
          <w:divsChild>
            <w:div w:id="930048704">
              <w:marLeft w:val="0"/>
              <w:marRight w:val="0"/>
              <w:marTop w:val="0"/>
              <w:marBottom w:val="0"/>
              <w:divBdr>
                <w:top w:val="none" w:sz="0" w:space="0" w:color="auto"/>
                <w:left w:val="none" w:sz="0" w:space="0" w:color="auto"/>
                <w:bottom w:val="none" w:sz="0" w:space="0" w:color="auto"/>
                <w:right w:val="none" w:sz="0" w:space="0" w:color="auto"/>
              </w:divBdr>
              <w:divsChild>
                <w:div w:id="33391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3548">
      <w:bodyDiv w:val="1"/>
      <w:marLeft w:val="0"/>
      <w:marRight w:val="0"/>
      <w:marTop w:val="0"/>
      <w:marBottom w:val="0"/>
      <w:divBdr>
        <w:top w:val="none" w:sz="0" w:space="0" w:color="auto"/>
        <w:left w:val="none" w:sz="0" w:space="0" w:color="auto"/>
        <w:bottom w:val="none" w:sz="0" w:space="0" w:color="auto"/>
        <w:right w:val="none" w:sz="0" w:space="0" w:color="auto"/>
      </w:divBdr>
      <w:divsChild>
        <w:div w:id="1511943943">
          <w:marLeft w:val="0"/>
          <w:marRight w:val="0"/>
          <w:marTop w:val="0"/>
          <w:marBottom w:val="0"/>
          <w:divBdr>
            <w:top w:val="none" w:sz="0" w:space="0" w:color="auto"/>
            <w:left w:val="none" w:sz="0" w:space="0" w:color="auto"/>
            <w:bottom w:val="none" w:sz="0" w:space="0" w:color="auto"/>
            <w:right w:val="none" w:sz="0" w:space="0" w:color="auto"/>
          </w:divBdr>
          <w:divsChild>
            <w:div w:id="809596959">
              <w:marLeft w:val="0"/>
              <w:marRight w:val="0"/>
              <w:marTop w:val="0"/>
              <w:marBottom w:val="0"/>
              <w:divBdr>
                <w:top w:val="none" w:sz="0" w:space="0" w:color="auto"/>
                <w:left w:val="none" w:sz="0" w:space="0" w:color="auto"/>
                <w:bottom w:val="none" w:sz="0" w:space="0" w:color="auto"/>
                <w:right w:val="none" w:sz="0" w:space="0" w:color="auto"/>
              </w:divBdr>
              <w:divsChild>
                <w:div w:id="188628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49883">
      <w:bodyDiv w:val="1"/>
      <w:marLeft w:val="0"/>
      <w:marRight w:val="0"/>
      <w:marTop w:val="0"/>
      <w:marBottom w:val="0"/>
      <w:divBdr>
        <w:top w:val="none" w:sz="0" w:space="0" w:color="auto"/>
        <w:left w:val="none" w:sz="0" w:space="0" w:color="auto"/>
        <w:bottom w:val="none" w:sz="0" w:space="0" w:color="auto"/>
        <w:right w:val="none" w:sz="0" w:space="0" w:color="auto"/>
      </w:divBdr>
      <w:divsChild>
        <w:div w:id="1606378900">
          <w:marLeft w:val="0"/>
          <w:marRight w:val="0"/>
          <w:marTop w:val="0"/>
          <w:marBottom w:val="0"/>
          <w:divBdr>
            <w:top w:val="none" w:sz="0" w:space="0" w:color="auto"/>
            <w:left w:val="none" w:sz="0" w:space="0" w:color="auto"/>
            <w:bottom w:val="none" w:sz="0" w:space="0" w:color="auto"/>
            <w:right w:val="none" w:sz="0" w:space="0" w:color="auto"/>
          </w:divBdr>
          <w:divsChild>
            <w:div w:id="660474213">
              <w:marLeft w:val="0"/>
              <w:marRight w:val="0"/>
              <w:marTop w:val="0"/>
              <w:marBottom w:val="0"/>
              <w:divBdr>
                <w:top w:val="none" w:sz="0" w:space="0" w:color="auto"/>
                <w:left w:val="none" w:sz="0" w:space="0" w:color="auto"/>
                <w:bottom w:val="none" w:sz="0" w:space="0" w:color="auto"/>
                <w:right w:val="none" w:sz="0" w:space="0" w:color="auto"/>
              </w:divBdr>
              <w:divsChild>
                <w:div w:id="5473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219922">
      <w:bodyDiv w:val="1"/>
      <w:marLeft w:val="0"/>
      <w:marRight w:val="0"/>
      <w:marTop w:val="0"/>
      <w:marBottom w:val="0"/>
      <w:divBdr>
        <w:top w:val="none" w:sz="0" w:space="0" w:color="auto"/>
        <w:left w:val="none" w:sz="0" w:space="0" w:color="auto"/>
        <w:bottom w:val="none" w:sz="0" w:space="0" w:color="auto"/>
        <w:right w:val="none" w:sz="0" w:space="0" w:color="auto"/>
      </w:divBdr>
      <w:divsChild>
        <w:div w:id="1536310903">
          <w:marLeft w:val="0"/>
          <w:marRight w:val="0"/>
          <w:marTop w:val="0"/>
          <w:marBottom w:val="0"/>
          <w:divBdr>
            <w:top w:val="none" w:sz="0" w:space="0" w:color="auto"/>
            <w:left w:val="none" w:sz="0" w:space="0" w:color="auto"/>
            <w:bottom w:val="none" w:sz="0" w:space="0" w:color="auto"/>
            <w:right w:val="none" w:sz="0" w:space="0" w:color="auto"/>
          </w:divBdr>
          <w:divsChild>
            <w:div w:id="1467042550">
              <w:marLeft w:val="0"/>
              <w:marRight w:val="0"/>
              <w:marTop w:val="0"/>
              <w:marBottom w:val="0"/>
              <w:divBdr>
                <w:top w:val="none" w:sz="0" w:space="0" w:color="auto"/>
                <w:left w:val="none" w:sz="0" w:space="0" w:color="auto"/>
                <w:bottom w:val="none" w:sz="0" w:space="0" w:color="auto"/>
                <w:right w:val="none" w:sz="0" w:space="0" w:color="auto"/>
              </w:divBdr>
              <w:divsChild>
                <w:div w:id="18746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26871">
      <w:bodyDiv w:val="1"/>
      <w:marLeft w:val="0"/>
      <w:marRight w:val="0"/>
      <w:marTop w:val="0"/>
      <w:marBottom w:val="0"/>
      <w:divBdr>
        <w:top w:val="none" w:sz="0" w:space="0" w:color="auto"/>
        <w:left w:val="none" w:sz="0" w:space="0" w:color="auto"/>
        <w:bottom w:val="none" w:sz="0" w:space="0" w:color="auto"/>
        <w:right w:val="none" w:sz="0" w:space="0" w:color="auto"/>
      </w:divBdr>
      <w:divsChild>
        <w:div w:id="82799745">
          <w:marLeft w:val="0"/>
          <w:marRight w:val="0"/>
          <w:marTop w:val="0"/>
          <w:marBottom w:val="0"/>
          <w:divBdr>
            <w:top w:val="none" w:sz="0" w:space="0" w:color="auto"/>
            <w:left w:val="none" w:sz="0" w:space="0" w:color="auto"/>
            <w:bottom w:val="none" w:sz="0" w:space="0" w:color="auto"/>
            <w:right w:val="none" w:sz="0" w:space="0" w:color="auto"/>
          </w:divBdr>
          <w:divsChild>
            <w:div w:id="1478112136">
              <w:marLeft w:val="0"/>
              <w:marRight w:val="0"/>
              <w:marTop w:val="0"/>
              <w:marBottom w:val="0"/>
              <w:divBdr>
                <w:top w:val="none" w:sz="0" w:space="0" w:color="auto"/>
                <w:left w:val="none" w:sz="0" w:space="0" w:color="auto"/>
                <w:bottom w:val="none" w:sz="0" w:space="0" w:color="auto"/>
                <w:right w:val="none" w:sz="0" w:space="0" w:color="auto"/>
              </w:divBdr>
              <w:divsChild>
                <w:div w:id="9050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84857">
      <w:bodyDiv w:val="1"/>
      <w:marLeft w:val="0"/>
      <w:marRight w:val="0"/>
      <w:marTop w:val="0"/>
      <w:marBottom w:val="0"/>
      <w:divBdr>
        <w:top w:val="none" w:sz="0" w:space="0" w:color="auto"/>
        <w:left w:val="none" w:sz="0" w:space="0" w:color="auto"/>
        <w:bottom w:val="none" w:sz="0" w:space="0" w:color="auto"/>
        <w:right w:val="none" w:sz="0" w:space="0" w:color="auto"/>
      </w:divBdr>
      <w:divsChild>
        <w:div w:id="1552109030">
          <w:marLeft w:val="0"/>
          <w:marRight w:val="0"/>
          <w:marTop w:val="0"/>
          <w:marBottom w:val="0"/>
          <w:divBdr>
            <w:top w:val="none" w:sz="0" w:space="0" w:color="auto"/>
            <w:left w:val="none" w:sz="0" w:space="0" w:color="auto"/>
            <w:bottom w:val="none" w:sz="0" w:space="0" w:color="auto"/>
            <w:right w:val="none" w:sz="0" w:space="0" w:color="auto"/>
          </w:divBdr>
          <w:divsChild>
            <w:div w:id="1198082592">
              <w:marLeft w:val="0"/>
              <w:marRight w:val="0"/>
              <w:marTop w:val="0"/>
              <w:marBottom w:val="0"/>
              <w:divBdr>
                <w:top w:val="none" w:sz="0" w:space="0" w:color="auto"/>
                <w:left w:val="none" w:sz="0" w:space="0" w:color="auto"/>
                <w:bottom w:val="none" w:sz="0" w:space="0" w:color="auto"/>
                <w:right w:val="none" w:sz="0" w:space="0" w:color="auto"/>
              </w:divBdr>
              <w:divsChild>
                <w:div w:id="6782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07268">
      <w:bodyDiv w:val="1"/>
      <w:marLeft w:val="0"/>
      <w:marRight w:val="0"/>
      <w:marTop w:val="0"/>
      <w:marBottom w:val="0"/>
      <w:divBdr>
        <w:top w:val="none" w:sz="0" w:space="0" w:color="auto"/>
        <w:left w:val="none" w:sz="0" w:space="0" w:color="auto"/>
        <w:bottom w:val="none" w:sz="0" w:space="0" w:color="auto"/>
        <w:right w:val="none" w:sz="0" w:space="0" w:color="auto"/>
      </w:divBdr>
      <w:divsChild>
        <w:div w:id="53505284">
          <w:marLeft w:val="0"/>
          <w:marRight w:val="0"/>
          <w:marTop w:val="0"/>
          <w:marBottom w:val="0"/>
          <w:divBdr>
            <w:top w:val="none" w:sz="0" w:space="0" w:color="auto"/>
            <w:left w:val="none" w:sz="0" w:space="0" w:color="auto"/>
            <w:bottom w:val="none" w:sz="0" w:space="0" w:color="auto"/>
            <w:right w:val="none" w:sz="0" w:space="0" w:color="auto"/>
          </w:divBdr>
          <w:divsChild>
            <w:div w:id="655650113">
              <w:marLeft w:val="0"/>
              <w:marRight w:val="0"/>
              <w:marTop w:val="0"/>
              <w:marBottom w:val="0"/>
              <w:divBdr>
                <w:top w:val="none" w:sz="0" w:space="0" w:color="auto"/>
                <w:left w:val="none" w:sz="0" w:space="0" w:color="auto"/>
                <w:bottom w:val="none" w:sz="0" w:space="0" w:color="auto"/>
                <w:right w:val="none" w:sz="0" w:space="0" w:color="auto"/>
              </w:divBdr>
              <w:divsChild>
                <w:div w:id="15659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26987">
      <w:bodyDiv w:val="1"/>
      <w:marLeft w:val="0"/>
      <w:marRight w:val="0"/>
      <w:marTop w:val="0"/>
      <w:marBottom w:val="0"/>
      <w:divBdr>
        <w:top w:val="none" w:sz="0" w:space="0" w:color="auto"/>
        <w:left w:val="none" w:sz="0" w:space="0" w:color="auto"/>
        <w:bottom w:val="none" w:sz="0" w:space="0" w:color="auto"/>
        <w:right w:val="none" w:sz="0" w:space="0" w:color="auto"/>
      </w:divBdr>
      <w:divsChild>
        <w:div w:id="2087258917">
          <w:marLeft w:val="0"/>
          <w:marRight w:val="0"/>
          <w:marTop w:val="0"/>
          <w:marBottom w:val="0"/>
          <w:divBdr>
            <w:top w:val="none" w:sz="0" w:space="0" w:color="auto"/>
            <w:left w:val="none" w:sz="0" w:space="0" w:color="auto"/>
            <w:bottom w:val="none" w:sz="0" w:space="0" w:color="auto"/>
            <w:right w:val="none" w:sz="0" w:space="0" w:color="auto"/>
          </w:divBdr>
          <w:divsChild>
            <w:div w:id="688264624">
              <w:marLeft w:val="0"/>
              <w:marRight w:val="0"/>
              <w:marTop w:val="0"/>
              <w:marBottom w:val="0"/>
              <w:divBdr>
                <w:top w:val="none" w:sz="0" w:space="0" w:color="auto"/>
                <w:left w:val="none" w:sz="0" w:space="0" w:color="auto"/>
                <w:bottom w:val="none" w:sz="0" w:space="0" w:color="auto"/>
                <w:right w:val="none" w:sz="0" w:space="0" w:color="auto"/>
              </w:divBdr>
              <w:divsChild>
                <w:div w:id="21106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557914">
      <w:bodyDiv w:val="1"/>
      <w:marLeft w:val="0"/>
      <w:marRight w:val="0"/>
      <w:marTop w:val="0"/>
      <w:marBottom w:val="0"/>
      <w:divBdr>
        <w:top w:val="none" w:sz="0" w:space="0" w:color="auto"/>
        <w:left w:val="none" w:sz="0" w:space="0" w:color="auto"/>
        <w:bottom w:val="none" w:sz="0" w:space="0" w:color="auto"/>
        <w:right w:val="none" w:sz="0" w:space="0" w:color="auto"/>
      </w:divBdr>
      <w:divsChild>
        <w:div w:id="1854997259">
          <w:marLeft w:val="0"/>
          <w:marRight w:val="0"/>
          <w:marTop w:val="0"/>
          <w:marBottom w:val="0"/>
          <w:divBdr>
            <w:top w:val="none" w:sz="0" w:space="0" w:color="auto"/>
            <w:left w:val="none" w:sz="0" w:space="0" w:color="auto"/>
            <w:bottom w:val="none" w:sz="0" w:space="0" w:color="auto"/>
            <w:right w:val="none" w:sz="0" w:space="0" w:color="auto"/>
          </w:divBdr>
          <w:divsChild>
            <w:div w:id="317345103">
              <w:marLeft w:val="0"/>
              <w:marRight w:val="0"/>
              <w:marTop w:val="0"/>
              <w:marBottom w:val="0"/>
              <w:divBdr>
                <w:top w:val="none" w:sz="0" w:space="0" w:color="auto"/>
                <w:left w:val="none" w:sz="0" w:space="0" w:color="auto"/>
                <w:bottom w:val="none" w:sz="0" w:space="0" w:color="auto"/>
                <w:right w:val="none" w:sz="0" w:space="0" w:color="auto"/>
              </w:divBdr>
              <w:divsChild>
                <w:div w:id="1144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87460">
      <w:bodyDiv w:val="1"/>
      <w:marLeft w:val="0"/>
      <w:marRight w:val="0"/>
      <w:marTop w:val="0"/>
      <w:marBottom w:val="0"/>
      <w:divBdr>
        <w:top w:val="none" w:sz="0" w:space="0" w:color="auto"/>
        <w:left w:val="none" w:sz="0" w:space="0" w:color="auto"/>
        <w:bottom w:val="none" w:sz="0" w:space="0" w:color="auto"/>
        <w:right w:val="none" w:sz="0" w:space="0" w:color="auto"/>
      </w:divBdr>
      <w:divsChild>
        <w:div w:id="1957328805">
          <w:marLeft w:val="0"/>
          <w:marRight w:val="0"/>
          <w:marTop w:val="0"/>
          <w:marBottom w:val="0"/>
          <w:divBdr>
            <w:top w:val="none" w:sz="0" w:space="0" w:color="auto"/>
            <w:left w:val="none" w:sz="0" w:space="0" w:color="auto"/>
            <w:bottom w:val="none" w:sz="0" w:space="0" w:color="auto"/>
            <w:right w:val="none" w:sz="0" w:space="0" w:color="auto"/>
          </w:divBdr>
          <w:divsChild>
            <w:div w:id="1510757395">
              <w:marLeft w:val="0"/>
              <w:marRight w:val="0"/>
              <w:marTop w:val="0"/>
              <w:marBottom w:val="0"/>
              <w:divBdr>
                <w:top w:val="none" w:sz="0" w:space="0" w:color="auto"/>
                <w:left w:val="none" w:sz="0" w:space="0" w:color="auto"/>
                <w:bottom w:val="none" w:sz="0" w:space="0" w:color="auto"/>
                <w:right w:val="none" w:sz="0" w:space="0" w:color="auto"/>
              </w:divBdr>
              <w:divsChild>
                <w:div w:id="80238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49529">
      <w:bodyDiv w:val="1"/>
      <w:marLeft w:val="0"/>
      <w:marRight w:val="0"/>
      <w:marTop w:val="0"/>
      <w:marBottom w:val="0"/>
      <w:divBdr>
        <w:top w:val="none" w:sz="0" w:space="0" w:color="auto"/>
        <w:left w:val="none" w:sz="0" w:space="0" w:color="auto"/>
        <w:bottom w:val="none" w:sz="0" w:space="0" w:color="auto"/>
        <w:right w:val="none" w:sz="0" w:space="0" w:color="auto"/>
      </w:divBdr>
      <w:divsChild>
        <w:div w:id="1092435060">
          <w:marLeft w:val="0"/>
          <w:marRight w:val="0"/>
          <w:marTop w:val="0"/>
          <w:marBottom w:val="0"/>
          <w:divBdr>
            <w:top w:val="none" w:sz="0" w:space="0" w:color="auto"/>
            <w:left w:val="none" w:sz="0" w:space="0" w:color="auto"/>
            <w:bottom w:val="none" w:sz="0" w:space="0" w:color="auto"/>
            <w:right w:val="none" w:sz="0" w:space="0" w:color="auto"/>
          </w:divBdr>
          <w:divsChild>
            <w:div w:id="445121091">
              <w:marLeft w:val="0"/>
              <w:marRight w:val="0"/>
              <w:marTop w:val="0"/>
              <w:marBottom w:val="0"/>
              <w:divBdr>
                <w:top w:val="none" w:sz="0" w:space="0" w:color="auto"/>
                <w:left w:val="none" w:sz="0" w:space="0" w:color="auto"/>
                <w:bottom w:val="none" w:sz="0" w:space="0" w:color="auto"/>
                <w:right w:val="none" w:sz="0" w:space="0" w:color="auto"/>
              </w:divBdr>
              <w:divsChild>
                <w:div w:id="1028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49258">
      <w:bodyDiv w:val="1"/>
      <w:marLeft w:val="0"/>
      <w:marRight w:val="0"/>
      <w:marTop w:val="0"/>
      <w:marBottom w:val="0"/>
      <w:divBdr>
        <w:top w:val="none" w:sz="0" w:space="0" w:color="auto"/>
        <w:left w:val="none" w:sz="0" w:space="0" w:color="auto"/>
        <w:bottom w:val="none" w:sz="0" w:space="0" w:color="auto"/>
        <w:right w:val="none" w:sz="0" w:space="0" w:color="auto"/>
      </w:divBdr>
      <w:divsChild>
        <w:div w:id="1380473190">
          <w:marLeft w:val="0"/>
          <w:marRight w:val="0"/>
          <w:marTop w:val="0"/>
          <w:marBottom w:val="0"/>
          <w:divBdr>
            <w:top w:val="none" w:sz="0" w:space="0" w:color="auto"/>
            <w:left w:val="none" w:sz="0" w:space="0" w:color="auto"/>
            <w:bottom w:val="none" w:sz="0" w:space="0" w:color="auto"/>
            <w:right w:val="none" w:sz="0" w:space="0" w:color="auto"/>
          </w:divBdr>
          <w:divsChild>
            <w:div w:id="2058164438">
              <w:marLeft w:val="0"/>
              <w:marRight w:val="0"/>
              <w:marTop w:val="0"/>
              <w:marBottom w:val="0"/>
              <w:divBdr>
                <w:top w:val="none" w:sz="0" w:space="0" w:color="auto"/>
                <w:left w:val="none" w:sz="0" w:space="0" w:color="auto"/>
                <w:bottom w:val="none" w:sz="0" w:space="0" w:color="auto"/>
                <w:right w:val="none" w:sz="0" w:space="0" w:color="auto"/>
              </w:divBdr>
              <w:divsChild>
                <w:div w:id="498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89194">
      <w:bodyDiv w:val="1"/>
      <w:marLeft w:val="0"/>
      <w:marRight w:val="0"/>
      <w:marTop w:val="0"/>
      <w:marBottom w:val="0"/>
      <w:divBdr>
        <w:top w:val="none" w:sz="0" w:space="0" w:color="auto"/>
        <w:left w:val="none" w:sz="0" w:space="0" w:color="auto"/>
        <w:bottom w:val="none" w:sz="0" w:space="0" w:color="auto"/>
        <w:right w:val="none" w:sz="0" w:space="0" w:color="auto"/>
      </w:divBdr>
      <w:divsChild>
        <w:div w:id="2147048231">
          <w:marLeft w:val="0"/>
          <w:marRight w:val="0"/>
          <w:marTop w:val="0"/>
          <w:marBottom w:val="0"/>
          <w:divBdr>
            <w:top w:val="none" w:sz="0" w:space="0" w:color="auto"/>
            <w:left w:val="none" w:sz="0" w:space="0" w:color="auto"/>
            <w:bottom w:val="none" w:sz="0" w:space="0" w:color="auto"/>
            <w:right w:val="none" w:sz="0" w:space="0" w:color="auto"/>
          </w:divBdr>
          <w:divsChild>
            <w:div w:id="2080860060">
              <w:marLeft w:val="0"/>
              <w:marRight w:val="0"/>
              <w:marTop w:val="0"/>
              <w:marBottom w:val="0"/>
              <w:divBdr>
                <w:top w:val="none" w:sz="0" w:space="0" w:color="auto"/>
                <w:left w:val="none" w:sz="0" w:space="0" w:color="auto"/>
                <w:bottom w:val="none" w:sz="0" w:space="0" w:color="auto"/>
                <w:right w:val="none" w:sz="0" w:space="0" w:color="auto"/>
              </w:divBdr>
              <w:divsChild>
                <w:div w:id="212063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91329">
      <w:bodyDiv w:val="1"/>
      <w:marLeft w:val="0"/>
      <w:marRight w:val="0"/>
      <w:marTop w:val="0"/>
      <w:marBottom w:val="0"/>
      <w:divBdr>
        <w:top w:val="none" w:sz="0" w:space="0" w:color="auto"/>
        <w:left w:val="none" w:sz="0" w:space="0" w:color="auto"/>
        <w:bottom w:val="none" w:sz="0" w:space="0" w:color="auto"/>
        <w:right w:val="none" w:sz="0" w:space="0" w:color="auto"/>
      </w:divBdr>
      <w:divsChild>
        <w:div w:id="1964728794">
          <w:marLeft w:val="0"/>
          <w:marRight w:val="0"/>
          <w:marTop w:val="0"/>
          <w:marBottom w:val="0"/>
          <w:divBdr>
            <w:top w:val="none" w:sz="0" w:space="0" w:color="auto"/>
            <w:left w:val="none" w:sz="0" w:space="0" w:color="auto"/>
            <w:bottom w:val="none" w:sz="0" w:space="0" w:color="auto"/>
            <w:right w:val="none" w:sz="0" w:space="0" w:color="auto"/>
          </w:divBdr>
          <w:divsChild>
            <w:div w:id="948776950">
              <w:marLeft w:val="0"/>
              <w:marRight w:val="0"/>
              <w:marTop w:val="0"/>
              <w:marBottom w:val="0"/>
              <w:divBdr>
                <w:top w:val="none" w:sz="0" w:space="0" w:color="auto"/>
                <w:left w:val="none" w:sz="0" w:space="0" w:color="auto"/>
                <w:bottom w:val="none" w:sz="0" w:space="0" w:color="auto"/>
                <w:right w:val="none" w:sz="0" w:space="0" w:color="auto"/>
              </w:divBdr>
              <w:divsChild>
                <w:div w:id="171862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24201">
      <w:bodyDiv w:val="1"/>
      <w:marLeft w:val="0"/>
      <w:marRight w:val="0"/>
      <w:marTop w:val="0"/>
      <w:marBottom w:val="0"/>
      <w:divBdr>
        <w:top w:val="none" w:sz="0" w:space="0" w:color="auto"/>
        <w:left w:val="none" w:sz="0" w:space="0" w:color="auto"/>
        <w:bottom w:val="none" w:sz="0" w:space="0" w:color="auto"/>
        <w:right w:val="none" w:sz="0" w:space="0" w:color="auto"/>
      </w:divBdr>
      <w:divsChild>
        <w:div w:id="158346792">
          <w:marLeft w:val="0"/>
          <w:marRight w:val="0"/>
          <w:marTop w:val="0"/>
          <w:marBottom w:val="0"/>
          <w:divBdr>
            <w:top w:val="none" w:sz="0" w:space="0" w:color="auto"/>
            <w:left w:val="none" w:sz="0" w:space="0" w:color="auto"/>
            <w:bottom w:val="none" w:sz="0" w:space="0" w:color="auto"/>
            <w:right w:val="none" w:sz="0" w:space="0" w:color="auto"/>
          </w:divBdr>
          <w:divsChild>
            <w:div w:id="565338206">
              <w:marLeft w:val="0"/>
              <w:marRight w:val="0"/>
              <w:marTop w:val="0"/>
              <w:marBottom w:val="0"/>
              <w:divBdr>
                <w:top w:val="none" w:sz="0" w:space="0" w:color="auto"/>
                <w:left w:val="none" w:sz="0" w:space="0" w:color="auto"/>
                <w:bottom w:val="none" w:sz="0" w:space="0" w:color="auto"/>
                <w:right w:val="none" w:sz="0" w:space="0" w:color="auto"/>
              </w:divBdr>
              <w:divsChild>
                <w:div w:id="65329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334841">
      <w:bodyDiv w:val="1"/>
      <w:marLeft w:val="0"/>
      <w:marRight w:val="0"/>
      <w:marTop w:val="0"/>
      <w:marBottom w:val="0"/>
      <w:divBdr>
        <w:top w:val="none" w:sz="0" w:space="0" w:color="auto"/>
        <w:left w:val="none" w:sz="0" w:space="0" w:color="auto"/>
        <w:bottom w:val="none" w:sz="0" w:space="0" w:color="auto"/>
        <w:right w:val="none" w:sz="0" w:space="0" w:color="auto"/>
      </w:divBdr>
      <w:divsChild>
        <w:div w:id="304941580">
          <w:marLeft w:val="0"/>
          <w:marRight w:val="0"/>
          <w:marTop w:val="0"/>
          <w:marBottom w:val="0"/>
          <w:divBdr>
            <w:top w:val="none" w:sz="0" w:space="0" w:color="auto"/>
            <w:left w:val="none" w:sz="0" w:space="0" w:color="auto"/>
            <w:bottom w:val="none" w:sz="0" w:space="0" w:color="auto"/>
            <w:right w:val="none" w:sz="0" w:space="0" w:color="auto"/>
          </w:divBdr>
          <w:divsChild>
            <w:div w:id="1756588984">
              <w:marLeft w:val="0"/>
              <w:marRight w:val="0"/>
              <w:marTop w:val="0"/>
              <w:marBottom w:val="0"/>
              <w:divBdr>
                <w:top w:val="none" w:sz="0" w:space="0" w:color="auto"/>
                <w:left w:val="none" w:sz="0" w:space="0" w:color="auto"/>
                <w:bottom w:val="none" w:sz="0" w:space="0" w:color="auto"/>
                <w:right w:val="none" w:sz="0" w:space="0" w:color="auto"/>
              </w:divBdr>
              <w:divsChild>
                <w:div w:id="2126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969099">
      <w:bodyDiv w:val="1"/>
      <w:marLeft w:val="0"/>
      <w:marRight w:val="0"/>
      <w:marTop w:val="0"/>
      <w:marBottom w:val="0"/>
      <w:divBdr>
        <w:top w:val="none" w:sz="0" w:space="0" w:color="auto"/>
        <w:left w:val="none" w:sz="0" w:space="0" w:color="auto"/>
        <w:bottom w:val="none" w:sz="0" w:space="0" w:color="auto"/>
        <w:right w:val="none" w:sz="0" w:space="0" w:color="auto"/>
      </w:divBdr>
      <w:divsChild>
        <w:div w:id="650056814">
          <w:marLeft w:val="0"/>
          <w:marRight w:val="0"/>
          <w:marTop w:val="0"/>
          <w:marBottom w:val="0"/>
          <w:divBdr>
            <w:top w:val="none" w:sz="0" w:space="0" w:color="auto"/>
            <w:left w:val="none" w:sz="0" w:space="0" w:color="auto"/>
            <w:bottom w:val="none" w:sz="0" w:space="0" w:color="auto"/>
            <w:right w:val="none" w:sz="0" w:space="0" w:color="auto"/>
          </w:divBdr>
          <w:divsChild>
            <w:div w:id="713315472">
              <w:marLeft w:val="0"/>
              <w:marRight w:val="0"/>
              <w:marTop w:val="0"/>
              <w:marBottom w:val="0"/>
              <w:divBdr>
                <w:top w:val="none" w:sz="0" w:space="0" w:color="auto"/>
                <w:left w:val="none" w:sz="0" w:space="0" w:color="auto"/>
                <w:bottom w:val="none" w:sz="0" w:space="0" w:color="auto"/>
                <w:right w:val="none" w:sz="0" w:space="0" w:color="auto"/>
              </w:divBdr>
              <w:divsChild>
                <w:div w:id="105180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00983">
      <w:bodyDiv w:val="1"/>
      <w:marLeft w:val="0"/>
      <w:marRight w:val="0"/>
      <w:marTop w:val="0"/>
      <w:marBottom w:val="0"/>
      <w:divBdr>
        <w:top w:val="none" w:sz="0" w:space="0" w:color="auto"/>
        <w:left w:val="none" w:sz="0" w:space="0" w:color="auto"/>
        <w:bottom w:val="none" w:sz="0" w:space="0" w:color="auto"/>
        <w:right w:val="none" w:sz="0" w:space="0" w:color="auto"/>
      </w:divBdr>
      <w:divsChild>
        <w:div w:id="1067608893">
          <w:marLeft w:val="0"/>
          <w:marRight w:val="0"/>
          <w:marTop w:val="0"/>
          <w:marBottom w:val="0"/>
          <w:divBdr>
            <w:top w:val="none" w:sz="0" w:space="0" w:color="auto"/>
            <w:left w:val="none" w:sz="0" w:space="0" w:color="auto"/>
            <w:bottom w:val="none" w:sz="0" w:space="0" w:color="auto"/>
            <w:right w:val="none" w:sz="0" w:space="0" w:color="auto"/>
          </w:divBdr>
          <w:divsChild>
            <w:div w:id="988828069">
              <w:marLeft w:val="0"/>
              <w:marRight w:val="0"/>
              <w:marTop w:val="0"/>
              <w:marBottom w:val="0"/>
              <w:divBdr>
                <w:top w:val="none" w:sz="0" w:space="0" w:color="auto"/>
                <w:left w:val="none" w:sz="0" w:space="0" w:color="auto"/>
                <w:bottom w:val="none" w:sz="0" w:space="0" w:color="auto"/>
                <w:right w:val="none" w:sz="0" w:space="0" w:color="auto"/>
              </w:divBdr>
              <w:divsChild>
                <w:div w:id="7617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90128">
      <w:bodyDiv w:val="1"/>
      <w:marLeft w:val="0"/>
      <w:marRight w:val="0"/>
      <w:marTop w:val="0"/>
      <w:marBottom w:val="0"/>
      <w:divBdr>
        <w:top w:val="none" w:sz="0" w:space="0" w:color="auto"/>
        <w:left w:val="none" w:sz="0" w:space="0" w:color="auto"/>
        <w:bottom w:val="none" w:sz="0" w:space="0" w:color="auto"/>
        <w:right w:val="none" w:sz="0" w:space="0" w:color="auto"/>
      </w:divBdr>
      <w:divsChild>
        <w:div w:id="1253583288">
          <w:marLeft w:val="0"/>
          <w:marRight w:val="0"/>
          <w:marTop w:val="0"/>
          <w:marBottom w:val="0"/>
          <w:divBdr>
            <w:top w:val="none" w:sz="0" w:space="0" w:color="auto"/>
            <w:left w:val="none" w:sz="0" w:space="0" w:color="auto"/>
            <w:bottom w:val="none" w:sz="0" w:space="0" w:color="auto"/>
            <w:right w:val="none" w:sz="0" w:space="0" w:color="auto"/>
          </w:divBdr>
          <w:divsChild>
            <w:div w:id="1403257845">
              <w:marLeft w:val="0"/>
              <w:marRight w:val="0"/>
              <w:marTop w:val="0"/>
              <w:marBottom w:val="0"/>
              <w:divBdr>
                <w:top w:val="none" w:sz="0" w:space="0" w:color="auto"/>
                <w:left w:val="none" w:sz="0" w:space="0" w:color="auto"/>
                <w:bottom w:val="none" w:sz="0" w:space="0" w:color="auto"/>
                <w:right w:val="none" w:sz="0" w:space="0" w:color="auto"/>
              </w:divBdr>
              <w:divsChild>
                <w:div w:id="13684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90440">
      <w:bodyDiv w:val="1"/>
      <w:marLeft w:val="0"/>
      <w:marRight w:val="0"/>
      <w:marTop w:val="0"/>
      <w:marBottom w:val="0"/>
      <w:divBdr>
        <w:top w:val="none" w:sz="0" w:space="0" w:color="auto"/>
        <w:left w:val="none" w:sz="0" w:space="0" w:color="auto"/>
        <w:bottom w:val="none" w:sz="0" w:space="0" w:color="auto"/>
        <w:right w:val="none" w:sz="0" w:space="0" w:color="auto"/>
      </w:divBdr>
      <w:divsChild>
        <w:div w:id="642655966">
          <w:marLeft w:val="0"/>
          <w:marRight w:val="0"/>
          <w:marTop w:val="0"/>
          <w:marBottom w:val="0"/>
          <w:divBdr>
            <w:top w:val="none" w:sz="0" w:space="0" w:color="auto"/>
            <w:left w:val="none" w:sz="0" w:space="0" w:color="auto"/>
            <w:bottom w:val="none" w:sz="0" w:space="0" w:color="auto"/>
            <w:right w:val="none" w:sz="0" w:space="0" w:color="auto"/>
          </w:divBdr>
          <w:divsChild>
            <w:div w:id="2004818503">
              <w:marLeft w:val="0"/>
              <w:marRight w:val="0"/>
              <w:marTop w:val="0"/>
              <w:marBottom w:val="0"/>
              <w:divBdr>
                <w:top w:val="none" w:sz="0" w:space="0" w:color="auto"/>
                <w:left w:val="none" w:sz="0" w:space="0" w:color="auto"/>
                <w:bottom w:val="none" w:sz="0" w:space="0" w:color="auto"/>
                <w:right w:val="none" w:sz="0" w:space="0" w:color="auto"/>
              </w:divBdr>
              <w:divsChild>
                <w:div w:id="8872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08735">
      <w:bodyDiv w:val="1"/>
      <w:marLeft w:val="0"/>
      <w:marRight w:val="0"/>
      <w:marTop w:val="0"/>
      <w:marBottom w:val="0"/>
      <w:divBdr>
        <w:top w:val="none" w:sz="0" w:space="0" w:color="auto"/>
        <w:left w:val="none" w:sz="0" w:space="0" w:color="auto"/>
        <w:bottom w:val="none" w:sz="0" w:space="0" w:color="auto"/>
        <w:right w:val="none" w:sz="0" w:space="0" w:color="auto"/>
      </w:divBdr>
      <w:divsChild>
        <w:div w:id="470942775">
          <w:marLeft w:val="0"/>
          <w:marRight w:val="0"/>
          <w:marTop w:val="0"/>
          <w:marBottom w:val="0"/>
          <w:divBdr>
            <w:top w:val="none" w:sz="0" w:space="0" w:color="auto"/>
            <w:left w:val="none" w:sz="0" w:space="0" w:color="auto"/>
            <w:bottom w:val="none" w:sz="0" w:space="0" w:color="auto"/>
            <w:right w:val="none" w:sz="0" w:space="0" w:color="auto"/>
          </w:divBdr>
          <w:divsChild>
            <w:div w:id="952588411">
              <w:marLeft w:val="0"/>
              <w:marRight w:val="0"/>
              <w:marTop w:val="0"/>
              <w:marBottom w:val="0"/>
              <w:divBdr>
                <w:top w:val="none" w:sz="0" w:space="0" w:color="auto"/>
                <w:left w:val="none" w:sz="0" w:space="0" w:color="auto"/>
                <w:bottom w:val="none" w:sz="0" w:space="0" w:color="auto"/>
                <w:right w:val="none" w:sz="0" w:space="0" w:color="auto"/>
              </w:divBdr>
              <w:divsChild>
                <w:div w:id="149907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53302">
      <w:bodyDiv w:val="1"/>
      <w:marLeft w:val="0"/>
      <w:marRight w:val="0"/>
      <w:marTop w:val="0"/>
      <w:marBottom w:val="0"/>
      <w:divBdr>
        <w:top w:val="none" w:sz="0" w:space="0" w:color="auto"/>
        <w:left w:val="none" w:sz="0" w:space="0" w:color="auto"/>
        <w:bottom w:val="none" w:sz="0" w:space="0" w:color="auto"/>
        <w:right w:val="none" w:sz="0" w:space="0" w:color="auto"/>
      </w:divBdr>
      <w:divsChild>
        <w:div w:id="836461855">
          <w:marLeft w:val="0"/>
          <w:marRight w:val="0"/>
          <w:marTop w:val="0"/>
          <w:marBottom w:val="0"/>
          <w:divBdr>
            <w:top w:val="none" w:sz="0" w:space="0" w:color="auto"/>
            <w:left w:val="none" w:sz="0" w:space="0" w:color="auto"/>
            <w:bottom w:val="none" w:sz="0" w:space="0" w:color="auto"/>
            <w:right w:val="none" w:sz="0" w:space="0" w:color="auto"/>
          </w:divBdr>
          <w:divsChild>
            <w:div w:id="1380089202">
              <w:marLeft w:val="0"/>
              <w:marRight w:val="0"/>
              <w:marTop w:val="0"/>
              <w:marBottom w:val="0"/>
              <w:divBdr>
                <w:top w:val="none" w:sz="0" w:space="0" w:color="auto"/>
                <w:left w:val="none" w:sz="0" w:space="0" w:color="auto"/>
                <w:bottom w:val="none" w:sz="0" w:space="0" w:color="auto"/>
                <w:right w:val="none" w:sz="0" w:space="0" w:color="auto"/>
              </w:divBdr>
              <w:divsChild>
                <w:div w:id="32402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68264">
      <w:bodyDiv w:val="1"/>
      <w:marLeft w:val="0"/>
      <w:marRight w:val="0"/>
      <w:marTop w:val="0"/>
      <w:marBottom w:val="0"/>
      <w:divBdr>
        <w:top w:val="none" w:sz="0" w:space="0" w:color="auto"/>
        <w:left w:val="none" w:sz="0" w:space="0" w:color="auto"/>
        <w:bottom w:val="none" w:sz="0" w:space="0" w:color="auto"/>
        <w:right w:val="none" w:sz="0" w:space="0" w:color="auto"/>
      </w:divBdr>
      <w:divsChild>
        <w:div w:id="106513083">
          <w:marLeft w:val="0"/>
          <w:marRight w:val="0"/>
          <w:marTop w:val="0"/>
          <w:marBottom w:val="0"/>
          <w:divBdr>
            <w:top w:val="none" w:sz="0" w:space="0" w:color="auto"/>
            <w:left w:val="none" w:sz="0" w:space="0" w:color="auto"/>
            <w:bottom w:val="none" w:sz="0" w:space="0" w:color="auto"/>
            <w:right w:val="none" w:sz="0" w:space="0" w:color="auto"/>
          </w:divBdr>
          <w:divsChild>
            <w:div w:id="1820269446">
              <w:marLeft w:val="0"/>
              <w:marRight w:val="0"/>
              <w:marTop w:val="0"/>
              <w:marBottom w:val="0"/>
              <w:divBdr>
                <w:top w:val="none" w:sz="0" w:space="0" w:color="auto"/>
                <w:left w:val="none" w:sz="0" w:space="0" w:color="auto"/>
                <w:bottom w:val="none" w:sz="0" w:space="0" w:color="auto"/>
                <w:right w:val="none" w:sz="0" w:space="0" w:color="auto"/>
              </w:divBdr>
              <w:divsChild>
                <w:div w:id="14592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02354">
      <w:bodyDiv w:val="1"/>
      <w:marLeft w:val="0"/>
      <w:marRight w:val="0"/>
      <w:marTop w:val="0"/>
      <w:marBottom w:val="0"/>
      <w:divBdr>
        <w:top w:val="none" w:sz="0" w:space="0" w:color="auto"/>
        <w:left w:val="none" w:sz="0" w:space="0" w:color="auto"/>
        <w:bottom w:val="none" w:sz="0" w:space="0" w:color="auto"/>
        <w:right w:val="none" w:sz="0" w:space="0" w:color="auto"/>
      </w:divBdr>
      <w:divsChild>
        <w:div w:id="580680970">
          <w:marLeft w:val="0"/>
          <w:marRight w:val="0"/>
          <w:marTop w:val="0"/>
          <w:marBottom w:val="0"/>
          <w:divBdr>
            <w:top w:val="none" w:sz="0" w:space="0" w:color="auto"/>
            <w:left w:val="none" w:sz="0" w:space="0" w:color="auto"/>
            <w:bottom w:val="none" w:sz="0" w:space="0" w:color="auto"/>
            <w:right w:val="none" w:sz="0" w:space="0" w:color="auto"/>
          </w:divBdr>
          <w:divsChild>
            <w:div w:id="2072381688">
              <w:marLeft w:val="0"/>
              <w:marRight w:val="0"/>
              <w:marTop w:val="0"/>
              <w:marBottom w:val="0"/>
              <w:divBdr>
                <w:top w:val="none" w:sz="0" w:space="0" w:color="auto"/>
                <w:left w:val="none" w:sz="0" w:space="0" w:color="auto"/>
                <w:bottom w:val="none" w:sz="0" w:space="0" w:color="auto"/>
                <w:right w:val="none" w:sz="0" w:space="0" w:color="auto"/>
              </w:divBdr>
              <w:divsChild>
                <w:div w:id="59586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032335">
      <w:bodyDiv w:val="1"/>
      <w:marLeft w:val="0"/>
      <w:marRight w:val="0"/>
      <w:marTop w:val="0"/>
      <w:marBottom w:val="0"/>
      <w:divBdr>
        <w:top w:val="none" w:sz="0" w:space="0" w:color="auto"/>
        <w:left w:val="none" w:sz="0" w:space="0" w:color="auto"/>
        <w:bottom w:val="none" w:sz="0" w:space="0" w:color="auto"/>
        <w:right w:val="none" w:sz="0" w:space="0" w:color="auto"/>
      </w:divBdr>
      <w:divsChild>
        <w:div w:id="187720303">
          <w:marLeft w:val="0"/>
          <w:marRight w:val="0"/>
          <w:marTop w:val="0"/>
          <w:marBottom w:val="0"/>
          <w:divBdr>
            <w:top w:val="none" w:sz="0" w:space="0" w:color="auto"/>
            <w:left w:val="none" w:sz="0" w:space="0" w:color="auto"/>
            <w:bottom w:val="none" w:sz="0" w:space="0" w:color="auto"/>
            <w:right w:val="none" w:sz="0" w:space="0" w:color="auto"/>
          </w:divBdr>
          <w:divsChild>
            <w:div w:id="1399985354">
              <w:marLeft w:val="0"/>
              <w:marRight w:val="0"/>
              <w:marTop w:val="0"/>
              <w:marBottom w:val="0"/>
              <w:divBdr>
                <w:top w:val="none" w:sz="0" w:space="0" w:color="auto"/>
                <w:left w:val="none" w:sz="0" w:space="0" w:color="auto"/>
                <w:bottom w:val="none" w:sz="0" w:space="0" w:color="auto"/>
                <w:right w:val="none" w:sz="0" w:space="0" w:color="auto"/>
              </w:divBdr>
              <w:divsChild>
                <w:div w:id="99183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93343">
      <w:bodyDiv w:val="1"/>
      <w:marLeft w:val="0"/>
      <w:marRight w:val="0"/>
      <w:marTop w:val="0"/>
      <w:marBottom w:val="0"/>
      <w:divBdr>
        <w:top w:val="none" w:sz="0" w:space="0" w:color="auto"/>
        <w:left w:val="none" w:sz="0" w:space="0" w:color="auto"/>
        <w:bottom w:val="none" w:sz="0" w:space="0" w:color="auto"/>
        <w:right w:val="none" w:sz="0" w:space="0" w:color="auto"/>
      </w:divBdr>
      <w:divsChild>
        <w:div w:id="1583099879">
          <w:marLeft w:val="0"/>
          <w:marRight w:val="0"/>
          <w:marTop w:val="0"/>
          <w:marBottom w:val="0"/>
          <w:divBdr>
            <w:top w:val="none" w:sz="0" w:space="0" w:color="auto"/>
            <w:left w:val="none" w:sz="0" w:space="0" w:color="auto"/>
            <w:bottom w:val="none" w:sz="0" w:space="0" w:color="auto"/>
            <w:right w:val="none" w:sz="0" w:space="0" w:color="auto"/>
          </w:divBdr>
          <w:divsChild>
            <w:div w:id="1576357582">
              <w:marLeft w:val="0"/>
              <w:marRight w:val="0"/>
              <w:marTop w:val="0"/>
              <w:marBottom w:val="0"/>
              <w:divBdr>
                <w:top w:val="none" w:sz="0" w:space="0" w:color="auto"/>
                <w:left w:val="none" w:sz="0" w:space="0" w:color="auto"/>
                <w:bottom w:val="none" w:sz="0" w:space="0" w:color="auto"/>
                <w:right w:val="none" w:sz="0" w:space="0" w:color="auto"/>
              </w:divBdr>
              <w:divsChild>
                <w:div w:id="17697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97128">
      <w:bodyDiv w:val="1"/>
      <w:marLeft w:val="0"/>
      <w:marRight w:val="0"/>
      <w:marTop w:val="0"/>
      <w:marBottom w:val="0"/>
      <w:divBdr>
        <w:top w:val="none" w:sz="0" w:space="0" w:color="auto"/>
        <w:left w:val="none" w:sz="0" w:space="0" w:color="auto"/>
        <w:bottom w:val="none" w:sz="0" w:space="0" w:color="auto"/>
        <w:right w:val="none" w:sz="0" w:space="0" w:color="auto"/>
      </w:divBdr>
      <w:divsChild>
        <w:div w:id="1687973934">
          <w:marLeft w:val="0"/>
          <w:marRight w:val="0"/>
          <w:marTop w:val="0"/>
          <w:marBottom w:val="0"/>
          <w:divBdr>
            <w:top w:val="none" w:sz="0" w:space="0" w:color="auto"/>
            <w:left w:val="none" w:sz="0" w:space="0" w:color="auto"/>
            <w:bottom w:val="none" w:sz="0" w:space="0" w:color="auto"/>
            <w:right w:val="none" w:sz="0" w:space="0" w:color="auto"/>
          </w:divBdr>
          <w:divsChild>
            <w:div w:id="1955332259">
              <w:marLeft w:val="0"/>
              <w:marRight w:val="0"/>
              <w:marTop w:val="0"/>
              <w:marBottom w:val="0"/>
              <w:divBdr>
                <w:top w:val="none" w:sz="0" w:space="0" w:color="auto"/>
                <w:left w:val="none" w:sz="0" w:space="0" w:color="auto"/>
                <w:bottom w:val="none" w:sz="0" w:space="0" w:color="auto"/>
                <w:right w:val="none" w:sz="0" w:space="0" w:color="auto"/>
              </w:divBdr>
              <w:divsChild>
                <w:div w:id="2722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3481">
      <w:bodyDiv w:val="1"/>
      <w:marLeft w:val="0"/>
      <w:marRight w:val="0"/>
      <w:marTop w:val="0"/>
      <w:marBottom w:val="0"/>
      <w:divBdr>
        <w:top w:val="none" w:sz="0" w:space="0" w:color="auto"/>
        <w:left w:val="none" w:sz="0" w:space="0" w:color="auto"/>
        <w:bottom w:val="none" w:sz="0" w:space="0" w:color="auto"/>
        <w:right w:val="none" w:sz="0" w:space="0" w:color="auto"/>
      </w:divBdr>
      <w:divsChild>
        <w:div w:id="561523121">
          <w:marLeft w:val="0"/>
          <w:marRight w:val="0"/>
          <w:marTop w:val="0"/>
          <w:marBottom w:val="0"/>
          <w:divBdr>
            <w:top w:val="none" w:sz="0" w:space="0" w:color="auto"/>
            <w:left w:val="none" w:sz="0" w:space="0" w:color="auto"/>
            <w:bottom w:val="none" w:sz="0" w:space="0" w:color="auto"/>
            <w:right w:val="none" w:sz="0" w:space="0" w:color="auto"/>
          </w:divBdr>
          <w:divsChild>
            <w:div w:id="1229919157">
              <w:marLeft w:val="0"/>
              <w:marRight w:val="0"/>
              <w:marTop w:val="0"/>
              <w:marBottom w:val="0"/>
              <w:divBdr>
                <w:top w:val="none" w:sz="0" w:space="0" w:color="auto"/>
                <w:left w:val="none" w:sz="0" w:space="0" w:color="auto"/>
                <w:bottom w:val="none" w:sz="0" w:space="0" w:color="auto"/>
                <w:right w:val="none" w:sz="0" w:space="0" w:color="auto"/>
              </w:divBdr>
              <w:divsChild>
                <w:div w:id="16535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71854">
      <w:bodyDiv w:val="1"/>
      <w:marLeft w:val="0"/>
      <w:marRight w:val="0"/>
      <w:marTop w:val="0"/>
      <w:marBottom w:val="0"/>
      <w:divBdr>
        <w:top w:val="none" w:sz="0" w:space="0" w:color="auto"/>
        <w:left w:val="none" w:sz="0" w:space="0" w:color="auto"/>
        <w:bottom w:val="none" w:sz="0" w:space="0" w:color="auto"/>
        <w:right w:val="none" w:sz="0" w:space="0" w:color="auto"/>
      </w:divBdr>
      <w:divsChild>
        <w:div w:id="1398556990">
          <w:marLeft w:val="0"/>
          <w:marRight w:val="0"/>
          <w:marTop w:val="0"/>
          <w:marBottom w:val="0"/>
          <w:divBdr>
            <w:top w:val="none" w:sz="0" w:space="0" w:color="auto"/>
            <w:left w:val="none" w:sz="0" w:space="0" w:color="auto"/>
            <w:bottom w:val="none" w:sz="0" w:space="0" w:color="auto"/>
            <w:right w:val="none" w:sz="0" w:space="0" w:color="auto"/>
          </w:divBdr>
          <w:divsChild>
            <w:div w:id="383986566">
              <w:marLeft w:val="0"/>
              <w:marRight w:val="0"/>
              <w:marTop w:val="0"/>
              <w:marBottom w:val="0"/>
              <w:divBdr>
                <w:top w:val="none" w:sz="0" w:space="0" w:color="auto"/>
                <w:left w:val="none" w:sz="0" w:space="0" w:color="auto"/>
                <w:bottom w:val="none" w:sz="0" w:space="0" w:color="auto"/>
                <w:right w:val="none" w:sz="0" w:space="0" w:color="auto"/>
              </w:divBdr>
              <w:divsChild>
                <w:div w:id="10005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706311">
      <w:bodyDiv w:val="1"/>
      <w:marLeft w:val="0"/>
      <w:marRight w:val="0"/>
      <w:marTop w:val="0"/>
      <w:marBottom w:val="0"/>
      <w:divBdr>
        <w:top w:val="none" w:sz="0" w:space="0" w:color="auto"/>
        <w:left w:val="none" w:sz="0" w:space="0" w:color="auto"/>
        <w:bottom w:val="none" w:sz="0" w:space="0" w:color="auto"/>
        <w:right w:val="none" w:sz="0" w:space="0" w:color="auto"/>
      </w:divBdr>
      <w:divsChild>
        <w:div w:id="62721514">
          <w:marLeft w:val="0"/>
          <w:marRight w:val="0"/>
          <w:marTop w:val="0"/>
          <w:marBottom w:val="0"/>
          <w:divBdr>
            <w:top w:val="none" w:sz="0" w:space="0" w:color="auto"/>
            <w:left w:val="none" w:sz="0" w:space="0" w:color="auto"/>
            <w:bottom w:val="none" w:sz="0" w:space="0" w:color="auto"/>
            <w:right w:val="none" w:sz="0" w:space="0" w:color="auto"/>
          </w:divBdr>
          <w:divsChild>
            <w:div w:id="132872504">
              <w:marLeft w:val="0"/>
              <w:marRight w:val="0"/>
              <w:marTop w:val="0"/>
              <w:marBottom w:val="0"/>
              <w:divBdr>
                <w:top w:val="none" w:sz="0" w:space="0" w:color="auto"/>
                <w:left w:val="none" w:sz="0" w:space="0" w:color="auto"/>
                <w:bottom w:val="none" w:sz="0" w:space="0" w:color="auto"/>
                <w:right w:val="none" w:sz="0" w:space="0" w:color="auto"/>
              </w:divBdr>
              <w:divsChild>
                <w:div w:id="9889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27347">
      <w:bodyDiv w:val="1"/>
      <w:marLeft w:val="0"/>
      <w:marRight w:val="0"/>
      <w:marTop w:val="0"/>
      <w:marBottom w:val="0"/>
      <w:divBdr>
        <w:top w:val="none" w:sz="0" w:space="0" w:color="auto"/>
        <w:left w:val="none" w:sz="0" w:space="0" w:color="auto"/>
        <w:bottom w:val="none" w:sz="0" w:space="0" w:color="auto"/>
        <w:right w:val="none" w:sz="0" w:space="0" w:color="auto"/>
      </w:divBdr>
      <w:divsChild>
        <w:div w:id="1791122478">
          <w:marLeft w:val="0"/>
          <w:marRight w:val="0"/>
          <w:marTop w:val="0"/>
          <w:marBottom w:val="0"/>
          <w:divBdr>
            <w:top w:val="none" w:sz="0" w:space="0" w:color="auto"/>
            <w:left w:val="none" w:sz="0" w:space="0" w:color="auto"/>
            <w:bottom w:val="none" w:sz="0" w:space="0" w:color="auto"/>
            <w:right w:val="none" w:sz="0" w:space="0" w:color="auto"/>
          </w:divBdr>
          <w:divsChild>
            <w:div w:id="1887910268">
              <w:marLeft w:val="0"/>
              <w:marRight w:val="0"/>
              <w:marTop w:val="0"/>
              <w:marBottom w:val="0"/>
              <w:divBdr>
                <w:top w:val="none" w:sz="0" w:space="0" w:color="auto"/>
                <w:left w:val="none" w:sz="0" w:space="0" w:color="auto"/>
                <w:bottom w:val="none" w:sz="0" w:space="0" w:color="auto"/>
                <w:right w:val="none" w:sz="0" w:space="0" w:color="auto"/>
              </w:divBdr>
              <w:divsChild>
                <w:div w:id="155349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537182">
      <w:bodyDiv w:val="1"/>
      <w:marLeft w:val="0"/>
      <w:marRight w:val="0"/>
      <w:marTop w:val="0"/>
      <w:marBottom w:val="0"/>
      <w:divBdr>
        <w:top w:val="none" w:sz="0" w:space="0" w:color="auto"/>
        <w:left w:val="none" w:sz="0" w:space="0" w:color="auto"/>
        <w:bottom w:val="none" w:sz="0" w:space="0" w:color="auto"/>
        <w:right w:val="none" w:sz="0" w:space="0" w:color="auto"/>
      </w:divBdr>
      <w:divsChild>
        <w:div w:id="1333220574">
          <w:marLeft w:val="0"/>
          <w:marRight w:val="0"/>
          <w:marTop w:val="0"/>
          <w:marBottom w:val="0"/>
          <w:divBdr>
            <w:top w:val="none" w:sz="0" w:space="0" w:color="auto"/>
            <w:left w:val="none" w:sz="0" w:space="0" w:color="auto"/>
            <w:bottom w:val="none" w:sz="0" w:space="0" w:color="auto"/>
            <w:right w:val="none" w:sz="0" w:space="0" w:color="auto"/>
          </w:divBdr>
          <w:divsChild>
            <w:div w:id="1212571023">
              <w:marLeft w:val="0"/>
              <w:marRight w:val="0"/>
              <w:marTop w:val="0"/>
              <w:marBottom w:val="0"/>
              <w:divBdr>
                <w:top w:val="none" w:sz="0" w:space="0" w:color="auto"/>
                <w:left w:val="none" w:sz="0" w:space="0" w:color="auto"/>
                <w:bottom w:val="none" w:sz="0" w:space="0" w:color="auto"/>
                <w:right w:val="none" w:sz="0" w:space="0" w:color="auto"/>
              </w:divBdr>
              <w:divsChild>
                <w:div w:id="14935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74656">
      <w:bodyDiv w:val="1"/>
      <w:marLeft w:val="0"/>
      <w:marRight w:val="0"/>
      <w:marTop w:val="0"/>
      <w:marBottom w:val="0"/>
      <w:divBdr>
        <w:top w:val="none" w:sz="0" w:space="0" w:color="auto"/>
        <w:left w:val="none" w:sz="0" w:space="0" w:color="auto"/>
        <w:bottom w:val="none" w:sz="0" w:space="0" w:color="auto"/>
        <w:right w:val="none" w:sz="0" w:space="0" w:color="auto"/>
      </w:divBdr>
      <w:divsChild>
        <w:div w:id="1573347275">
          <w:marLeft w:val="0"/>
          <w:marRight w:val="0"/>
          <w:marTop w:val="0"/>
          <w:marBottom w:val="0"/>
          <w:divBdr>
            <w:top w:val="none" w:sz="0" w:space="0" w:color="auto"/>
            <w:left w:val="none" w:sz="0" w:space="0" w:color="auto"/>
            <w:bottom w:val="none" w:sz="0" w:space="0" w:color="auto"/>
            <w:right w:val="none" w:sz="0" w:space="0" w:color="auto"/>
          </w:divBdr>
          <w:divsChild>
            <w:div w:id="55008055">
              <w:marLeft w:val="0"/>
              <w:marRight w:val="0"/>
              <w:marTop w:val="0"/>
              <w:marBottom w:val="0"/>
              <w:divBdr>
                <w:top w:val="none" w:sz="0" w:space="0" w:color="auto"/>
                <w:left w:val="none" w:sz="0" w:space="0" w:color="auto"/>
                <w:bottom w:val="none" w:sz="0" w:space="0" w:color="auto"/>
                <w:right w:val="none" w:sz="0" w:space="0" w:color="auto"/>
              </w:divBdr>
              <w:divsChild>
                <w:div w:id="7228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06120">
      <w:bodyDiv w:val="1"/>
      <w:marLeft w:val="0"/>
      <w:marRight w:val="0"/>
      <w:marTop w:val="0"/>
      <w:marBottom w:val="0"/>
      <w:divBdr>
        <w:top w:val="none" w:sz="0" w:space="0" w:color="auto"/>
        <w:left w:val="none" w:sz="0" w:space="0" w:color="auto"/>
        <w:bottom w:val="none" w:sz="0" w:space="0" w:color="auto"/>
        <w:right w:val="none" w:sz="0" w:space="0" w:color="auto"/>
      </w:divBdr>
      <w:divsChild>
        <w:div w:id="1831945301">
          <w:marLeft w:val="0"/>
          <w:marRight w:val="0"/>
          <w:marTop w:val="0"/>
          <w:marBottom w:val="0"/>
          <w:divBdr>
            <w:top w:val="none" w:sz="0" w:space="0" w:color="auto"/>
            <w:left w:val="none" w:sz="0" w:space="0" w:color="auto"/>
            <w:bottom w:val="none" w:sz="0" w:space="0" w:color="auto"/>
            <w:right w:val="none" w:sz="0" w:space="0" w:color="auto"/>
          </w:divBdr>
          <w:divsChild>
            <w:div w:id="906185583">
              <w:marLeft w:val="0"/>
              <w:marRight w:val="0"/>
              <w:marTop w:val="0"/>
              <w:marBottom w:val="0"/>
              <w:divBdr>
                <w:top w:val="none" w:sz="0" w:space="0" w:color="auto"/>
                <w:left w:val="none" w:sz="0" w:space="0" w:color="auto"/>
                <w:bottom w:val="none" w:sz="0" w:space="0" w:color="auto"/>
                <w:right w:val="none" w:sz="0" w:space="0" w:color="auto"/>
              </w:divBdr>
              <w:divsChild>
                <w:div w:id="1213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96157">
      <w:bodyDiv w:val="1"/>
      <w:marLeft w:val="0"/>
      <w:marRight w:val="0"/>
      <w:marTop w:val="0"/>
      <w:marBottom w:val="0"/>
      <w:divBdr>
        <w:top w:val="none" w:sz="0" w:space="0" w:color="auto"/>
        <w:left w:val="none" w:sz="0" w:space="0" w:color="auto"/>
        <w:bottom w:val="none" w:sz="0" w:space="0" w:color="auto"/>
        <w:right w:val="none" w:sz="0" w:space="0" w:color="auto"/>
      </w:divBdr>
      <w:divsChild>
        <w:div w:id="1128162582">
          <w:marLeft w:val="0"/>
          <w:marRight w:val="0"/>
          <w:marTop w:val="0"/>
          <w:marBottom w:val="0"/>
          <w:divBdr>
            <w:top w:val="none" w:sz="0" w:space="0" w:color="auto"/>
            <w:left w:val="none" w:sz="0" w:space="0" w:color="auto"/>
            <w:bottom w:val="none" w:sz="0" w:space="0" w:color="auto"/>
            <w:right w:val="none" w:sz="0" w:space="0" w:color="auto"/>
          </w:divBdr>
          <w:divsChild>
            <w:div w:id="2117484677">
              <w:marLeft w:val="0"/>
              <w:marRight w:val="0"/>
              <w:marTop w:val="0"/>
              <w:marBottom w:val="0"/>
              <w:divBdr>
                <w:top w:val="none" w:sz="0" w:space="0" w:color="auto"/>
                <w:left w:val="none" w:sz="0" w:space="0" w:color="auto"/>
                <w:bottom w:val="none" w:sz="0" w:space="0" w:color="auto"/>
                <w:right w:val="none" w:sz="0" w:space="0" w:color="auto"/>
              </w:divBdr>
              <w:divsChild>
                <w:div w:id="14794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52202">
      <w:bodyDiv w:val="1"/>
      <w:marLeft w:val="0"/>
      <w:marRight w:val="0"/>
      <w:marTop w:val="0"/>
      <w:marBottom w:val="0"/>
      <w:divBdr>
        <w:top w:val="none" w:sz="0" w:space="0" w:color="auto"/>
        <w:left w:val="none" w:sz="0" w:space="0" w:color="auto"/>
        <w:bottom w:val="none" w:sz="0" w:space="0" w:color="auto"/>
        <w:right w:val="none" w:sz="0" w:space="0" w:color="auto"/>
      </w:divBdr>
      <w:divsChild>
        <w:div w:id="1755586302">
          <w:marLeft w:val="0"/>
          <w:marRight w:val="0"/>
          <w:marTop w:val="0"/>
          <w:marBottom w:val="0"/>
          <w:divBdr>
            <w:top w:val="none" w:sz="0" w:space="0" w:color="auto"/>
            <w:left w:val="none" w:sz="0" w:space="0" w:color="auto"/>
            <w:bottom w:val="none" w:sz="0" w:space="0" w:color="auto"/>
            <w:right w:val="none" w:sz="0" w:space="0" w:color="auto"/>
          </w:divBdr>
          <w:divsChild>
            <w:div w:id="1013188955">
              <w:marLeft w:val="0"/>
              <w:marRight w:val="0"/>
              <w:marTop w:val="0"/>
              <w:marBottom w:val="0"/>
              <w:divBdr>
                <w:top w:val="none" w:sz="0" w:space="0" w:color="auto"/>
                <w:left w:val="none" w:sz="0" w:space="0" w:color="auto"/>
                <w:bottom w:val="none" w:sz="0" w:space="0" w:color="auto"/>
                <w:right w:val="none" w:sz="0" w:space="0" w:color="auto"/>
              </w:divBdr>
              <w:divsChild>
                <w:div w:id="6872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664481">
      <w:bodyDiv w:val="1"/>
      <w:marLeft w:val="0"/>
      <w:marRight w:val="0"/>
      <w:marTop w:val="0"/>
      <w:marBottom w:val="0"/>
      <w:divBdr>
        <w:top w:val="none" w:sz="0" w:space="0" w:color="auto"/>
        <w:left w:val="none" w:sz="0" w:space="0" w:color="auto"/>
        <w:bottom w:val="none" w:sz="0" w:space="0" w:color="auto"/>
        <w:right w:val="none" w:sz="0" w:space="0" w:color="auto"/>
      </w:divBdr>
      <w:divsChild>
        <w:div w:id="1810515448">
          <w:marLeft w:val="0"/>
          <w:marRight w:val="0"/>
          <w:marTop w:val="0"/>
          <w:marBottom w:val="0"/>
          <w:divBdr>
            <w:top w:val="none" w:sz="0" w:space="0" w:color="auto"/>
            <w:left w:val="none" w:sz="0" w:space="0" w:color="auto"/>
            <w:bottom w:val="none" w:sz="0" w:space="0" w:color="auto"/>
            <w:right w:val="none" w:sz="0" w:space="0" w:color="auto"/>
          </w:divBdr>
          <w:divsChild>
            <w:div w:id="1361011205">
              <w:marLeft w:val="0"/>
              <w:marRight w:val="0"/>
              <w:marTop w:val="0"/>
              <w:marBottom w:val="0"/>
              <w:divBdr>
                <w:top w:val="none" w:sz="0" w:space="0" w:color="auto"/>
                <w:left w:val="none" w:sz="0" w:space="0" w:color="auto"/>
                <w:bottom w:val="none" w:sz="0" w:space="0" w:color="auto"/>
                <w:right w:val="none" w:sz="0" w:space="0" w:color="auto"/>
              </w:divBdr>
              <w:divsChild>
                <w:div w:id="44060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793043">
      <w:bodyDiv w:val="1"/>
      <w:marLeft w:val="0"/>
      <w:marRight w:val="0"/>
      <w:marTop w:val="0"/>
      <w:marBottom w:val="0"/>
      <w:divBdr>
        <w:top w:val="none" w:sz="0" w:space="0" w:color="auto"/>
        <w:left w:val="none" w:sz="0" w:space="0" w:color="auto"/>
        <w:bottom w:val="none" w:sz="0" w:space="0" w:color="auto"/>
        <w:right w:val="none" w:sz="0" w:space="0" w:color="auto"/>
      </w:divBdr>
      <w:divsChild>
        <w:div w:id="38404453">
          <w:marLeft w:val="0"/>
          <w:marRight w:val="0"/>
          <w:marTop w:val="0"/>
          <w:marBottom w:val="0"/>
          <w:divBdr>
            <w:top w:val="none" w:sz="0" w:space="0" w:color="auto"/>
            <w:left w:val="none" w:sz="0" w:space="0" w:color="auto"/>
            <w:bottom w:val="none" w:sz="0" w:space="0" w:color="auto"/>
            <w:right w:val="none" w:sz="0" w:space="0" w:color="auto"/>
          </w:divBdr>
          <w:divsChild>
            <w:div w:id="2022586589">
              <w:marLeft w:val="0"/>
              <w:marRight w:val="0"/>
              <w:marTop w:val="0"/>
              <w:marBottom w:val="0"/>
              <w:divBdr>
                <w:top w:val="none" w:sz="0" w:space="0" w:color="auto"/>
                <w:left w:val="none" w:sz="0" w:space="0" w:color="auto"/>
                <w:bottom w:val="none" w:sz="0" w:space="0" w:color="auto"/>
                <w:right w:val="none" w:sz="0" w:space="0" w:color="auto"/>
              </w:divBdr>
              <w:divsChild>
                <w:div w:id="3812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899449">
      <w:bodyDiv w:val="1"/>
      <w:marLeft w:val="0"/>
      <w:marRight w:val="0"/>
      <w:marTop w:val="0"/>
      <w:marBottom w:val="0"/>
      <w:divBdr>
        <w:top w:val="none" w:sz="0" w:space="0" w:color="auto"/>
        <w:left w:val="none" w:sz="0" w:space="0" w:color="auto"/>
        <w:bottom w:val="none" w:sz="0" w:space="0" w:color="auto"/>
        <w:right w:val="none" w:sz="0" w:space="0" w:color="auto"/>
      </w:divBdr>
      <w:divsChild>
        <w:div w:id="325866629">
          <w:marLeft w:val="0"/>
          <w:marRight w:val="0"/>
          <w:marTop w:val="0"/>
          <w:marBottom w:val="0"/>
          <w:divBdr>
            <w:top w:val="none" w:sz="0" w:space="0" w:color="auto"/>
            <w:left w:val="none" w:sz="0" w:space="0" w:color="auto"/>
            <w:bottom w:val="none" w:sz="0" w:space="0" w:color="auto"/>
            <w:right w:val="none" w:sz="0" w:space="0" w:color="auto"/>
          </w:divBdr>
          <w:divsChild>
            <w:div w:id="1314410292">
              <w:marLeft w:val="0"/>
              <w:marRight w:val="0"/>
              <w:marTop w:val="0"/>
              <w:marBottom w:val="0"/>
              <w:divBdr>
                <w:top w:val="none" w:sz="0" w:space="0" w:color="auto"/>
                <w:left w:val="none" w:sz="0" w:space="0" w:color="auto"/>
                <w:bottom w:val="none" w:sz="0" w:space="0" w:color="auto"/>
                <w:right w:val="none" w:sz="0" w:space="0" w:color="auto"/>
              </w:divBdr>
              <w:divsChild>
                <w:div w:id="7234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37476">
      <w:bodyDiv w:val="1"/>
      <w:marLeft w:val="0"/>
      <w:marRight w:val="0"/>
      <w:marTop w:val="0"/>
      <w:marBottom w:val="0"/>
      <w:divBdr>
        <w:top w:val="none" w:sz="0" w:space="0" w:color="auto"/>
        <w:left w:val="none" w:sz="0" w:space="0" w:color="auto"/>
        <w:bottom w:val="none" w:sz="0" w:space="0" w:color="auto"/>
        <w:right w:val="none" w:sz="0" w:space="0" w:color="auto"/>
      </w:divBdr>
      <w:divsChild>
        <w:div w:id="1862279103">
          <w:marLeft w:val="0"/>
          <w:marRight w:val="0"/>
          <w:marTop w:val="0"/>
          <w:marBottom w:val="0"/>
          <w:divBdr>
            <w:top w:val="none" w:sz="0" w:space="0" w:color="auto"/>
            <w:left w:val="none" w:sz="0" w:space="0" w:color="auto"/>
            <w:bottom w:val="none" w:sz="0" w:space="0" w:color="auto"/>
            <w:right w:val="none" w:sz="0" w:space="0" w:color="auto"/>
          </w:divBdr>
          <w:divsChild>
            <w:div w:id="979462291">
              <w:marLeft w:val="0"/>
              <w:marRight w:val="0"/>
              <w:marTop w:val="0"/>
              <w:marBottom w:val="0"/>
              <w:divBdr>
                <w:top w:val="none" w:sz="0" w:space="0" w:color="auto"/>
                <w:left w:val="none" w:sz="0" w:space="0" w:color="auto"/>
                <w:bottom w:val="none" w:sz="0" w:space="0" w:color="auto"/>
                <w:right w:val="none" w:sz="0" w:space="0" w:color="auto"/>
              </w:divBdr>
              <w:divsChild>
                <w:div w:id="17184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72963">
      <w:bodyDiv w:val="1"/>
      <w:marLeft w:val="0"/>
      <w:marRight w:val="0"/>
      <w:marTop w:val="0"/>
      <w:marBottom w:val="0"/>
      <w:divBdr>
        <w:top w:val="none" w:sz="0" w:space="0" w:color="auto"/>
        <w:left w:val="none" w:sz="0" w:space="0" w:color="auto"/>
        <w:bottom w:val="none" w:sz="0" w:space="0" w:color="auto"/>
        <w:right w:val="none" w:sz="0" w:space="0" w:color="auto"/>
      </w:divBdr>
      <w:divsChild>
        <w:div w:id="1798138425">
          <w:marLeft w:val="0"/>
          <w:marRight w:val="0"/>
          <w:marTop w:val="0"/>
          <w:marBottom w:val="0"/>
          <w:divBdr>
            <w:top w:val="none" w:sz="0" w:space="0" w:color="auto"/>
            <w:left w:val="none" w:sz="0" w:space="0" w:color="auto"/>
            <w:bottom w:val="none" w:sz="0" w:space="0" w:color="auto"/>
            <w:right w:val="none" w:sz="0" w:space="0" w:color="auto"/>
          </w:divBdr>
          <w:divsChild>
            <w:div w:id="1454710412">
              <w:marLeft w:val="0"/>
              <w:marRight w:val="0"/>
              <w:marTop w:val="0"/>
              <w:marBottom w:val="0"/>
              <w:divBdr>
                <w:top w:val="none" w:sz="0" w:space="0" w:color="auto"/>
                <w:left w:val="none" w:sz="0" w:space="0" w:color="auto"/>
                <w:bottom w:val="none" w:sz="0" w:space="0" w:color="auto"/>
                <w:right w:val="none" w:sz="0" w:space="0" w:color="auto"/>
              </w:divBdr>
              <w:divsChild>
                <w:div w:id="721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18533">
      <w:bodyDiv w:val="1"/>
      <w:marLeft w:val="0"/>
      <w:marRight w:val="0"/>
      <w:marTop w:val="0"/>
      <w:marBottom w:val="0"/>
      <w:divBdr>
        <w:top w:val="none" w:sz="0" w:space="0" w:color="auto"/>
        <w:left w:val="none" w:sz="0" w:space="0" w:color="auto"/>
        <w:bottom w:val="none" w:sz="0" w:space="0" w:color="auto"/>
        <w:right w:val="none" w:sz="0" w:space="0" w:color="auto"/>
      </w:divBdr>
      <w:divsChild>
        <w:div w:id="1488017151">
          <w:marLeft w:val="0"/>
          <w:marRight w:val="0"/>
          <w:marTop w:val="0"/>
          <w:marBottom w:val="0"/>
          <w:divBdr>
            <w:top w:val="none" w:sz="0" w:space="0" w:color="auto"/>
            <w:left w:val="none" w:sz="0" w:space="0" w:color="auto"/>
            <w:bottom w:val="none" w:sz="0" w:space="0" w:color="auto"/>
            <w:right w:val="none" w:sz="0" w:space="0" w:color="auto"/>
          </w:divBdr>
          <w:divsChild>
            <w:div w:id="976301548">
              <w:marLeft w:val="0"/>
              <w:marRight w:val="0"/>
              <w:marTop w:val="0"/>
              <w:marBottom w:val="0"/>
              <w:divBdr>
                <w:top w:val="none" w:sz="0" w:space="0" w:color="auto"/>
                <w:left w:val="none" w:sz="0" w:space="0" w:color="auto"/>
                <w:bottom w:val="none" w:sz="0" w:space="0" w:color="auto"/>
                <w:right w:val="none" w:sz="0" w:space="0" w:color="auto"/>
              </w:divBdr>
              <w:divsChild>
                <w:div w:id="6068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50433">
      <w:bodyDiv w:val="1"/>
      <w:marLeft w:val="0"/>
      <w:marRight w:val="0"/>
      <w:marTop w:val="0"/>
      <w:marBottom w:val="0"/>
      <w:divBdr>
        <w:top w:val="none" w:sz="0" w:space="0" w:color="auto"/>
        <w:left w:val="none" w:sz="0" w:space="0" w:color="auto"/>
        <w:bottom w:val="none" w:sz="0" w:space="0" w:color="auto"/>
        <w:right w:val="none" w:sz="0" w:space="0" w:color="auto"/>
      </w:divBdr>
      <w:divsChild>
        <w:div w:id="960263988">
          <w:marLeft w:val="0"/>
          <w:marRight w:val="0"/>
          <w:marTop w:val="0"/>
          <w:marBottom w:val="0"/>
          <w:divBdr>
            <w:top w:val="none" w:sz="0" w:space="0" w:color="auto"/>
            <w:left w:val="none" w:sz="0" w:space="0" w:color="auto"/>
            <w:bottom w:val="none" w:sz="0" w:space="0" w:color="auto"/>
            <w:right w:val="none" w:sz="0" w:space="0" w:color="auto"/>
          </w:divBdr>
          <w:divsChild>
            <w:div w:id="1558930811">
              <w:marLeft w:val="0"/>
              <w:marRight w:val="0"/>
              <w:marTop w:val="0"/>
              <w:marBottom w:val="0"/>
              <w:divBdr>
                <w:top w:val="none" w:sz="0" w:space="0" w:color="auto"/>
                <w:left w:val="none" w:sz="0" w:space="0" w:color="auto"/>
                <w:bottom w:val="none" w:sz="0" w:space="0" w:color="auto"/>
                <w:right w:val="none" w:sz="0" w:space="0" w:color="auto"/>
              </w:divBdr>
              <w:divsChild>
                <w:div w:id="204039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084204">
      <w:bodyDiv w:val="1"/>
      <w:marLeft w:val="0"/>
      <w:marRight w:val="0"/>
      <w:marTop w:val="0"/>
      <w:marBottom w:val="0"/>
      <w:divBdr>
        <w:top w:val="none" w:sz="0" w:space="0" w:color="auto"/>
        <w:left w:val="none" w:sz="0" w:space="0" w:color="auto"/>
        <w:bottom w:val="none" w:sz="0" w:space="0" w:color="auto"/>
        <w:right w:val="none" w:sz="0" w:space="0" w:color="auto"/>
      </w:divBdr>
      <w:divsChild>
        <w:div w:id="197591055">
          <w:marLeft w:val="0"/>
          <w:marRight w:val="0"/>
          <w:marTop w:val="0"/>
          <w:marBottom w:val="0"/>
          <w:divBdr>
            <w:top w:val="none" w:sz="0" w:space="0" w:color="auto"/>
            <w:left w:val="none" w:sz="0" w:space="0" w:color="auto"/>
            <w:bottom w:val="none" w:sz="0" w:space="0" w:color="auto"/>
            <w:right w:val="none" w:sz="0" w:space="0" w:color="auto"/>
          </w:divBdr>
          <w:divsChild>
            <w:div w:id="1349479302">
              <w:marLeft w:val="0"/>
              <w:marRight w:val="0"/>
              <w:marTop w:val="0"/>
              <w:marBottom w:val="0"/>
              <w:divBdr>
                <w:top w:val="none" w:sz="0" w:space="0" w:color="auto"/>
                <w:left w:val="none" w:sz="0" w:space="0" w:color="auto"/>
                <w:bottom w:val="none" w:sz="0" w:space="0" w:color="auto"/>
                <w:right w:val="none" w:sz="0" w:space="0" w:color="auto"/>
              </w:divBdr>
              <w:divsChild>
                <w:div w:id="175670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34812">
      <w:bodyDiv w:val="1"/>
      <w:marLeft w:val="0"/>
      <w:marRight w:val="0"/>
      <w:marTop w:val="0"/>
      <w:marBottom w:val="0"/>
      <w:divBdr>
        <w:top w:val="none" w:sz="0" w:space="0" w:color="auto"/>
        <w:left w:val="none" w:sz="0" w:space="0" w:color="auto"/>
        <w:bottom w:val="none" w:sz="0" w:space="0" w:color="auto"/>
        <w:right w:val="none" w:sz="0" w:space="0" w:color="auto"/>
      </w:divBdr>
      <w:divsChild>
        <w:div w:id="244455184">
          <w:marLeft w:val="0"/>
          <w:marRight w:val="0"/>
          <w:marTop w:val="0"/>
          <w:marBottom w:val="0"/>
          <w:divBdr>
            <w:top w:val="none" w:sz="0" w:space="0" w:color="auto"/>
            <w:left w:val="none" w:sz="0" w:space="0" w:color="auto"/>
            <w:bottom w:val="none" w:sz="0" w:space="0" w:color="auto"/>
            <w:right w:val="none" w:sz="0" w:space="0" w:color="auto"/>
          </w:divBdr>
          <w:divsChild>
            <w:div w:id="2019192994">
              <w:marLeft w:val="0"/>
              <w:marRight w:val="0"/>
              <w:marTop w:val="0"/>
              <w:marBottom w:val="0"/>
              <w:divBdr>
                <w:top w:val="none" w:sz="0" w:space="0" w:color="auto"/>
                <w:left w:val="none" w:sz="0" w:space="0" w:color="auto"/>
                <w:bottom w:val="none" w:sz="0" w:space="0" w:color="auto"/>
                <w:right w:val="none" w:sz="0" w:space="0" w:color="auto"/>
              </w:divBdr>
              <w:divsChild>
                <w:div w:id="185560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28133">
      <w:bodyDiv w:val="1"/>
      <w:marLeft w:val="0"/>
      <w:marRight w:val="0"/>
      <w:marTop w:val="0"/>
      <w:marBottom w:val="0"/>
      <w:divBdr>
        <w:top w:val="none" w:sz="0" w:space="0" w:color="auto"/>
        <w:left w:val="none" w:sz="0" w:space="0" w:color="auto"/>
        <w:bottom w:val="none" w:sz="0" w:space="0" w:color="auto"/>
        <w:right w:val="none" w:sz="0" w:space="0" w:color="auto"/>
      </w:divBdr>
      <w:divsChild>
        <w:div w:id="438331979">
          <w:marLeft w:val="0"/>
          <w:marRight w:val="0"/>
          <w:marTop w:val="0"/>
          <w:marBottom w:val="0"/>
          <w:divBdr>
            <w:top w:val="none" w:sz="0" w:space="0" w:color="auto"/>
            <w:left w:val="none" w:sz="0" w:space="0" w:color="auto"/>
            <w:bottom w:val="none" w:sz="0" w:space="0" w:color="auto"/>
            <w:right w:val="none" w:sz="0" w:space="0" w:color="auto"/>
          </w:divBdr>
          <w:divsChild>
            <w:div w:id="1800219905">
              <w:marLeft w:val="0"/>
              <w:marRight w:val="0"/>
              <w:marTop w:val="0"/>
              <w:marBottom w:val="0"/>
              <w:divBdr>
                <w:top w:val="none" w:sz="0" w:space="0" w:color="auto"/>
                <w:left w:val="none" w:sz="0" w:space="0" w:color="auto"/>
                <w:bottom w:val="none" w:sz="0" w:space="0" w:color="auto"/>
                <w:right w:val="none" w:sz="0" w:space="0" w:color="auto"/>
              </w:divBdr>
              <w:divsChild>
                <w:div w:id="16490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05901">
      <w:bodyDiv w:val="1"/>
      <w:marLeft w:val="0"/>
      <w:marRight w:val="0"/>
      <w:marTop w:val="0"/>
      <w:marBottom w:val="0"/>
      <w:divBdr>
        <w:top w:val="none" w:sz="0" w:space="0" w:color="auto"/>
        <w:left w:val="none" w:sz="0" w:space="0" w:color="auto"/>
        <w:bottom w:val="none" w:sz="0" w:space="0" w:color="auto"/>
        <w:right w:val="none" w:sz="0" w:space="0" w:color="auto"/>
      </w:divBdr>
      <w:divsChild>
        <w:div w:id="467207379">
          <w:marLeft w:val="0"/>
          <w:marRight w:val="0"/>
          <w:marTop w:val="0"/>
          <w:marBottom w:val="0"/>
          <w:divBdr>
            <w:top w:val="none" w:sz="0" w:space="0" w:color="auto"/>
            <w:left w:val="none" w:sz="0" w:space="0" w:color="auto"/>
            <w:bottom w:val="none" w:sz="0" w:space="0" w:color="auto"/>
            <w:right w:val="none" w:sz="0" w:space="0" w:color="auto"/>
          </w:divBdr>
          <w:divsChild>
            <w:div w:id="520051052">
              <w:marLeft w:val="0"/>
              <w:marRight w:val="0"/>
              <w:marTop w:val="0"/>
              <w:marBottom w:val="0"/>
              <w:divBdr>
                <w:top w:val="none" w:sz="0" w:space="0" w:color="auto"/>
                <w:left w:val="none" w:sz="0" w:space="0" w:color="auto"/>
                <w:bottom w:val="none" w:sz="0" w:space="0" w:color="auto"/>
                <w:right w:val="none" w:sz="0" w:space="0" w:color="auto"/>
              </w:divBdr>
              <w:divsChild>
                <w:div w:id="7306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562384">
      <w:bodyDiv w:val="1"/>
      <w:marLeft w:val="0"/>
      <w:marRight w:val="0"/>
      <w:marTop w:val="0"/>
      <w:marBottom w:val="0"/>
      <w:divBdr>
        <w:top w:val="none" w:sz="0" w:space="0" w:color="auto"/>
        <w:left w:val="none" w:sz="0" w:space="0" w:color="auto"/>
        <w:bottom w:val="none" w:sz="0" w:space="0" w:color="auto"/>
        <w:right w:val="none" w:sz="0" w:space="0" w:color="auto"/>
      </w:divBdr>
      <w:divsChild>
        <w:div w:id="189418014">
          <w:marLeft w:val="0"/>
          <w:marRight w:val="0"/>
          <w:marTop w:val="0"/>
          <w:marBottom w:val="0"/>
          <w:divBdr>
            <w:top w:val="none" w:sz="0" w:space="0" w:color="auto"/>
            <w:left w:val="none" w:sz="0" w:space="0" w:color="auto"/>
            <w:bottom w:val="none" w:sz="0" w:space="0" w:color="auto"/>
            <w:right w:val="none" w:sz="0" w:space="0" w:color="auto"/>
          </w:divBdr>
          <w:divsChild>
            <w:div w:id="761336183">
              <w:marLeft w:val="0"/>
              <w:marRight w:val="0"/>
              <w:marTop w:val="0"/>
              <w:marBottom w:val="0"/>
              <w:divBdr>
                <w:top w:val="none" w:sz="0" w:space="0" w:color="auto"/>
                <w:left w:val="none" w:sz="0" w:space="0" w:color="auto"/>
                <w:bottom w:val="none" w:sz="0" w:space="0" w:color="auto"/>
                <w:right w:val="none" w:sz="0" w:space="0" w:color="auto"/>
              </w:divBdr>
              <w:divsChild>
                <w:div w:id="14890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90087">
      <w:bodyDiv w:val="1"/>
      <w:marLeft w:val="0"/>
      <w:marRight w:val="0"/>
      <w:marTop w:val="0"/>
      <w:marBottom w:val="0"/>
      <w:divBdr>
        <w:top w:val="none" w:sz="0" w:space="0" w:color="auto"/>
        <w:left w:val="none" w:sz="0" w:space="0" w:color="auto"/>
        <w:bottom w:val="none" w:sz="0" w:space="0" w:color="auto"/>
        <w:right w:val="none" w:sz="0" w:space="0" w:color="auto"/>
      </w:divBdr>
      <w:divsChild>
        <w:div w:id="299237470">
          <w:marLeft w:val="0"/>
          <w:marRight w:val="0"/>
          <w:marTop w:val="0"/>
          <w:marBottom w:val="0"/>
          <w:divBdr>
            <w:top w:val="none" w:sz="0" w:space="0" w:color="auto"/>
            <w:left w:val="none" w:sz="0" w:space="0" w:color="auto"/>
            <w:bottom w:val="none" w:sz="0" w:space="0" w:color="auto"/>
            <w:right w:val="none" w:sz="0" w:space="0" w:color="auto"/>
          </w:divBdr>
          <w:divsChild>
            <w:div w:id="464658912">
              <w:marLeft w:val="0"/>
              <w:marRight w:val="0"/>
              <w:marTop w:val="0"/>
              <w:marBottom w:val="0"/>
              <w:divBdr>
                <w:top w:val="none" w:sz="0" w:space="0" w:color="auto"/>
                <w:left w:val="none" w:sz="0" w:space="0" w:color="auto"/>
                <w:bottom w:val="none" w:sz="0" w:space="0" w:color="auto"/>
                <w:right w:val="none" w:sz="0" w:space="0" w:color="auto"/>
              </w:divBdr>
              <w:divsChild>
                <w:div w:id="7667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85528">
      <w:bodyDiv w:val="1"/>
      <w:marLeft w:val="0"/>
      <w:marRight w:val="0"/>
      <w:marTop w:val="0"/>
      <w:marBottom w:val="0"/>
      <w:divBdr>
        <w:top w:val="none" w:sz="0" w:space="0" w:color="auto"/>
        <w:left w:val="none" w:sz="0" w:space="0" w:color="auto"/>
        <w:bottom w:val="none" w:sz="0" w:space="0" w:color="auto"/>
        <w:right w:val="none" w:sz="0" w:space="0" w:color="auto"/>
      </w:divBdr>
      <w:divsChild>
        <w:div w:id="521821691">
          <w:marLeft w:val="0"/>
          <w:marRight w:val="0"/>
          <w:marTop w:val="0"/>
          <w:marBottom w:val="0"/>
          <w:divBdr>
            <w:top w:val="none" w:sz="0" w:space="0" w:color="auto"/>
            <w:left w:val="none" w:sz="0" w:space="0" w:color="auto"/>
            <w:bottom w:val="none" w:sz="0" w:space="0" w:color="auto"/>
            <w:right w:val="none" w:sz="0" w:space="0" w:color="auto"/>
          </w:divBdr>
          <w:divsChild>
            <w:div w:id="864054127">
              <w:marLeft w:val="0"/>
              <w:marRight w:val="0"/>
              <w:marTop w:val="0"/>
              <w:marBottom w:val="0"/>
              <w:divBdr>
                <w:top w:val="none" w:sz="0" w:space="0" w:color="auto"/>
                <w:left w:val="none" w:sz="0" w:space="0" w:color="auto"/>
                <w:bottom w:val="none" w:sz="0" w:space="0" w:color="auto"/>
                <w:right w:val="none" w:sz="0" w:space="0" w:color="auto"/>
              </w:divBdr>
              <w:divsChild>
                <w:div w:id="9207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19640">
      <w:bodyDiv w:val="1"/>
      <w:marLeft w:val="0"/>
      <w:marRight w:val="0"/>
      <w:marTop w:val="0"/>
      <w:marBottom w:val="0"/>
      <w:divBdr>
        <w:top w:val="none" w:sz="0" w:space="0" w:color="auto"/>
        <w:left w:val="none" w:sz="0" w:space="0" w:color="auto"/>
        <w:bottom w:val="none" w:sz="0" w:space="0" w:color="auto"/>
        <w:right w:val="none" w:sz="0" w:space="0" w:color="auto"/>
      </w:divBdr>
      <w:divsChild>
        <w:div w:id="1358627112">
          <w:marLeft w:val="0"/>
          <w:marRight w:val="0"/>
          <w:marTop w:val="0"/>
          <w:marBottom w:val="0"/>
          <w:divBdr>
            <w:top w:val="none" w:sz="0" w:space="0" w:color="auto"/>
            <w:left w:val="none" w:sz="0" w:space="0" w:color="auto"/>
            <w:bottom w:val="none" w:sz="0" w:space="0" w:color="auto"/>
            <w:right w:val="none" w:sz="0" w:space="0" w:color="auto"/>
          </w:divBdr>
          <w:divsChild>
            <w:div w:id="2041274720">
              <w:marLeft w:val="0"/>
              <w:marRight w:val="0"/>
              <w:marTop w:val="0"/>
              <w:marBottom w:val="0"/>
              <w:divBdr>
                <w:top w:val="none" w:sz="0" w:space="0" w:color="auto"/>
                <w:left w:val="none" w:sz="0" w:space="0" w:color="auto"/>
                <w:bottom w:val="none" w:sz="0" w:space="0" w:color="auto"/>
                <w:right w:val="none" w:sz="0" w:space="0" w:color="auto"/>
              </w:divBdr>
              <w:divsChild>
                <w:div w:id="110376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83278">
      <w:bodyDiv w:val="1"/>
      <w:marLeft w:val="0"/>
      <w:marRight w:val="0"/>
      <w:marTop w:val="0"/>
      <w:marBottom w:val="0"/>
      <w:divBdr>
        <w:top w:val="none" w:sz="0" w:space="0" w:color="auto"/>
        <w:left w:val="none" w:sz="0" w:space="0" w:color="auto"/>
        <w:bottom w:val="none" w:sz="0" w:space="0" w:color="auto"/>
        <w:right w:val="none" w:sz="0" w:space="0" w:color="auto"/>
      </w:divBdr>
      <w:divsChild>
        <w:div w:id="1134909546">
          <w:marLeft w:val="0"/>
          <w:marRight w:val="0"/>
          <w:marTop w:val="0"/>
          <w:marBottom w:val="0"/>
          <w:divBdr>
            <w:top w:val="none" w:sz="0" w:space="0" w:color="auto"/>
            <w:left w:val="none" w:sz="0" w:space="0" w:color="auto"/>
            <w:bottom w:val="none" w:sz="0" w:space="0" w:color="auto"/>
            <w:right w:val="none" w:sz="0" w:space="0" w:color="auto"/>
          </w:divBdr>
          <w:divsChild>
            <w:div w:id="1423724324">
              <w:marLeft w:val="0"/>
              <w:marRight w:val="0"/>
              <w:marTop w:val="0"/>
              <w:marBottom w:val="0"/>
              <w:divBdr>
                <w:top w:val="none" w:sz="0" w:space="0" w:color="auto"/>
                <w:left w:val="none" w:sz="0" w:space="0" w:color="auto"/>
                <w:bottom w:val="none" w:sz="0" w:space="0" w:color="auto"/>
                <w:right w:val="none" w:sz="0" w:space="0" w:color="auto"/>
              </w:divBdr>
              <w:divsChild>
                <w:div w:id="164600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448908">
      <w:bodyDiv w:val="1"/>
      <w:marLeft w:val="0"/>
      <w:marRight w:val="0"/>
      <w:marTop w:val="0"/>
      <w:marBottom w:val="0"/>
      <w:divBdr>
        <w:top w:val="none" w:sz="0" w:space="0" w:color="auto"/>
        <w:left w:val="none" w:sz="0" w:space="0" w:color="auto"/>
        <w:bottom w:val="none" w:sz="0" w:space="0" w:color="auto"/>
        <w:right w:val="none" w:sz="0" w:space="0" w:color="auto"/>
      </w:divBdr>
      <w:divsChild>
        <w:div w:id="1299335513">
          <w:marLeft w:val="0"/>
          <w:marRight w:val="0"/>
          <w:marTop w:val="0"/>
          <w:marBottom w:val="0"/>
          <w:divBdr>
            <w:top w:val="none" w:sz="0" w:space="0" w:color="auto"/>
            <w:left w:val="none" w:sz="0" w:space="0" w:color="auto"/>
            <w:bottom w:val="none" w:sz="0" w:space="0" w:color="auto"/>
            <w:right w:val="none" w:sz="0" w:space="0" w:color="auto"/>
          </w:divBdr>
          <w:divsChild>
            <w:div w:id="657610560">
              <w:marLeft w:val="0"/>
              <w:marRight w:val="0"/>
              <w:marTop w:val="0"/>
              <w:marBottom w:val="0"/>
              <w:divBdr>
                <w:top w:val="none" w:sz="0" w:space="0" w:color="auto"/>
                <w:left w:val="none" w:sz="0" w:space="0" w:color="auto"/>
                <w:bottom w:val="none" w:sz="0" w:space="0" w:color="auto"/>
                <w:right w:val="none" w:sz="0" w:space="0" w:color="auto"/>
              </w:divBdr>
              <w:divsChild>
                <w:div w:id="30739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5540">
      <w:bodyDiv w:val="1"/>
      <w:marLeft w:val="0"/>
      <w:marRight w:val="0"/>
      <w:marTop w:val="0"/>
      <w:marBottom w:val="0"/>
      <w:divBdr>
        <w:top w:val="none" w:sz="0" w:space="0" w:color="auto"/>
        <w:left w:val="none" w:sz="0" w:space="0" w:color="auto"/>
        <w:bottom w:val="none" w:sz="0" w:space="0" w:color="auto"/>
        <w:right w:val="none" w:sz="0" w:space="0" w:color="auto"/>
      </w:divBdr>
      <w:divsChild>
        <w:div w:id="1797023414">
          <w:marLeft w:val="0"/>
          <w:marRight w:val="0"/>
          <w:marTop w:val="0"/>
          <w:marBottom w:val="0"/>
          <w:divBdr>
            <w:top w:val="none" w:sz="0" w:space="0" w:color="auto"/>
            <w:left w:val="none" w:sz="0" w:space="0" w:color="auto"/>
            <w:bottom w:val="none" w:sz="0" w:space="0" w:color="auto"/>
            <w:right w:val="none" w:sz="0" w:space="0" w:color="auto"/>
          </w:divBdr>
          <w:divsChild>
            <w:div w:id="2106069189">
              <w:marLeft w:val="0"/>
              <w:marRight w:val="0"/>
              <w:marTop w:val="0"/>
              <w:marBottom w:val="0"/>
              <w:divBdr>
                <w:top w:val="none" w:sz="0" w:space="0" w:color="auto"/>
                <w:left w:val="none" w:sz="0" w:space="0" w:color="auto"/>
                <w:bottom w:val="none" w:sz="0" w:space="0" w:color="auto"/>
                <w:right w:val="none" w:sz="0" w:space="0" w:color="auto"/>
              </w:divBdr>
              <w:divsChild>
                <w:div w:id="112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070876">
      <w:bodyDiv w:val="1"/>
      <w:marLeft w:val="0"/>
      <w:marRight w:val="0"/>
      <w:marTop w:val="0"/>
      <w:marBottom w:val="0"/>
      <w:divBdr>
        <w:top w:val="none" w:sz="0" w:space="0" w:color="auto"/>
        <w:left w:val="none" w:sz="0" w:space="0" w:color="auto"/>
        <w:bottom w:val="none" w:sz="0" w:space="0" w:color="auto"/>
        <w:right w:val="none" w:sz="0" w:space="0" w:color="auto"/>
      </w:divBdr>
      <w:divsChild>
        <w:div w:id="1444642805">
          <w:marLeft w:val="0"/>
          <w:marRight w:val="0"/>
          <w:marTop w:val="0"/>
          <w:marBottom w:val="0"/>
          <w:divBdr>
            <w:top w:val="none" w:sz="0" w:space="0" w:color="auto"/>
            <w:left w:val="none" w:sz="0" w:space="0" w:color="auto"/>
            <w:bottom w:val="none" w:sz="0" w:space="0" w:color="auto"/>
            <w:right w:val="none" w:sz="0" w:space="0" w:color="auto"/>
          </w:divBdr>
          <w:divsChild>
            <w:div w:id="353923212">
              <w:marLeft w:val="0"/>
              <w:marRight w:val="0"/>
              <w:marTop w:val="0"/>
              <w:marBottom w:val="0"/>
              <w:divBdr>
                <w:top w:val="none" w:sz="0" w:space="0" w:color="auto"/>
                <w:left w:val="none" w:sz="0" w:space="0" w:color="auto"/>
                <w:bottom w:val="none" w:sz="0" w:space="0" w:color="auto"/>
                <w:right w:val="none" w:sz="0" w:space="0" w:color="auto"/>
              </w:divBdr>
              <w:divsChild>
                <w:div w:id="16836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58351">
      <w:bodyDiv w:val="1"/>
      <w:marLeft w:val="0"/>
      <w:marRight w:val="0"/>
      <w:marTop w:val="0"/>
      <w:marBottom w:val="0"/>
      <w:divBdr>
        <w:top w:val="none" w:sz="0" w:space="0" w:color="auto"/>
        <w:left w:val="none" w:sz="0" w:space="0" w:color="auto"/>
        <w:bottom w:val="none" w:sz="0" w:space="0" w:color="auto"/>
        <w:right w:val="none" w:sz="0" w:space="0" w:color="auto"/>
      </w:divBdr>
      <w:divsChild>
        <w:div w:id="1738623073">
          <w:marLeft w:val="0"/>
          <w:marRight w:val="0"/>
          <w:marTop w:val="0"/>
          <w:marBottom w:val="0"/>
          <w:divBdr>
            <w:top w:val="none" w:sz="0" w:space="0" w:color="auto"/>
            <w:left w:val="none" w:sz="0" w:space="0" w:color="auto"/>
            <w:bottom w:val="none" w:sz="0" w:space="0" w:color="auto"/>
            <w:right w:val="none" w:sz="0" w:space="0" w:color="auto"/>
          </w:divBdr>
          <w:divsChild>
            <w:div w:id="38169764">
              <w:marLeft w:val="0"/>
              <w:marRight w:val="0"/>
              <w:marTop w:val="0"/>
              <w:marBottom w:val="0"/>
              <w:divBdr>
                <w:top w:val="none" w:sz="0" w:space="0" w:color="auto"/>
                <w:left w:val="none" w:sz="0" w:space="0" w:color="auto"/>
                <w:bottom w:val="none" w:sz="0" w:space="0" w:color="auto"/>
                <w:right w:val="none" w:sz="0" w:space="0" w:color="auto"/>
              </w:divBdr>
              <w:divsChild>
                <w:div w:id="3704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600348">
      <w:bodyDiv w:val="1"/>
      <w:marLeft w:val="0"/>
      <w:marRight w:val="0"/>
      <w:marTop w:val="0"/>
      <w:marBottom w:val="0"/>
      <w:divBdr>
        <w:top w:val="none" w:sz="0" w:space="0" w:color="auto"/>
        <w:left w:val="none" w:sz="0" w:space="0" w:color="auto"/>
        <w:bottom w:val="none" w:sz="0" w:space="0" w:color="auto"/>
        <w:right w:val="none" w:sz="0" w:space="0" w:color="auto"/>
      </w:divBdr>
      <w:divsChild>
        <w:div w:id="674188013">
          <w:marLeft w:val="0"/>
          <w:marRight w:val="0"/>
          <w:marTop w:val="0"/>
          <w:marBottom w:val="0"/>
          <w:divBdr>
            <w:top w:val="none" w:sz="0" w:space="0" w:color="auto"/>
            <w:left w:val="none" w:sz="0" w:space="0" w:color="auto"/>
            <w:bottom w:val="none" w:sz="0" w:space="0" w:color="auto"/>
            <w:right w:val="none" w:sz="0" w:space="0" w:color="auto"/>
          </w:divBdr>
          <w:divsChild>
            <w:div w:id="136606375">
              <w:marLeft w:val="0"/>
              <w:marRight w:val="0"/>
              <w:marTop w:val="0"/>
              <w:marBottom w:val="0"/>
              <w:divBdr>
                <w:top w:val="none" w:sz="0" w:space="0" w:color="auto"/>
                <w:left w:val="none" w:sz="0" w:space="0" w:color="auto"/>
                <w:bottom w:val="none" w:sz="0" w:space="0" w:color="auto"/>
                <w:right w:val="none" w:sz="0" w:space="0" w:color="auto"/>
              </w:divBdr>
              <w:divsChild>
                <w:div w:id="165610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03941">
      <w:bodyDiv w:val="1"/>
      <w:marLeft w:val="0"/>
      <w:marRight w:val="0"/>
      <w:marTop w:val="0"/>
      <w:marBottom w:val="0"/>
      <w:divBdr>
        <w:top w:val="none" w:sz="0" w:space="0" w:color="auto"/>
        <w:left w:val="none" w:sz="0" w:space="0" w:color="auto"/>
        <w:bottom w:val="none" w:sz="0" w:space="0" w:color="auto"/>
        <w:right w:val="none" w:sz="0" w:space="0" w:color="auto"/>
      </w:divBdr>
      <w:divsChild>
        <w:div w:id="145049311">
          <w:marLeft w:val="0"/>
          <w:marRight w:val="0"/>
          <w:marTop w:val="0"/>
          <w:marBottom w:val="0"/>
          <w:divBdr>
            <w:top w:val="none" w:sz="0" w:space="0" w:color="auto"/>
            <w:left w:val="none" w:sz="0" w:space="0" w:color="auto"/>
            <w:bottom w:val="none" w:sz="0" w:space="0" w:color="auto"/>
            <w:right w:val="none" w:sz="0" w:space="0" w:color="auto"/>
          </w:divBdr>
          <w:divsChild>
            <w:div w:id="224343397">
              <w:marLeft w:val="0"/>
              <w:marRight w:val="0"/>
              <w:marTop w:val="0"/>
              <w:marBottom w:val="0"/>
              <w:divBdr>
                <w:top w:val="none" w:sz="0" w:space="0" w:color="auto"/>
                <w:left w:val="none" w:sz="0" w:space="0" w:color="auto"/>
                <w:bottom w:val="none" w:sz="0" w:space="0" w:color="auto"/>
                <w:right w:val="none" w:sz="0" w:space="0" w:color="auto"/>
              </w:divBdr>
              <w:divsChild>
                <w:div w:id="6613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49354">
      <w:bodyDiv w:val="1"/>
      <w:marLeft w:val="0"/>
      <w:marRight w:val="0"/>
      <w:marTop w:val="0"/>
      <w:marBottom w:val="0"/>
      <w:divBdr>
        <w:top w:val="none" w:sz="0" w:space="0" w:color="auto"/>
        <w:left w:val="none" w:sz="0" w:space="0" w:color="auto"/>
        <w:bottom w:val="none" w:sz="0" w:space="0" w:color="auto"/>
        <w:right w:val="none" w:sz="0" w:space="0" w:color="auto"/>
      </w:divBdr>
      <w:divsChild>
        <w:div w:id="1150706613">
          <w:marLeft w:val="0"/>
          <w:marRight w:val="0"/>
          <w:marTop w:val="0"/>
          <w:marBottom w:val="0"/>
          <w:divBdr>
            <w:top w:val="none" w:sz="0" w:space="0" w:color="auto"/>
            <w:left w:val="none" w:sz="0" w:space="0" w:color="auto"/>
            <w:bottom w:val="none" w:sz="0" w:space="0" w:color="auto"/>
            <w:right w:val="none" w:sz="0" w:space="0" w:color="auto"/>
          </w:divBdr>
          <w:divsChild>
            <w:div w:id="2145732665">
              <w:marLeft w:val="0"/>
              <w:marRight w:val="0"/>
              <w:marTop w:val="0"/>
              <w:marBottom w:val="0"/>
              <w:divBdr>
                <w:top w:val="none" w:sz="0" w:space="0" w:color="auto"/>
                <w:left w:val="none" w:sz="0" w:space="0" w:color="auto"/>
                <w:bottom w:val="none" w:sz="0" w:space="0" w:color="auto"/>
                <w:right w:val="none" w:sz="0" w:space="0" w:color="auto"/>
              </w:divBdr>
              <w:divsChild>
                <w:div w:id="15100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855342">
      <w:bodyDiv w:val="1"/>
      <w:marLeft w:val="0"/>
      <w:marRight w:val="0"/>
      <w:marTop w:val="0"/>
      <w:marBottom w:val="0"/>
      <w:divBdr>
        <w:top w:val="none" w:sz="0" w:space="0" w:color="auto"/>
        <w:left w:val="none" w:sz="0" w:space="0" w:color="auto"/>
        <w:bottom w:val="none" w:sz="0" w:space="0" w:color="auto"/>
        <w:right w:val="none" w:sz="0" w:space="0" w:color="auto"/>
      </w:divBdr>
      <w:divsChild>
        <w:div w:id="1023946074">
          <w:marLeft w:val="0"/>
          <w:marRight w:val="0"/>
          <w:marTop w:val="0"/>
          <w:marBottom w:val="0"/>
          <w:divBdr>
            <w:top w:val="none" w:sz="0" w:space="0" w:color="auto"/>
            <w:left w:val="none" w:sz="0" w:space="0" w:color="auto"/>
            <w:bottom w:val="none" w:sz="0" w:space="0" w:color="auto"/>
            <w:right w:val="none" w:sz="0" w:space="0" w:color="auto"/>
          </w:divBdr>
          <w:divsChild>
            <w:div w:id="417213815">
              <w:marLeft w:val="0"/>
              <w:marRight w:val="0"/>
              <w:marTop w:val="0"/>
              <w:marBottom w:val="0"/>
              <w:divBdr>
                <w:top w:val="none" w:sz="0" w:space="0" w:color="auto"/>
                <w:left w:val="none" w:sz="0" w:space="0" w:color="auto"/>
                <w:bottom w:val="none" w:sz="0" w:space="0" w:color="auto"/>
                <w:right w:val="none" w:sz="0" w:space="0" w:color="auto"/>
              </w:divBdr>
              <w:divsChild>
                <w:div w:id="496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99789">
      <w:bodyDiv w:val="1"/>
      <w:marLeft w:val="0"/>
      <w:marRight w:val="0"/>
      <w:marTop w:val="0"/>
      <w:marBottom w:val="0"/>
      <w:divBdr>
        <w:top w:val="none" w:sz="0" w:space="0" w:color="auto"/>
        <w:left w:val="none" w:sz="0" w:space="0" w:color="auto"/>
        <w:bottom w:val="none" w:sz="0" w:space="0" w:color="auto"/>
        <w:right w:val="none" w:sz="0" w:space="0" w:color="auto"/>
      </w:divBdr>
      <w:divsChild>
        <w:div w:id="138614029">
          <w:marLeft w:val="0"/>
          <w:marRight w:val="0"/>
          <w:marTop w:val="0"/>
          <w:marBottom w:val="0"/>
          <w:divBdr>
            <w:top w:val="none" w:sz="0" w:space="0" w:color="auto"/>
            <w:left w:val="none" w:sz="0" w:space="0" w:color="auto"/>
            <w:bottom w:val="none" w:sz="0" w:space="0" w:color="auto"/>
            <w:right w:val="none" w:sz="0" w:space="0" w:color="auto"/>
          </w:divBdr>
          <w:divsChild>
            <w:div w:id="129716573">
              <w:marLeft w:val="0"/>
              <w:marRight w:val="0"/>
              <w:marTop w:val="0"/>
              <w:marBottom w:val="0"/>
              <w:divBdr>
                <w:top w:val="none" w:sz="0" w:space="0" w:color="auto"/>
                <w:left w:val="none" w:sz="0" w:space="0" w:color="auto"/>
                <w:bottom w:val="none" w:sz="0" w:space="0" w:color="auto"/>
                <w:right w:val="none" w:sz="0" w:space="0" w:color="auto"/>
              </w:divBdr>
              <w:divsChild>
                <w:div w:id="20974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23265">
      <w:bodyDiv w:val="1"/>
      <w:marLeft w:val="0"/>
      <w:marRight w:val="0"/>
      <w:marTop w:val="0"/>
      <w:marBottom w:val="0"/>
      <w:divBdr>
        <w:top w:val="none" w:sz="0" w:space="0" w:color="auto"/>
        <w:left w:val="none" w:sz="0" w:space="0" w:color="auto"/>
        <w:bottom w:val="none" w:sz="0" w:space="0" w:color="auto"/>
        <w:right w:val="none" w:sz="0" w:space="0" w:color="auto"/>
      </w:divBdr>
      <w:divsChild>
        <w:div w:id="224292670">
          <w:marLeft w:val="0"/>
          <w:marRight w:val="0"/>
          <w:marTop w:val="0"/>
          <w:marBottom w:val="0"/>
          <w:divBdr>
            <w:top w:val="none" w:sz="0" w:space="0" w:color="auto"/>
            <w:left w:val="none" w:sz="0" w:space="0" w:color="auto"/>
            <w:bottom w:val="none" w:sz="0" w:space="0" w:color="auto"/>
            <w:right w:val="none" w:sz="0" w:space="0" w:color="auto"/>
          </w:divBdr>
          <w:divsChild>
            <w:div w:id="192765592">
              <w:marLeft w:val="0"/>
              <w:marRight w:val="0"/>
              <w:marTop w:val="0"/>
              <w:marBottom w:val="0"/>
              <w:divBdr>
                <w:top w:val="none" w:sz="0" w:space="0" w:color="auto"/>
                <w:left w:val="none" w:sz="0" w:space="0" w:color="auto"/>
                <w:bottom w:val="none" w:sz="0" w:space="0" w:color="auto"/>
                <w:right w:val="none" w:sz="0" w:space="0" w:color="auto"/>
              </w:divBdr>
              <w:divsChild>
                <w:div w:id="181240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79227">
      <w:bodyDiv w:val="1"/>
      <w:marLeft w:val="0"/>
      <w:marRight w:val="0"/>
      <w:marTop w:val="0"/>
      <w:marBottom w:val="0"/>
      <w:divBdr>
        <w:top w:val="none" w:sz="0" w:space="0" w:color="auto"/>
        <w:left w:val="none" w:sz="0" w:space="0" w:color="auto"/>
        <w:bottom w:val="none" w:sz="0" w:space="0" w:color="auto"/>
        <w:right w:val="none" w:sz="0" w:space="0" w:color="auto"/>
      </w:divBdr>
      <w:divsChild>
        <w:div w:id="225191409">
          <w:marLeft w:val="0"/>
          <w:marRight w:val="0"/>
          <w:marTop w:val="0"/>
          <w:marBottom w:val="0"/>
          <w:divBdr>
            <w:top w:val="none" w:sz="0" w:space="0" w:color="auto"/>
            <w:left w:val="none" w:sz="0" w:space="0" w:color="auto"/>
            <w:bottom w:val="none" w:sz="0" w:space="0" w:color="auto"/>
            <w:right w:val="none" w:sz="0" w:space="0" w:color="auto"/>
          </w:divBdr>
          <w:divsChild>
            <w:div w:id="1246956245">
              <w:marLeft w:val="0"/>
              <w:marRight w:val="0"/>
              <w:marTop w:val="0"/>
              <w:marBottom w:val="0"/>
              <w:divBdr>
                <w:top w:val="none" w:sz="0" w:space="0" w:color="auto"/>
                <w:left w:val="none" w:sz="0" w:space="0" w:color="auto"/>
                <w:bottom w:val="none" w:sz="0" w:space="0" w:color="auto"/>
                <w:right w:val="none" w:sz="0" w:space="0" w:color="auto"/>
              </w:divBdr>
              <w:divsChild>
                <w:div w:id="12022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51310">
      <w:bodyDiv w:val="1"/>
      <w:marLeft w:val="0"/>
      <w:marRight w:val="0"/>
      <w:marTop w:val="0"/>
      <w:marBottom w:val="0"/>
      <w:divBdr>
        <w:top w:val="none" w:sz="0" w:space="0" w:color="auto"/>
        <w:left w:val="none" w:sz="0" w:space="0" w:color="auto"/>
        <w:bottom w:val="none" w:sz="0" w:space="0" w:color="auto"/>
        <w:right w:val="none" w:sz="0" w:space="0" w:color="auto"/>
      </w:divBdr>
      <w:divsChild>
        <w:div w:id="1028337915">
          <w:marLeft w:val="0"/>
          <w:marRight w:val="0"/>
          <w:marTop w:val="0"/>
          <w:marBottom w:val="0"/>
          <w:divBdr>
            <w:top w:val="none" w:sz="0" w:space="0" w:color="auto"/>
            <w:left w:val="none" w:sz="0" w:space="0" w:color="auto"/>
            <w:bottom w:val="none" w:sz="0" w:space="0" w:color="auto"/>
            <w:right w:val="none" w:sz="0" w:space="0" w:color="auto"/>
          </w:divBdr>
          <w:divsChild>
            <w:div w:id="926694065">
              <w:marLeft w:val="0"/>
              <w:marRight w:val="0"/>
              <w:marTop w:val="0"/>
              <w:marBottom w:val="0"/>
              <w:divBdr>
                <w:top w:val="none" w:sz="0" w:space="0" w:color="auto"/>
                <w:left w:val="none" w:sz="0" w:space="0" w:color="auto"/>
                <w:bottom w:val="none" w:sz="0" w:space="0" w:color="auto"/>
                <w:right w:val="none" w:sz="0" w:space="0" w:color="auto"/>
              </w:divBdr>
              <w:divsChild>
                <w:div w:id="5213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793971">
      <w:bodyDiv w:val="1"/>
      <w:marLeft w:val="0"/>
      <w:marRight w:val="0"/>
      <w:marTop w:val="0"/>
      <w:marBottom w:val="0"/>
      <w:divBdr>
        <w:top w:val="none" w:sz="0" w:space="0" w:color="auto"/>
        <w:left w:val="none" w:sz="0" w:space="0" w:color="auto"/>
        <w:bottom w:val="none" w:sz="0" w:space="0" w:color="auto"/>
        <w:right w:val="none" w:sz="0" w:space="0" w:color="auto"/>
      </w:divBdr>
      <w:divsChild>
        <w:div w:id="647395548">
          <w:marLeft w:val="0"/>
          <w:marRight w:val="0"/>
          <w:marTop w:val="0"/>
          <w:marBottom w:val="0"/>
          <w:divBdr>
            <w:top w:val="none" w:sz="0" w:space="0" w:color="auto"/>
            <w:left w:val="none" w:sz="0" w:space="0" w:color="auto"/>
            <w:bottom w:val="none" w:sz="0" w:space="0" w:color="auto"/>
            <w:right w:val="none" w:sz="0" w:space="0" w:color="auto"/>
          </w:divBdr>
          <w:divsChild>
            <w:div w:id="1586109316">
              <w:marLeft w:val="0"/>
              <w:marRight w:val="0"/>
              <w:marTop w:val="0"/>
              <w:marBottom w:val="0"/>
              <w:divBdr>
                <w:top w:val="none" w:sz="0" w:space="0" w:color="auto"/>
                <w:left w:val="none" w:sz="0" w:space="0" w:color="auto"/>
                <w:bottom w:val="none" w:sz="0" w:space="0" w:color="auto"/>
                <w:right w:val="none" w:sz="0" w:space="0" w:color="auto"/>
              </w:divBdr>
              <w:divsChild>
                <w:div w:id="53492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8770">
      <w:bodyDiv w:val="1"/>
      <w:marLeft w:val="0"/>
      <w:marRight w:val="0"/>
      <w:marTop w:val="0"/>
      <w:marBottom w:val="0"/>
      <w:divBdr>
        <w:top w:val="none" w:sz="0" w:space="0" w:color="auto"/>
        <w:left w:val="none" w:sz="0" w:space="0" w:color="auto"/>
        <w:bottom w:val="none" w:sz="0" w:space="0" w:color="auto"/>
        <w:right w:val="none" w:sz="0" w:space="0" w:color="auto"/>
      </w:divBdr>
      <w:divsChild>
        <w:div w:id="826282491">
          <w:marLeft w:val="0"/>
          <w:marRight w:val="0"/>
          <w:marTop w:val="0"/>
          <w:marBottom w:val="0"/>
          <w:divBdr>
            <w:top w:val="none" w:sz="0" w:space="0" w:color="auto"/>
            <w:left w:val="none" w:sz="0" w:space="0" w:color="auto"/>
            <w:bottom w:val="none" w:sz="0" w:space="0" w:color="auto"/>
            <w:right w:val="none" w:sz="0" w:space="0" w:color="auto"/>
          </w:divBdr>
          <w:divsChild>
            <w:div w:id="1733000095">
              <w:marLeft w:val="0"/>
              <w:marRight w:val="0"/>
              <w:marTop w:val="0"/>
              <w:marBottom w:val="0"/>
              <w:divBdr>
                <w:top w:val="none" w:sz="0" w:space="0" w:color="auto"/>
                <w:left w:val="none" w:sz="0" w:space="0" w:color="auto"/>
                <w:bottom w:val="none" w:sz="0" w:space="0" w:color="auto"/>
                <w:right w:val="none" w:sz="0" w:space="0" w:color="auto"/>
              </w:divBdr>
              <w:divsChild>
                <w:div w:id="20405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89105">
      <w:bodyDiv w:val="1"/>
      <w:marLeft w:val="0"/>
      <w:marRight w:val="0"/>
      <w:marTop w:val="0"/>
      <w:marBottom w:val="0"/>
      <w:divBdr>
        <w:top w:val="none" w:sz="0" w:space="0" w:color="auto"/>
        <w:left w:val="none" w:sz="0" w:space="0" w:color="auto"/>
        <w:bottom w:val="none" w:sz="0" w:space="0" w:color="auto"/>
        <w:right w:val="none" w:sz="0" w:space="0" w:color="auto"/>
      </w:divBdr>
      <w:divsChild>
        <w:div w:id="1053428235">
          <w:marLeft w:val="0"/>
          <w:marRight w:val="0"/>
          <w:marTop w:val="0"/>
          <w:marBottom w:val="0"/>
          <w:divBdr>
            <w:top w:val="none" w:sz="0" w:space="0" w:color="auto"/>
            <w:left w:val="none" w:sz="0" w:space="0" w:color="auto"/>
            <w:bottom w:val="none" w:sz="0" w:space="0" w:color="auto"/>
            <w:right w:val="none" w:sz="0" w:space="0" w:color="auto"/>
          </w:divBdr>
          <w:divsChild>
            <w:div w:id="759520654">
              <w:marLeft w:val="0"/>
              <w:marRight w:val="0"/>
              <w:marTop w:val="0"/>
              <w:marBottom w:val="0"/>
              <w:divBdr>
                <w:top w:val="none" w:sz="0" w:space="0" w:color="auto"/>
                <w:left w:val="none" w:sz="0" w:space="0" w:color="auto"/>
                <w:bottom w:val="none" w:sz="0" w:space="0" w:color="auto"/>
                <w:right w:val="none" w:sz="0" w:space="0" w:color="auto"/>
              </w:divBdr>
              <w:divsChild>
                <w:div w:id="130785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46830">
      <w:bodyDiv w:val="1"/>
      <w:marLeft w:val="0"/>
      <w:marRight w:val="0"/>
      <w:marTop w:val="0"/>
      <w:marBottom w:val="0"/>
      <w:divBdr>
        <w:top w:val="none" w:sz="0" w:space="0" w:color="auto"/>
        <w:left w:val="none" w:sz="0" w:space="0" w:color="auto"/>
        <w:bottom w:val="none" w:sz="0" w:space="0" w:color="auto"/>
        <w:right w:val="none" w:sz="0" w:space="0" w:color="auto"/>
      </w:divBdr>
      <w:divsChild>
        <w:div w:id="175463364">
          <w:marLeft w:val="0"/>
          <w:marRight w:val="0"/>
          <w:marTop w:val="0"/>
          <w:marBottom w:val="0"/>
          <w:divBdr>
            <w:top w:val="none" w:sz="0" w:space="0" w:color="auto"/>
            <w:left w:val="none" w:sz="0" w:space="0" w:color="auto"/>
            <w:bottom w:val="none" w:sz="0" w:space="0" w:color="auto"/>
            <w:right w:val="none" w:sz="0" w:space="0" w:color="auto"/>
          </w:divBdr>
          <w:divsChild>
            <w:div w:id="879324968">
              <w:marLeft w:val="0"/>
              <w:marRight w:val="0"/>
              <w:marTop w:val="0"/>
              <w:marBottom w:val="0"/>
              <w:divBdr>
                <w:top w:val="none" w:sz="0" w:space="0" w:color="auto"/>
                <w:left w:val="none" w:sz="0" w:space="0" w:color="auto"/>
                <w:bottom w:val="none" w:sz="0" w:space="0" w:color="auto"/>
                <w:right w:val="none" w:sz="0" w:space="0" w:color="auto"/>
              </w:divBdr>
              <w:divsChild>
                <w:div w:id="15927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29066">
      <w:bodyDiv w:val="1"/>
      <w:marLeft w:val="0"/>
      <w:marRight w:val="0"/>
      <w:marTop w:val="0"/>
      <w:marBottom w:val="0"/>
      <w:divBdr>
        <w:top w:val="none" w:sz="0" w:space="0" w:color="auto"/>
        <w:left w:val="none" w:sz="0" w:space="0" w:color="auto"/>
        <w:bottom w:val="none" w:sz="0" w:space="0" w:color="auto"/>
        <w:right w:val="none" w:sz="0" w:space="0" w:color="auto"/>
      </w:divBdr>
      <w:divsChild>
        <w:div w:id="1085692437">
          <w:marLeft w:val="0"/>
          <w:marRight w:val="0"/>
          <w:marTop w:val="0"/>
          <w:marBottom w:val="0"/>
          <w:divBdr>
            <w:top w:val="none" w:sz="0" w:space="0" w:color="auto"/>
            <w:left w:val="none" w:sz="0" w:space="0" w:color="auto"/>
            <w:bottom w:val="none" w:sz="0" w:space="0" w:color="auto"/>
            <w:right w:val="none" w:sz="0" w:space="0" w:color="auto"/>
          </w:divBdr>
          <w:divsChild>
            <w:div w:id="140541212">
              <w:marLeft w:val="0"/>
              <w:marRight w:val="0"/>
              <w:marTop w:val="0"/>
              <w:marBottom w:val="0"/>
              <w:divBdr>
                <w:top w:val="none" w:sz="0" w:space="0" w:color="auto"/>
                <w:left w:val="none" w:sz="0" w:space="0" w:color="auto"/>
                <w:bottom w:val="none" w:sz="0" w:space="0" w:color="auto"/>
                <w:right w:val="none" w:sz="0" w:space="0" w:color="auto"/>
              </w:divBdr>
              <w:divsChild>
                <w:div w:id="199479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535600">
      <w:bodyDiv w:val="1"/>
      <w:marLeft w:val="0"/>
      <w:marRight w:val="0"/>
      <w:marTop w:val="0"/>
      <w:marBottom w:val="0"/>
      <w:divBdr>
        <w:top w:val="none" w:sz="0" w:space="0" w:color="auto"/>
        <w:left w:val="none" w:sz="0" w:space="0" w:color="auto"/>
        <w:bottom w:val="none" w:sz="0" w:space="0" w:color="auto"/>
        <w:right w:val="none" w:sz="0" w:space="0" w:color="auto"/>
      </w:divBdr>
      <w:divsChild>
        <w:div w:id="1437948301">
          <w:marLeft w:val="0"/>
          <w:marRight w:val="0"/>
          <w:marTop w:val="0"/>
          <w:marBottom w:val="0"/>
          <w:divBdr>
            <w:top w:val="none" w:sz="0" w:space="0" w:color="auto"/>
            <w:left w:val="none" w:sz="0" w:space="0" w:color="auto"/>
            <w:bottom w:val="none" w:sz="0" w:space="0" w:color="auto"/>
            <w:right w:val="none" w:sz="0" w:space="0" w:color="auto"/>
          </w:divBdr>
          <w:divsChild>
            <w:div w:id="1900286599">
              <w:marLeft w:val="0"/>
              <w:marRight w:val="0"/>
              <w:marTop w:val="0"/>
              <w:marBottom w:val="0"/>
              <w:divBdr>
                <w:top w:val="none" w:sz="0" w:space="0" w:color="auto"/>
                <w:left w:val="none" w:sz="0" w:space="0" w:color="auto"/>
                <w:bottom w:val="none" w:sz="0" w:space="0" w:color="auto"/>
                <w:right w:val="none" w:sz="0" w:space="0" w:color="auto"/>
              </w:divBdr>
              <w:divsChild>
                <w:div w:id="9591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70732">
      <w:bodyDiv w:val="1"/>
      <w:marLeft w:val="0"/>
      <w:marRight w:val="0"/>
      <w:marTop w:val="0"/>
      <w:marBottom w:val="0"/>
      <w:divBdr>
        <w:top w:val="none" w:sz="0" w:space="0" w:color="auto"/>
        <w:left w:val="none" w:sz="0" w:space="0" w:color="auto"/>
        <w:bottom w:val="none" w:sz="0" w:space="0" w:color="auto"/>
        <w:right w:val="none" w:sz="0" w:space="0" w:color="auto"/>
      </w:divBdr>
      <w:divsChild>
        <w:div w:id="1015427228">
          <w:marLeft w:val="0"/>
          <w:marRight w:val="0"/>
          <w:marTop w:val="0"/>
          <w:marBottom w:val="0"/>
          <w:divBdr>
            <w:top w:val="none" w:sz="0" w:space="0" w:color="auto"/>
            <w:left w:val="none" w:sz="0" w:space="0" w:color="auto"/>
            <w:bottom w:val="none" w:sz="0" w:space="0" w:color="auto"/>
            <w:right w:val="none" w:sz="0" w:space="0" w:color="auto"/>
          </w:divBdr>
          <w:divsChild>
            <w:div w:id="334844595">
              <w:marLeft w:val="0"/>
              <w:marRight w:val="0"/>
              <w:marTop w:val="0"/>
              <w:marBottom w:val="0"/>
              <w:divBdr>
                <w:top w:val="none" w:sz="0" w:space="0" w:color="auto"/>
                <w:left w:val="none" w:sz="0" w:space="0" w:color="auto"/>
                <w:bottom w:val="none" w:sz="0" w:space="0" w:color="auto"/>
                <w:right w:val="none" w:sz="0" w:space="0" w:color="auto"/>
              </w:divBdr>
              <w:divsChild>
                <w:div w:id="121080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16492">
      <w:bodyDiv w:val="1"/>
      <w:marLeft w:val="0"/>
      <w:marRight w:val="0"/>
      <w:marTop w:val="0"/>
      <w:marBottom w:val="0"/>
      <w:divBdr>
        <w:top w:val="none" w:sz="0" w:space="0" w:color="auto"/>
        <w:left w:val="none" w:sz="0" w:space="0" w:color="auto"/>
        <w:bottom w:val="none" w:sz="0" w:space="0" w:color="auto"/>
        <w:right w:val="none" w:sz="0" w:space="0" w:color="auto"/>
      </w:divBdr>
      <w:divsChild>
        <w:div w:id="334185466">
          <w:marLeft w:val="0"/>
          <w:marRight w:val="0"/>
          <w:marTop w:val="0"/>
          <w:marBottom w:val="0"/>
          <w:divBdr>
            <w:top w:val="none" w:sz="0" w:space="0" w:color="auto"/>
            <w:left w:val="none" w:sz="0" w:space="0" w:color="auto"/>
            <w:bottom w:val="none" w:sz="0" w:space="0" w:color="auto"/>
            <w:right w:val="none" w:sz="0" w:space="0" w:color="auto"/>
          </w:divBdr>
          <w:divsChild>
            <w:div w:id="1114250032">
              <w:marLeft w:val="0"/>
              <w:marRight w:val="0"/>
              <w:marTop w:val="0"/>
              <w:marBottom w:val="0"/>
              <w:divBdr>
                <w:top w:val="none" w:sz="0" w:space="0" w:color="auto"/>
                <w:left w:val="none" w:sz="0" w:space="0" w:color="auto"/>
                <w:bottom w:val="none" w:sz="0" w:space="0" w:color="auto"/>
                <w:right w:val="none" w:sz="0" w:space="0" w:color="auto"/>
              </w:divBdr>
              <w:divsChild>
                <w:div w:id="11392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5639">
      <w:bodyDiv w:val="1"/>
      <w:marLeft w:val="0"/>
      <w:marRight w:val="0"/>
      <w:marTop w:val="0"/>
      <w:marBottom w:val="0"/>
      <w:divBdr>
        <w:top w:val="none" w:sz="0" w:space="0" w:color="auto"/>
        <w:left w:val="none" w:sz="0" w:space="0" w:color="auto"/>
        <w:bottom w:val="none" w:sz="0" w:space="0" w:color="auto"/>
        <w:right w:val="none" w:sz="0" w:space="0" w:color="auto"/>
      </w:divBdr>
      <w:divsChild>
        <w:div w:id="38408104">
          <w:marLeft w:val="0"/>
          <w:marRight w:val="0"/>
          <w:marTop w:val="0"/>
          <w:marBottom w:val="0"/>
          <w:divBdr>
            <w:top w:val="none" w:sz="0" w:space="0" w:color="auto"/>
            <w:left w:val="none" w:sz="0" w:space="0" w:color="auto"/>
            <w:bottom w:val="none" w:sz="0" w:space="0" w:color="auto"/>
            <w:right w:val="none" w:sz="0" w:space="0" w:color="auto"/>
          </w:divBdr>
          <w:divsChild>
            <w:div w:id="1529833392">
              <w:marLeft w:val="0"/>
              <w:marRight w:val="0"/>
              <w:marTop w:val="0"/>
              <w:marBottom w:val="0"/>
              <w:divBdr>
                <w:top w:val="none" w:sz="0" w:space="0" w:color="auto"/>
                <w:left w:val="none" w:sz="0" w:space="0" w:color="auto"/>
                <w:bottom w:val="none" w:sz="0" w:space="0" w:color="auto"/>
                <w:right w:val="none" w:sz="0" w:space="0" w:color="auto"/>
              </w:divBdr>
              <w:divsChild>
                <w:div w:id="9319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1742">
      <w:bodyDiv w:val="1"/>
      <w:marLeft w:val="0"/>
      <w:marRight w:val="0"/>
      <w:marTop w:val="0"/>
      <w:marBottom w:val="0"/>
      <w:divBdr>
        <w:top w:val="none" w:sz="0" w:space="0" w:color="auto"/>
        <w:left w:val="none" w:sz="0" w:space="0" w:color="auto"/>
        <w:bottom w:val="none" w:sz="0" w:space="0" w:color="auto"/>
        <w:right w:val="none" w:sz="0" w:space="0" w:color="auto"/>
      </w:divBdr>
      <w:divsChild>
        <w:div w:id="1599678369">
          <w:marLeft w:val="0"/>
          <w:marRight w:val="0"/>
          <w:marTop w:val="0"/>
          <w:marBottom w:val="0"/>
          <w:divBdr>
            <w:top w:val="none" w:sz="0" w:space="0" w:color="auto"/>
            <w:left w:val="none" w:sz="0" w:space="0" w:color="auto"/>
            <w:bottom w:val="none" w:sz="0" w:space="0" w:color="auto"/>
            <w:right w:val="none" w:sz="0" w:space="0" w:color="auto"/>
          </w:divBdr>
          <w:divsChild>
            <w:div w:id="1570461578">
              <w:marLeft w:val="0"/>
              <w:marRight w:val="0"/>
              <w:marTop w:val="0"/>
              <w:marBottom w:val="0"/>
              <w:divBdr>
                <w:top w:val="none" w:sz="0" w:space="0" w:color="auto"/>
                <w:left w:val="none" w:sz="0" w:space="0" w:color="auto"/>
                <w:bottom w:val="none" w:sz="0" w:space="0" w:color="auto"/>
                <w:right w:val="none" w:sz="0" w:space="0" w:color="auto"/>
              </w:divBdr>
              <w:divsChild>
                <w:div w:id="205110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37325">
      <w:bodyDiv w:val="1"/>
      <w:marLeft w:val="0"/>
      <w:marRight w:val="0"/>
      <w:marTop w:val="0"/>
      <w:marBottom w:val="0"/>
      <w:divBdr>
        <w:top w:val="none" w:sz="0" w:space="0" w:color="auto"/>
        <w:left w:val="none" w:sz="0" w:space="0" w:color="auto"/>
        <w:bottom w:val="none" w:sz="0" w:space="0" w:color="auto"/>
        <w:right w:val="none" w:sz="0" w:space="0" w:color="auto"/>
      </w:divBdr>
      <w:divsChild>
        <w:div w:id="1643188995">
          <w:marLeft w:val="0"/>
          <w:marRight w:val="0"/>
          <w:marTop w:val="0"/>
          <w:marBottom w:val="0"/>
          <w:divBdr>
            <w:top w:val="none" w:sz="0" w:space="0" w:color="auto"/>
            <w:left w:val="none" w:sz="0" w:space="0" w:color="auto"/>
            <w:bottom w:val="none" w:sz="0" w:space="0" w:color="auto"/>
            <w:right w:val="none" w:sz="0" w:space="0" w:color="auto"/>
          </w:divBdr>
          <w:divsChild>
            <w:div w:id="210459410">
              <w:marLeft w:val="0"/>
              <w:marRight w:val="0"/>
              <w:marTop w:val="0"/>
              <w:marBottom w:val="0"/>
              <w:divBdr>
                <w:top w:val="none" w:sz="0" w:space="0" w:color="auto"/>
                <w:left w:val="none" w:sz="0" w:space="0" w:color="auto"/>
                <w:bottom w:val="none" w:sz="0" w:space="0" w:color="auto"/>
                <w:right w:val="none" w:sz="0" w:space="0" w:color="auto"/>
              </w:divBdr>
              <w:divsChild>
                <w:div w:id="1997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343382">
      <w:bodyDiv w:val="1"/>
      <w:marLeft w:val="0"/>
      <w:marRight w:val="0"/>
      <w:marTop w:val="0"/>
      <w:marBottom w:val="0"/>
      <w:divBdr>
        <w:top w:val="none" w:sz="0" w:space="0" w:color="auto"/>
        <w:left w:val="none" w:sz="0" w:space="0" w:color="auto"/>
        <w:bottom w:val="none" w:sz="0" w:space="0" w:color="auto"/>
        <w:right w:val="none" w:sz="0" w:space="0" w:color="auto"/>
      </w:divBdr>
      <w:divsChild>
        <w:div w:id="2097238524">
          <w:marLeft w:val="0"/>
          <w:marRight w:val="0"/>
          <w:marTop w:val="0"/>
          <w:marBottom w:val="0"/>
          <w:divBdr>
            <w:top w:val="none" w:sz="0" w:space="0" w:color="auto"/>
            <w:left w:val="none" w:sz="0" w:space="0" w:color="auto"/>
            <w:bottom w:val="none" w:sz="0" w:space="0" w:color="auto"/>
            <w:right w:val="none" w:sz="0" w:space="0" w:color="auto"/>
          </w:divBdr>
          <w:divsChild>
            <w:div w:id="2120449503">
              <w:marLeft w:val="0"/>
              <w:marRight w:val="0"/>
              <w:marTop w:val="0"/>
              <w:marBottom w:val="0"/>
              <w:divBdr>
                <w:top w:val="none" w:sz="0" w:space="0" w:color="auto"/>
                <w:left w:val="none" w:sz="0" w:space="0" w:color="auto"/>
                <w:bottom w:val="none" w:sz="0" w:space="0" w:color="auto"/>
                <w:right w:val="none" w:sz="0" w:space="0" w:color="auto"/>
              </w:divBdr>
              <w:divsChild>
                <w:div w:id="205503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68330">
      <w:bodyDiv w:val="1"/>
      <w:marLeft w:val="0"/>
      <w:marRight w:val="0"/>
      <w:marTop w:val="0"/>
      <w:marBottom w:val="0"/>
      <w:divBdr>
        <w:top w:val="none" w:sz="0" w:space="0" w:color="auto"/>
        <w:left w:val="none" w:sz="0" w:space="0" w:color="auto"/>
        <w:bottom w:val="none" w:sz="0" w:space="0" w:color="auto"/>
        <w:right w:val="none" w:sz="0" w:space="0" w:color="auto"/>
      </w:divBdr>
      <w:divsChild>
        <w:div w:id="1381249998">
          <w:marLeft w:val="0"/>
          <w:marRight w:val="0"/>
          <w:marTop w:val="0"/>
          <w:marBottom w:val="0"/>
          <w:divBdr>
            <w:top w:val="none" w:sz="0" w:space="0" w:color="auto"/>
            <w:left w:val="none" w:sz="0" w:space="0" w:color="auto"/>
            <w:bottom w:val="none" w:sz="0" w:space="0" w:color="auto"/>
            <w:right w:val="none" w:sz="0" w:space="0" w:color="auto"/>
          </w:divBdr>
          <w:divsChild>
            <w:div w:id="211818406">
              <w:marLeft w:val="0"/>
              <w:marRight w:val="0"/>
              <w:marTop w:val="0"/>
              <w:marBottom w:val="0"/>
              <w:divBdr>
                <w:top w:val="none" w:sz="0" w:space="0" w:color="auto"/>
                <w:left w:val="none" w:sz="0" w:space="0" w:color="auto"/>
                <w:bottom w:val="none" w:sz="0" w:space="0" w:color="auto"/>
                <w:right w:val="none" w:sz="0" w:space="0" w:color="auto"/>
              </w:divBdr>
              <w:divsChild>
                <w:div w:id="17878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8880">
      <w:bodyDiv w:val="1"/>
      <w:marLeft w:val="0"/>
      <w:marRight w:val="0"/>
      <w:marTop w:val="0"/>
      <w:marBottom w:val="0"/>
      <w:divBdr>
        <w:top w:val="none" w:sz="0" w:space="0" w:color="auto"/>
        <w:left w:val="none" w:sz="0" w:space="0" w:color="auto"/>
        <w:bottom w:val="none" w:sz="0" w:space="0" w:color="auto"/>
        <w:right w:val="none" w:sz="0" w:space="0" w:color="auto"/>
      </w:divBdr>
      <w:divsChild>
        <w:div w:id="1231699207">
          <w:marLeft w:val="0"/>
          <w:marRight w:val="0"/>
          <w:marTop w:val="0"/>
          <w:marBottom w:val="0"/>
          <w:divBdr>
            <w:top w:val="none" w:sz="0" w:space="0" w:color="auto"/>
            <w:left w:val="none" w:sz="0" w:space="0" w:color="auto"/>
            <w:bottom w:val="none" w:sz="0" w:space="0" w:color="auto"/>
            <w:right w:val="none" w:sz="0" w:space="0" w:color="auto"/>
          </w:divBdr>
          <w:divsChild>
            <w:div w:id="466049959">
              <w:marLeft w:val="0"/>
              <w:marRight w:val="0"/>
              <w:marTop w:val="0"/>
              <w:marBottom w:val="0"/>
              <w:divBdr>
                <w:top w:val="none" w:sz="0" w:space="0" w:color="auto"/>
                <w:left w:val="none" w:sz="0" w:space="0" w:color="auto"/>
                <w:bottom w:val="none" w:sz="0" w:space="0" w:color="auto"/>
                <w:right w:val="none" w:sz="0" w:space="0" w:color="auto"/>
              </w:divBdr>
              <w:divsChild>
                <w:div w:id="68047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828714">
      <w:bodyDiv w:val="1"/>
      <w:marLeft w:val="0"/>
      <w:marRight w:val="0"/>
      <w:marTop w:val="0"/>
      <w:marBottom w:val="0"/>
      <w:divBdr>
        <w:top w:val="none" w:sz="0" w:space="0" w:color="auto"/>
        <w:left w:val="none" w:sz="0" w:space="0" w:color="auto"/>
        <w:bottom w:val="none" w:sz="0" w:space="0" w:color="auto"/>
        <w:right w:val="none" w:sz="0" w:space="0" w:color="auto"/>
      </w:divBdr>
      <w:divsChild>
        <w:div w:id="1135178594">
          <w:marLeft w:val="0"/>
          <w:marRight w:val="0"/>
          <w:marTop w:val="0"/>
          <w:marBottom w:val="0"/>
          <w:divBdr>
            <w:top w:val="none" w:sz="0" w:space="0" w:color="auto"/>
            <w:left w:val="none" w:sz="0" w:space="0" w:color="auto"/>
            <w:bottom w:val="none" w:sz="0" w:space="0" w:color="auto"/>
            <w:right w:val="none" w:sz="0" w:space="0" w:color="auto"/>
          </w:divBdr>
          <w:divsChild>
            <w:div w:id="1891916948">
              <w:marLeft w:val="0"/>
              <w:marRight w:val="0"/>
              <w:marTop w:val="0"/>
              <w:marBottom w:val="0"/>
              <w:divBdr>
                <w:top w:val="none" w:sz="0" w:space="0" w:color="auto"/>
                <w:left w:val="none" w:sz="0" w:space="0" w:color="auto"/>
                <w:bottom w:val="none" w:sz="0" w:space="0" w:color="auto"/>
                <w:right w:val="none" w:sz="0" w:space="0" w:color="auto"/>
              </w:divBdr>
              <w:divsChild>
                <w:div w:id="10339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81293">
      <w:bodyDiv w:val="1"/>
      <w:marLeft w:val="0"/>
      <w:marRight w:val="0"/>
      <w:marTop w:val="0"/>
      <w:marBottom w:val="0"/>
      <w:divBdr>
        <w:top w:val="none" w:sz="0" w:space="0" w:color="auto"/>
        <w:left w:val="none" w:sz="0" w:space="0" w:color="auto"/>
        <w:bottom w:val="none" w:sz="0" w:space="0" w:color="auto"/>
        <w:right w:val="none" w:sz="0" w:space="0" w:color="auto"/>
      </w:divBdr>
      <w:divsChild>
        <w:div w:id="1520044306">
          <w:marLeft w:val="0"/>
          <w:marRight w:val="0"/>
          <w:marTop w:val="0"/>
          <w:marBottom w:val="0"/>
          <w:divBdr>
            <w:top w:val="none" w:sz="0" w:space="0" w:color="auto"/>
            <w:left w:val="none" w:sz="0" w:space="0" w:color="auto"/>
            <w:bottom w:val="none" w:sz="0" w:space="0" w:color="auto"/>
            <w:right w:val="none" w:sz="0" w:space="0" w:color="auto"/>
          </w:divBdr>
          <w:divsChild>
            <w:div w:id="359859379">
              <w:marLeft w:val="0"/>
              <w:marRight w:val="0"/>
              <w:marTop w:val="0"/>
              <w:marBottom w:val="0"/>
              <w:divBdr>
                <w:top w:val="none" w:sz="0" w:space="0" w:color="auto"/>
                <w:left w:val="none" w:sz="0" w:space="0" w:color="auto"/>
                <w:bottom w:val="none" w:sz="0" w:space="0" w:color="auto"/>
                <w:right w:val="none" w:sz="0" w:space="0" w:color="auto"/>
              </w:divBdr>
              <w:divsChild>
                <w:div w:id="14081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79961">
      <w:bodyDiv w:val="1"/>
      <w:marLeft w:val="0"/>
      <w:marRight w:val="0"/>
      <w:marTop w:val="0"/>
      <w:marBottom w:val="0"/>
      <w:divBdr>
        <w:top w:val="none" w:sz="0" w:space="0" w:color="auto"/>
        <w:left w:val="none" w:sz="0" w:space="0" w:color="auto"/>
        <w:bottom w:val="none" w:sz="0" w:space="0" w:color="auto"/>
        <w:right w:val="none" w:sz="0" w:space="0" w:color="auto"/>
      </w:divBdr>
      <w:divsChild>
        <w:div w:id="1153908433">
          <w:marLeft w:val="0"/>
          <w:marRight w:val="0"/>
          <w:marTop w:val="0"/>
          <w:marBottom w:val="0"/>
          <w:divBdr>
            <w:top w:val="none" w:sz="0" w:space="0" w:color="auto"/>
            <w:left w:val="none" w:sz="0" w:space="0" w:color="auto"/>
            <w:bottom w:val="none" w:sz="0" w:space="0" w:color="auto"/>
            <w:right w:val="none" w:sz="0" w:space="0" w:color="auto"/>
          </w:divBdr>
          <w:divsChild>
            <w:div w:id="1088576263">
              <w:marLeft w:val="0"/>
              <w:marRight w:val="0"/>
              <w:marTop w:val="0"/>
              <w:marBottom w:val="0"/>
              <w:divBdr>
                <w:top w:val="none" w:sz="0" w:space="0" w:color="auto"/>
                <w:left w:val="none" w:sz="0" w:space="0" w:color="auto"/>
                <w:bottom w:val="none" w:sz="0" w:space="0" w:color="auto"/>
                <w:right w:val="none" w:sz="0" w:space="0" w:color="auto"/>
              </w:divBdr>
              <w:divsChild>
                <w:div w:id="183725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060450">
      <w:bodyDiv w:val="1"/>
      <w:marLeft w:val="0"/>
      <w:marRight w:val="0"/>
      <w:marTop w:val="0"/>
      <w:marBottom w:val="0"/>
      <w:divBdr>
        <w:top w:val="none" w:sz="0" w:space="0" w:color="auto"/>
        <w:left w:val="none" w:sz="0" w:space="0" w:color="auto"/>
        <w:bottom w:val="none" w:sz="0" w:space="0" w:color="auto"/>
        <w:right w:val="none" w:sz="0" w:space="0" w:color="auto"/>
      </w:divBdr>
      <w:divsChild>
        <w:div w:id="1967933326">
          <w:marLeft w:val="0"/>
          <w:marRight w:val="0"/>
          <w:marTop w:val="0"/>
          <w:marBottom w:val="0"/>
          <w:divBdr>
            <w:top w:val="none" w:sz="0" w:space="0" w:color="auto"/>
            <w:left w:val="none" w:sz="0" w:space="0" w:color="auto"/>
            <w:bottom w:val="none" w:sz="0" w:space="0" w:color="auto"/>
            <w:right w:val="none" w:sz="0" w:space="0" w:color="auto"/>
          </w:divBdr>
          <w:divsChild>
            <w:div w:id="949317656">
              <w:marLeft w:val="0"/>
              <w:marRight w:val="0"/>
              <w:marTop w:val="0"/>
              <w:marBottom w:val="0"/>
              <w:divBdr>
                <w:top w:val="none" w:sz="0" w:space="0" w:color="auto"/>
                <w:left w:val="none" w:sz="0" w:space="0" w:color="auto"/>
                <w:bottom w:val="none" w:sz="0" w:space="0" w:color="auto"/>
                <w:right w:val="none" w:sz="0" w:space="0" w:color="auto"/>
              </w:divBdr>
              <w:divsChild>
                <w:div w:id="9266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74231">
      <w:bodyDiv w:val="1"/>
      <w:marLeft w:val="0"/>
      <w:marRight w:val="0"/>
      <w:marTop w:val="0"/>
      <w:marBottom w:val="0"/>
      <w:divBdr>
        <w:top w:val="none" w:sz="0" w:space="0" w:color="auto"/>
        <w:left w:val="none" w:sz="0" w:space="0" w:color="auto"/>
        <w:bottom w:val="none" w:sz="0" w:space="0" w:color="auto"/>
        <w:right w:val="none" w:sz="0" w:space="0" w:color="auto"/>
      </w:divBdr>
      <w:divsChild>
        <w:div w:id="772631358">
          <w:marLeft w:val="0"/>
          <w:marRight w:val="0"/>
          <w:marTop w:val="0"/>
          <w:marBottom w:val="0"/>
          <w:divBdr>
            <w:top w:val="none" w:sz="0" w:space="0" w:color="auto"/>
            <w:left w:val="none" w:sz="0" w:space="0" w:color="auto"/>
            <w:bottom w:val="none" w:sz="0" w:space="0" w:color="auto"/>
            <w:right w:val="none" w:sz="0" w:space="0" w:color="auto"/>
          </w:divBdr>
          <w:divsChild>
            <w:div w:id="1716352006">
              <w:marLeft w:val="0"/>
              <w:marRight w:val="0"/>
              <w:marTop w:val="0"/>
              <w:marBottom w:val="0"/>
              <w:divBdr>
                <w:top w:val="none" w:sz="0" w:space="0" w:color="auto"/>
                <w:left w:val="none" w:sz="0" w:space="0" w:color="auto"/>
                <w:bottom w:val="none" w:sz="0" w:space="0" w:color="auto"/>
                <w:right w:val="none" w:sz="0" w:space="0" w:color="auto"/>
              </w:divBdr>
              <w:divsChild>
                <w:div w:id="19119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33772">
      <w:bodyDiv w:val="1"/>
      <w:marLeft w:val="0"/>
      <w:marRight w:val="0"/>
      <w:marTop w:val="0"/>
      <w:marBottom w:val="0"/>
      <w:divBdr>
        <w:top w:val="none" w:sz="0" w:space="0" w:color="auto"/>
        <w:left w:val="none" w:sz="0" w:space="0" w:color="auto"/>
        <w:bottom w:val="none" w:sz="0" w:space="0" w:color="auto"/>
        <w:right w:val="none" w:sz="0" w:space="0" w:color="auto"/>
      </w:divBdr>
      <w:divsChild>
        <w:div w:id="795754718">
          <w:marLeft w:val="0"/>
          <w:marRight w:val="0"/>
          <w:marTop w:val="0"/>
          <w:marBottom w:val="0"/>
          <w:divBdr>
            <w:top w:val="none" w:sz="0" w:space="0" w:color="auto"/>
            <w:left w:val="none" w:sz="0" w:space="0" w:color="auto"/>
            <w:bottom w:val="none" w:sz="0" w:space="0" w:color="auto"/>
            <w:right w:val="none" w:sz="0" w:space="0" w:color="auto"/>
          </w:divBdr>
          <w:divsChild>
            <w:div w:id="50469664">
              <w:marLeft w:val="0"/>
              <w:marRight w:val="0"/>
              <w:marTop w:val="0"/>
              <w:marBottom w:val="0"/>
              <w:divBdr>
                <w:top w:val="none" w:sz="0" w:space="0" w:color="auto"/>
                <w:left w:val="none" w:sz="0" w:space="0" w:color="auto"/>
                <w:bottom w:val="none" w:sz="0" w:space="0" w:color="auto"/>
                <w:right w:val="none" w:sz="0" w:space="0" w:color="auto"/>
              </w:divBdr>
              <w:divsChild>
                <w:div w:id="46832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574442">
      <w:bodyDiv w:val="1"/>
      <w:marLeft w:val="0"/>
      <w:marRight w:val="0"/>
      <w:marTop w:val="0"/>
      <w:marBottom w:val="0"/>
      <w:divBdr>
        <w:top w:val="none" w:sz="0" w:space="0" w:color="auto"/>
        <w:left w:val="none" w:sz="0" w:space="0" w:color="auto"/>
        <w:bottom w:val="none" w:sz="0" w:space="0" w:color="auto"/>
        <w:right w:val="none" w:sz="0" w:space="0" w:color="auto"/>
      </w:divBdr>
      <w:divsChild>
        <w:div w:id="1470393674">
          <w:marLeft w:val="0"/>
          <w:marRight w:val="0"/>
          <w:marTop w:val="0"/>
          <w:marBottom w:val="0"/>
          <w:divBdr>
            <w:top w:val="none" w:sz="0" w:space="0" w:color="auto"/>
            <w:left w:val="none" w:sz="0" w:space="0" w:color="auto"/>
            <w:bottom w:val="none" w:sz="0" w:space="0" w:color="auto"/>
            <w:right w:val="none" w:sz="0" w:space="0" w:color="auto"/>
          </w:divBdr>
          <w:divsChild>
            <w:div w:id="1311130521">
              <w:marLeft w:val="0"/>
              <w:marRight w:val="0"/>
              <w:marTop w:val="0"/>
              <w:marBottom w:val="0"/>
              <w:divBdr>
                <w:top w:val="none" w:sz="0" w:space="0" w:color="auto"/>
                <w:left w:val="none" w:sz="0" w:space="0" w:color="auto"/>
                <w:bottom w:val="none" w:sz="0" w:space="0" w:color="auto"/>
                <w:right w:val="none" w:sz="0" w:space="0" w:color="auto"/>
              </w:divBdr>
              <w:divsChild>
                <w:div w:id="136826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18957">
      <w:bodyDiv w:val="1"/>
      <w:marLeft w:val="0"/>
      <w:marRight w:val="0"/>
      <w:marTop w:val="0"/>
      <w:marBottom w:val="0"/>
      <w:divBdr>
        <w:top w:val="none" w:sz="0" w:space="0" w:color="auto"/>
        <w:left w:val="none" w:sz="0" w:space="0" w:color="auto"/>
        <w:bottom w:val="none" w:sz="0" w:space="0" w:color="auto"/>
        <w:right w:val="none" w:sz="0" w:space="0" w:color="auto"/>
      </w:divBdr>
      <w:divsChild>
        <w:div w:id="1638489514">
          <w:marLeft w:val="0"/>
          <w:marRight w:val="0"/>
          <w:marTop w:val="0"/>
          <w:marBottom w:val="0"/>
          <w:divBdr>
            <w:top w:val="none" w:sz="0" w:space="0" w:color="auto"/>
            <w:left w:val="none" w:sz="0" w:space="0" w:color="auto"/>
            <w:bottom w:val="none" w:sz="0" w:space="0" w:color="auto"/>
            <w:right w:val="none" w:sz="0" w:space="0" w:color="auto"/>
          </w:divBdr>
          <w:divsChild>
            <w:div w:id="46876556">
              <w:marLeft w:val="0"/>
              <w:marRight w:val="0"/>
              <w:marTop w:val="0"/>
              <w:marBottom w:val="0"/>
              <w:divBdr>
                <w:top w:val="none" w:sz="0" w:space="0" w:color="auto"/>
                <w:left w:val="none" w:sz="0" w:space="0" w:color="auto"/>
                <w:bottom w:val="none" w:sz="0" w:space="0" w:color="auto"/>
                <w:right w:val="none" w:sz="0" w:space="0" w:color="auto"/>
              </w:divBdr>
              <w:divsChild>
                <w:div w:id="78711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28302">
      <w:bodyDiv w:val="1"/>
      <w:marLeft w:val="0"/>
      <w:marRight w:val="0"/>
      <w:marTop w:val="0"/>
      <w:marBottom w:val="0"/>
      <w:divBdr>
        <w:top w:val="none" w:sz="0" w:space="0" w:color="auto"/>
        <w:left w:val="none" w:sz="0" w:space="0" w:color="auto"/>
        <w:bottom w:val="none" w:sz="0" w:space="0" w:color="auto"/>
        <w:right w:val="none" w:sz="0" w:space="0" w:color="auto"/>
      </w:divBdr>
      <w:divsChild>
        <w:div w:id="1699551058">
          <w:marLeft w:val="0"/>
          <w:marRight w:val="0"/>
          <w:marTop w:val="0"/>
          <w:marBottom w:val="0"/>
          <w:divBdr>
            <w:top w:val="none" w:sz="0" w:space="0" w:color="auto"/>
            <w:left w:val="none" w:sz="0" w:space="0" w:color="auto"/>
            <w:bottom w:val="none" w:sz="0" w:space="0" w:color="auto"/>
            <w:right w:val="none" w:sz="0" w:space="0" w:color="auto"/>
          </w:divBdr>
          <w:divsChild>
            <w:div w:id="1981304723">
              <w:marLeft w:val="0"/>
              <w:marRight w:val="0"/>
              <w:marTop w:val="0"/>
              <w:marBottom w:val="0"/>
              <w:divBdr>
                <w:top w:val="none" w:sz="0" w:space="0" w:color="auto"/>
                <w:left w:val="none" w:sz="0" w:space="0" w:color="auto"/>
                <w:bottom w:val="none" w:sz="0" w:space="0" w:color="auto"/>
                <w:right w:val="none" w:sz="0" w:space="0" w:color="auto"/>
              </w:divBdr>
              <w:divsChild>
                <w:div w:id="163474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11598">
      <w:bodyDiv w:val="1"/>
      <w:marLeft w:val="0"/>
      <w:marRight w:val="0"/>
      <w:marTop w:val="0"/>
      <w:marBottom w:val="0"/>
      <w:divBdr>
        <w:top w:val="none" w:sz="0" w:space="0" w:color="auto"/>
        <w:left w:val="none" w:sz="0" w:space="0" w:color="auto"/>
        <w:bottom w:val="none" w:sz="0" w:space="0" w:color="auto"/>
        <w:right w:val="none" w:sz="0" w:space="0" w:color="auto"/>
      </w:divBdr>
      <w:divsChild>
        <w:div w:id="573593076">
          <w:marLeft w:val="0"/>
          <w:marRight w:val="0"/>
          <w:marTop w:val="0"/>
          <w:marBottom w:val="0"/>
          <w:divBdr>
            <w:top w:val="none" w:sz="0" w:space="0" w:color="auto"/>
            <w:left w:val="none" w:sz="0" w:space="0" w:color="auto"/>
            <w:bottom w:val="none" w:sz="0" w:space="0" w:color="auto"/>
            <w:right w:val="none" w:sz="0" w:space="0" w:color="auto"/>
          </w:divBdr>
          <w:divsChild>
            <w:div w:id="721832075">
              <w:marLeft w:val="0"/>
              <w:marRight w:val="0"/>
              <w:marTop w:val="0"/>
              <w:marBottom w:val="0"/>
              <w:divBdr>
                <w:top w:val="none" w:sz="0" w:space="0" w:color="auto"/>
                <w:left w:val="none" w:sz="0" w:space="0" w:color="auto"/>
                <w:bottom w:val="none" w:sz="0" w:space="0" w:color="auto"/>
                <w:right w:val="none" w:sz="0" w:space="0" w:color="auto"/>
              </w:divBdr>
              <w:divsChild>
                <w:div w:id="4321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03549">
      <w:bodyDiv w:val="1"/>
      <w:marLeft w:val="0"/>
      <w:marRight w:val="0"/>
      <w:marTop w:val="0"/>
      <w:marBottom w:val="0"/>
      <w:divBdr>
        <w:top w:val="none" w:sz="0" w:space="0" w:color="auto"/>
        <w:left w:val="none" w:sz="0" w:space="0" w:color="auto"/>
        <w:bottom w:val="none" w:sz="0" w:space="0" w:color="auto"/>
        <w:right w:val="none" w:sz="0" w:space="0" w:color="auto"/>
      </w:divBdr>
      <w:divsChild>
        <w:div w:id="2045206840">
          <w:marLeft w:val="0"/>
          <w:marRight w:val="0"/>
          <w:marTop w:val="0"/>
          <w:marBottom w:val="0"/>
          <w:divBdr>
            <w:top w:val="none" w:sz="0" w:space="0" w:color="auto"/>
            <w:left w:val="none" w:sz="0" w:space="0" w:color="auto"/>
            <w:bottom w:val="none" w:sz="0" w:space="0" w:color="auto"/>
            <w:right w:val="none" w:sz="0" w:space="0" w:color="auto"/>
          </w:divBdr>
          <w:divsChild>
            <w:div w:id="962806448">
              <w:marLeft w:val="0"/>
              <w:marRight w:val="0"/>
              <w:marTop w:val="0"/>
              <w:marBottom w:val="0"/>
              <w:divBdr>
                <w:top w:val="none" w:sz="0" w:space="0" w:color="auto"/>
                <w:left w:val="none" w:sz="0" w:space="0" w:color="auto"/>
                <w:bottom w:val="none" w:sz="0" w:space="0" w:color="auto"/>
                <w:right w:val="none" w:sz="0" w:space="0" w:color="auto"/>
              </w:divBdr>
              <w:divsChild>
                <w:div w:id="59305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2456">
      <w:bodyDiv w:val="1"/>
      <w:marLeft w:val="0"/>
      <w:marRight w:val="0"/>
      <w:marTop w:val="0"/>
      <w:marBottom w:val="0"/>
      <w:divBdr>
        <w:top w:val="none" w:sz="0" w:space="0" w:color="auto"/>
        <w:left w:val="none" w:sz="0" w:space="0" w:color="auto"/>
        <w:bottom w:val="none" w:sz="0" w:space="0" w:color="auto"/>
        <w:right w:val="none" w:sz="0" w:space="0" w:color="auto"/>
      </w:divBdr>
      <w:divsChild>
        <w:div w:id="590816347">
          <w:marLeft w:val="0"/>
          <w:marRight w:val="0"/>
          <w:marTop w:val="0"/>
          <w:marBottom w:val="0"/>
          <w:divBdr>
            <w:top w:val="none" w:sz="0" w:space="0" w:color="auto"/>
            <w:left w:val="none" w:sz="0" w:space="0" w:color="auto"/>
            <w:bottom w:val="none" w:sz="0" w:space="0" w:color="auto"/>
            <w:right w:val="none" w:sz="0" w:space="0" w:color="auto"/>
          </w:divBdr>
          <w:divsChild>
            <w:div w:id="1190950808">
              <w:marLeft w:val="0"/>
              <w:marRight w:val="0"/>
              <w:marTop w:val="0"/>
              <w:marBottom w:val="0"/>
              <w:divBdr>
                <w:top w:val="none" w:sz="0" w:space="0" w:color="auto"/>
                <w:left w:val="none" w:sz="0" w:space="0" w:color="auto"/>
                <w:bottom w:val="none" w:sz="0" w:space="0" w:color="auto"/>
                <w:right w:val="none" w:sz="0" w:space="0" w:color="auto"/>
              </w:divBdr>
              <w:divsChild>
                <w:div w:id="7516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12702">
      <w:bodyDiv w:val="1"/>
      <w:marLeft w:val="0"/>
      <w:marRight w:val="0"/>
      <w:marTop w:val="0"/>
      <w:marBottom w:val="0"/>
      <w:divBdr>
        <w:top w:val="none" w:sz="0" w:space="0" w:color="auto"/>
        <w:left w:val="none" w:sz="0" w:space="0" w:color="auto"/>
        <w:bottom w:val="none" w:sz="0" w:space="0" w:color="auto"/>
        <w:right w:val="none" w:sz="0" w:space="0" w:color="auto"/>
      </w:divBdr>
      <w:divsChild>
        <w:div w:id="2039507290">
          <w:marLeft w:val="0"/>
          <w:marRight w:val="0"/>
          <w:marTop w:val="0"/>
          <w:marBottom w:val="0"/>
          <w:divBdr>
            <w:top w:val="none" w:sz="0" w:space="0" w:color="auto"/>
            <w:left w:val="none" w:sz="0" w:space="0" w:color="auto"/>
            <w:bottom w:val="none" w:sz="0" w:space="0" w:color="auto"/>
            <w:right w:val="none" w:sz="0" w:space="0" w:color="auto"/>
          </w:divBdr>
          <w:divsChild>
            <w:div w:id="1146433776">
              <w:marLeft w:val="0"/>
              <w:marRight w:val="0"/>
              <w:marTop w:val="0"/>
              <w:marBottom w:val="0"/>
              <w:divBdr>
                <w:top w:val="none" w:sz="0" w:space="0" w:color="auto"/>
                <w:left w:val="none" w:sz="0" w:space="0" w:color="auto"/>
                <w:bottom w:val="none" w:sz="0" w:space="0" w:color="auto"/>
                <w:right w:val="none" w:sz="0" w:space="0" w:color="auto"/>
              </w:divBdr>
              <w:divsChild>
                <w:div w:id="7249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50513">
      <w:bodyDiv w:val="1"/>
      <w:marLeft w:val="0"/>
      <w:marRight w:val="0"/>
      <w:marTop w:val="0"/>
      <w:marBottom w:val="0"/>
      <w:divBdr>
        <w:top w:val="none" w:sz="0" w:space="0" w:color="auto"/>
        <w:left w:val="none" w:sz="0" w:space="0" w:color="auto"/>
        <w:bottom w:val="none" w:sz="0" w:space="0" w:color="auto"/>
        <w:right w:val="none" w:sz="0" w:space="0" w:color="auto"/>
      </w:divBdr>
      <w:divsChild>
        <w:div w:id="1441223428">
          <w:marLeft w:val="0"/>
          <w:marRight w:val="0"/>
          <w:marTop w:val="0"/>
          <w:marBottom w:val="0"/>
          <w:divBdr>
            <w:top w:val="none" w:sz="0" w:space="0" w:color="auto"/>
            <w:left w:val="none" w:sz="0" w:space="0" w:color="auto"/>
            <w:bottom w:val="none" w:sz="0" w:space="0" w:color="auto"/>
            <w:right w:val="none" w:sz="0" w:space="0" w:color="auto"/>
          </w:divBdr>
          <w:divsChild>
            <w:div w:id="1781334879">
              <w:marLeft w:val="0"/>
              <w:marRight w:val="0"/>
              <w:marTop w:val="0"/>
              <w:marBottom w:val="0"/>
              <w:divBdr>
                <w:top w:val="none" w:sz="0" w:space="0" w:color="auto"/>
                <w:left w:val="none" w:sz="0" w:space="0" w:color="auto"/>
                <w:bottom w:val="none" w:sz="0" w:space="0" w:color="auto"/>
                <w:right w:val="none" w:sz="0" w:space="0" w:color="auto"/>
              </w:divBdr>
              <w:divsChild>
                <w:div w:id="95833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351985">
      <w:bodyDiv w:val="1"/>
      <w:marLeft w:val="0"/>
      <w:marRight w:val="0"/>
      <w:marTop w:val="0"/>
      <w:marBottom w:val="0"/>
      <w:divBdr>
        <w:top w:val="none" w:sz="0" w:space="0" w:color="auto"/>
        <w:left w:val="none" w:sz="0" w:space="0" w:color="auto"/>
        <w:bottom w:val="none" w:sz="0" w:space="0" w:color="auto"/>
        <w:right w:val="none" w:sz="0" w:space="0" w:color="auto"/>
      </w:divBdr>
      <w:divsChild>
        <w:div w:id="1745297375">
          <w:marLeft w:val="0"/>
          <w:marRight w:val="0"/>
          <w:marTop w:val="0"/>
          <w:marBottom w:val="0"/>
          <w:divBdr>
            <w:top w:val="none" w:sz="0" w:space="0" w:color="auto"/>
            <w:left w:val="none" w:sz="0" w:space="0" w:color="auto"/>
            <w:bottom w:val="none" w:sz="0" w:space="0" w:color="auto"/>
            <w:right w:val="none" w:sz="0" w:space="0" w:color="auto"/>
          </w:divBdr>
          <w:divsChild>
            <w:div w:id="187724834">
              <w:marLeft w:val="0"/>
              <w:marRight w:val="0"/>
              <w:marTop w:val="0"/>
              <w:marBottom w:val="0"/>
              <w:divBdr>
                <w:top w:val="none" w:sz="0" w:space="0" w:color="auto"/>
                <w:left w:val="none" w:sz="0" w:space="0" w:color="auto"/>
                <w:bottom w:val="none" w:sz="0" w:space="0" w:color="auto"/>
                <w:right w:val="none" w:sz="0" w:space="0" w:color="auto"/>
              </w:divBdr>
              <w:divsChild>
                <w:div w:id="99191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40616">
      <w:bodyDiv w:val="1"/>
      <w:marLeft w:val="0"/>
      <w:marRight w:val="0"/>
      <w:marTop w:val="0"/>
      <w:marBottom w:val="0"/>
      <w:divBdr>
        <w:top w:val="none" w:sz="0" w:space="0" w:color="auto"/>
        <w:left w:val="none" w:sz="0" w:space="0" w:color="auto"/>
        <w:bottom w:val="none" w:sz="0" w:space="0" w:color="auto"/>
        <w:right w:val="none" w:sz="0" w:space="0" w:color="auto"/>
      </w:divBdr>
      <w:divsChild>
        <w:div w:id="729961388">
          <w:marLeft w:val="0"/>
          <w:marRight w:val="0"/>
          <w:marTop w:val="0"/>
          <w:marBottom w:val="0"/>
          <w:divBdr>
            <w:top w:val="none" w:sz="0" w:space="0" w:color="auto"/>
            <w:left w:val="none" w:sz="0" w:space="0" w:color="auto"/>
            <w:bottom w:val="none" w:sz="0" w:space="0" w:color="auto"/>
            <w:right w:val="none" w:sz="0" w:space="0" w:color="auto"/>
          </w:divBdr>
          <w:divsChild>
            <w:div w:id="1867210947">
              <w:marLeft w:val="0"/>
              <w:marRight w:val="0"/>
              <w:marTop w:val="0"/>
              <w:marBottom w:val="0"/>
              <w:divBdr>
                <w:top w:val="none" w:sz="0" w:space="0" w:color="auto"/>
                <w:left w:val="none" w:sz="0" w:space="0" w:color="auto"/>
                <w:bottom w:val="none" w:sz="0" w:space="0" w:color="auto"/>
                <w:right w:val="none" w:sz="0" w:space="0" w:color="auto"/>
              </w:divBdr>
              <w:divsChild>
                <w:div w:id="7609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20643">
      <w:bodyDiv w:val="1"/>
      <w:marLeft w:val="0"/>
      <w:marRight w:val="0"/>
      <w:marTop w:val="0"/>
      <w:marBottom w:val="0"/>
      <w:divBdr>
        <w:top w:val="none" w:sz="0" w:space="0" w:color="auto"/>
        <w:left w:val="none" w:sz="0" w:space="0" w:color="auto"/>
        <w:bottom w:val="none" w:sz="0" w:space="0" w:color="auto"/>
        <w:right w:val="none" w:sz="0" w:space="0" w:color="auto"/>
      </w:divBdr>
      <w:divsChild>
        <w:div w:id="2071732892">
          <w:marLeft w:val="0"/>
          <w:marRight w:val="0"/>
          <w:marTop w:val="0"/>
          <w:marBottom w:val="0"/>
          <w:divBdr>
            <w:top w:val="none" w:sz="0" w:space="0" w:color="auto"/>
            <w:left w:val="none" w:sz="0" w:space="0" w:color="auto"/>
            <w:bottom w:val="none" w:sz="0" w:space="0" w:color="auto"/>
            <w:right w:val="none" w:sz="0" w:space="0" w:color="auto"/>
          </w:divBdr>
          <w:divsChild>
            <w:div w:id="1538662739">
              <w:marLeft w:val="0"/>
              <w:marRight w:val="0"/>
              <w:marTop w:val="0"/>
              <w:marBottom w:val="0"/>
              <w:divBdr>
                <w:top w:val="none" w:sz="0" w:space="0" w:color="auto"/>
                <w:left w:val="none" w:sz="0" w:space="0" w:color="auto"/>
                <w:bottom w:val="none" w:sz="0" w:space="0" w:color="auto"/>
                <w:right w:val="none" w:sz="0" w:space="0" w:color="auto"/>
              </w:divBdr>
              <w:divsChild>
                <w:div w:id="280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15562">
      <w:bodyDiv w:val="1"/>
      <w:marLeft w:val="0"/>
      <w:marRight w:val="0"/>
      <w:marTop w:val="0"/>
      <w:marBottom w:val="0"/>
      <w:divBdr>
        <w:top w:val="none" w:sz="0" w:space="0" w:color="auto"/>
        <w:left w:val="none" w:sz="0" w:space="0" w:color="auto"/>
        <w:bottom w:val="none" w:sz="0" w:space="0" w:color="auto"/>
        <w:right w:val="none" w:sz="0" w:space="0" w:color="auto"/>
      </w:divBdr>
      <w:divsChild>
        <w:div w:id="978801519">
          <w:marLeft w:val="0"/>
          <w:marRight w:val="0"/>
          <w:marTop w:val="0"/>
          <w:marBottom w:val="0"/>
          <w:divBdr>
            <w:top w:val="none" w:sz="0" w:space="0" w:color="auto"/>
            <w:left w:val="none" w:sz="0" w:space="0" w:color="auto"/>
            <w:bottom w:val="none" w:sz="0" w:space="0" w:color="auto"/>
            <w:right w:val="none" w:sz="0" w:space="0" w:color="auto"/>
          </w:divBdr>
          <w:divsChild>
            <w:div w:id="1526942266">
              <w:marLeft w:val="0"/>
              <w:marRight w:val="0"/>
              <w:marTop w:val="0"/>
              <w:marBottom w:val="0"/>
              <w:divBdr>
                <w:top w:val="none" w:sz="0" w:space="0" w:color="auto"/>
                <w:left w:val="none" w:sz="0" w:space="0" w:color="auto"/>
                <w:bottom w:val="none" w:sz="0" w:space="0" w:color="auto"/>
                <w:right w:val="none" w:sz="0" w:space="0" w:color="auto"/>
              </w:divBdr>
              <w:divsChild>
                <w:div w:id="145787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7119">
      <w:bodyDiv w:val="1"/>
      <w:marLeft w:val="0"/>
      <w:marRight w:val="0"/>
      <w:marTop w:val="0"/>
      <w:marBottom w:val="0"/>
      <w:divBdr>
        <w:top w:val="none" w:sz="0" w:space="0" w:color="auto"/>
        <w:left w:val="none" w:sz="0" w:space="0" w:color="auto"/>
        <w:bottom w:val="none" w:sz="0" w:space="0" w:color="auto"/>
        <w:right w:val="none" w:sz="0" w:space="0" w:color="auto"/>
      </w:divBdr>
      <w:divsChild>
        <w:div w:id="1432162244">
          <w:marLeft w:val="0"/>
          <w:marRight w:val="0"/>
          <w:marTop w:val="0"/>
          <w:marBottom w:val="0"/>
          <w:divBdr>
            <w:top w:val="none" w:sz="0" w:space="0" w:color="auto"/>
            <w:left w:val="none" w:sz="0" w:space="0" w:color="auto"/>
            <w:bottom w:val="none" w:sz="0" w:space="0" w:color="auto"/>
            <w:right w:val="none" w:sz="0" w:space="0" w:color="auto"/>
          </w:divBdr>
          <w:divsChild>
            <w:div w:id="653408709">
              <w:marLeft w:val="0"/>
              <w:marRight w:val="0"/>
              <w:marTop w:val="0"/>
              <w:marBottom w:val="0"/>
              <w:divBdr>
                <w:top w:val="none" w:sz="0" w:space="0" w:color="auto"/>
                <w:left w:val="none" w:sz="0" w:space="0" w:color="auto"/>
                <w:bottom w:val="none" w:sz="0" w:space="0" w:color="auto"/>
                <w:right w:val="none" w:sz="0" w:space="0" w:color="auto"/>
              </w:divBdr>
              <w:divsChild>
                <w:div w:id="7112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630409">
      <w:bodyDiv w:val="1"/>
      <w:marLeft w:val="0"/>
      <w:marRight w:val="0"/>
      <w:marTop w:val="0"/>
      <w:marBottom w:val="0"/>
      <w:divBdr>
        <w:top w:val="none" w:sz="0" w:space="0" w:color="auto"/>
        <w:left w:val="none" w:sz="0" w:space="0" w:color="auto"/>
        <w:bottom w:val="none" w:sz="0" w:space="0" w:color="auto"/>
        <w:right w:val="none" w:sz="0" w:space="0" w:color="auto"/>
      </w:divBdr>
      <w:divsChild>
        <w:div w:id="1746797894">
          <w:marLeft w:val="0"/>
          <w:marRight w:val="0"/>
          <w:marTop w:val="0"/>
          <w:marBottom w:val="0"/>
          <w:divBdr>
            <w:top w:val="none" w:sz="0" w:space="0" w:color="auto"/>
            <w:left w:val="none" w:sz="0" w:space="0" w:color="auto"/>
            <w:bottom w:val="none" w:sz="0" w:space="0" w:color="auto"/>
            <w:right w:val="none" w:sz="0" w:space="0" w:color="auto"/>
          </w:divBdr>
          <w:divsChild>
            <w:div w:id="1363166242">
              <w:marLeft w:val="0"/>
              <w:marRight w:val="0"/>
              <w:marTop w:val="0"/>
              <w:marBottom w:val="0"/>
              <w:divBdr>
                <w:top w:val="none" w:sz="0" w:space="0" w:color="auto"/>
                <w:left w:val="none" w:sz="0" w:space="0" w:color="auto"/>
                <w:bottom w:val="none" w:sz="0" w:space="0" w:color="auto"/>
                <w:right w:val="none" w:sz="0" w:space="0" w:color="auto"/>
              </w:divBdr>
              <w:divsChild>
                <w:div w:id="13649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4356">
      <w:bodyDiv w:val="1"/>
      <w:marLeft w:val="0"/>
      <w:marRight w:val="0"/>
      <w:marTop w:val="0"/>
      <w:marBottom w:val="0"/>
      <w:divBdr>
        <w:top w:val="none" w:sz="0" w:space="0" w:color="auto"/>
        <w:left w:val="none" w:sz="0" w:space="0" w:color="auto"/>
        <w:bottom w:val="none" w:sz="0" w:space="0" w:color="auto"/>
        <w:right w:val="none" w:sz="0" w:space="0" w:color="auto"/>
      </w:divBdr>
      <w:divsChild>
        <w:div w:id="1109934033">
          <w:marLeft w:val="0"/>
          <w:marRight w:val="0"/>
          <w:marTop w:val="0"/>
          <w:marBottom w:val="0"/>
          <w:divBdr>
            <w:top w:val="none" w:sz="0" w:space="0" w:color="auto"/>
            <w:left w:val="none" w:sz="0" w:space="0" w:color="auto"/>
            <w:bottom w:val="none" w:sz="0" w:space="0" w:color="auto"/>
            <w:right w:val="none" w:sz="0" w:space="0" w:color="auto"/>
          </w:divBdr>
          <w:divsChild>
            <w:div w:id="702636361">
              <w:marLeft w:val="0"/>
              <w:marRight w:val="0"/>
              <w:marTop w:val="0"/>
              <w:marBottom w:val="0"/>
              <w:divBdr>
                <w:top w:val="none" w:sz="0" w:space="0" w:color="auto"/>
                <w:left w:val="none" w:sz="0" w:space="0" w:color="auto"/>
                <w:bottom w:val="none" w:sz="0" w:space="0" w:color="auto"/>
                <w:right w:val="none" w:sz="0" w:space="0" w:color="auto"/>
              </w:divBdr>
              <w:divsChild>
                <w:div w:id="5033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5393">
      <w:bodyDiv w:val="1"/>
      <w:marLeft w:val="0"/>
      <w:marRight w:val="0"/>
      <w:marTop w:val="0"/>
      <w:marBottom w:val="0"/>
      <w:divBdr>
        <w:top w:val="none" w:sz="0" w:space="0" w:color="auto"/>
        <w:left w:val="none" w:sz="0" w:space="0" w:color="auto"/>
        <w:bottom w:val="none" w:sz="0" w:space="0" w:color="auto"/>
        <w:right w:val="none" w:sz="0" w:space="0" w:color="auto"/>
      </w:divBdr>
      <w:divsChild>
        <w:div w:id="287398081">
          <w:marLeft w:val="0"/>
          <w:marRight w:val="0"/>
          <w:marTop w:val="0"/>
          <w:marBottom w:val="0"/>
          <w:divBdr>
            <w:top w:val="none" w:sz="0" w:space="0" w:color="auto"/>
            <w:left w:val="none" w:sz="0" w:space="0" w:color="auto"/>
            <w:bottom w:val="none" w:sz="0" w:space="0" w:color="auto"/>
            <w:right w:val="none" w:sz="0" w:space="0" w:color="auto"/>
          </w:divBdr>
          <w:divsChild>
            <w:div w:id="93091785">
              <w:marLeft w:val="0"/>
              <w:marRight w:val="0"/>
              <w:marTop w:val="0"/>
              <w:marBottom w:val="0"/>
              <w:divBdr>
                <w:top w:val="none" w:sz="0" w:space="0" w:color="auto"/>
                <w:left w:val="none" w:sz="0" w:space="0" w:color="auto"/>
                <w:bottom w:val="none" w:sz="0" w:space="0" w:color="auto"/>
                <w:right w:val="none" w:sz="0" w:space="0" w:color="auto"/>
              </w:divBdr>
              <w:divsChild>
                <w:div w:id="1449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38195">
      <w:bodyDiv w:val="1"/>
      <w:marLeft w:val="0"/>
      <w:marRight w:val="0"/>
      <w:marTop w:val="0"/>
      <w:marBottom w:val="0"/>
      <w:divBdr>
        <w:top w:val="none" w:sz="0" w:space="0" w:color="auto"/>
        <w:left w:val="none" w:sz="0" w:space="0" w:color="auto"/>
        <w:bottom w:val="none" w:sz="0" w:space="0" w:color="auto"/>
        <w:right w:val="none" w:sz="0" w:space="0" w:color="auto"/>
      </w:divBdr>
      <w:divsChild>
        <w:div w:id="94600858">
          <w:marLeft w:val="0"/>
          <w:marRight w:val="0"/>
          <w:marTop w:val="0"/>
          <w:marBottom w:val="0"/>
          <w:divBdr>
            <w:top w:val="none" w:sz="0" w:space="0" w:color="auto"/>
            <w:left w:val="none" w:sz="0" w:space="0" w:color="auto"/>
            <w:bottom w:val="none" w:sz="0" w:space="0" w:color="auto"/>
            <w:right w:val="none" w:sz="0" w:space="0" w:color="auto"/>
          </w:divBdr>
          <w:divsChild>
            <w:div w:id="51000113">
              <w:marLeft w:val="0"/>
              <w:marRight w:val="0"/>
              <w:marTop w:val="0"/>
              <w:marBottom w:val="0"/>
              <w:divBdr>
                <w:top w:val="none" w:sz="0" w:space="0" w:color="auto"/>
                <w:left w:val="none" w:sz="0" w:space="0" w:color="auto"/>
                <w:bottom w:val="none" w:sz="0" w:space="0" w:color="auto"/>
                <w:right w:val="none" w:sz="0" w:space="0" w:color="auto"/>
              </w:divBdr>
              <w:divsChild>
                <w:div w:id="3800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926806">
      <w:bodyDiv w:val="1"/>
      <w:marLeft w:val="0"/>
      <w:marRight w:val="0"/>
      <w:marTop w:val="0"/>
      <w:marBottom w:val="0"/>
      <w:divBdr>
        <w:top w:val="none" w:sz="0" w:space="0" w:color="auto"/>
        <w:left w:val="none" w:sz="0" w:space="0" w:color="auto"/>
        <w:bottom w:val="none" w:sz="0" w:space="0" w:color="auto"/>
        <w:right w:val="none" w:sz="0" w:space="0" w:color="auto"/>
      </w:divBdr>
      <w:divsChild>
        <w:div w:id="2092657222">
          <w:marLeft w:val="0"/>
          <w:marRight w:val="0"/>
          <w:marTop w:val="0"/>
          <w:marBottom w:val="0"/>
          <w:divBdr>
            <w:top w:val="none" w:sz="0" w:space="0" w:color="auto"/>
            <w:left w:val="none" w:sz="0" w:space="0" w:color="auto"/>
            <w:bottom w:val="none" w:sz="0" w:space="0" w:color="auto"/>
            <w:right w:val="none" w:sz="0" w:space="0" w:color="auto"/>
          </w:divBdr>
          <w:divsChild>
            <w:div w:id="831146619">
              <w:marLeft w:val="0"/>
              <w:marRight w:val="0"/>
              <w:marTop w:val="0"/>
              <w:marBottom w:val="0"/>
              <w:divBdr>
                <w:top w:val="none" w:sz="0" w:space="0" w:color="auto"/>
                <w:left w:val="none" w:sz="0" w:space="0" w:color="auto"/>
                <w:bottom w:val="none" w:sz="0" w:space="0" w:color="auto"/>
                <w:right w:val="none" w:sz="0" w:space="0" w:color="auto"/>
              </w:divBdr>
              <w:divsChild>
                <w:div w:id="16194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50496">
      <w:bodyDiv w:val="1"/>
      <w:marLeft w:val="0"/>
      <w:marRight w:val="0"/>
      <w:marTop w:val="0"/>
      <w:marBottom w:val="0"/>
      <w:divBdr>
        <w:top w:val="none" w:sz="0" w:space="0" w:color="auto"/>
        <w:left w:val="none" w:sz="0" w:space="0" w:color="auto"/>
        <w:bottom w:val="none" w:sz="0" w:space="0" w:color="auto"/>
        <w:right w:val="none" w:sz="0" w:space="0" w:color="auto"/>
      </w:divBdr>
      <w:divsChild>
        <w:div w:id="194202089">
          <w:marLeft w:val="0"/>
          <w:marRight w:val="0"/>
          <w:marTop w:val="0"/>
          <w:marBottom w:val="0"/>
          <w:divBdr>
            <w:top w:val="none" w:sz="0" w:space="0" w:color="auto"/>
            <w:left w:val="none" w:sz="0" w:space="0" w:color="auto"/>
            <w:bottom w:val="none" w:sz="0" w:space="0" w:color="auto"/>
            <w:right w:val="none" w:sz="0" w:space="0" w:color="auto"/>
          </w:divBdr>
          <w:divsChild>
            <w:div w:id="1842045806">
              <w:marLeft w:val="0"/>
              <w:marRight w:val="0"/>
              <w:marTop w:val="0"/>
              <w:marBottom w:val="0"/>
              <w:divBdr>
                <w:top w:val="none" w:sz="0" w:space="0" w:color="auto"/>
                <w:left w:val="none" w:sz="0" w:space="0" w:color="auto"/>
                <w:bottom w:val="none" w:sz="0" w:space="0" w:color="auto"/>
                <w:right w:val="none" w:sz="0" w:space="0" w:color="auto"/>
              </w:divBdr>
              <w:divsChild>
                <w:div w:id="107328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75209">
      <w:bodyDiv w:val="1"/>
      <w:marLeft w:val="0"/>
      <w:marRight w:val="0"/>
      <w:marTop w:val="0"/>
      <w:marBottom w:val="0"/>
      <w:divBdr>
        <w:top w:val="none" w:sz="0" w:space="0" w:color="auto"/>
        <w:left w:val="none" w:sz="0" w:space="0" w:color="auto"/>
        <w:bottom w:val="none" w:sz="0" w:space="0" w:color="auto"/>
        <w:right w:val="none" w:sz="0" w:space="0" w:color="auto"/>
      </w:divBdr>
      <w:divsChild>
        <w:div w:id="1889995202">
          <w:marLeft w:val="0"/>
          <w:marRight w:val="0"/>
          <w:marTop w:val="0"/>
          <w:marBottom w:val="0"/>
          <w:divBdr>
            <w:top w:val="none" w:sz="0" w:space="0" w:color="auto"/>
            <w:left w:val="none" w:sz="0" w:space="0" w:color="auto"/>
            <w:bottom w:val="none" w:sz="0" w:space="0" w:color="auto"/>
            <w:right w:val="none" w:sz="0" w:space="0" w:color="auto"/>
          </w:divBdr>
          <w:divsChild>
            <w:div w:id="352848769">
              <w:marLeft w:val="0"/>
              <w:marRight w:val="0"/>
              <w:marTop w:val="0"/>
              <w:marBottom w:val="0"/>
              <w:divBdr>
                <w:top w:val="none" w:sz="0" w:space="0" w:color="auto"/>
                <w:left w:val="none" w:sz="0" w:space="0" w:color="auto"/>
                <w:bottom w:val="none" w:sz="0" w:space="0" w:color="auto"/>
                <w:right w:val="none" w:sz="0" w:space="0" w:color="auto"/>
              </w:divBdr>
              <w:divsChild>
                <w:div w:id="10392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57491">
      <w:bodyDiv w:val="1"/>
      <w:marLeft w:val="0"/>
      <w:marRight w:val="0"/>
      <w:marTop w:val="0"/>
      <w:marBottom w:val="0"/>
      <w:divBdr>
        <w:top w:val="none" w:sz="0" w:space="0" w:color="auto"/>
        <w:left w:val="none" w:sz="0" w:space="0" w:color="auto"/>
        <w:bottom w:val="none" w:sz="0" w:space="0" w:color="auto"/>
        <w:right w:val="none" w:sz="0" w:space="0" w:color="auto"/>
      </w:divBdr>
      <w:divsChild>
        <w:div w:id="2037071872">
          <w:marLeft w:val="0"/>
          <w:marRight w:val="0"/>
          <w:marTop w:val="0"/>
          <w:marBottom w:val="0"/>
          <w:divBdr>
            <w:top w:val="none" w:sz="0" w:space="0" w:color="auto"/>
            <w:left w:val="none" w:sz="0" w:space="0" w:color="auto"/>
            <w:bottom w:val="none" w:sz="0" w:space="0" w:color="auto"/>
            <w:right w:val="none" w:sz="0" w:space="0" w:color="auto"/>
          </w:divBdr>
          <w:divsChild>
            <w:div w:id="76755134">
              <w:marLeft w:val="0"/>
              <w:marRight w:val="0"/>
              <w:marTop w:val="0"/>
              <w:marBottom w:val="0"/>
              <w:divBdr>
                <w:top w:val="none" w:sz="0" w:space="0" w:color="auto"/>
                <w:left w:val="none" w:sz="0" w:space="0" w:color="auto"/>
                <w:bottom w:val="none" w:sz="0" w:space="0" w:color="auto"/>
                <w:right w:val="none" w:sz="0" w:space="0" w:color="auto"/>
              </w:divBdr>
              <w:divsChild>
                <w:div w:id="3422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364169">
      <w:bodyDiv w:val="1"/>
      <w:marLeft w:val="0"/>
      <w:marRight w:val="0"/>
      <w:marTop w:val="0"/>
      <w:marBottom w:val="0"/>
      <w:divBdr>
        <w:top w:val="none" w:sz="0" w:space="0" w:color="auto"/>
        <w:left w:val="none" w:sz="0" w:space="0" w:color="auto"/>
        <w:bottom w:val="none" w:sz="0" w:space="0" w:color="auto"/>
        <w:right w:val="none" w:sz="0" w:space="0" w:color="auto"/>
      </w:divBdr>
      <w:divsChild>
        <w:div w:id="1995446323">
          <w:marLeft w:val="0"/>
          <w:marRight w:val="0"/>
          <w:marTop w:val="0"/>
          <w:marBottom w:val="0"/>
          <w:divBdr>
            <w:top w:val="none" w:sz="0" w:space="0" w:color="auto"/>
            <w:left w:val="none" w:sz="0" w:space="0" w:color="auto"/>
            <w:bottom w:val="none" w:sz="0" w:space="0" w:color="auto"/>
            <w:right w:val="none" w:sz="0" w:space="0" w:color="auto"/>
          </w:divBdr>
          <w:divsChild>
            <w:div w:id="673917194">
              <w:marLeft w:val="0"/>
              <w:marRight w:val="0"/>
              <w:marTop w:val="0"/>
              <w:marBottom w:val="0"/>
              <w:divBdr>
                <w:top w:val="none" w:sz="0" w:space="0" w:color="auto"/>
                <w:left w:val="none" w:sz="0" w:space="0" w:color="auto"/>
                <w:bottom w:val="none" w:sz="0" w:space="0" w:color="auto"/>
                <w:right w:val="none" w:sz="0" w:space="0" w:color="auto"/>
              </w:divBdr>
              <w:divsChild>
                <w:div w:id="164045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054158">
      <w:bodyDiv w:val="1"/>
      <w:marLeft w:val="0"/>
      <w:marRight w:val="0"/>
      <w:marTop w:val="0"/>
      <w:marBottom w:val="0"/>
      <w:divBdr>
        <w:top w:val="none" w:sz="0" w:space="0" w:color="auto"/>
        <w:left w:val="none" w:sz="0" w:space="0" w:color="auto"/>
        <w:bottom w:val="none" w:sz="0" w:space="0" w:color="auto"/>
        <w:right w:val="none" w:sz="0" w:space="0" w:color="auto"/>
      </w:divBdr>
      <w:divsChild>
        <w:div w:id="51849389">
          <w:marLeft w:val="0"/>
          <w:marRight w:val="0"/>
          <w:marTop w:val="0"/>
          <w:marBottom w:val="0"/>
          <w:divBdr>
            <w:top w:val="none" w:sz="0" w:space="0" w:color="auto"/>
            <w:left w:val="none" w:sz="0" w:space="0" w:color="auto"/>
            <w:bottom w:val="none" w:sz="0" w:space="0" w:color="auto"/>
            <w:right w:val="none" w:sz="0" w:space="0" w:color="auto"/>
          </w:divBdr>
          <w:divsChild>
            <w:div w:id="935138646">
              <w:marLeft w:val="0"/>
              <w:marRight w:val="0"/>
              <w:marTop w:val="0"/>
              <w:marBottom w:val="0"/>
              <w:divBdr>
                <w:top w:val="none" w:sz="0" w:space="0" w:color="auto"/>
                <w:left w:val="none" w:sz="0" w:space="0" w:color="auto"/>
                <w:bottom w:val="none" w:sz="0" w:space="0" w:color="auto"/>
                <w:right w:val="none" w:sz="0" w:space="0" w:color="auto"/>
              </w:divBdr>
              <w:divsChild>
                <w:div w:id="39389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3016">
      <w:bodyDiv w:val="1"/>
      <w:marLeft w:val="0"/>
      <w:marRight w:val="0"/>
      <w:marTop w:val="0"/>
      <w:marBottom w:val="0"/>
      <w:divBdr>
        <w:top w:val="none" w:sz="0" w:space="0" w:color="auto"/>
        <w:left w:val="none" w:sz="0" w:space="0" w:color="auto"/>
        <w:bottom w:val="none" w:sz="0" w:space="0" w:color="auto"/>
        <w:right w:val="none" w:sz="0" w:space="0" w:color="auto"/>
      </w:divBdr>
      <w:divsChild>
        <w:div w:id="2037458435">
          <w:marLeft w:val="0"/>
          <w:marRight w:val="0"/>
          <w:marTop w:val="0"/>
          <w:marBottom w:val="0"/>
          <w:divBdr>
            <w:top w:val="none" w:sz="0" w:space="0" w:color="auto"/>
            <w:left w:val="none" w:sz="0" w:space="0" w:color="auto"/>
            <w:bottom w:val="none" w:sz="0" w:space="0" w:color="auto"/>
            <w:right w:val="none" w:sz="0" w:space="0" w:color="auto"/>
          </w:divBdr>
          <w:divsChild>
            <w:div w:id="603653944">
              <w:marLeft w:val="0"/>
              <w:marRight w:val="0"/>
              <w:marTop w:val="0"/>
              <w:marBottom w:val="0"/>
              <w:divBdr>
                <w:top w:val="none" w:sz="0" w:space="0" w:color="auto"/>
                <w:left w:val="none" w:sz="0" w:space="0" w:color="auto"/>
                <w:bottom w:val="none" w:sz="0" w:space="0" w:color="auto"/>
                <w:right w:val="none" w:sz="0" w:space="0" w:color="auto"/>
              </w:divBdr>
              <w:divsChild>
                <w:div w:id="30023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14458">
      <w:bodyDiv w:val="1"/>
      <w:marLeft w:val="0"/>
      <w:marRight w:val="0"/>
      <w:marTop w:val="0"/>
      <w:marBottom w:val="0"/>
      <w:divBdr>
        <w:top w:val="none" w:sz="0" w:space="0" w:color="auto"/>
        <w:left w:val="none" w:sz="0" w:space="0" w:color="auto"/>
        <w:bottom w:val="none" w:sz="0" w:space="0" w:color="auto"/>
        <w:right w:val="none" w:sz="0" w:space="0" w:color="auto"/>
      </w:divBdr>
      <w:divsChild>
        <w:div w:id="1830947873">
          <w:marLeft w:val="0"/>
          <w:marRight w:val="0"/>
          <w:marTop w:val="0"/>
          <w:marBottom w:val="0"/>
          <w:divBdr>
            <w:top w:val="none" w:sz="0" w:space="0" w:color="auto"/>
            <w:left w:val="none" w:sz="0" w:space="0" w:color="auto"/>
            <w:bottom w:val="none" w:sz="0" w:space="0" w:color="auto"/>
            <w:right w:val="none" w:sz="0" w:space="0" w:color="auto"/>
          </w:divBdr>
          <w:divsChild>
            <w:div w:id="722559953">
              <w:marLeft w:val="0"/>
              <w:marRight w:val="0"/>
              <w:marTop w:val="0"/>
              <w:marBottom w:val="0"/>
              <w:divBdr>
                <w:top w:val="none" w:sz="0" w:space="0" w:color="auto"/>
                <w:left w:val="none" w:sz="0" w:space="0" w:color="auto"/>
                <w:bottom w:val="none" w:sz="0" w:space="0" w:color="auto"/>
                <w:right w:val="none" w:sz="0" w:space="0" w:color="auto"/>
              </w:divBdr>
              <w:divsChild>
                <w:div w:id="173723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10783">
      <w:bodyDiv w:val="1"/>
      <w:marLeft w:val="0"/>
      <w:marRight w:val="0"/>
      <w:marTop w:val="0"/>
      <w:marBottom w:val="0"/>
      <w:divBdr>
        <w:top w:val="none" w:sz="0" w:space="0" w:color="auto"/>
        <w:left w:val="none" w:sz="0" w:space="0" w:color="auto"/>
        <w:bottom w:val="none" w:sz="0" w:space="0" w:color="auto"/>
        <w:right w:val="none" w:sz="0" w:space="0" w:color="auto"/>
      </w:divBdr>
      <w:divsChild>
        <w:div w:id="1009604350">
          <w:marLeft w:val="0"/>
          <w:marRight w:val="0"/>
          <w:marTop w:val="0"/>
          <w:marBottom w:val="0"/>
          <w:divBdr>
            <w:top w:val="none" w:sz="0" w:space="0" w:color="auto"/>
            <w:left w:val="none" w:sz="0" w:space="0" w:color="auto"/>
            <w:bottom w:val="none" w:sz="0" w:space="0" w:color="auto"/>
            <w:right w:val="none" w:sz="0" w:space="0" w:color="auto"/>
          </w:divBdr>
          <w:divsChild>
            <w:div w:id="56824845">
              <w:marLeft w:val="0"/>
              <w:marRight w:val="0"/>
              <w:marTop w:val="0"/>
              <w:marBottom w:val="0"/>
              <w:divBdr>
                <w:top w:val="none" w:sz="0" w:space="0" w:color="auto"/>
                <w:left w:val="none" w:sz="0" w:space="0" w:color="auto"/>
                <w:bottom w:val="none" w:sz="0" w:space="0" w:color="auto"/>
                <w:right w:val="none" w:sz="0" w:space="0" w:color="auto"/>
              </w:divBdr>
              <w:divsChild>
                <w:div w:id="147602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53301">
      <w:bodyDiv w:val="1"/>
      <w:marLeft w:val="0"/>
      <w:marRight w:val="0"/>
      <w:marTop w:val="0"/>
      <w:marBottom w:val="0"/>
      <w:divBdr>
        <w:top w:val="none" w:sz="0" w:space="0" w:color="auto"/>
        <w:left w:val="none" w:sz="0" w:space="0" w:color="auto"/>
        <w:bottom w:val="none" w:sz="0" w:space="0" w:color="auto"/>
        <w:right w:val="none" w:sz="0" w:space="0" w:color="auto"/>
      </w:divBdr>
      <w:divsChild>
        <w:div w:id="1135298368">
          <w:marLeft w:val="0"/>
          <w:marRight w:val="0"/>
          <w:marTop w:val="0"/>
          <w:marBottom w:val="0"/>
          <w:divBdr>
            <w:top w:val="none" w:sz="0" w:space="0" w:color="auto"/>
            <w:left w:val="none" w:sz="0" w:space="0" w:color="auto"/>
            <w:bottom w:val="none" w:sz="0" w:space="0" w:color="auto"/>
            <w:right w:val="none" w:sz="0" w:space="0" w:color="auto"/>
          </w:divBdr>
          <w:divsChild>
            <w:div w:id="1760171952">
              <w:marLeft w:val="0"/>
              <w:marRight w:val="0"/>
              <w:marTop w:val="0"/>
              <w:marBottom w:val="0"/>
              <w:divBdr>
                <w:top w:val="none" w:sz="0" w:space="0" w:color="auto"/>
                <w:left w:val="none" w:sz="0" w:space="0" w:color="auto"/>
                <w:bottom w:val="none" w:sz="0" w:space="0" w:color="auto"/>
                <w:right w:val="none" w:sz="0" w:space="0" w:color="auto"/>
              </w:divBdr>
              <w:divsChild>
                <w:div w:id="83653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63925">
      <w:bodyDiv w:val="1"/>
      <w:marLeft w:val="0"/>
      <w:marRight w:val="0"/>
      <w:marTop w:val="0"/>
      <w:marBottom w:val="0"/>
      <w:divBdr>
        <w:top w:val="none" w:sz="0" w:space="0" w:color="auto"/>
        <w:left w:val="none" w:sz="0" w:space="0" w:color="auto"/>
        <w:bottom w:val="none" w:sz="0" w:space="0" w:color="auto"/>
        <w:right w:val="none" w:sz="0" w:space="0" w:color="auto"/>
      </w:divBdr>
      <w:divsChild>
        <w:div w:id="173612832">
          <w:marLeft w:val="0"/>
          <w:marRight w:val="0"/>
          <w:marTop w:val="0"/>
          <w:marBottom w:val="0"/>
          <w:divBdr>
            <w:top w:val="none" w:sz="0" w:space="0" w:color="auto"/>
            <w:left w:val="none" w:sz="0" w:space="0" w:color="auto"/>
            <w:bottom w:val="none" w:sz="0" w:space="0" w:color="auto"/>
            <w:right w:val="none" w:sz="0" w:space="0" w:color="auto"/>
          </w:divBdr>
          <w:divsChild>
            <w:div w:id="55671743">
              <w:marLeft w:val="0"/>
              <w:marRight w:val="0"/>
              <w:marTop w:val="0"/>
              <w:marBottom w:val="0"/>
              <w:divBdr>
                <w:top w:val="none" w:sz="0" w:space="0" w:color="auto"/>
                <w:left w:val="none" w:sz="0" w:space="0" w:color="auto"/>
                <w:bottom w:val="none" w:sz="0" w:space="0" w:color="auto"/>
                <w:right w:val="none" w:sz="0" w:space="0" w:color="auto"/>
              </w:divBdr>
              <w:divsChild>
                <w:div w:id="145163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497041">
      <w:bodyDiv w:val="1"/>
      <w:marLeft w:val="0"/>
      <w:marRight w:val="0"/>
      <w:marTop w:val="0"/>
      <w:marBottom w:val="0"/>
      <w:divBdr>
        <w:top w:val="none" w:sz="0" w:space="0" w:color="auto"/>
        <w:left w:val="none" w:sz="0" w:space="0" w:color="auto"/>
        <w:bottom w:val="none" w:sz="0" w:space="0" w:color="auto"/>
        <w:right w:val="none" w:sz="0" w:space="0" w:color="auto"/>
      </w:divBdr>
      <w:divsChild>
        <w:div w:id="872227201">
          <w:marLeft w:val="0"/>
          <w:marRight w:val="0"/>
          <w:marTop w:val="0"/>
          <w:marBottom w:val="0"/>
          <w:divBdr>
            <w:top w:val="none" w:sz="0" w:space="0" w:color="auto"/>
            <w:left w:val="none" w:sz="0" w:space="0" w:color="auto"/>
            <w:bottom w:val="none" w:sz="0" w:space="0" w:color="auto"/>
            <w:right w:val="none" w:sz="0" w:space="0" w:color="auto"/>
          </w:divBdr>
          <w:divsChild>
            <w:div w:id="951595276">
              <w:marLeft w:val="0"/>
              <w:marRight w:val="0"/>
              <w:marTop w:val="0"/>
              <w:marBottom w:val="0"/>
              <w:divBdr>
                <w:top w:val="none" w:sz="0" w:space="0" w:color="auto"/>
                <w:left w:val="none" w:sz="0" w:space="0" w:color="auto"/>
                <w:bottom w:val="none" w:sz="0" w:space="0" w:color="auto"/>
                <w:right w:val="none" w:sz="0" w:space="0" w:color="auto"/>
              </w:divBdr>
              <w:divsChild>
                <w:div w:id="16595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39687">
      <w:bodyDiv w:val="1"/>
      <w:marLeft w:val="0"/>
      <w:marRight w:val="0"/>
      <w:marTop w:val="0"/>
      <w:marBottom w:val="0"/>
      <w:divBdr>
        <w:top w:val="none" w:sz="0" w:space="0" w:color="auto"/>
        <w:left w:val="none" w:sz="0" w:space="0" w:color="auto"/>
        <w:bottom w:val="none" w:sz="0" w:space="0" w:color="auto"/>
        <w:right w:val="none" w:sz="0" w:space="0" w:color="auto"/>
      </w:divBdr>
      <w:divsChild>
        <w:div w:id="1444349569">
          <w:marLeft w:val="0"/>
          <w:marRight w:val="0"/>
          <w:marTop w:val="0"/>
          <w:marBottom w:val="0"/>
          <w:divBdr>
            <w:top w:val="none" w:sz="0" w:space="0" w:color="auto"/>
            <w:left w:val="none" w:sz="0" w:space="0" w:color="auto"/>
            <w:bottom w:val="none" w:sz="0" w:space="0" w:color="auto"/>
            <w:right w:val="none" w:sz="0" w:space="0" w:color="auto"/>
          </w:divBdr>
          <w:divsChild>
            <w:div w:id="1819570983">
              <w:marLeft w:val="0"/>
              <w:marRight w:val="0"/>
              <w:marTop w:val="0"/>
              <w:marBottom w:val="0"/>
              <w:divBdr>
                <w:top w:val="none" w:sz="0" w:space="0" w:color="auto"/>
                <w:left w:val="none" w:sz="0" w:space="0" w:color="auto"/>
                <w:bottom w:val="none" w:sz="0" w:space="0" w:color="auto"/>
                <w:right w:val="none" w:sz="0" w:space="0" w:color="auto"/>
              </w:divBdr>
              <w:divsChild>
                <w:div w:id="132956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01124">
      <w:bodyDiv w:val="1"/>
      <w:marLeft w:val="0"/>
      <w:marRight w:val="0"/>
      <w:marTop w:val="0"/>
      <w:marBottom w:val="0"/>
      <w:divBdr>
        <w:top w:val="none" w:sz="0" w:space="0" w:color="auto"/>
        <w:left w:val="none" w:sz="0" w:space="0" w:color="auto"/>
        <w:bottom w:val="none" w:sz="0" w:space="0" w:color="auto"/>
        <w:right w:val="none" w:sz="0" w:space="0" w:color="auto"/>
      </w:divBdr>
      <w:divsChild>
        <w:div w:id="66194092">
          <w:marLeft w:val="0"/>
          <w:marRight w:val="0"/>
          <w:marTop w:val="0"/>
          <w:marBottom w:val="0"/>
          <w:divBdr>
            <w:top w:val="none" w:sz="0" w:space="0" w:color="auto"/>
            <w:left w:val="none" w:sz="0" w:space="0" w:color="auto"/>
            <w:bottom w:val="none" w:sz="0" w:space="0" w:color="auto"/>
            <w:right w:val="none" w:sz="0" w:space="0" w:color="auto"/>
          </w:divBdr>
          <w:divsChild>
            <w:div w:id="1721319829">
              <w:marLeft w:val="0"/>
              <w:marRight w:val="0"/>
              <w:marTop w:val="0"/>
              <w:marBottom w:val="0"/>
              <w:divBdr>
                <w:top w:val="none" w:sz="0" w:space="0" w:color="auto"/>
                <w:left w:val="none" w:sz="0" w:space="0" w:color="auto"/>
                <w:bottom w:val="none" w:sz="0" w:space="0" w:color="auto"/>
                <w:right w:val="none" w:sz="0" w:space="0" w:color="auto"/>
              </w:divBdr>
              <w:divsChild>
                <w:div w:id="194807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66778">
      <w:bodyDiv w:val="1"/>
      <w:marLeft w:val="0"/>
      <w:marRight w:val="0"/>
      <w:marTop w:val="0"/>
      <w:marBottom w:val="0"/>
      <w:divBdr>
        <w:top w:val="none" w:sz="0" w:space="0" w:color="auto"/>
        <w:left w:val="none" w:sz="0" w:space="0" w:color="auto"/>
        <w:bottom w:val="none" w:sz="0" w:space="0" w:color="auto"/>
        <w:right w:val="none" w:sz="0" w:space="0" w:color="auto"/>
      </w:divBdr>
      <w:divsChild>
        <w:div w:id="614292822">
          <w:marLeft w:val="0"/>
          <w:marRight w:val="0"/>
          <w:marTop w:val="0"/>
          <w:marBottom w:val="0"/>
          <w:divBdr>
            <w:top w:val="none" w:sz="0" w:space="0" w:color="auto"/>
            <w:left w:val="none" w:sz="0" w:space="0" w:color="auto"/>
            <w:bottom w:val="none" w:sz="0" w:space="0" w:color="auto"/>
            <w:right w:val="none" w:sz="0" w:space="0" w:color="auto"/>
          </w:divBdr>
          <w:divsChild>
            <w:div w:id="627048622">
              <w:marLeft w:val="0"/>
              <w:marRight w:val="0"/>
              <w:marTop w:val="0"/>
              <w:marBottom w:val="0"/>
              <w:divBdr>
                <w:top w:val="none" w:sz="0" w:space="0" w:color="auto"/>
                <w:left w:val="none" w:sz="0" w:space="0" w:color="auto"/>
                <w:bottom w:val="none" w:sz="0" w:space="0" w:color="auto"/>
                <w:right w:val="none" w:sz="0" w:space="0" w:color="auto"/>
              </w:divBdr>
              <w:divsChild>
                <w:div w:id="20676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76949">
      <w:bodyDiv w:val="1"/>
      <w:marLeft w:val="0"/>
      <w:marRight w:val="0"/>
      <w:marTop w:val="0"/>
      <w:marBottom w:val="0"/>
      <w:divBdr>
        <w:top w:val="none" w:sz="0" w:space="0" w:color="auto"/>
        <w:left w:val="none" w:sz="0" w:space="0" w:color="auto"/>
        <w:bottom w:val="none" w:sz="0" w:space="0" w:color="auto"/>
        <w:right w:val="none" w:sz="0" w:space="0" w:color="auto"/>
      </w:divBdr>
      <w:divsChild>
        <w:div w:id="1542280291">
          <w:marLeft w:val="0"/>
          <w:marRight w:val="0"/>
          <w:marTop w:val="0"/>
          <w:marBottom w:val="0"/>
          <w:divBdr>
            <w:top w:val="none" w:sz="0" w:space="0" w:color="auto"/>
            <w:left w:val="none" w:sz="0" w:space="0" w:color="auto"/>
            <w:bottom w:val="none" w:sz="0" w:space="0" w:color="auto"/>
            <w:right w:val="none" w:sz="0" w:space="0" w:color="auto"/>
          </w:divBdr>
          <w:divsChild>
            <w:div w:id="683750753">
              <w:marLeft w:val="0"/>
              <w:marRight w:val="0"/>
              <w:marTop w:val="0"/>
              <w:marBottom w:val="0"/>
              <w:divBdr>
                <w:top w:val="none" w:sz="0" w:space="0" w:color="auto"/>
                <w:left w:val="none" w:sz="0" w:space="0" w:color="auto"/>
                <w:bottom w:val="none" w:sz="0" w:space="0" w:color="auto"/>
                <w:right w:val="none" w:sz="0" w:space="0" w:color="auto"/>
              </w:divBdr>
              <w:divsChild>
                <w:div w:id="79799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14597">
      <w:bodyDiv w:val="1"/>
      <w:marLeft w:val="0"/>
      <w:marRight w:val="0"/>
      <w:marTop w:val="0"/>
      <w:marBottom w:val="0"/>
      <w:divBdr>
        <w:top w:val="none" w:sz="0" w:space="0" w:color="auto"/>
        <w:left w:val="none" w:sz="0" w:space="0" w:color="auto"/>
        <w:bottom w:val="none" w:sz="0" w:space="0" w:color="auto"/>
        <w:right w:val="none" w:sz="0" w:space="0" w:color="auto"/>
      </w:divBdr>
      <w:divsChild>
        <w:div w:id="1855537828">
          <w:marLeft w:val="0"/>
          <w:marRight w:val="0"/>
          <w:marTop w:val="0"/>
          <w:marBottom w:val="0"/>
          <w:divBdr>
            <w:top w:val="none" w:sz="0" w:space="0" w:color="auto"/>
            <w:left w:val="none" w:sz="0" w:space="0" w:color="auto"/>
            <w:bottom w:val="none" w:sz="0" w:space="0" w:color="auto"/>
            <w:right w:val="none" w:sz="0" w:space="0" w:color="auto"/>
          </w:divBdr>
          <w:divsChild>
            <w:div w:id="1693453132">
              <w:marLeft w:val="0"/>
              <w:marRight w:val="0"/>
              <w:marTop w:val="0"/>
              <w:marBottom w:val="0"/>
              <w:divBdr>
                <w:top w:val="none" w:sz="0" w:space="0" w:color="auto"/>
                <w:left w:val="none" w:sz="0" w:space="0" w:color="auto"/>
                <w:bottom w:val="none" w:sz="0" w:space="0" w:color="auto"/>
                <w:right w:val="none" w:sz="0" w:space="0" w:color="auto"/>
              </w:divBdr>
              <w:divsChild>
                <w:div w:id="99943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398029">
      <w:bodyDiv w:val="1"/>
      <w:marLeft w:val="0"/>
      <w:marRight w:val="0"/>
      <w:marTop w:val="0"/>
      <w:marBottom w:val="0"/>
      <w:divBdr>
        <w:top w:val="none" w:sz="0" w:space="0" w:color="auto"/>
        <w:left w:val="none" w:sz="0" w:space="0" w:color="auto"/>
        <w:bottom w:val="none" w:sz="0" w:space="0" w:color="auto"/>
        <w:right w:val="none" w:sz="0" w:space="0" w:color="auto"/>
      </w:divBdr>
      <w:divsChild>
        <w:div w:id="1010520959">
          <w:marLeft w:val="0"/>
          <w:marRight w:val="0"/>
          <w:marTop w:val="0"/>
          <w:marBottom w:val="0"/>
          <w:divBdr>
            <w:top w:val="none" w:sz="0" w:space="0" w:color="auto"/>
            <w:left w:val="none" w:sz="0" w:space="0" w:color="auto"/>
            <w:bottom w:val="none" w:sz="0" w:space="0" w:color="auto"/>
            <w:right w:val="none" w:sz="0" w:space="0" w:color="auto"/>
          </w:divBdr>
          <w:divsChild>
            <w:div w:id="679434087">
              <w:marLeft w:val="0"/>
              <w:marRight w:val="0"/>
              <w:marTop w:val="0"/>
              <w:marBottom w:val="0"/>
              <w:divBdr>
                <w:top w:val="none" w:sz="0" w:space="0" w:color="auto"/>
                <w:left w:val="none" w:sz="0" w:space="0" w:color="auto"/>
                <w:bottom w:val="none" w:sz="0" w:space="0" w:color="auto"/>
                <w:right w:val="none" w:sz="0" w:space="0" w:color="auto"/>
              </w:divBdr>
              <w:divsChild>
                <w:div w:id="15519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058060">
      <w:bodyDiv w:val="1"/>
      <w:marLeft w:val="0"/>
      <w:marRight w:val="0"/>
      <w:marTop w:val="0"/>
      <w:marBottom w:val="0"/>
      <w:divBdr>
        <w:top w:val="none" w:sz="0" w:space="0" w:color="auto"/>
        <w:left w:val="none" w:sz="0" w:space="0" w:color="auto"/>
        <w:bottom w:val="none" w:sz="0" w:space="0" w:color="auto"/>
        <w:right w:val="none" w:sz="0" w:space="0" w:color="auto"/>
      </w:divBdr>
      <w:divsChild>
        <w:div w:id="935357841">
          <w:marLeft w:val="0"/>
          <w:marRight w:val="0"/>
          <w:marTop w:val="0"/>
          <w:marBottom w:val="0"/>
          <w:divBdr>
            <w:top w:val="none" w:sz="0" w:space="0" w:color="auto"/>
            <w:left w:val="none" w:sz="0" w:space="0" w:color="auto"/>
            <w:bottom w:val="none" w:sz="0" w:space="0" w:color="auto"/>
            <w:right w:val="none" w:sz="0" w:space="0" w:color="auto"/>
          </w:divBdr>
          <w:divsChild>
            <w:div w:id="368338249">
              <w:marLeft w:val="0"/>
              <w:marRight w:val="0"/>
              <w:marTop w:val="0"/>
              <w:marBottom w:val="0"/>
              <w:divBdr>
                <w:top w:val="none" w:sz="0" w:space="0" w:color="auto"/>
                <w:left w:val="none" w:sz="0" w:space="0" w:color="auto"/>
                <w:bottom w:val="none" w:sz="0" w:space="0" w:color="auto"/>
                <w:right w:val="none" w:sz="0" w:space="0" w:color="auto"/>
              </w:divBdr>
              <w:divsChild>
                <w:div w:id="141396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3330">
      <w:bodyDiv w:val="1"/>
      <w:marLeft w:val="0"/>
      <w:marRight w:val="0"/>
      <w:marTop w:val="0"/>
      <w:marBottom w:val="0"/>
      <w:divBdr>
        <w:top w:val="none" w:sz="0" w:space="0" w:color="auto"/>
        <w:left w:val="none" w:sz="0" w:space="0" w:color="auto"/>
        <w:bottom w:val="none" w:sz="0" w:space="0" w:color="auto"/>
        <w:right w:val="none" w:sz="0" w:space="0" w:color="auto"/>
      </w:divBdr>
      <w:divsChild>
        <w:div w:id="426660179">
          <w:marLeft w:val="0"/>
          <w:marRight w:val="0"/>
          <w:marTop w:val="0"/>
          <w:marBottom w:val="0"/>
          <w:divBdr>
            <w:top w:val="none" w:sz="0" w:space="0" w:color="auto"/>
            <w:left w:val="none" w:sz="0" w:space="0" w:color="auto"/>
            <w:bottom w:val="none" w:sz="0" w:space="0" w:color="auto"/>
            <w:right w:val="none" w:sz="0" w:space="0" w:color="auto"/>
          </w:divBdr>
          <w:divsChild>
            <w:div w:id="133185094">
              <w:marLeft w:val="0"/>
              <w:marRight w:val="0"/>
              <w:marTop w:val="0"/>
              <w:marBottom w:val="0"/>
              <w:divBdr>
                <w:top w:val="none" w:sz="0" w:space="0" w:color="auto"/>
                <w:left w:val="none" w:sz="0" w:space="0" w:color="auto"/>
                <w:bottom w:val="none" w:sz="0" w:space="0" w:color="auto"/>
                <w:right w:val="none" w:sz="0" w:space="0" w:color="auto"/>
              </w:divBdr>
              <w:divsChild>
                <w:div w:id="1305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87392">
      <w:bodyDiv w:val="1"/>
      <w:marLeft w:val="0"/>
      <w:marRight w:val="0"/>
      <w:marTop w:val="0"/>
      <w:marBottom w:val="0"/>
      <w:divBdr>
        <w:top w:val="none" w:sz="0" w:space="0" w:color="auto"/>
        <w:left w:val="none" w:sz="0" w:space="0" w:color="auto"/>
        <w:bottom w:val="none" w:sz="0" w:space="0" w:color="auto"/>
        <w:right w:val="none" w:sz="0" w:space="0" w:color="auto"/>
      </w:divBdr>
      <w:divsChild>
        <w:div w:id="1471633648">
          <w:marLeft w:val="0"/>
          <w:marRight w:val="0"/>
          <w:marTop w:val="0"/>
          <w:marBottom w:val="0"/>
          <w:divBdr>
            <w:top w:val="none" w:sz="0" w:space="0" w:color="auto"/>
            <w:left w:val="none" w:sz="0" w:space="0" w:color="auto"/>
            <w:bottom w:val="none" w:sz="0" w:space="0" w:color="auto"/>
            <w:right w:val="none" w:sz="0" w:space="0" w:color="auto"/>
          </w:divBdr>
          <w:divsChild>
            <w:div w:id="659163956">
              <w:marLeft w:val="0"/>
              <w:marRight w:val="0"/>
              <w:marTop w:val="0"/>
              <w:marBottom w:val="0"/>
              <w:divBdr>
                <w:top w:val="none" w:sz="0" w:space="0" w:color="auto"/>
                <w:left w:val="none" w:sz="0" w:space="0" w:color="auto"/>
                <w:bottom w:val="none" w:sz="0" w:space="0" w:color="auto"/>
                <w:right w:val="none" w:sz="0" w:space="0" w:color="auto"/>
              </w:divBdr>
              <w:divsChild>
                <w:div w:id="14880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44368">
      <w:bodyDiv w:val="1"/>
      <w:marLeft w:val="0"/>
      <w:marRight w:val="0"/>
      <w:marTop w:val="0"/>
      <w:marBottom w:val="0"/>
      <w:divBdr>
        <w:top w:val="none" w:sz="0" w:space="0" w:color="auto"/>
        <w:left w:val="none" w:sz="0" w:space="0" w:color="auto"/>
        <w:bottom w:val="none" w:sz="0" w:space="0" w:color="auto"/>
        <w:right w:val="none" w:sz="0" w:space="0" w:color="auto"/>
      </w:divBdr>
      <w:divsChild>
        <w:div w:id="1706950827">
          <w:marLeft w:val="0"/>
          <w:marRight w:val="0"/>
          <w:marTop w:val="0"/>
          <w:marBottom w:val="0"/>
          <w:divBdr>
            <w:top w:val="none" w:sz="0" w:space="0" w:color="auto"/>
            <w:left w:val="none" w:sz="0" w:space="0" w:color="auto"/>
            <w:bottom w:val="none" w:sz="0" w:space="0" w:color="auto"/>
            <w:right w:val="none" w:sz="0" w:space="0" w:color="auto"/>
          </w:divBdr>
          <w:divsChild>
            <w:div w:id="1949653334">
              <w:marLeft w:val="0"/>
              <w:marRight w:val="0"/>
              <w:marTop w:val="0"/>
              <w:marBottom w:val="0"/>
              <w:divBdr>
                <w:top w:val="none" w:sz="0" w:space="0" w:color="auto"/>
                <w:left w:val="none" w:sz="0" w:space="0" w:color="auto"/>
                <w:bottom w:val="none" w:sz="0" w:space="0" w:color="auto"/>
                <w:right w:val="none" w:sz="0" w:space="0" w:color="auto"/>
              </w:divBdr>
              <w:divsChild>
                <w:div w:id="19751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08042">
      <w:bodyDiv w:val="1"/>
      <w:marLeft w:val="0"/>
      <w:marRight w:val="0"/>
      <w:marTop w:val="0"/>
      <w:marBottom w:val="0"/>
      <w:divBdr>
        <w:top w:val="none" w:sz="0" w:space="0" w:color="auto"/>
        <w:left w:val="none" w:sz="0" w:space="0" w:color="auto"/>
        <w:bottom w:val="none" w:sz="0" w:space="0" w:color="auto"/>
        <w:right w:val="none" w:sz="0" w:space="0" w:color="auto"/>
      </w:divBdr>
      <w:divsChild>
        <w:div w:id="300497817">
          <w:marLeft w:val="0"/>
          <w:marRight w:val="0"/>
          <w:marTop w:val="0"/>
          <w:marBottom w:val="0"/>
          <w:divBdr>
            <w:top w:val="none" w:sz="0" w:space="0" w:color="auto"/>
            <w:left w:val="none" w:sz="0" w:space="0" w:color="auto"/>
            <w:bottom w:val="none" w:sz="0" w:space="0" w:color="auto"/>
            <w:right w:val="none" w:sz="0" w:space="0" w:color="auto"/>
          </w:divBdr>
          <w:divsChild>
            <w:div w:id="735274782">
              <w:marLeft w:val="0"/>
              <w:marRight w:val="0"/>
              <w:marTop w:val="0"/>
              <w:marBottom w:val="0"/>
              <w:divBdr>
                <w:top w:val="none" w:sz="0" w:space="0" w:color="auto"/>
                <w:left w:val="none" w:sz="0" w:space="0" w:color="auto"/>
                <w:bottom w:val="none" w:sz="0" w:space="0" w:color="auto"/>
                <w:right w:val="none" w:sz="0" w:space="0" w:color="auto"/>
              </w:divBdr>
              <w:divsChild>
                <w:div w:id="1327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91397">
      <w:bodyDiv w:val="1"/>
      <w:marLeft w:val="0"/>
      <w:marRight w:val="0"/>
      <w:marTop w:val="0"/>
      <w:marBottom w:val="0"/>
      <w:divBdr>
        <w:top w:val="none" w:sz="0" w:space="0" w:color="auto"/>
        <w:left w:val="none" w:sz="0" w:space="0" w:color="auto"/>
        <w:bottom w:val="none" w:sz="0" w:space="0" w:color="auto"/>
        <w:right w:val="none" w:sz="0" w:space="0" w:color="auto"/>
      </w:divBdr>
      <w:divsChild>
        <w:div w:id="1979214548">
          <w:marLeft w:val="0"/>
          <w:marRight w:val="0"/>
          <w:marTop w:val="0"/>
          <w:marBottom w:val="0"/>
          <w:divBdr>
            <w:top w:val="none" w:sz="0" w:space="0" w:color="auto"/>
            <w:left w:val="none" w:sz="0" w:space="0" w:color="auto"/>
            <w:bottom w:val="none" w:sz="0" w:space="0" w:color="auto"/>
            <w:right w:val="none" w:sz="0" w:space="0" w:color="auto"/>
          </w:divBdr>
          <w:divsChild>
            <w:div w:id="1124276179">
              <w:marLeft w:val="0"/>
              <w:marRight w:val="0"/>
              <w:marTop w:val="0"/>
              <w:marBottom w:val="0"/>
              <w:divBdr>
                <w:top w:val="none" w:sz="0" w:space="0" w:color="auto"/>
                <w:left w:val="none" w:sz="0" w:space="0" w:color="auto"/>
                <w:bottom w:val="none" w:sz="0" w:space="0" w:color="auto"/>
                <w:right w:val="none" w:sz="0" w:space="0" w:color="auto"/>
              </w:divBdr>
              <w:divsChild>
                <w:div w:id="97256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873353">
      <w:bodyDiv w:val="1"/>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sChild>
            <w:div w:id="868488987">
              <w:marLeft w:val="0"/>
              <w:marRight w:val="0"/>
              <w:marTop w:val="0"/>
              <w:marBottom w:val="0"/>
              <w:divBdr>
                <w:top w:val="none" w:sz="0" w:space="0" w:color="auto"/>
                <w:left w:val="none" w:sz="0" w:space="0" w:color="auto"/>
                <w:bottom w:val="none" w:sz="0" w:space="0" w:color="auto"/>
                <w:right w:val="none" w:sz="0" w:space="0" w:color="auto"/>
              </w:divBdr>
              <w:divsChild>
                <w:div w:id="1195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459530">
      <w:bodyDiv w:val="1"/>
      <w:marLeft w:val="0"/>
      <w:marRight w:val="0"/>
      <w:marTop w:val="0"/>
      <w:marBottom w:val="0"/>
      <w:divBdr>
        <w:top w:val="none" w:sz="0" w:space="0" w:color="auto"/>
        <w:left w:val="none" w:sz="0" w:space="0" w:color="auto"/>
        <w:bottom w:val="none" w:sz="0" w:space="0" w:color="auto"/>
        <w:right w:val="none" w:sz="0" w:space="0" w:color="auto"/>
      </w:divBdr>
      <w:divsChild>
        <w:div w:id="1521158563">
          <w:marLeft w:val="0"/>
          <w:marRight w:val="0"/>
          <w:marTop w:val="0"/>
          <w:marBottom w:val="0"/>
          <w:divBdr>
            <w:top w:val="none" w:sz="0" w:space="0" w:color="auto"/>
            <w:left w:val="none" w:sz="0" w:space="0" w:color="auto"/>
            <w:bottom w:val="none" w:sz="0" w:space="0" w:color="auto"/>
            <w:right w:val="none" w:sz="0" w:space="0" w:color="auto"/>
          </w:divBdr>
          <w:divsChild>
            <w:div w:id="695616522">
              <w:marLeft w:val="0"/>
              <w:marRight w:val="0"/>
              <w:marTop w:val="0"/>
              <w:marBottom w:val="0"/>
              <w:divBdr>
                <w:top w:val="none" w:sz="0" w:space="0" w:color="auto"/>
                <w:left w:val="none" w:sz="0" w:space="0" w:color="auto"/>
                <w:bottom w:val="none" w:sz="0" w:space="0" w:color="auto"/>
                <w:right w:val="none" w:sz="0" w:space="0" w:color="auto"/>
              </w:divBdr>
              <w:divsChild>
                <w:div w:id="1263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855002">
      <w:bodyDiv w:val="1"/>
      <w:marLeft w:val="0"/>
      <w:marRight w:val="0"/>
      <w:marTop w:val="0"/>
      <w:marBottom w:val="0"/>
      <w:divBdr>
        <w:top w:val="none" w:sz="0" w:space="0" w:color="auto"/>
        <w:left w:val="none" w:sz="0" w:space="0" w:color="auto"/>
        <w:bottom w:val="none" w:sz="0" w:space="0" w:color="auto"/>
        <w:right w:val="none" w:sz="0" w:space="0" w:color="auto"/>
      </w:divBdr>
      <w:divsChild>
        <w:div w:id="705562593">
          <w:marLeft w:val="0"/>
          <w:marRight w:val="0"/>
          <w:marTop w:val="0"/>
          <w:marBottom w:val="0"/>
          <w:divBdr>
            <w:top w:val="none" w:sz="0" w:space="0" w:color="auto"/>
            <w:left w:val="none" w:sz="0" w:space="0" w:color="auto"/>
            <w:bottom w:val="none" w:sz="0" w:space="0" w:color="auto"/>
            <w:right w:val="none" w:sz="0" w:space="0" w:color="auto"/>
          </w:divBdr>
          <w:divsChild>
            <w:div w:id="903099844">
              <w:marLeft w:val="0"/>
              <w:marRight w:val="0"/>
              <w:marTop w:val="0"/>
              <w:marBottom w:val="0"/>
              <w:divBdr>
                <w:top w:val="none" w:sz="0" w:space="0" w:color="auto"/>
                <w:left w:val="none" w:sz="0" w:space="0" w:color="auto"/>
                <w:bottom w:val="none" w:sz="0" w:space="0" w:color="auto"/>
                <w:right w:val="none" w:sz="0" w:space="0" w:color="auto"/>
              </w:divBdr>
              <w:divsChild>
                <w:div w:id="33681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576947">
      <w:bodyDiv w:val="1"/>
      <w:marLeft w:val="0"/>
      <w:marRight w:val="0"/>
      <w:marTop w:val="0"/>
      <w:marBottom w:val="0"/>
      <w:divBdr>
        <w:top w:val="none" w:sz="0" w:space="0" w:color="auto"/>
        <w:left w:val="none" w:sz="0" w:space="0" w:color="auto"/>
        <w:bottom w:val="none" w:sz="0" w:space="0" w:color="auto"/>
        <w:right w:val="none" w:sz="0" w:space="0" w:color="auto"/>
      </w:divBdr>
      <w:divsChild>
        <w:div w:id="1359040579">
          <w:marLeft w:val="0"/>
          <w:marRight w:val="0"/>
          <w:marTop w:val="0"/>
          <w:marBottom w:val="0"/>
          <w:divBdr>
            <w:top w:val="none" w:sz="0" w:space="0" w:color="auto"/>
            <w:left w:val="none" w:sz="0" w:space="0" w:color="auto"/>
            <w:bottom w:val="none" w:sz="0" w:space="0" w:color="auto"/>
            <w:right w:val="none" w:sz="0" w:space="0" w:color="auto"/>
          </w:divBdr>
          <w:divsChild>
            <w:div w:id="1854877631">
              <w:marLeft w:val="0"/>
              <w:marRight w:val="0"/>
              <w:marTop w:val="0"/>
              <w:marBottom w:val="0"/>
              <w:divBdr>
                <w:top w:val="none" w:sz="0" w:space="0" w:color="auto"/>
                <w:left w:val="none" w:sz="0" w:space="0" w:color="auto"/>
                <w:bottom w:val="none" w:sz="0" w:space="0" w:color="auto"/>
                <w:right w:val="none" w:sz="0" w:space="0" w:color="auto"/>
              </w:divBdr>
              <w:divsChild>
                <w:div w:id="10484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261023">
      <w:bodyDiv w:val="1"/>
      <w:marLeft w:val="0"/>
      <w:marRight w:val="0"/>
      <w:marTop w:val="0"/>
      <w:marBottom w:val="0"/>
      <w:divBdr>
        <w:top w:val="none" w:sz="0" w:space="0" w:color="auto"/>
        <w:left w:val="none" w:sz="0" w:space="0" w:color="auto"/>
        <w:bottom w:val="none" w:sz="0" w:space="0" w:color="auto"/>
        <w:right w:val="none" w:sz="0" w:space="0" w:color="auto"/>
      </w:divBdr>
      <w:divsChild>
        <w:div w:id="1082608262">
          <w:marLeft w:val="0"/>
          <w:marRight w:val="0"/>
          <w:marTop w:val="0"/>
          <w:marBottom w:val="0"/>
          <w:divBdr>
            <w:top w:val="none" w:sz="0" w:space="0" w:color="auto"/>
            <w:left w:val="none" w:sz="0" w:space="0" w:color="auto"/>
            <w:bottom w:val="none" w:sz="0" w:space="0" w:color="auto"/>
            <w:right w:val="none" w:sz="0" w:space="0" w:color="auto"/>
          </w:divBdr>
          <w:divsChild>
            <w:div w:id="1477450265">
              <w:marLeft w:val="0"/>
              <w:marRight w:val="0"/>
              <w:marTop w:val="0"/>
              <w:marBottom w:val="0"/>
              <w:divBdr>
                <w:top w:val="none" w:sz="0" w:space="0" w:color="auto"/>
                <w:left w:val="none" w:sz="0" w:space="0" w:color="auto"/>
                <w:bottom w:val="none" w:sz="0" w:space="0" w:color="auto"/>
                <w:right w:val="none" w:sz="0" w:space="0" w:color="auto"/>
              </w:divBdr>
              <w:divsChild>
                <w:div w:id="6904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77338">
      <w:bodyDiv w:val="1"/>
      <w:marLeft w:val="0"/>
      <w:marRight w:val="0"/>
      <w:marTop w:val="0"/>
      <w:marBottom w:val="0"/>
      <w:divBdr>
        <w:top w:val="none" w:sz="0" w:space="0" w:color="auto"/>
        <w:left w:val="none" w:sz="0" w:space="0" w:color="auto"/>
        <w:bottom w:val="none" w:sz="0" w:space="0" w:color="auto"/>
        <w:right w:val="none" w:sz="0" w:space="0" w:color="auto"/>
      </w:divBdr>
      <w:divsChild>
        <w:div w:id="767965073">
          <w:marLeft w:val="0"/>
          <w:marRight w:val="0"/>
          <w:marTop w:val="0"/>
          <w:marBottom w:val="0"/>
          <w:divBdr>
            <w:top w:val="none" w:sz="0" w:space="0" w:color="auto"/>
            <w:left w:val="none" w:sz="0" w:space="0" w:color="auto"/>
            <w:bottom w:val="none" w:sz="0" w:space="0" w:color="auto"/>
            <w:right w:val="none" w:sz="0" w:space="0" w:color="auto"/>
          </w:divBdr>
          <w:divsChild>
            <w:div w:id="1541435918">
              <w:marLeft w:val="0"/>
              <w:marRight w:val="0"/>
              <w:marTop w:val="0"/>
              <w:marBottom w:val="0"/>
              <w:divBdr>
                <w:top w:val="none" w:sz="0" w:space="0" w:color="auto"/>
                <w:left w:val="none" w:sz="0" w:space="0" w:color="auto"/>
                <w:bottom w:val="none" w:sz="0" w:space="0" w:color="auto"/>
                <w:right w:val="none" w:sz="0" w:space="0" w:color="auto"/>
              </w:divBdr>
              <w:divsChild>
                <w:div w:id="16275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23569">
      <w:bodyDiv w:val="1"/>
      <w:marLeft w:val="0"/>
      <w:marRight w:val="0"/>
      <w:marTop w:val="0"/>
      <w:marBottom w:val="0"/>
      <w:divBdr>
        <w:top w:val="none" w:sz="0" w:space="0" w:color="auto"/>
        <w:left w:val="none" w:sz="0" w:space="0" w:color="auto"/>
        <w:bottom w:val="none" w:sz="0" w:space="0" w:color="auto"/>
        <w:right w:val="none" w:sz="0" w:space="0" w:color="auto"/>
      </w:divBdr>
      <w:divsChild>
        <w:div w:id="2056273854">
          <w:marLeft w:val="0"/>
          <w:marRight w:val="0"/>
          <w:marTop w:val="0"/>
          <w:marBottom w:val="0"/>
          <w:divBdr>
            <w:top w:val="none" w:sz="0" w:space="0" w:color="auto"/>
            <w:left w:val="none" w:sz="0" w:space="0" w:color="auto"/>
            <w:bottom w:val="none" w:sz="0" w:space="0" w:color="auto"/>
            <w:right w:val="none" w:sz="0" w:space="0" w:color="auto"/>
          </w:divBdr>
          <w:divsChild>
            <w:div w:id="1872566704">
              <w:marLeft w:val="0"/>
              <w:marRight w:val="0"/>
              <w:marTop w:val="0"/>
              <w:marBottom w:val="0"/>
              <w:divBdr>
                <w:top w:val="none" w:sz="0" w:space="0" w:color="auto"/>
                <w:left w:val="none" w:sz="0" w:space="0" w:color="auto"/>
                <w:bottom w:val="none" w:sz="0" w:space="0" w:color="auto"/>
                <w:right w:val="none" w:sz="0" w:space="0" w:color="auto"/>
              </w:divBdr>
              <w:divsChild>
                <w:div w:id="8768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41451">
      <w:bodyDiv w:val="1"/>
      <w:marLeft w:val="0"/>
      <w:marRight w:val="0"/>
      <w:marTop w:val="0"/>
      <w:marBottom w:val="0"/>
      <w:divBdr>
        <w:top w:val="none" w:sz="0" w:space="0" w:color="auto"/>
        <w:left w:val="none" w:sz="0" w:space="0" w:color="auto"/>
        <w:bottom w:val="none" w:sz="0" w:space="0" w:color="auto"/>
        <w:right w:val="none" w:sz="0" w:space="0" w:color="auto"/>
      </w:divBdr>
      <w:divsChild>
        <w:div w:id="1303848510">
          <w:marLeft w:val="0"/>
          <w:marRight w:val="0"/>
          <w:marTop w:val="0"/>
          <w:marBottom w:val="0"/>
          <w:divBdr>
            <w:top w:val="none" w:sz="0" w:space="0" w:color="auto"/>
            <w:left w:val="none" w:sz="0" w:space="0" w:color="auto"/>
            <w:bottom w:val="none" w:sz="0" w:space="0" w:color="auto"/>
            <w:right w:val="none" w:sz="0" w:space="0" w:color="auto"/>
          </w:divBdr>
          <w:divsChild>
            <w:div w:id="165707743">
              <w:marLeft w:val="0"/>
              <w:marRight w:val="0"/>
              <w:marTop w:val="0"/>
              <w:marBottom w:val="0"/>
              <w:divBdr>
                <w:top w:val="none" w:sz="0" w:space="0" w:color="auto"/>
                <w:left w:val="none" w:sz="0" w:space="0" w:color="auto"/>
                <w:bottom w:val="none" w:sz="0" w:space="0" w:color="auto"/>
                <w:right w:val="none" w:sz="0" w:space="0" w:color="auto"/>
              </w:divBdr>
              <w:divsChild>
                <w:div w:id="10903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86377">
      <w:bodyDiv w:val="1"/>
      <w:marLeft w:val="0"/>
      <w:marRight w:val="0"/>
      <w:marTop w:val="0"/>
      <w:marBottom w:val="0"/>
      <w:divBdr>
        <w:top w:val="none" w:sz="0" w:space="0" w:color="auto"/>
        <w:left w:val="none" w:sz="0" w:space="0" w:color="auto"/>
        <w:bottom w:val="none" w:sz="0" w:space="0" w:color="auto"/>
        <w:right w:val="none" w:sz="0" w:space="0" w:color="auto"/>
      </w:divBdr>
      <w:divsChild>
        <w:div w:id="877090210">
          <w:marLeft w:val="0"/>
          <w:marRight w:val="0"/>
          <w:marTop w:val="0"/>
          <w:marBottom w:val="0"/>
          <w:divBdr>
            <w:top w:val="none" w:sz="0" w:space="0" w:color="auto"/>
            <w:left w:val="none" w:sz="0" w:space="0" w:color="auto"/>
            <w:bottom w:val="none" w:sz="0" w:space="0" w:color="auto"/>
            <w:right w:val="none" w:sz="0" w:space="0" w:color="auto"/>
          </w:divBdr>
          <w:divsChild>
            <w:div w:id="1023171525">
              <w:marLeft w:val="0"/>
              <w:marRight w:val="0"/>
              <w:marTop w:val="0"/>
              <w:marBottom w:val="0"/>
              <w:divBdr>
                <w:top w:val="none" w:sz="0" w:space="0" w:color="auto"/>
                <w:left w:val="none" w:sz="0" w:space="0" w:color="auto"/>
                <w:bottom w:val="none" w:sz="0" w:space="0" w:color="auto"/>
                <w:right w:val="none" w:sz="0" w:space="0" w:color="auto"/>
              </w:divBdr>
              <w:divsChild>
                <w:div w:id="79733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37853">
      <w:bodyDiv w:val="1"/>
      <w:marLeft w:val="0"/>
      <w:marRight w:val="0"/>
      <w:marTop w:val="0"/>
      <w:marBottom w:val="0"/>
      <w:divBdr>
        <w:top w:val="none" w:sz="0" w:space="0" w:color="auto"/>
        <w:left w:val="none" w:sz="0" w:space="0" w:color="auto"/>
        <w:bottom w:val="none" w:sz="0" w:space="0" w:color="auto"/>
        <w:right w:val="none" w:sz="0" w:space="0" w:color="auto"/>
      </w:divBdr>
      <w:divsChild>
        <w:div w:id="162817490">
          <w:marLeft w:val="0"/>
          <w:marRight w:val="0"/>
          <w:marTop w:val="0"/>
          <w:marBottom w:val="0"/>
          <w:divBdr>
            <w:top w:val="none" w:sz="0" w:space="0" w:color="auto"/>
            <w:left w:val="none" w:sz="0" w:space="0" w:color="auto"/>
            <w:bottom w:val="none" w:sz="0" w:space="0" w:color="auto"/>
            <w:right w:val="none" w:sz="0" w:space="0" w:color="auto"/>
          </w:divBdr>
          <w:divsChild>
            <w:div w:id="1040475597">
              <w:marLeft w:val="0"/>
              <w:marRight w:val="0"/>
              <w:marTop w:val="0"/>
              <w:marBottom w:val="0"/>
              <w:divBdr>
                <w:top w:val="none" w:sz="0" w:space="0" w:color="auto"/>
                <w:left w:val="none" w:sz="0" w:space="0" w:color="auto"/>
                <w:bottom w:val="none" w:sz="0" w:space="0" w:color="auto"/>
                <w:right w:val="none" w:sz="0" w:space="0" w:color="auto"/>
              </w:divBdr>
              <w:divsChild>
                <w:div w:id="10400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89180">
      <w:bodyDiv w:val="1"/>
      <w:marLeft w:val="0"/>
      <w:marRight w:val="0"/>
      <w:marTop w:val="0"/>
      <w:marBottom w:val="0"/>
      <w:divBdr>
        <w:top w:val="none" w:sz="0" w:space="0" w:color="auto"/>
        <w:left w:val="none" w:sz="0" w:space="0" w:color="auto"/>
        <w:bottom w:val="none" w:sz="0" w:space="0" w:color="auto"/>
        <w:right w:val="none" w:sz="0" w:space="0" w:color="auto"/>
      </w:divBdr>
      <w:divsChild>
        <w:div w:id="1564414524">
          <w:marLeft w:val="0"/>
          <w:marRight w:val="0"/>
          <w:marTop w:val="0"/>
          <w:marBottom w:val="0"/>
          <w:divBdr>
            <w:top w:val="none" w:sz="0" w:space="0" w:color="auto"/>
            <w:left w:val="none" w:sz="0" w:space="0" w:color="auto"/>
            <w:bottom w:val="none" w:sz="0" w:space="0" w:color="auto"/>
            <w:right w:val="none" w:sz="0" w:space="0" w:color="auto"/>
          </w:divBdr>
          <w:divsChild>
            <w:div w:id="771632904">
              <w:marLeft w:val="0"/>
              <w:marRight w:val="0"/>
              <w:marTop w:val="0"/>
              <w:marBottom w:val="0"/>
              <w:divBdr>
                <w:top w:val="none" w:sz="0" w:space="0" w:color="auto"/>
                <w:left w:val="none" w:sz="0" w:space="0" w:color="auto"/>
                <w:bottom w:val="none" w:sz="0" w:space="0" w:color="auto"/>
                <w:right w:val="none" w:sz="0" w:space="0" w:color="auto"/>
              </w:divBdr>
              <w:divsChild>
                <w:div w:id="19475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7942">
      <w:bodyDiv w:val="1"/>
      <w:marLeft w:val="0"/>
      <w:marRight w:val="0"/>
      <w:marTop w:val="0"/>
      <w:marBottom w:val="0"/>
      <w:divBdr>
        <w:top w:val="none" w:sz="0" w:space="0" w:color="auto"/>
        <w:left w:val="none" w:sz="0" w:space="0" w:color="auto"/>
        <w:bottom w:val="none" w:sz="0" w:space="0" w:color="auto"/>
        <w:right w:val="none" w:sz="0" w:space="0" w:color="auto"/>
      </w:divBdr>
      <w:divsChild>
        <w:div w:id="926695762">
          <w:marLeft w:val="0"/>
          <w:marRight w:val="0"/>
          <w:marTop w:val="0"/>
          <w:marBottom w:val="0"/>
          <w:divBdr>
            <w:top w:val="none" w:sz="0" w:space="0" w:color="auto"/>
            <w:left w:val="none" w:sz="0" w:space="0" w:color="auto"/>
            <w:bottom w:val="none" w:sz="0" w:space="0" w:color="auto"/>
            <w:right w:val="none" w:sz="0" w:space="0" w:color="auto"/>
          </w:divBdr>
          <w:divsChild>
            <w:div w:id="1337266372">
              <w:marLeft w:val="0"/>
              <w:marRight w:val="0"/>
              <w:marTop w:val="0"/>
              <w:marBottom w:val="0"/>
              <w:divBdr>
                <w:top w:val="none" w:sz="0" w:space="0" w:color="auto"/>
                <w:left w:val="none" w:sz="0" w:space="0" w:color="auto"/>
                <w:bottom w:val="none" w:sz="0" w:space="0" w:color="auto"/>
                <w:right w:val="none" w:sz="0" w:space="0" w:color="auto"/>
              </w:divBdr>
              <w:divsChild>
                <w:div w:id="91956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82018">
      <w:bodyDiv w:val="1"/>
      <w:marLeft w:val="0"/>
      <w:marRight w:val="0"/>
      <w:marTop w:val="0"/>
      <w:marBottom w:val="0"/>
      <w:divBdr>
        <w:top w:val="none" w:sz="0" w:space="0" w:color="auto"/>
        <w:left w:val="none" w:sz="0" w:space="0" w:color="auto"/>
        <w:bottom w:val="none" w:sz="0" w:space="0" w:color="auto"/>
        <w:right w:val="none" w:sz="0" w:space="0" w:color="auto"/>
      </w:divBdr>
      <w:divsChild>
        <w:div w:id="307367696">
          <w:marLeft w:val="0"/>
          <w:marRight w:val="0"/>
          <w:marTop w:val="0"/>
          <w:marBottom w:val="0"/>
          <w:divBdr>
            <w:top w:val="none" w:sz="0" w:space="0" w:color="auto"/>
            <w:left w:val="none" w:sz="0" w:space="0" w:color="auto"/>
            <w:bottom w:val="none" w:sz="0" w:space="0" w:color="auto"/>
            <w:right w:val="none" w:sz="0" w:space="0" w:color="auto"/>
          </w:divBdr>
          <w:divsChild>
            <w:div w:id="795172671">
              <w:marLeft w:val="0"/>
              <w:marRight w:val="0"/>
              <w:marTop w:val="0"/>
              <w:marBottom w:val="0"/>
              <w:divBdr>
                <w:top w:val="none" w:sz="0" w:space="0" w:color="auto"/>
                <w:left w:val="none" w:sz="0" w:space="0" w:color="auto"/>
                <w:bottom w:val="none" w:sz="0" w:space="0" w:color="auto"/>
                <w:right w:val="none" w:sz="0" w:space="0" w:color="auto"/>
              </w:divBdr>
              <w:divsChild>
                <w:div w:id="4695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076">
      <w:bodyDiv w:val="1"/>
      <w:marLeft w:val="0"/>
      <w:marRight w:val="0"/>
      <w:marTop w:val="0"/>
      <w:marBottom w:val="0"/>
      <w:divBdr>
        <w:top w:val="none" w:sz="0" w:space="0" w:color="auto"/>
        <w:left w:val="none" w:sz="0" w:space="0" w:color="auto"/>
        <w:bottom w:val="none" w:sz="0" w:space="0" w:color="auto"/>
        <w:right w:val="none" w:sz="0" w:space="0" w:color="auto"/>
      </w:divBdr>
      <w:divsChild>
        <w:div w:id="1543177729">
          <w:marLeft w:val="0"/>
          <w:marRight w:val="0"/>
          <w:marTop w:val="0"/>
          <w:marBottom w:val="0"/>
          <w:divBdr>
            <w:top w:val="none" w:sz="0" w:space="0" w:color="auto"/>
            <w:left w:val="none" w:sz="0" w:space="0" w:color="auto"/>
            <w:bottom w:val="none" w:sz="0" w:space="0" w:color="auto"/>
            <w:right w:val="none" w:sz="0" w:space="0" w:color="auto"/>
          </w:divBdr>
          <w:divsChild>
            <w:div w:id="1310745075">
              <w:marLeft w:val="0"/>
              <w:marRight w:val="0"/>
              <w:marTop w:val="0"/>
              <w:marBottom w:val="0"/>
              <w:divBdr>
                <w:top w:val="none" w:sz="0" w:space="0" w:color="auto"/>
                <w:left w:val="none" w:sz="0" w:space="0" w:color="auto"/>
                <w:bottom w:val="none" w:sz="0" w:space="0" w:color="auto"/>
                <w:right w:val="none" w:sz="0" w:space="0" w:color="auto"/>
              </w:divBdr>
              <w:divsChild>
                <w:div w:id="18862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10712">
      <w:bodyDiv w:val="1"/>
      <w:marLeft w:val="0"/>
      <w:marRight w:val="0"/>
      <w:marTop w:val="0"/>
      <w:marBottom w:val="0"/>
      <w:divBdr>
        <w:top w:val="none" w:sz="0" w:space="0" w:color="auto"/>
        <w:left w:val="none" w:sz="0" w:space="0" w:color="auto"/>
        <w:bottom w:val="none" w:sz="0" w:space="0" w:color="auto"/>
        <w:right w:val="none" w:sz="0" w:space="0" w:color="auto"/>
      </w:divBdr>
      <w:divsChild>
        <w:div w:id="1849367798">
          <w:marLeft w:val="0"/>
          <w:marRight w:val="0"/>
          <w:marTop w:val="0"/>
          <w:marBottom w:val="0"/>
          <w:divBdr>
            <w:top w:val="none" w:sz="0" w:space="0" w:color="auto"/>
            <w:left w:val="none" w:sz="0" w:space="0" w:color="auto"/>
            <w:bottom w:val="none" w:sz="0" w:space="0" w:color="auto"/>
            <w:right w:val="none" w:sz="0" w:space="0" w:color="auto"/>
          </w:divBdr>
          <w:divsChild>
            <w:div w:id="2009673511">
              <w:marLeft w:val="0"/>
              <w:marRight w:val="0"/>
              <w:marTop w:val="0"/>
              <w:marBottom w:val="0"/>
              <w:divBdr>
                <w:top w:val="none" w:sz="0" w:space="0" w:color="auto"/>
                <w:left w:val="none" w:sz="0" w:space="0" w:color="auto"/>
                <w:bottom w:val="none" w:sz="0" w:space="0" w:color="auto"/>
                <w:right w:val="none" w:sz="0" w:space="0" w:color="auto"/>
              </w:divBdr>
              <w:divsChild>
                <w:div w:id="171357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ka.com/about/our-people/matthew-c-helland/" TargetMode="External"/><Relationship Id="rId18" Type="http://schemas.openxmlformats.org/officeDocument/2006/relationships/hyperlink" Target="https://www.phelps.com/professionals/reed-l-russell.htm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onstangy.com/people-Ellen-Kearns" TargetMode="External"/><Relationship Id="rId7" Type="http://schemas.openxmlformats.org/officeDocument/2006/relationships/webSettings" Target="webSettings.xml"/><Relationship Id="rId12" Type="http://schemas.openxmlformats.org/officeDocument/2006/relationships/hyperlink" Target="https://law.unlv.edu/faculty/nantiya-ruan" TargetMode="External"/><Relationship Id="rId17" Type="http://schemas.openxmlformats.org/officeDocument/2006/relationships/hyperlink" Target="https://www.nka.com/about/our-people/matthew-c-helland/"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ka.com/about/our-people/matthew-c-helland/" TargetMode="External"/><Relationship Id="rId20" Type="http://schemas.openxmlformats.org/officeDocument/2006/relationships/hyperlink" Target="https://www.kgworklaw.com/aaron-kaufman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selaborlaw.com/about-us/gregory-k-mcgillivary"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dykema.com/people/robert-a-boonin.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gtlaw.com/en/professionals/l/long-timothy" TargetMode="External"/><Relationship Id="rId19" Type="http://schemas.openxmlformats.org/officeDocument/2006/relationships/hyperlink" Target="https://altshulerberzon.com/attorneys/eve-h-cervante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helps.com/professionals/reed-l-russell.html"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80E6161B02D488737AB0EF896D3F2" ma:contentTypeVersion="19" ma:contentTypeDescription="Create a new document." ma:contentTypeScope="" ma:versionID="52cd7f6d132be6b5bc01c66df08000fe">
  <xsd:schema xmlns:xsd="http://www.w3.org/2001/XMLSchema" xmlns:xs="http://www.w3.org/2001/XMLSchema" xmlns:p="http://schemas.microsoft.com/office/2006/metadata/properties" xmlns:ns1="http://schemas.microsoft.com/sharepoint/v3" xmlns:ns2="15bb1560-9cca-4eb2-8289-4043f38e2e1a" xmlns:ns3="9960a99f-e9e2-45ee-ac4b-050a120c791d" targetNamespace="http://schemas.microsoft.com/office/2006/metadata/properties" ma:root="true" ma:fieldsID="e0ecdb1e87aea85ae87abe66d75f9b4f" ns1:_="" ns2:_="" ns3:_="">
    <xsd:import namespace="http://schemas.microsoft.com/sharepoint/v3"/>
    <xsd:import namespace="15bb1560-9cca-4eb2-8289-4043f38e2e1a"/>
    <xsd:import namespace="9960a99f-e9e2-45ee-ac4b-050a120c79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b1560-9cca-4eb2-8289-4043f38e2e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6ca996-ae3f-4819-abf0-bb45b28ae2f2}" ma:internalName="TaxCatchAll" ma:showField="CatchAllData" ma:web="15bb1560-9cca-4eb2-8289-4043f38e2e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60a99f-e9e2-45ee-ac4b-050a120c79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f3d206-2968-46ac-ad56-95a95c2927a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960a99f-e9e2-45ee-ac4b-050a120c791d">
      <Terms xmlns="http://schemas.microsoft.com/office/infopath/2007/PartnerControls"/>
    </lcf76f155ced4ddcb4097134ff3c332f>
    <TaxCatchAll xmlns="15bb1560-9cca-4eb2-8289-4043f38e2e1a"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12A1A-D521-435D-BA5B-454B846B2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b1560-9cca-4eb2-8289-4043f38e2e1a"/>
    <ds:schemaRef ds:uri="9960a99f-e9e2-45ee-ac4b-050a120c7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88BB2-7CD4-4B64-9AE5-77C903667D35}">
  <ds:schemaRefs>
    <ds:schemaRef ds:uri="http://schemas.microsoft.com/office/2006/metadata/properties"/>
    <ds:schemaRef ds:uri="http://schemas.microsoft.com/office/infopath/2007/PartnerControls"/>
    <ds:schemaRef ds:uri="http://schemas.microsoft.com/sharepoint/v3"/>
    <ds:schemaRef ds:uri="9960a99f-e9e2-45ee-ac4b-050a120c791d"/>
    <ds:schemaRef ds:uri="15bb1560-9cca-4eb2-8289-4043f38e2e1a"/>
  </ds:schemaRefs>
</ds:datastoreItem>
</file>

<file path=customXml/itemProps3.xml><?xml version="1.0" encoding="utf-8"?>
<ds:datastoreItem xmlns:ds="http://schemas.openxmlformats.org/officeDocument/2006/customXml" ds:itemID="{CAECA955-8F27-4268-9E75-300FB4633DF0}">
  <ds:schemaRefs>
    <ds:schemaRef ds:uri="http://schemas.microsoft.com/sharepoint/v3/contenttype/forms"/>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6</TotalTime>
  <Pages>357</Pages>
  <Words>43563</Words>
  <Characters>248312</Characters>
  <Application>Microsoft Office Word</Application>
  <DocSecurity>4</DocSecurity>
  <Lines>2069</Lines>
  <Paragraphs>582</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291293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Kline, Elizabeth</dc:creator>
  <cp:lastModifiedBy>Kline, Elizabeth</cp:lastModifiedBy>
  <cp:revision>2</cp:revision>
  <dcterms:created xsi:type="dcterms:W3CDTF">2025-04-03T19:04:00Z</dcterms:created>
  <dcterms:modified xsi:type="dcterms:W3CDTF">2025-04-03T19:04:00Z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0x010100B3080E6161B02D488737AB0EF896D3F2</vt:lpwstr>
  </property>
  <property fmtid="{D5CDD505-2E9C-101B-9397-08002B2CF9AE}" pid="3" name="CUS_DocIDActiveBits">
    <vt:lpwstr>491520</vt:lpwstr>
  </property>
  <property fmtid="{D5CDD505-2E9C-101B-9397-08002B2CF9AE}" pid="4" name="CUS_DocIDChunk0">
    <vt:lpwstr>1\240\4876-8542-5381.v1</vt:lpwstr>
  </property>
  <property fmtid="{D5CDD505-2E9C-101B-9397-08002B2CF9AE}" pid="5" name="CUS_DocIDLocation">
    <vt:lpwstr>END_OF_DOCUMENT</vt:lpwstr>
  </property>
  <property fmtid="{D5CDD505-2E9C-101B-9397-08002B2CF9AE}" pid="6" name="CUS_DocIDReference">
    <vt:lpwstr>endOfDocument</vt:lpwstr>
  </property>
  <property fmtid="{D5CDD505-2E9C-101B-9397-08002B2CF9AE}" pid="7" name="CUS_DocIDString">
    <vt:lpwstr>1\240\4876-8542-5381.v1</vt:lpwstr>
  </property>
  <property fmtid="{D5CDD505-2E9C-101B-9397-08002B2CF9AE}" pid="8" name="MediaServiceImageTags">
    <vt:lpwstr/>
  </property>
  <property fmtid="{D5CDD505-2E9C-101B-9397-08002B2CF9AE}" pid="9" name="MSIP_Label_defa4170-0d19-0005-0004-bc88714345d2_ActionId">
    <vt:lpwstr>8b8078f4-f306-43ba-809c-9a1b601e239e</vt:lpwstr>
  </property>
  <property fmtid="{D5CDD505-2E9C-101B-9397-08002B2CF9AE}" pid="10" name="MSIP_Label_defa4170-0d19-0005-0004-bc88714345d2_ContentBits">
    <vt:lpwstr>0</vt:lpwstr>
  </property>
  <property fmtid="{D5CDD505-2E9C-101B-9397-08002B2CF9AE}" pid="11" name="MSIP_Label_defa4170-0d19-0005-0004-bc88714345d2_Enabled">
    <vt:lpwstr>true</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etDate">
    <vt:lpwstr>2024-09-14T15:01:10Z</vt:lpwstr>
  </property>
  <property fmtid="{D5CDD505-2E9C-101B-9397-08002B2CF9AE}" pid="15" name="MSIP_Label_defa4170-0d19-0005-0004-bc88714345d2_SiteId">
    <vt:lpwstr>0d2b2bc1-655f-4317-ae38-5b62c638c037</vt:lpwstr>
  </property>
  <property fmtid="{D5CDD505-2E9C-101B-9397-08002B2CF9AE}" pid="16" name="MSIP_Label_f786616f-5bb4-45d1-b9c4-7a19bded0f1d_ActionId">
    <vt:lpwstr>f89eed22-171e-49d8-ba09-7ea265bd3a46</vt:lpwstr>
  </property>
  <property fmtid="{D5CDD505-2E9C-101B-9397-08002B2CF9AE}" pid="17" name="MSIP_Label_f786616f-5bb4-45d1-b9c4-7a19bded0f1d_ContentBits">
    <vt:lpwstr>0</vt:lpwstr>
  </property>
  <property fmtid="{D5CDD505-2E9C-101B-9397-08002B2CF9AE}" pid="18" name="MSIP_Label_f786616f-5bb4-45d1-b9c4-7a19bded0f1d_Enabled">
    <vt:lpwstr>true</vt:lpwstr>
  </property>
  <property fmtid="{D5CDD505-2E9C-101B-9397-08002B2CF9AE}" pid="19" name="MSIP_Label_f786616f-5bb4-45d1-b9c4-7a19bded0f1d_Method">
    <vt:lpwstr>Standard</vt:lpwstr>
  </property>
  <property fmtid="{D5CDD505-2E9C-101B-9397-08002B2CF9AE}" pid="20" name="MSIP_Label_f786616f-5bb4-45d1-b9c4-7a19bded0f1d_Name">
    <vt:lpwstr>Public</vt:lpwstr>
  </property>
  <property fmtid="{D5CDD505-2E9C-101B-9397-08002B2CF9AE}" pid="21" name="MSIP_Label_f786616f-5bb4-45d1-b9c4-7a19bded0f1d_SetDate">
    <vt:lpwstr>2023-10-16T18:39:18Z</vt:lpwstr>
  </property>
  <property fmtid="{D5CDD505-2E9C-101B-9397-08002B2CF9AE}" pid="22" name="MSIP_Label_f786616f-5bb4-45d1-b9c4-7a19bded0f1d_SiteId">
    <vt:lpwstr>97be21fd-c601-4b16-9920-f5accc69da65</vt:lpwstr>
  </property>
  <property fmtid="{D5CDD505-2E9C-101B-9397-08002B2CF9AE}" pid="23" name="Order">
    <vt:r8>100</vt:r8>
  </property>
</Properties>
</file>