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DC27AA" w:rsidRDefault="000F36B4">
      <w:pPr>
        <w:widowControl w:val="0"/>
        <w:pBdr>
          <w:top w:val="nil"/>
          <w:left w:val="nil"/>
          <w:bottom w:val="nil"/>
          <w:right w:val="nil"/>
          <w:between w:val="nil"/>
        </w:pBdr>
        <w:spacing w:after="240" w:line="240" w:lineRule="auto"/>
        <w:jc w:val="center"/>
        <w:rPr>
          <w:rFonts w:ascii="Times New Roman" w:eastAsia="Times New Roman" w:hAnsi="Times New Roman" w:cs="Times New Roman"/>
          <w:smallCaps/>
          <w:color w:val="000000"/>
          <w:sz w:val="20"/>
          <w:szCs w:val="20"/>
        </w:rPr>
      </w:pPr>
      <w:r>
        <w:rPr>
          <w:rFonts w:ascii="Times New Roman" w:eastAsia="Times New Roman" w:hAnsi="Times New Roman" w:cs="Times New Roman"/>
          <w:smallCaps/>
          <w:color w:val="000000"/>
          <w:sz w:val="20"/>
          <w:szCs w:val="20"/>
        </w:rPr>
        <w:t>Chapter 6</w:t>
      </w:r>
    </w:p>
    <w:p w14:paraId="00000002" w14:textId="77777777" w:rsidR="00DC27AA" w:rsidRDefault="000F36B4">
      <w:pPr>
        <w:widowControl w:val="0"/>
        <w:pBdr>
          <w:top w:val="nil"/>
          <w:left w:val="nil"/>
          <w:bottom w:val="nil"/>
          <w:right w:val="nil"/>
          <w:between w:val="nil"/>
        </w:pBdr>
        <w:spacing w:after="720" w:line="240" w:lineRule="auto"/>
        <w:jc w:val="center"/>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OTHER STATUTORY EXEMPTIONS</w:t>
      </w:r>
    </w:p>
    <w:p w14:paraId="00000003"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Authors: </w:t>
      </w:r>
      <w:r>
        <w:rPr>
          <w:rFonts w:ascii="Times New Roman" w:eastAsia="Times New Roman" w:hAnsi="Times New Roman" w:cs="Times New Roman"/>
          <w:b/>
          <w:i/>
          <w:color w:val="0563C1"/>
          <w:sz w:val="24"/>
          <w:szCs w:val="24"/>
        </w:rPr>
        <w:t>Ellen C. Kearns,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 xml:space="preserve">Constangy Brooks Smith &amp; Prophete, LLP, Boston, MA (Fourth Edition, 2021 Update, 2022 Update, 2023 Update); </w:t>
      </w:r>
      <w:r>
        <w:rPr>
          <w:rFonts w:ascii="Times New Roman" w:eastAsia="Times New Roman" w:hAnsi="Times New Roman" w:cs="Times New Roman"/>
          <w:b/>
          <w:i/>
          <w:color w:val="0563C1"/>
          <w:sz w:val="24"/>
          <w:szCs w:val="24"/>
        </w:rPr>
        <w:t>Jason C. Marsili,</w:t>
      </w:r>
      <w:r>
        <w:rPr>
          <w:rFonts w:ascii="Times New Roman" w:eastAsia="Times New Roman" w:hAnsi="Times New Roman" w:cs="Times New Roman"/>
          <w:i/>
          <w:color w:val="000000"/>
          <w:sz w:val="24"/>
          <w:szCs w:val="24"/>
        </w:rPr>
        <w:t xml:space="preserve"> Rosen Marsili Rapp LLP, Los Angeles, CA (Fourth Edition, 2021 Update, 2022 Update, 2023 Update; 2024 Update)</w:t>
      </w:r>
    </w:p>
    <w:p w14:paraId="00000004" w14:textId="77777777" w:rsidR="00DC27AA" w:rsidRDefault="00DC27AA">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00000005"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Primary Editors: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b/>
          <w:i/>
          <w:color w:val="0563C1"/>
          <w:sz w:val="24"/>
          <w:szCs w:val="24"/>
        </w:rPr>
        <w:t>Lawrence Peikes,</w:t>
      </w:r>
      <w:r>
        <w:rPr>
          <w:rFonts w:ascii="Times New Roman" w:eastAsia="Times New Roman" w:hAnsi="Times New Roman" w:cs="Times New Roman"/>
          <w:b/>
          <w:i/>
          <w:color w:val="000000"/>
          <w:sz w:val="24"/>
          <w:szCs w:val="24"/>
        </w:rPr>
        <w:t xml:space="preserve"> </w:t>
      </w:r>
      <w:r>
        <w:rPr>
          <w:rFonts w:ascii="Times New Roman" w:eastAsia="Times New Roman" w:hAnsi="Times New Roman" w:cs="Times New Roman"/>
          <w:i/>
          <w:color w:val="000000"/>
          <w:sz w:val="24"/>
          <w:szCs w:val="24"/>
        </w:rPr>
        <w:t xml:space="preserve">Wiggin and Dana LLP, Stamford, CT (Fourth Edition); </w:t>
      </w:r>
      <w:r>
        <w:rPr>
          <w:rFonts w:ascii="Times New Roman" w:eastAsia="Times New Roman" w:hAnsi="Times New Roman" w:cs="Times New Roman"/>
          <w:b/>
          <w:i/>
          <w:color w:val="0563C1"/>
          <w:sz w:val="24"/>
          <w:szCs w:val="24"/>
        </w:rPr>
        <w:t>Robert A. Boonin,</w:t>
      </w:r>
      <w:r>
        <w:rPr>
          <w:rFonts w:ascii="Times New Roman" w:eastAsia="Times New Roman" w:hAnsi="Times New Roman" w:cs="Times New Roman"/>
          <w:i/>
          <w:color w:val="000000"/>
          <w:sz w:val="24"/>
          <w:szCs w:val="24"/>
        </w:rPr>
        <w:t xml:space="preserve"> Dykema Gossett PLLC, Ann Arbor, MI (2021 Update, 2022 Update, 2023 Update; 2024 Update)</w:t>
      </w:r>
    </w:p>
    <w:p w14:paraId="00000006" w14:textId="77777777" w:rsidR="00DC27AA" w:rsidRDefault="00DC27AA">
      <w:pPr>
        <w:rPr>
          <w:rFonts w:ascii="Times New Roman" w:eastAsia="Times New Roman" w:hAnsi="Times New Roman" w:cs="Times New Roman"/>
          <w:i/>
          <w:color w:val="000000"/>
          <w:sz w:val="24"/>
          <w:szCs w:val="24"/>
        </w:rPr>
      </w:pPr>
    </w:p>
    <w:p w14:paraId="00000007" w14:textId="462DD232"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This chapter is current through May 202</w:t>
      </w:r>
      <w:r w:rsidR="00907497">
        <w:rPr>
          <w:rFonts w:ascii="Times New Roman" w:eastAsia="Times New Roman" w:hAnsi="Times New Roman" w:cs="Times New Roman"/>
          <w:i/>
          <w:color w:val="000000"/>
          <w:sz w:val="24"/>
          <w:szCs w:val="24"/>
        </w:rPr>
        <w:t>3</w:t>
      </w:r>
      <w:r>
        <w:rPr>
          <w:rFonts w:ascii="Times New Roman" w:eastAsia="Times New Roman" w:hAnsi="Times New Roman" w:cs="Times New Roman"/>
          <w:i/>
          <w:color w:val="000000"/>
          <w:sz w:val="24"/>
          <w:szCs w:val="24"/>
        </w:rPr>
        <w:t>, with major case law developments through May 2024 and regulatory developments through August 2024.</w:t>
      </w:r>
    </w:p>
    <w:p w14:paraId="00000008" w14:textId="77777777" w:rsidR="00DC27AA" w:rsidRDefault="00DC27AA">
      <w:pPr>
        <w:rPr>
          <w:rFonts w:ascii="Times New Roman" w:eastAsia="Times New Roman" w:hAnsi="Times New Roman" w:cs="Times New Roman"/>
          <w:i/>
          <w:color w:val="000000"/>
          <w:sz w:val="24"/>
          <w:szCs w:val="24"/>
        </w:rPr>
      </w:pPr>
    </w:p>
    <w:p w14:paraId="00000009"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w:t>
      </w:r>
      <w:r>
        <w:rPr>
          <w:rFonts w:ascii="Times New Roman" w:eastAsia="Times New Roman" w:hAnsi="Times New Roman" w:cs="Times New Roman"/>
          <w:color w:val="000000"/>
          <w:sz w:val="24"/>
          <w:szCs w:val="24"/>
        </w:rPr>
        <w:tab/>
        <w:t xml:space="preserve">Overview </w:t>
      </w:r>
    </w:p>
    <w:p w14:paraId="0000000A"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w:t>
      </w:r>
      <w:r>
        <w:rPr>
          <w:rFonts w:ascii="Times New Roman" w:eastAsia="Times New Roman" w:hAnsi="Times New Roman" w:cs="Times New Roman"/>
          <w:color w:val="000000"/>
          <w:sz w:val="24"/>
          <w:szCs w:val="24"/>
        </w:rPr>
        <w:tab/>
        <w:t xml:space="preserve">The Establishment Requirement </w:t>
      </w:r>
    </w:p>
    <w:p w14:paraId="0000000B" w14:textId="77777777" w:rsidR="00DC27AA" w:rsidRDefault="000F36B4">
      <w:pPr>
        <w:widowControl w:val="0"/>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Pr>
          <w:rFonts w:ascii="Times New Roman" w:eastAsia="Times New Roman" w:hAnsi="Times New Roman" w:cs="Times New Roman"/>
          <w:color w:val="000000"/>
          <w:sz w:val="24"/>
          <w:szCs w:val="24"/>
        </w:rPr>
        <w:tab/>
        <w:t xml:space="preserve">The Exemption Depends on the Character of the Establishment </w:t>
      </w:r>
    </w:p>
    <w:p w14:paraId="0000000C" w14:textId="77777777" w:rsidR="00DC27AA" w:rsidRDefault="000F36B4">
      <w:pPr>
        <w:widowControl w:val="0"/>
        <w:pBdr>
          <w:top w:val="nil"/>
          <w:left w:val="nil"/>
          <w:bottom w:val="nil"/>
          <w:right w:val="nil"/>
          <w:between w:val="nil"/>
        </w:pBdr>
        <w:spacing w:after="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w:t>
      </w:r>
      <w:r>
        <w:rPr>
          <w:rFonts w:ascii="Times New Roman" w:eastAsia="Times New Roman" w:hAnsi="Times New Roman" w:cs="Times New Roman"/>
          <w:color w:val="000000"/>
          <w:sz w:val="24"/>
          <w:szCs w:val="24"/>
        </w:rPr>
        <w:tab/>
        <w:t xml:space="preserve">“Establishment” As Distinguished From “Enterprise” and “Business” </w:t>
      </w:r>
    </w:p>
    <w:p w14:paraId="0000000D"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 xml:space="preserve">“Employed By” </w:t>
      </w:r>
    </w:p>
    <w:p w14:paraId="0000000E"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w:t>
      </w:r>
      <w:r>
        <w:rPr>
          <w:rFonts w:ascii="Times New Roman" w:eastAsia="Times New Roman" w:hAnsi="Times New Roman" w:cs="Times New Roman"/>
          <w:color w:val="000000"/>
          <w:sz w:val="24"/>
          <w:szCs w:val="24"/>
        </w:rPr>
        <w:tab/>
        <w:t xml:space="preserve">Section 213(a) Exemptions From the Minimum Wage and Overtime Requirements of </w:t>
      </w:r>
    </w:p>
    <w:p w14:paraId="0000000F"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the FLSA</w:t>
      </w:r>
    </w:p>
    <w:p w14:paraId="00000010"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Employees Employed by Amusement or Recreational Establishments, Organized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Camps, or Religious or Nonprofit Educational Conferences </w:t>
      </w:r>
    </w:p>
    <w:p w14:paraId="00000011"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 xml:space="preserve">The Character of an Amusement or Recreational Establishment </w:t>
      </w:r>
    </w:p>
    <w:p w14:paraId="00000012"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 xml:space="preserve">The Establishment Must Be “Frequented by the Public” </w:t>
      </w:r>
    </w:p>
    <w:p w14:paraId="00000013"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 xml:space="preserve">A Distinct Physical Place of Business </w:t>
      </w:r>
    </w:p>
    <w:p w14:paraId="00000014"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t xml:space="preserve">Separate Establishments on the Same Premises </w:t>
      </w:r>
    </w:p>
    <w:p w14:paraId="00000015"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5.</w:t>
      </w:r>
      <w:r>
        <w:rPr>
          <w:rFonts w:ascii="Times New Roman" w:eastAsia="Times New Roman" w:hAnsi="Times New Roman" w:cs="Times New Roman"/>
          <w:color w:val="000000"/>
          <w:sz w:val="24"/>
          <w:szCs w:val="24"/>
        </w:rPr>
        <w:tab/>
        <w:t xml:space="preserve">Organized Camps, or Religious or Nonprofit Educational Conference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Centers </w:t>
      </w:r>
    </w:p>
    <w:p w14:paraId="00000016"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6.</w:t>
      </w:r>
      <w:r>
        <w:rPr>
          <w:rFonts w:ascii="Times New Roman" w:eastAsia="Times New Roman" w:hAnsi="Times New Roman" w:cs="Times New Roman"/>
          <w:color w:val="000000"/>
          <w:sz w:val="24"/>
          <w:szCs w:val="24"/>
        </w:rPr>
        <w:tab/>
        <w:t xml:space="preserve">The Seasonality Tests Under the Section 213(a)(3) Exemption </w:t>
      </w:r>
    </w:p>
    <w:p w14:paraId="00000017"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Test A: Does Not Operate for More Than Seven Months in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Any Calendar Year</w:t>
      </w:r>
    </w:p>
    <w:p w14:paraId="00000018"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Test B: The 33 1/3% Test </w:t>
      </w:r>
    </w:p>
    <w:p w14:paraId="00000019"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Application of Tests A and B: “New Business”</w:t>
      </w:r>
    </w:p>
    <w:p w14:paraId="0000001A"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w:t>
      </w:r>
      <w:r>
        <w:rPr>
          <w:rFonts w:ascii="Times New Roman" w:eastAsia="Times New Roman" w:hAnsi="Times New Roman" w:cs="Times New Roman"/>
          <w:color w:val="000000"/>
          <w:sz w:val="24"/>
          <w:szCs w:val="24"/>
        </w:rPr>
        <w:tab/>
        <w:t xml:space="preserve">Revenue-Producing Activities; Maintenance and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Construction Work in the “Off Season” </w:t>
      </w:r>
    </w:p>
    <w:p w14:paraId="0000001B"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Employees Engaged in Fishing or First Processing at Sea of Aquatic Products </w:t>
      </w:r>
    </w:p>
    <w:p w14:paraId="0000001C"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 xml:space="preserve">Employees Employed in the Publication of Limited Circulation Newspapers </w:t>
      </w:r>
    </w:p>
    <w:p w14:paraId="0000001D"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w:t>
      </w:r>
      <w:r>
        <w:rPr>
          <w:rFonts w:ascii="Times New Roman" w:eastAsia="Times New Roman" w:hAnsi="Times New Roman" w:cs="Times New Roman"/>
          <w:color w:val="000000"/>
          <w:sz w:val="24"/>
          <w:szCs w:val="24"/>
        </w:rPr>
        <w:tab/>
        <w:t xml:space="preserve">Switchboard Operators Employed by Small Public Telephone Companies </w:t>
      </w:r>
    </w:p>
    <w:p w14:paraId="0000001E"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w:t>
      </w:r>
      <w:r>
        <w:rPr>
          <w:rFonts w:ascii="Times New Roman" w:eastAsia="Times New Roman" w:hAnsi="Times New Roman" w:cs="Times New Roman"/>
          <w:color w:val="000000"/>
          <w:sz w:val="24"/>
          <w:szCs w:val="24"/>
        </w:rPr>
        <w:tab/>
        <w:t xml:space="preserve">Seamen on Non-American Vessels </w:t>
      </w:r>
    </w:p>
    <w:p w14:paraId="0000001F"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w:t>
      </w:r>
      <w:r>
        <w:rPr>
          <w:rFonts w:ascii="Times New Roman" w:eastAsia="Times New Roman" w:hAnsi="Times New Roman" w:cs="Times New Roman"/>
          <w:color w:val="000000"/>
          <w:sz w:val="24"/>
          <w:szCs w:val="24"/>
        </w:rPr>
        <w:tab/>
        <w:t xml:space="preserve">Casual-Basis Babysitters and Domestic Companionship Service Providers </w:t>
      </w:r>
    </w:p>
    <w:p w14:paraId="00000020"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Casual Babysitters</w:t>
      </w:r>
    </w:p>
    <w:p w14:paraId="00000021"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“Babysitting Services” </w:t>
      </w:r>
    </w:p>
    <w:p w14:paraId="00000022"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“Casual Basis”</w:t>
      </w:r>
    </w:p>
    <w:p w14:paraId="00000023"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 xml:space="preserve">Casual Babysitting Services </w:t>
      </w:r>
    </w:p>
    <w:p w14:paraId="00000024"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 xml:space="preserve">Companionship Services </w:t>
      </w:r>
    </w:p>
    <w:p w14:paraId="00000025"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Historical Background </w:t>
      </w:r>
    </w:p>
    <w:p w14:paraId="00000026"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The 2013 Final Rule </w:t>
      </w:r>
    </w:p>
    <w:p w14:paraId="00000027"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 xml:space="preserve">“Domestic Service Employment” </w:t>
      </w:r>
    </w:p>
    <w:p w14:paraId="00000028"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w:t>
      </w:r>
      <w:r>
        <w:rPr>
          <w:rFonts w:ascii="Times New Roman" w:eastAsia="Times New Roman" w:hAnsi="Times New Roman" w:cs="Times New Roman"/>
          <w:color w:val="000000"/>
          <w:sz w:val="24"/>
          <w:szCs w:val="24"/>
        </w:rPr>
        <w:tab/>
        <w:t xml:space="preserve">What Constitutes a “Private Home” </w:t>
      </w:r>
    </w:p>
    <w:p w14:paraId="00000029"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w:t>
      </w:r>
      <w:r>
        <w:rPr>
          <w:rFonts w:ascii="Times New Roman" w:eastAsia="Times New Roman" w:hAnsi="Times New Roman" w:cs="Times New Roman"/>
          <w:color w:val="000000"/>
          <w:sz w:val="24"/>
          <w:szCs w:val="24"/>
        </w:rPr>
        <w:tab/>
        <w:t xml:space="preserve">What Constitutes “Companionship Services” </w:t>
      </w:r>
    </w:p>
    <w:p w14:paraId="0000002A"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f.</w:t>
      </w:r>
      <w:r>
        <w:rPr>
          <w:rFonts w:ascii="Times New Roman" w:eastAsia="Times New Roman" w:hAnsi="Times New Roman" w:cs="Times New Roman"/>
          <w:color w:val="000000"/>
          <w:sz w:val="24"/>
          <w:szCs w:val="24"/>
        </w:rPr>
        <w:tab/>
        <w:t>Third-Party Employment</w:t>
      </w:r>
    </w:p>
    <w:p w14:paraId="0000002B"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w:t>
      </w:r>
      <w:r>
        <w:rPr>
          <w:rFonts w:ascii="Times New Roman" w:eastAsia="Times New Roman" w:hAnsi="Times New Roman" w:cs="Times New Roman"/>
          <w:color w:val="000000"/>
          <w:sz w:val="24"/>
          <w:szCs w:val="24"/>
        </w:rPr>
        <w:tab/>
        <w:t>Section 213(b) Exemptions From the Overtime Requirements of the FLSA</w:t>
      </w:r>
    </w:p>
    <w:p w14:paraId="0000002C"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Employees Covered Under the Motor Carrier Act </w:t>
      </w:r>
    </w:p>
    <w:p w14:paraId="0000002D"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Overview of the Motor Carrier Act</w:t>
      </w:r>
    </w:p>
    <w:p w14:paraId="0000002E"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Safe, Accountable, Flexible, Efficient Transportation Equity Act: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 Legacy for Users (SAFETEA-LU)</w:t>
      </w:r>
    </w:p>
    <w:p w14:paraId="0000002F"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SAFETEA-LU Technical Corrections Act </w:t>
      </w:r>
    </w:p>
    <w:p w14:paraId="00000030"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 xml:space="preserve">Application of the Exemption (for Vehicles in Excess of 10,000 Pounds) </w:t>
      </w:r>
    </w:p>
    <w:p w14:paraId="00000031"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Carriers Subject to the Power of the Secretary of Transportation </w:t>
      </w:r>
    </w:p>
    <w:p w14:paraId="00000032"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Employees Engaged in Activities That Directly Affect Safety </w:t>
      </w:r>
    </w:p>
    <w:p w14:paraId="00000033"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w:t>
      </w:r>
      <w:r>
        <w:rPr>
          <w:rFonts w:ascii="Times New Roman" w:eastAsia="Times New Roman" w:hAnsi="Times New Roman" w:cs="Times New Roman"/>
          <w:color w:val="000000"/>
          <w:sz w:val="24"/>
          <w:szCs w:val="24"/>
        </w:rPr>
        <w:tab/>
        <w:t xml:space="preserve">Drivers </w:t>
      </w:r>
    </w:p>
    <w:p w14:paraId="00000034"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r>
        <w:rPr>
          <w:rFonts w:ascii="Times New Roman" w:eastAsia="Times New Roman" w:hAnsi="Times New Roman" w:cs="Times New Roman"/>
          <w:color w:val="000000"/>
          <w:sz w:val="24"/>
          <w:szCs w:val="24"/>
        </w:rPr>
        <w:tab/>
        <w:t xml:space="preserve">Drivers’ Helpers </w:t>
      </w:r>
    </w:p>
    <w:p w14:paraId="00000035"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r>
        <w:rPr>
          <w:rFonts w:ascii="Times New Roman" w:eastAsia="Times New Roman" w:hAnsi="Times New Roman" w:cs="Times New Roman"/>
          <w:color w:val="000000"/>
          <w:sz w:val="24"/>
          <w:szCs w:val="24"/>
        </w:rPr>
        <w:tab/>
        <w:t xml:space="preserve">Loaders </w:t>
      </w:r>
    </w:p>
    <w:p w14:paraId="00000036"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(iv.)</w:t>
      </w:r>
      <w:r>
        <w:rPr>
          <w:rFonts w:ascii="Times New Roman" w:eastAsia="Times New Roman" w:hAnsi="Times New Roman" w:cs="Times New Roman"/>
          <w:color w:val="000000"/>
          <w:sz w:val="24"/>
          <w:szCs w:val="24"/>
        </w:rPr>
        <w:tab/>
        <w:t xml:space="preserve">Mechanics </w:t>
      </w:r>
    </w:p>
    <w:p w14:paraId="00000037"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 xml:space="preserve">Transportation in Interstate Commerce </w:t>
      </w:r>
    </w:p>
    <w:p w14:paraId="00000038"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w:t>
      </w:r>
      <w:r>
        <w:rPr>
          <w:rFonts w:ascii="Times New Roman" w:eastAsia="Times New Roman" w:hAnsi="Times New Roman" w:cs="Times New Roman"/>
          <w:color w:val="000000"/>
          <w:sz w:val="24"/>
          <w:szCs w:val="24"/>
        </w:rPr>
        <w:tab/>
        <w:t xml:space="preserve">Definition of “Interstate Commerce” Under the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Motor Carrier Act </w:t>
      </w:r>
    </w:p>
    <w:p w14:paraId="00000039"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r>
        <w:rPr>
          <w:rFonts w:ascii="Times New Roman" w:eastAsia="Times New Roman" w:hAnsi="Times New Roman" w:cs="Times New Roman"/>
          <w:color w:val="000000"/>
          <w:sz w:val="24"/>
          <w:szCs w:val="24"/>
        </w:rPr>
        <w:tab/>
        <w:t xml:space="preserve">Highway Transportation From One State to Another </w:t>
      </w:r>
    </w:p>
    <w:p w14:paraId="0000003A"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r>
        <w:rPr>
          <w:rFonts w:ascii="Times New Roman" w:eastAsia="Times New Roman" w:hAnsi="Times New Roman" w:cs="Times New Roman"/>
          <w:color w:val="000000"/>
          <w:sz w:val="24"/>
          <w:szCs w:val="24"/>
        </w:rPr>
        <w:tab/>
        <w:t xml:space="preserve">Intrastate Transportation </w:t>
      </w:r>
    </w:p>
    <w:p w14:paraId="0000003B"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 xml:space="preserve">Small Vehicle Exception (for Vehicles of 10,000 Pounds or Less) </w:t>
      </w:r>
    </w:p>
    <w:p w14:paraId="0000003C"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Determining Vehicle Weight </w:t>
      </w:r>
    </w:p>
    <w:p w14:paraId="0000003D"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Vehicle Modifications </w:t>
      </w:r>
    </w:p>
    <w:p w14:paraId="0000003E"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4.</w:t>
      </w:r>
      <w:r>
        <w:rPr>
          <w:rFonts w:ascii="Times New Roman" w:eastAsia="Times New Roman" w:hAnsi="Times New Roman" w:cs="Times New Roman"/>
          <w:color w:val="000000"/>
          <w:sz w:val="24"/>
          <w:szCs w:val="24"/>
        </w:rPr>
        <w:tab/>
        <w:t xml:space="preserve">Mixed Fleets </w:t>
      </w:r>
    </w:p>
    <w:p w14:paraId="0000003F"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Railroad Employees </w:t>
      </w:r>
    </w:p>
    <w:p w14:paraId="00000040"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 xml:space="preserve">Transportation by Rail Carrier </w:t>
      </w:r>
    </w:p>
    <w:p w14:paraId="00000041"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 xml:space="preserve">Terminal Area Exception </w:t>
      </w:r>
    </w:p>
    <w:p w14:paraId="00000042"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3.</w:t>
      </w:r>
      <w:r>
        <w:rPr>
          <w:rFonts w:ascii="Times New Roman" w:eastAsia="Times New Roman" w:hAnsi="Times New Roman" w:cs="Times New Roman"/>
          <w:color w:val="000000"/>
          <w:sz w:val="24"/>
          <w:szCs w:val="24"/>
        </w:rPr>
        <w:tab/>
        <w:t>The Effect of Deregulation of the Railroad Industry on Section 213(b)(2)</w:t>
      </w:r>
    </w:p>
    <w:p w14:paraId="00000043"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 xml:space="preserve">Air Transportation Employees </w:t>
      </w:r>
    </w:p>
    <w:p w14:paraId="00000044"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w:t>
      </w:r>
      <w:r>
        <w:rPr>
          <w:rFonts w:ascii="Times New Roman" w:eastAsia="Times New Roman" w:hAnsi="Times New Roman" w:cs="Times New Roman"/>
          <w:color w:val="000000"/>
          <w:sz w:val="24"/>
          <w:szCs w:val="24"/>
        </w:rPr>
        <w:tab/>
        <w:t xml:space="preserve">Employees Employed as Seamen </w:t>
      </w:r>
    </w:p>
    <w:p w14:paraId="00000045"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 xml:space="preserve">“Seaman” </w:t>
      </w:r>
    </w:p>
    <w:p w14:paraId="00000046"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 xml:space="preserve">“Vessel” </w:t>
      </w:r>
    </w:p>
    <w:p w14:paraId="00000047"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E.</w:t>
      </w:r>
      <w:r>
        <w:rPr>
          <w:rFonts w:ascii="Times New Roman" w:eastAsia="Times New Roman" w:hAnsi="Times New Roman" w:cs="Times New Roman"/>
          <w:color w:val="000000"/>
          <w:sz w:val="24"/>
          <w:szCs w:val="24"/>
        </w:rPr>
        <w:tab/>
        <w:t xml:space="preserve">Announcers, News Editors, or Chief Engineers of Certain Radio or Television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Stations </w:t>
      </w:r>
    </w:p>
    <w:p w14:paraId="00000048"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F.</w:t>
      </w:r>
      <w:r>
        <w:rPr>
          <w:rFonts w:ascii="Times New Roman" w:eastAsia="Times New Roman" w:hAnsi="Times New Roman" w:cs="Times New Roman"/>
          <w:color w:val="000000"/>
          <w:sz w:val="24"/>
          <w:szCs w:val="24"/>
        </w:rPr>
        <w:tab/>
        <w:t xml:space="preserve">Certain Employees of Automobile, Truck, or Farm Implement Dealers;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Salespersons of Trailers, Boats, and Aircraft </w:t>
      </w:r>
    </w:p>
    <w:p w14:paraId="00000049"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G.</w:t>
      </w:r>
      <w:r>
        <w:rPr>
          <w:rFonts w:ascii="Times New Roman" w:eastAsia="Times New Roman" w:hAnsi="Times New Roman" w:cs="Times New Roman"/>
          <w:color w:val="000000"/>
          <w:sz w:val="24"/>
          <w:szCs w:val="24"/>
        </w:rPr>
        <w:tab/>
        <w:t xml:space="preserve">Local Delivery Drivers </w:t>
      </w:r>
    </w:p>
    <w:p w14:paraId="0000004A"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H.</w:t>
      </w:r>
      <w:r>
        <w:rPr>
          <w:rFonts w:ascii="Times New Roman" w:eastAsia="Times New Roman" w:hAnsi="Times New Roman" w:cs="Times New Roman"/>
          <w:color w:val="000000"/>
          <w:sz w:val="24"/>
          <w:szCs w:val="24"/>
        </w:rPr>
        <w:tab/>
        <w:t xml:space="preserve">Taxicab Drivers </w:t>
      </w:r>
    </w:p>
    <w:p w14:paraId="0000004B"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t>I.</w:t>
      </w:r>
      <w:r>
        <w:rPr>
          <w:rFonts w:ascii="Times New Roman" w:eastAsia="Times New Roman" w:hAnsi="Times New Roman" w:cs="Times New Roman"/>
          <w:color w:val="000000"/>
          <w:sz w:val="24"/>
          <w:szCs w:val="24"/>
        </w:rPr>
        <w:tab/>
        <w:t xml:space="preserve">Domestic Servants Who Reside in a Household </w:t>
      </w:r>
    </w:p>
    <w:p w14:paraId="0000004C"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 xml:space="preserve">Recordkeeping Requirements </w:t>
      </w:r>
    </w:p>
    <w:p w14:paraId="0000004D"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 xml:space="preserve">Third-Party Employment </w:t>
      </w:r>
    </w:p>
    <w:p w14:paraId="0000004E"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J.</w:t>
      </w:r>
      <w:r>
        <w:rPr>
          <w:rFonts w:ascii="Times New Roman" w:eastAsia="Times New Roman" w:hAnsi="Times New Roman" w:cs="Times New Roman"/>
          <w:color w:val="000000"/>
          <w:sz w:val="24"/>
          <w:szCs w:val="24"/>
        </w:rPr>
        <w:tab/>
        <w:t xml:space="preserve">Husbands and Wives Who Serve as House Parents </w:t>
      </w:r>
    </w:p>
    <w:p w14:paraId="0000004F"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K.</w:t>
      </w:r>
      <w:r>
        <w:rPr>
          <w:rFonts w:ascii="Times New Roman" w:eastAsia="Times New Roman" w:hAnsi="Times New Roman" w:cs="Times New Roman"/>
          <w:color w:val="000000"/>
          <w:sz w:val="24"/>
          <w:szCs w:val="24"/>
        </w:rPr>
        <w:tab/>
        <w:t xml:space="preserve">Motion Picture Theater Employees </w:t>
      </w:r>
    </w:p>
    <w:p w14:paraId="00000050"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L.</w:t>
      </w:r>
      <w:r>
        <w:rPr>
          <w:rFonts w:ascii="Times New Roman" w:eastAsia="Times New Roman" w:hAnsi="Times New Roman" w:cs="Times New Roman"/>
          <w:color w:val="000000"/>
          <w:sz w:val="24"/>
          <w:szCs w:val="24"/>
        </w:rPr>
        <w:tab/>
        <w:t xml:space="preserve">Employees of Amusement or Recreational Establishments Located in a National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Park, National Forest, or on Land in the National Wildlife Refuge System </w:t>
      </w:r>
    </w:p>
    <w:p w14:paraId="00000051"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Pr>
          <w:rFonts w:ascii="Times New Roman" w:eastAsia="Times New Roman" w:hAnsi="Times New Roman" w:cs="Times New Roman"/>
          <w:color w:val="000000"/>
          <w:sz w:val="24"/>
          <w:szCs w:val="24"/>
        </w:rPr>
        <w:tab/>
        <w:t>Section 207 Exceptions From the Overtime Requirements of the FLSA</w:t>
      </w:r>
    </w:p>
    <w:p w14:paraId="00000052"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Section 207(b) Exceptions </w:t>
      </w:r>
    </w:p>
    <w:p w14:paraId="00000053"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 xml:space="preserve">Section 207(b)(1) and (2): Employment Pursuant to a Collective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Bargaining Agreement</w:t>
      </w:r>
    </w:p>
    <w:p w14:paraId="00000054"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 xml:space="preserve">Section 207(b)(3): Employees of Petroleum Product Distributors </w:t>
      </w:r>
    </w:p>
    <w:p w14:paraId="00000055"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Scope of the Exception </w:t>
      </w:r>
    </w:p>
    <w:p w14:paraId="00000056"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The “Enterprise” Requirement </w:t>
      </w:r>
    </w:p>
    <w:p w14:paraId="00000057"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 xml:space="preserve">“Independently Owned and Controlled Local Enterprise” </w:t>
      </w:r>
    </w:p>
    <w:p w14:paraId="00000058"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w:t>
      </w:r>
      <w:r>
        <w:rPr>
          <w:rFonts w:ascii="Times New Roman" w:eastAsia="Times New Roman" w:hAnsi="Times New Roman" w:cs="Times New Roman"/>
          <w:color w:val="000000"/>
          <w:sz w:val="24"/>
          <w:szCs w:val="24"/>
        </w:rPr>
        <w:tab/>
        <w:t xml:space="preserve">Sales Made Within the State </w:t>
      </w:r>
    </w:p>
    <w:p w14:paraId="00000059"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e.</w:t>
      </w:r>
      <w:r>
        <w:rPr>
          <w:rFonts w:ascii="Times New Roman" w:eastAsia="Times New Roman" w:hAnsi="Times New Roman" w:cs="Times New Roman"/>
          <w:color w:val="000000"/>
          <w:sz w:val="24"/>
          <w:szCs w:val="24"/>
        </w:rPr>
        <w:tab/>
        <w:t xml:space="preserve">Sales Made to Other Bulk Distributors </w:t>
      </w:r>
    </w:p>
    <w:p w14:paraId="0000005A"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Section 207(i) Exception: Commissioned Employees in Retail or Service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Establishments </w:t>
      </w:r>
    </w:p>
    <w:p w14:paraId="0000005B"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1.</w:t>
      </w:r>
      <w:r>
        <w:rPr>
          <w:rFonts w:ascii="Times New Roman" w:eastAsia="Times New Roman" w:hAnsi="Times New Roman" w:cs="Times New Roman"/>
          <w:color w:val="000000"/>
          <w:sz w:val="24"/>
          <w:szCs w:val="24"/>
        </w:rPr>
        <w:tab/>
        <w:t xml:space="preserve">The Employer Must Be a “Retail or Service Establishment” </w:t>
      </w:r>
    </w:p>
    <w:p w14:paraId="0000005C"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Establishment in the Retail or Service Sector </w:t>
      </w:r>
      <w:r>
        <w:rPr>
          <w:rFonts w:ascii="Times New Roman" w:eastAsia="Times New Roman" w:hAnsi="Times New Roman" w:cs="Times New Roman"/>
          <w:color w:val="000000"/>
          <w:sz w:val="24"/>
          <w:szCs w:val="24"/>
        </w:rPr>
        <w:tab/>
      </w:r>
    </w:p>
    <w:p w14:paraId="0000005D"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Retail Concept </w:t>
      </w:r>
    </w:p>
    <w:p w14:paraId="0000005E"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w:t>
      </w:r>
      <w:r>
        <w:rPr>
          <w:rFonts w:ascii="Times New Roman" w:eastAsia="Times New Roman" w:hAnsi="Times New Roman" w:cs="Times New Roman"/>
          <w:color w:val="000000"/>
          <w:sz w:val="24"/>
          <w:szCs w:val="24"/>
        </w:rPr>
        <w:tab/>
        <w:t xml:space="preserve">Financial Services </w:t>
      </w:r>
    </w:p>
    <w:p w14:paraId="0000005F"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r>
        <w:rPr>
          <w:rFonts w:ascii="Times New Roman" w:eastAsia="Times New Roman" w:hAnsi="Times New Roman" w:cs="Times New Roman"/>
          <w:color w:val="000000"/>
          <w:sz w:val="24"/>
          <w:szCs w:val="24"/>
        </w:rPr>
        <w:tab/>
        <w:t xml:space="preserve">Cleaning and Repair Services </w:t>
      </w:r>
    </w:p>
    <w:p w14:paraId="00000060"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(iii.)</w:t>
      </w:r>
      <w:r>
        <w:rPr>
          <w:rFonts w:ascii="Times New Roman" w:eastAsia="Times New Roman" w:hAnsi="Times New Roman" w:cs="Times New Roman"/>
          <w:color w:val="000000"/>
          <w:sz w:val="24"/>
          <w:szCs w:val="24"/>
        </w:rPr>
        <w:tab/>
        <w:t xml:space="preserve">Learning Institutions </w:t>
      </w:r>
    </w:p>
    <w:p w14:paraId="00000061"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(iv.)</w:t>
      </w:r>
      <w:r>
        <w:rPr>
          <w:rFonts w:ascii="Times New Roman" w:eastAsia="Times New Roman" w:hAnsi="Times New Roman" w:cs="Times New Roman"/>
          <w:color w:val="000000"/>
          <w:sz w:val="24"/>
          <w:szCs w:val="24"/>
        </w:rPr>
        <w:tab/>
        <w:t xml:space="preserve">Cable/Satellite Installation and Services </w:t>
      </w:r>
    </w:p>
    <w:p w14:paraId="00000062"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w:t>
      </w:r>
      <w:r>
        <w:rPr>
          <w:rFonts w:ascii="Times New Roman" w:eastAsia="Times New Roman" w:hAnsi="Times New Roman" w:cs="Times New Roman"/>
          <w:color w:val="000000"/>
          <w:sz w:val="24"/>
          <w:szCs w:val="24"/>
        </w:rPr>
        <w:tab/>
        <w:t xml:space="preserve">Timeshare and Real Estate Companies </w:t>
      </w:r>
    </w:p>
    <w:p w14:paraId="00000063"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(vi.)</w:t>
      </w:r>
      <w:r>
        <w:rPr>
          <w:rFonts w:ascii="Times New Roman" w:eastAsia="Times New Roman" w:hAnsi="Times New Roman" w:cs="Times New Roman"/>
          <w:color w:val="000000"/>
          <w:sz w:val="24"/>
          <w:szCs w:val="24"/>
        </w:rPr>
        <w:tab/>
        <w:t xml:space="preserve">Travel Agencies </w:t>
      </w:r>
    </w:p>
    <w:p w14:paraId="00000064"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(vii.)</w:t>
      </w:r>
      <w:r>
        <w:rPr>
          <w:rFonts w:ascii="Times New Roman" w:eastAsia="Times New Roman" w:hAnsi="Times New Roman" w:cs="Times New Roman"/>
          <w:color w:val="000000"/>
          <w:sz w:val="24"/>
          <w:szCs w:val="24"/>
        </w:rPr>
        <w:tab/>
        <w:t xml:space="preserve">Other Industries </w:t>
      </w:r>
    </w:p>
    <w:p w14:paraId="00000065"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 xml:space="preserve">“Recognized as Retail Sales or Services in the Particular Industry” </w:t>
      </w:r>
    </w:p>
    <w:p w14:paraId="00000066"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w:t>
      </w:r>
      <w:r>
        <w:rPr>
          <w:rFonts w:ascii="Times New Roman" w:eastAsia="Times New Roman" w:hAnsi="Times New Roman" w:cs="Times New Roman"/>
          <w:color w:val="000000"/>
          <w:sz w:val="24"/>
          <w:szCs w:val="24"/>
        </w:rPr>
        <w:tab/>
        <w:t xml:space="preserve">Sales Must Not Be Made for Resale </w:t>
      </w:r>
    </w:p>
    <w:p w14:paraId="00000067"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2.</w:t>
      </w:r>
      <w:r>
        <w:rPr>
          <w:rFonts w:ascii="Times New Roman" w:eastAsia="Times New Roman" w:hAnsi="Times New Roman" w:cs="Times New Roman"/>
          <w:color w:val="000000"/>
          <w:sz w:val="24"/>
          <w:szCs w:val="24"/>
        </w:rPr>
        <w:tab/>
        <w:t xml:space="preserve">“More Than Half of an Employee’s Compensation for a Representative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Period </w:t>
      </w:r>
      <w:r>
        <w:rPr>
          <w:rFonts w:ascii="Times New Roman" w:eastAsia="Times New Roman" w:hAnsi="Times New Roman" w:cs="Times New Roman"/>
          <w:color w:val="000000"/>
          <w:sz w:val="24"/>
          <w:szCs w:val="24"/>
        </w:rPr>
        <w:tab/>
        <w:t>Must Represent Commissions”</w:t>
      </w:r>
    </w:p>
    <w:p w14:paraId="00000068"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Straight Commissions Without Advances </w:t>
      </w:r>
    </w:p>
    <w:p w14:paraId="00000069"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Straight Commissions With Advances, Draws, and Guarantees</w:t>
      </w:r>
    </w:p>
    <w:p w14:paraId="0000006A"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 xml:space="preserve">Commission Rates That Are Not “Bona Fide” </w:t>
      </w:r>
    </w:p>
    <w:p w14:paraId="0000006B"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d.</w:t>
      </w:r>
      <w:r>
        <w:rPr>
          <w:rFonts w:ascii="Times New Roman" w:eastAsia="Times New Roman" w:hAnsi="Times New Roman" w:cs="Times New Roman"/>
          <w:color w:val="000000"/>
          <w:sz w:val="24"/>
          <w:szCs w:val="24"/>
        </w:rPr>
        <w:tab/>
        <w:t xml:space="preserve">Representative Period </w:t>
      </w:r>
    </w:p>
    <w:p w14:paraId="0000006C"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w:t>
      </w:r>
      <w:r>
        <w:rPr>
          <w:rFonts w:ascii="Times New Roman" w:eastAsia="Times New Roman" w:hAnsi="Times New Roman" w:cs="Times New Roman"/>
          <w:color w:val="000000"/>
          <w:sz w:val="24"/>
          <w:szCs w:val="24"/>
        </w:rPr>
        <w:tab/>
        <w:t xml:space="preserve">A One-Month Period </w:t>
      </w:r>
    </w:p>
    <w:p w14:paraId="0000006D"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(ii.)</w:t>
      </w:r>
      <w:r>
        <w:rPr>
          <w:rFonts w:ascii="Times New Roman" w:eastAsia="Times New Roman" w:hAnsi="Times New Roman" w:cs="Times New Roman"/>
          <w:color w:val="000000"/>
          <w:sz w:val="24"/>
          <w:szCs w:val="24"/>
        </w:rPr>
        <w:tab/>
        <w:t xml:space="preserve">Characteristics of a Representative Period </w:t>
      </w:r>
    </w:p>
    <w:p w14:paraId="0000006E" w14:textId="77777777" w:rsidR="00DC27AA" w:rsidRDefault="000F36B4">
      <w:pPr>
        <w:pBdr>
          <w:top w:val="nil"/>
          <w:left w:val="nil"/>
          <w:bottom w:val="nil"/>
          <w:right w:val="nil"/>
          <w:between w:val="nil"/>
        </w:pBdr>
        <w:spacing w:after="0" w:line="240" w:lineRule="auto"/>
        <w:ind w:left="288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w:t>
      </w:r>
      <w:r>
        <w:rPr>
          <w:rFonts w:ascii="Times New Roman" w:eastAsia="Times New Roman" w:hAnsi="Times New Roman" w:cs="Times New Roman"/>
          <w:i/>
          <w:color w:val="000000"/>
          <w:sz w:val="24"/>
          <w:szCs w:val="24"/>
        </w:rPr>
        <w:tab/>
      </w:r>
      <w:r>
        <w:rPr>
          <w:rFonts w:ascii="Times New Roman" w:eastAsia="Times New Roman" w:hAnsi="Times New Roman" w:cs="Times New Roman"/>
          <w:color w:val="000000"/>
          <w:sz w:val="24"/>
          <w:szCs w:val="24"/>
        </w:rPr>
        <w:t>Computing an Employee’s Compensation for the Representative Period</w:t>
      </w:r>
    </w:p>
    <w:p w14:paraId="0000006F" w14:textId="77777777" w:rsidR="00DC27AA" w:rsidRDefault="000F36B4">
      <w:pPr>
        <w:pBdr>
          <w:top w:val="nil"/>
          <w:left w:val="nil"/>
          <w:bottom w:val="nil"/>
          <w:right w:val="nil"/>
          <w:between w:val="nil"/>
        </w:pBdr>
        <w:spacing w:after="0" w:line="240" w:lineRule="auto"/>
        <w:ind w:left="2160" w:hanging="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An Employee’s Regular Rate of Pay Must Be in Excess of 1.5 Times the Minimum Hourly Rate</w:t>
      </w:r>
    </w:p>
    <w:p w14:paraId="00000070"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C.</w:t>
      </w:r>
      <w:r>
        <w:rPr>
          <w:rFonts w:ascii="Times New Roman" w:eastAsia="Times New Roman" w:hAnsi="Times New Roman" w:cs="Times New Roman"/>
          <w:color w:val="000000"/>
          <w:sz w:val="24"/>
          <w:szCs w:val="24"/>
        </w:rPr>
        <w:tab/>
        <w:t xml:space="preserve">Section 207(n) Exception: Employees Engaged in Charter Activities for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t xml:space="preserve">Local Passenger Carriers </w:t>
      </w:r>
    </w:p>
    <w:p w14:paraId="00000071"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D.</w:t>
      </w:r>
      <w:r>
        <w:rPr>
          <w:rFonts w:ascii="Times New Roman" w:eastAsia="Times New Roman" w:hAnsi="Times New Roman" w:cs="Times New Roman"/>
          <w:color w:val="000000"/>
          <w:sz w:val="24"/>
          <w:szCs w:val="24"/>
        </w:rPr>
        <w:tab/>
        <w:t xml:space="preserve">Section 207(s) Exception: Employees Engaged As Major Disaster Claims </w:t>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lastRenderedPageBreak/>
        <w:tab/>
      </w:r>
      <w:r>
        <w:rPr>
          <w:rFonts w:ascii="Times New Roman" w:eastAsia="Times New Roman" w:hAnsi="Times New Roman" w:cs="Times New Roman"/>
          <w:color w:val="000000"/>
          <w:sz w:val="24"/>
          <w:szCs w:val="24"/>
        </w:rPr>
        <w:tab/>
        <w:t xml:space="preserve">Adjusters </w:t>
      </w:r>
    </w:p>
    <w:p w14:paraId="00000072"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w:t>
      </w:r>
      <w:r>
        <w:rPr>
          <w:rFonts w:ascii="Times New Roman" w:eastAsia="Times New Roman" w:hAnsi="Times New Roman" w:cs="Times New Roman"/>
          <w:color w:val="000000"/>
          <w:sz w:val="24"/>
          <w:szCs w:val="24"/>
        </w:rPr>
        <w:tab/>
        <w:t xml:space="preserve">Section 213(d) Exemption From the Minimum Wage, Overtime, and Child Labor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Requirements of the FLSA</w:t>
      </w:r>
    </w:p>
    <w:p w14:paraId="00000073"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A.</w:t>
      </w:r>
      <w:r>
        <w:rPr>
          <w:rFonts w:ascii="Times New Roman" w:eastAsia="Times New Roman" w:hAnsi="Times New Roman" w:cs="Times New Roman"/>
          <w:color w:val="000000"/>
          <w:sz w:val="24"/>
          <w:szCs w:val="24"/>
        </w:rPr>
        <w:tab/>
        <w:t xml:space="preserve">Engaged in Delivering “Newspapers” </w:t>
      </w:r>
    </w:p>
    <w:p w14:paraId="00000074"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t>B.</w:t>
      </w:r>
      <w:r>
        <w:rPr>
          <w:rFonts w:ascii="Times New Roman" w:eastAsia="Times New Roman" w:hAnsi="Times New Roman" w:cs="Times New Roman"/>
          <w:color w:val="000000"/>
          <w:sz w:val="24"/>
          <w:szCs w:val="24"/>
        </w:rPr>
        <w:tab/>
        <w:t xml:space="preserve">Delivery Must Be to the Consumer </w:t>
      </w:r>
    </w:p>
    <w:p w14:paraId="00000075" w14:textId="77777777" w:rsidR="00DC27AA" w:rsidRDefault="000F36B4">
      <w:pPr>
        <w:widowControl w:v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VII.</w:t>
      </w:r>
      <w:r>
        <w:rPr>
          <w:rFonts w:ascii="Times New Roman" w:eastAsia="Times New Roman" w:hAnsi="Times New Roman" w:cs="Times New Roman"/>
          <w:color w:val="000000"/>
          <w:sz w:val="24"/>
          <w:szCs w:val="24"/>
        </w:rPr>
        <w:tab/>
        <w:t xml:space="preserve">Section 213(f) Exemption From the Minimum Wage, Overtime, Child Labor, and </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tab/>
        <w:t>Recordkeeping Requirements of the FLSA</w:t>
      </w:r>
    </w:p>
    <w:p w14:paraId="00000076" w14:textId="77777777" w:rsidR="00DC27AA" w:rsidRDefault="000F36B4">
      <w:pPr>
        <w:pBdr>
          <w:top w:val="nil"/>
          <w:left w:val="nil"/>
          <w:bottom w:val="nil"/>
          <w:right w:val="nil"/>
          <w:between w:val="nil"/>
        </w:pBdr>
        <w:spacing w:before="480" w:after="240" w:line="240"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I. Overview</w:t>
      </w:r>
    </w:p>
    <w:p w14:paraId="0000007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the exemptions discussed in Chapter 5, White-Collar Exemptions, the Fair Labor Standards Act (FLSA) contains a number of other exemptions from its minimum wage, overtime, recordkeeping, and child labor restrictions. The exemptions discussed in this chapter include those found in Section 213(a), (b), (d), and (f), and Section 207(b), (i), (n), and (s). Section 213(a) exempts employees from the minimum wage and overtime provisions of the FLSA, whereas Sections 213(b) and 207(b), (i), (n), and (s) provide exemptions (or partial exemptions) from only the overtime provision. Section 213(d) exempts employees from the minimum wage, overtime, and child labor requirements. Section 213(f) exempts employees from minimum wage, overtime, child labor, and recordkeeping requirements.</w:t>
      </w:r>
    </w:p>
    <w:p w14:paraId="00000078" w14:textId="05734341"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various exemptions discussed in this chapter cover a broad range of activities in many diverse industries and occupations. Their widely divergent subject matter notwithstanding, most of these exemptions are the subject of extensive and in some cases quite detailed regulations issued by the U.S. Department of Labor (DOL), augmented by a modest body of case law. In addition, the Wage and Hour Division’s (WHD’s)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“provides [WHD] investigators and staff with interpretations of statutory provisions, procedures for conducting investigations, and general administrative guidance. …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reflects policies established through changes in legislation, regulations, significant court decisions, and the decisions and opinions of the WHD Administrator.”</w:t>
      </w:r>
      <w:r>
        <w:rPr>
          <w:rFonts w:ascii="Times New Roman" w:eastAsia="Times New Roman" w:hAnsi="Times New Roman" w:cs="Times New Roman"/>
          <w:color w:val="000000"/>
          <w:sz w:val="24"/>
          <w:szCs w:val="24"/>
          <w:vertAlign w:val="superscript"/>
        </w:rPr>
        <w:footnoteReference w:id="2"/>
      </w:r>
    </w:p>
    <w:p w14:paraId="0000007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DOL regulations are directly relevant to the matters covered in this chapter:</w:t>
      </w:r>
    </w:p>
    <w:p w14:paraId="0000007A"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29 C.F.R. Part 516, Subpart B, Records Pertaining to Employees Subject to Miscellaneous Exemptions Under the Act; Other Special Requirements; </w:t>
      </w:r>
    </w:p>
    <w:p w14:paraId="0000007B"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551, Local Delivery Drivers and Helpers; Wage Payment Plans;</w:t>
      </w:r>
    </w:p>
    <w:p w14:paraId="0000007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552, Application of the Fair Labor Standards Act to Domestic Service;</w:t>
      </w:r>
    </w:p>
    <w:p w14:paraId="0000007D"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570, Child Labor Regulations, Orders and Statements of Interpretation;</w:t>
      </w:r>
    </w:p>
    <w:p w14:paraId="0000007E"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575, Waiver of Child Labor Provisions for Agricultural Employment of 10 and 11 Year Old Minors in Hand Harvesting of Short Season Crops; and</w:t>
      </w:r>
    </w:p>
    <w:p w14:paraId="0000007F"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579, Child Labor Violations—Civil Money Penalties.</w:t>
      </w:r>
    </w:p>
    <w:p w14:paraId="0000008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following DOL interpretations are also directly relevant to the matters covered in this chapter:</w:t>
      </w:r>
    </w:p>
    <w:p w14:paraId="00000081"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779, The Fair Labor Standards Act As Applied to Retailers of Goods or Services;</w:t>
      </w:r>
    </w:p>
    <w:p w14:paraId="00000082"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782, Exemption From Maximum Hours Provisions for Certain Employees of Motor Carriers;</w:t>
      </w:r>
    </w:p>
    <w:p w14:paraId="00000083"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783, Application of the Fair Labor Standards Act to Employees Employed As Seamen;</w:t>
      </w:r>
    </w:p>
    <w:p w14:paraId="00000084"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784, Provisions of the Fair Labor Standards Act Applicable to Fishing and Operations on Aquatic Products;</w:t>
      </w:r>
    </w:p>
    <w:p w14:paraId="00000085"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786, Miscellaneous Exemptions and Exclusions From Coverage;</w:t>
      </w:r>
    </w:p>
    <w:p w14:paraId="00000086"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788, Forestry or Logging Operations in Which Not More Than Eight Employees Are Employed;</w:t>
      </w:r>
    </w:p>
    <w:p w14:paraId="00000087"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793, Exemption of Certain Radio and Television Station Employees From Overtime Pay Requirements Under Section 13(b)(9) of the Fair Labor Standards Act; and</w:t>
      </w:r>
    </w:p>
    <w:p w14:paraId="00000088"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29 C.F.R. Part 794, Partial Overtime Exemption for Employees of Wholesale or Bulk Petroleum Distributors Under Section 7(b)(3) of the Fair Labor Standards Act.</w:t>
      </w:r>
    </w:p>
    <w:p w14:paraId="0000008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addition, this chapter addresses the following </w:t>
      </w:r>
      <w:r>
        <w:rPr>
          <w:rFonts w:ascii="Times New Roman" w:eastAsia="Times New Roman" w:hAnsi="Times New Roman" w:cs="Times New Roman"/>
          <w:i/>
          <w:color w:val="000000"/>
          <w:sz w:val="24"/>
          <w:szCs w:val="24"/>
        </w:rPr>
        <w:t xml:space="preserve">Field Operations Handbook </w:t>
      </w:r>
      <w:r>
        <w:rPr>
          <w:rFonts w:ascii="Times New Roman" w:eastAsia="Times New Roman" w:hAnsi="Times New Roman" w:cs="Times New Roman"/>
          <w:color w:val="000000"/>
          <w:sz w:val="24"/>
          <w:szCs w:val="24"/>
        </w:rPr>
        <w:t>chapters:</w:t>
      </w:r>
    </w:p>
    <w:p w14:paraId="0000008A"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Chapter 21: Retail or Service Establishment Exemptions From Sections 6 and 7;</w:t>
      </w:r>
    </w:p>
    <w:p w14:paraId="0000008B"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Chapter 23: Newspaper and Other Communication Exemptions;</w:t>
      </w:r>
    </w:p>
    <w:p w14:paraId="0000008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Chapter 24: Transportation Exemptions;</w:t>
      </w:r>
    </w:p>
    <w:p w14:paraId="0000008D"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Chapter 25: Other Exemptions; and</w:t>
      </w:r>
    </w:p>
    <w:p w14:paraId="0000008E"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Chapter 33: Child Labor: FLSA.</w:t>
      </w:r>
    </w:p>
    <w:p w14:paraId="0000008F" w14:textId="77777777" w:rsidR="00DC27AA" w:rsidRDefault="000F36B4">
      <w:pPr>
        <w:pBdr>
          <w:top w:val="nil"/>
          <w:left w:val="nil"/>
          <w:bottom w:val="nil"/>
          <w:right w:val="nil"/>
          <w:between w:val="nil"/>
        </w:pBdr>
        <w:spacing w:before="480" w:after="240" w:line="240"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II. The Establishment Requirement</w:t>
      </w:r>
    </w:p>
    <w:p w14:paraId="0000009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exemptions codified in Sections 213(a)(3), 213(b)(10), 213(b)(27), 213(b)(29), 207(b)(3), and 207(i) of the FLSA apply only to persons employed by an “establishment.” This section defines the characteristics of an establishment, regardless of the specific exemption at issue.</w:t>
      </w:r>
    </w:p>
    <w:p w14:paraId="0000009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interpretive bulletin “29 C.F.R. Part 779, The FLSA as Applied to Retailers of Goods or Services,”</w:t>
      </w:r>
      <w:r>
        <w:rPr>
          <w:rFonts w:ascii="Times New Roman" w:eastAsia="Times New Roman" w:hAnsi="Times New Roman" w:cs="Times New Roman"/>
          <w:color w:val="000000"/>
          <w:sz w:val="24"/>
          <w:szCs w:val="24"/>
          <w:vertAlign w:val="superscript"/>
        </w:rPr>
        <w:footnoteReference w:id="3"/>
      </w:r>
      <w:r>
        <w:rPr>
          <w:rFonts w:ascii="Times New Roman" w:eastAsia="Times New Roman" w:hAnsi="Times New Roman" w:cs="Times New Roman"/>
          <w:color w:val="000000"/>
          <w:sz w:val="24"/>
          <w:szCs w:val="24"/>
        </w:rPr>
        <w:t xml:space="preserve"> describes the attributes of an “establishment:” </w:t>
      </w:r>
    </w:p>
    <w:p w14:paraId="00000092"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As used in the Act, the term “establishment,” which is not specifically defined therein, refers to a “distinct physical place of business” rather than to “an entire business or enterprise” which may include several separate places of business. This is consistent with the meaning of the term as it is normally used in business and in government, is judicially settled, and has been recognized in the Congress in the course of enactment of amendatory legislation. As appears more fully elsewhere in this part, this is the meaning of the term as used in sections 3(r), 3(s), 6(d), 7(i), 13(a), 13(b), and 14 of the Act.</w:t>
      </w:r>
      <w:r>
        <w:rPr>
          <w:rFonts w:ascii="Times New Roman" w:eastAsia="Times New Roman" w:hAnsi="Times New Roman" w:cs="Times New Roman"/>
          <w:color w:val="000000"/>
          <w:sz w:val="20"/>
          <w:szCs w:val="20"/>
          <w:vertAlign w:val="superscript"/>
        </w:rPr>
        <w:footnoteReference w:id="4"/>
      </w:r>
    </w:p>
    <w:p w14:paraId="0000009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interpretive bulletin post-dates the U.S. Supreme Court’s decision in </w:t>
      </w:r>
      <w:r>
        <w:rPr>
          <w:rFonts w:ascii="Times New Roman" w:eastAsia="Times New Roman" w:hAnsi="Times New Roman" w:cs="Times New Roman"/>
          <w:i/>
          <w:color w:val="000000"/>
          <w:sz w:val="24"/>
          <w:szCs w:val="24"/>
        </w:rPr>
        <w:t>A.H. Phillips, Inc. v. Walling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
      </w:r>
      <w:r>
        <w:rPr>
          <w:rFonts w:ascii="Times New Roman" w:eastAsia="Times New Roman" w:hAnsi="Times New Roman" w:cs="Times New Roman"/>
          <w:color w:val="000000"/>
          <w:sz w:val="24"/>
          <w:szCs w:val="24"/>
        </w:rPr>
        <w:t xml:space="preserve"> where the issue was whether employees working in the warehouse and central office building of an interstate grocery chain consisting of 49 stores were “‘engaged in any retail … establishment’ within the meaning of Section 13(a)(2).”</w:t>
      </w:r>
      <w:r>
        <w:rPr>
          <w:rFonts w:ascii="Times New Roman" w:eastAsia="Times New Roman" w:hAnsi="Times New Roman" w:cs="Times New Roman"/>
          <w:color w:val="000000"/>
          <w:sz w:val="24"/>
          <w:szCs w:val="24"/>
          <w:vertAlign w:val="superscript"/>
        </w:rPr>
        <w:footnoteReference w:id="6"/>
      </w:r>
      <w:r>
        <w:rPr>
          <w:rFonts w:ascii="Times New Roman" w:eastAsia="Times New Roman" w:hAnsi="Times New Roman" w:cs="Times New Roman"/>
          <w:color w:val="000000"/>
          <w:sz w:val="24"/>
          <w:szCs w:val="24"/>
        </w:rPr>
        <w:t xml:space="preserve"> In reaching its decision, the Court acknowledged the hybrid nature of the company’s operations, finding that a warehouse and a central office were vital factors in the “integration of the retail and wholesale functions” and were necessary instruments for the wholesale aspects of a multi-function business.</w:t>
      </w:r>
      <w:r>
        <w:rPr>
          <w:rFonts w:ascii="Times New Roman" w:eastAsia="Times New Roman" w:hAnsi="Times New Roman" w:cs="Times New Roman"/>
          <w:color w:val="000000"/>
          <w:sz w:val="24"/>
          <w:szCs w:val="24"/>
          <w:vertAlign w:val="superscript"/>
        </w:rPr>
        <w:footnoteReference w:id="7"/>
      </w:r>
      <w:r>
        <w:rPr>
          <w:rFonts w:ascii="Times New Roman" w:eastAsia="Times New Roman" w:hAnsi="Times New Roman" w:cs="Times New Roman"/>
          <w:color w:val="000000"/>
          <w:sz w:val="24"/>
          <w:szCs w:val="24"/>
        </w:rPr>
        <w:t xml:space="preserve"> The Court explained that</w:t>
      </w:r>
    </w:p>
    <w:p w14:paraId="0000009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[e]ven if, as petitioner urges, the word “establishment” referred to an entire business or enterprise, the combined retail-wholesale nature of petitioner’s interstate business would prevent it from properly being classified as a local “retail establishment.” But if, as we believe, Congress used the word “establishment” as it is normally used in business and in government—as meaning a distinct physical place of business, petitioner’s enterprise is composed of 49 retail establishments and a single wholesale establishment. Since the employees in question work in the wholesale establishment, Section 13(a)(2) is plainly irrelevant.</w:t>
      </w:r>
      <w:r>
        <w:rPr>
          <w:rFonts w:ascii="Times New Roman" w:eastAsia="Times New Roman" w:hAnsi="Times New Roman" w:cs="Times New Roman"/>
          <w:color w:val="000000"/>
          <w:sz w:val="20"/>
          <w:szCs w:val="20"/>
          <w:vertAlign w:val="superscript"/>
        </w:rPr>
        <w:footnoteReference w:id="8"/>
      </w:r>
    </w:p>
    <w:p w14:paraId="00000095"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ab/>
        <w:t xml:space="preserve">The Exemption Depends on the Character of the Establishment </w:t>
      </w:r>
    </w:p>
    <w:p w14:paraId="0000009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establishment requirement focuses in the first instance on the character of the establishment.</w:t>
      </w:r>
      <w:r>
        <w:rPr>
          <w:rFonts w:ascii="Times New Roman" w:eastAsia="Times New Roman" w:hAnsi="Times New Roman" w:cs="Times New Roman"/>
          <w:color w:val="000000"/>
          <w:sz w:val="24"/>
          <w:szCs w:val="24"/>
          <w:vertAlign w:val="superscript"/>
        </w:rPr>
        <w:footnoteReference w:id="9"/>
      </w:r>
      <w:r>
        <w:rPr>
          <w:rFonts w:ascii="Times New Roman" w:eastAsia="Times New Roman" w:hAnsi="Times New Roman" w:cs="Times New Roman"/>
          <w:color w:val="000000"/>
          <w:sz w:val="24"/>
          <w:szCs w:val="24"/>
        </w:rPr>
        <w:t xml:space="preserve"> Thus, the term “establishment” and the characteristic of an “establishment” are specific to each of the following exemptions: </w:t>
      </w:r>
    </w:p>
    <w:p w14:paraId="00000097"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amusement or recreational establishments;</w:t>
      </w:r>
      <w:r>
        <w:rPr>
          <w:rFonts w:ascii="Times New Roman" w:eastAsia="Times New Roman" w:hAnsi="Times New Roman" w:cs="Times New Roman"/>
          <w:color w:val="000000"/>
          <w:sz w:val="24"/>
          <w:szCs w:val="24"/>
          <w:vertAlign w:val="superscript"/>
        </w:rPr>
        <w:footnoteReference w:id="10"/>
      </w:r>
      <w:r>
        <w:rPr>
          <w:rFonts w:ascii="Times New Roman" w:eastAsia="Times New Roman" w:hAnsi="Times New Roman" w:cs="Times New Roman"/>
          <w:color w:val="000000"/>
          <w:sz w:val="24"/>
          <w:szCs w:val="24"/>
        </w:rPr>
        <w:t xml:space="preserve"> </w:t>
      </w:r>
    </w:p>
    <w:p w14:paraId="00000098"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nonmanufacturing establishments engaged in the retail sales and service of automobiles, trucks, or farm implements;</w:t>
      </w:r>
      <w:r>
        <w:rPr>
          <w:rFonts w:ascii="Times New Roman" w:eastAsia="Times New Roman" w:hAnsi="Times New Roman" w:cs="Times New Roman"/>
          <w:color w:val="000000"/>
          <w:sz w:val="24"/>
          <w:szCs w:val="24"/>
          <w:vertAlign w:val="superscript"/>
        </w:rPr>
        <w:footnoteReference w:id="11"/>
      </w:r>
      <w:r>
        <w:rPr>
          <w:rFonts w:ascii="Times New Roman" w:eastAsia="Times New Roman" w:hAnsi="Times New Roman" w:cs="Times New Roman"/>
          <w:color w:val="000000"/>
          <w:sz w:val="24"/>
          <w:szCs w:val="24"/>
        </w:rPr>
        <w:t xml:space="preserve"> </w:t>
      </w:r>
    </w:p>
    <w:p w14:paraId="00000099"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motion picture theater establishments;</w:t>
      </w:r>
      <w:r>
        <w:rPr>
          <w:rFonts w:ascii="Times New Roman" w:eastAsia="Times New Roman" w:hAnsi="Times New Roman" w:cs="Times New Roman"/>
          <w:color w:val="000000"/>
          <w:sz w:val="24"/>
          <w:szCs w:val="24"/>
          <w:vertAlign w:val="superscript"/>
        </w:rPr>
        <w:footnoteReference w:id="12"/>
      </w:r>
      <w:r>
        <w:rPr>
          <w:rFonts w:ascii="Times New Roman" w:eastAsia="Times New Roman" w:hAnsi="Times New Roman" w:cs="Times New Roman"/>
          <w:color w:val="000000"/>
          <w:sz w:val="24"/>
          <w:szCs w:val="24"/>
        </w:rPr>
        <w:t xml:space="preserve"> </w:t>
      </w:r>
    </w:p>
    <w:p w14:paraId="0000009A"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ab/>
        <w:t>amusement or recreational establishments located in national parks;</w:t>
      </w:r>
      <w:r>
        <w:rPr>
          <w:rFonts w:ascii="Times New Roman" w:eastAsia="Times New Roman" w:hAnsi="Times New Roman" w:cs="Times New Roman"/>
          <w:color w:val="000000"/>
          <w:sz w:val="24"/>
          <w:szCs w:val="24"/>
          <w:vertAlign w:val="superscript"/>
        </w:rPr>
        <w:footnoteReference w:id="13"/>
      </w:r>
      <w:r>
        <w:rPr>
          <w:rFonts w:ascii="Times New Roman" w:eastAsia="Times New Roman" w:hAnsi="Times New Roman" w:cs="Times New Roman"/>
          <w:color w:val="000000"/>
          <w:sz w:val="24"/>
          <w:szCs w:val="24"/>
        </w:rPr>
        <w:t xml:space="preserve"> </w:t>
      </w:r>
    </w:p>
    <w:p w14:paraId="0000009B"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independently owned and controlled local enterprises engaged in the wholesale or bulk distribution of petroleum products;</w:t>
      </w:r>
      <w:r>
        <w:rPr>
          <w:rFonts w:ascii="Times New Roman" w:eastAsia="Times New Roman" w:hAnsi="Times New Roman" w:cs="Times New Roman"/>
          <w:color w:val="000000"/>
          <w:sz w:val="24"/>
          <w:szCs w:val="24"/>
          <w:vertAlign w:val="superscript"/>
        </w:rPr>
        <w:footnoteReference w:id="14"/>
      </w:r>
      <w:r>
        <w:rPr>
          <w:rFonts w:ascii="Times New Roman" w:eastAsia="Times New Roman" w:hAnsi="Times New Roman" w:cs="Times New Roman"/>
          <w:color w:val="000000"/>
          <w:sz w:val="24"/>
          <w:szCs w:val="24"/>
        </w:rPr>
        <w:t xml:space="preserve"> and </w:t>
      </w:r>
    </w:p>
    <w:p w14:paraId="0000009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commissioned salespersons working in a retail or sales establishment.</w:t>
      </w:r>
      <w:r>
        <w:rPr>
          <w:rFonts w:ascii="Times New Roman" w:eastAsia="Times New Roman" w:hAnsi="Times New Roman" w:cs="Times New Roman"/>
          <w:color w:val="000000"/>
          <w:sz w:val="24"/>
          <w:szCs w:val="24"/>
          <w:vertAlign w:val="superscript"/>
        </w:rPr>
        <w:footnoteReference w:id="15"/>
      </w:r>
      <w:r>
        <w:rPr>
          <w:rFonts w:ascii="Times New Roman" w:eastAsia="Times New Roman" w:hAnsi="Times New Roman" w:cs="Times New Roman"/>
          <w:color w:val="000000"/>
          <w:sz w:val="24"/>
          <w:szCs w:val="24"/>
        </w:rPr>
        <w:t xml:space="preserve"> </w:t>
      </w:r>
    </w:p>
    <w:p w14:paraId="0000009D"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b/>
          <w:color w:val="000000"/>
          <w:sz w:val="24"/>
          <w:szCs w:val="24"/>
        </w:rPr>
        <w:tab/>
        <w:t>“Establishment” As Distinguished From “Enterprise” and “Business”</w:t>
      </w:r>
    </w:p>
    <w:p w14:paraId="0000009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“Establishment” and “enterprise” are distinct terms under the FLSA and its regulations.</w:t>
      </w:r>
      <w:r>
        <w:rPr>
          <w:rFonts w:ascii="Times New Roman" w:eastAsia="Times New Roman" w:hAnsi="Times New Roman" w:cs="Times New Roman"/>
          <w:color w:val="000000"/>
          <w:sz w:val="24"/>
          <w:szCs w:val="24"/>
          <w:vertAlign w:val="superscript"/>
        </w:rPr>
        <w:footnoteReference w:id="16"/>
      </w:r>
      <w:r>
        <w:rPr>
          <w:rFonts w:ascii="Times New Roman" w:eastAsia="Times New Roman" w:hAnsi="Times New Roman" w:cs="Times New Roman"/>
          <w:color w:val="000000"/>
          <w:sz w:val="24"/>
          <w:szCs w:val="24"/>
        </w:rPr>
        <w:t xml:space="preserve"> The term “establishment … refers to a ‘distinct physical place of business’ rather than ‘an entire business or enterprise’ which may include several separate places of business.”</w:t>
      </w:r>
      <w:r>
        <w:rPr>
          <w:rFonts w:ascii="Times New Roman" w:eastAsia="Times New Roman" w:hAnsi="Times New Roman" w:cs="Times New Roman"/>
          <w:color w:val="000000"/>
          <w:sz w:val="24"/>
          <w:szCs w:val="24"/>
          <w:vertAlign w:val="superscript"/>
        </w:rPr>
        <w:footnoteReference w:id="17"/>
      </w:r>
      <w:r>
        <w:rPr>
          <w:rFonts w:ascii="Times New Roman" w:eastAsia="Times New Roman" w:hAnsi="Times New Roman" w:cs="Times New Roman"/>
          <w:color w:val="000000"/>
          <w:sz w:val="24"/>
          <w:szCs w:val="24"/>
        </w:rPr>
        <w:t xml:space="preserve"> One court has noted that “the only reason for defining ‘establishment’ as a distinct physical place of business was so that it could be distinguished from an integrated business enterprise.”</w:t>
      </w:r>
      <w:r>
        <w:rPr>
          <w:rFonts w:ascii="Times New Roman" w:eastAsia="Times New Roman" w:hAnsi="Times New Roman" w:cs="Times New Roman"/>
          <w:color w:val="000000"/>
          <w:sz w:val="24"/>
          <w:szCs w:val="24"/>
          <w:vertAlign w:val="superscript"/>
        </w:rPr>
        <w:footnoteReference w:id="18"/>
      </w:r>
      <w:r>
        <w:rPr>
          <w:rFonts w:ascii="Times New Roman" w:eastAsia="Times New Roman" w:hAnsi="Times New Roman" w:cs="Times New Roman"/>
          <w:color w:val="000000"/>
          <w:sz w:val="24"/>
          <w:szCs w:val="24"/>
        </w:rPr>
        <w:t xml:space="preserve"> This conclusion flows from the repeated comparisons throughout the regulations between “enterprises” and “establishments.”</w:t>
      </w:r>
      <w:r>
        <w:rPr>
          <w:rFonts w:ascii="Times New Roman" w:eastAsia="Times New Roman" w:hAnsi="Times New Roman" w:cs="Times New Roman"/>
          <w:color w:val="000000"/>
          <w:sz w:val="24"/>
          <w:szCs w:val="24"/>
          <w:vertAlign w:val="superscript"/>
        </w:rPr>
        <w:footnoteReference w:id="19"/>
      </w:r>
      <w:r>
        <w:rPr>
          <w:rFonts w:ascii="Times New Roman" w:eastAsia="Times New Roman" w:hAnsi="Times New Roman" w:cs="Times New Roman"/>
          <w:color w:val="000000"/>
          <w:sz w:val="24"/>
          <w:szCs w:val="24"/>
        </w:rPr>
        <w:t xml:space="preserve"> To determine whether a business constitutes a covered enterprise under Section 203(s)(1) of the FLSA, it must first be determined whether the business comes within the definition of “enterprise” in Section 203(r)(1).</w:t>
      </w:r>
      <w:r>
        <w:rPr>
          <w:rFonts w:ascii="Times New Roman" w:eastAsia="Times New Roman" w:hAnsi="Times New Roman" w:cs="Times New Roman"/>
          <w:color w:val="000000"/>
          <w:sz w:val="24"/>
          <w:szCs w:val="24"/>
          <w:vertAlign w:val="superscript"/>
        </w:rPr>
        <w:footnoteReference w:id="20"/>
      </w:r>
      <w:r>
        <w:rPr>
          <w:rFonts w:ascii="Times New Roman" w:eastAsia="Times New Roman" w:hAnsi="Times New Roman" w:cs="Times New Roman"/>
          <w:color w:val="000000"/>
          <w:sz w:val="24"/>
          <w:szCs w:val="24"/>
        </w:rPr>
        <w:t xml:space="preserve"> </w:t>
      </w:r>
    </w:p>
    <w:p w14:paraId="0000009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enterprise may be composed of a single establishment or a multi-unit operation.</w:t>
      </w:r>
      <w:r>
        <w:rPr>
          <w:rFonts w:ascii="Times New Roman" w:eastAsia="Times New Roman" w:hAnsi="Times New Roman" w:cs="Times New Roman"/>
          <w:color w:val="000000"/>
          <w:sz w:val="24"/>
          <w:szCs w:val="24"/>
          <w:vertAlign w:val="superscript"/>
        </w:rPr>
        <w:footnoteReference w:id="21"/>
      </w:r>
      <w:r>
        <w:rPr>
          <w:rFonts w:ascii="Times New Roman" w:eastAsia="Times New Roman" w:hAnsi="Times New Roman" w:cs="Times New Roman"/>
          <w:color w:val="000000"/>
          <w:sz w:val="24"/>
          <w:szCs w:val="24"/>
        </w:rPr>
        <w:t xml:space="preserve"> In a multi-unit operation, some of the establishments may qualify for exemption and others may not.</w:t>
      </w:r>
      <w:r>
        <w:rPr>
          <w:rFonts w:ascii="Times New Roman" w:eastAsia="Times New Roman" w:hAnsi="Times New Roman" w:cs="Times New Roman"/>
          <w:color w:val="000000"/>
          <w:sz w:val="24"/>
          <w:szCs w:val="24"/>
          <w:vertAlign w:val="superscript"/>
        </w:rPr>
        <w:footnoteReference w:id="22"/>
      </w:r>
      <w:r>
        <w:rPr>
          <w:rFonts w:ascii="Times New Roman" w:eastAsia="Times New Roman" w:hAnsi="Times New Roman" w:cs="Times New Roman"/>
          <w:color w:val="000000"/>
          <w:sz w:val="24"/>
          <w:szCs w:val="24"/>
        </w:rPr>
        <w:t xml:space="preserve"> For example, in </w:t>
      </w:r>
      <w:r>
        <w:rPr>
          <w:rFonts w:ascii="Times New Roman" w:eastAsia="Times New Roman" w:hAnsi="Times New Roman" w:cs="Times New Roman"/>
          <w:i/>
          <w:color w:val="000000"/>
          <w:sz w:val="24"/>
          <w:szCs w:val="24"/>
        </w:rPr>
        <w:t>Chao v. Double JJ Resort Ranch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23"/>
      </w:r>
      <w:r>
        <w:rPr>
          <w:rFonts w:ascii="Times New Roman" w:eastAsia="Times New Roman" w:hAnsi="Times New Roman" w:cs="Times New Roman"/>
          <w:color w:val="000000"/>
          <w:sz w:val="24"/>
          <w:szCs w:val="24"/>
        </w:rPr>
        <w:t xml:space="preserve"> the Sixth Circuit found that the resort hotel’s bars, restaurants, dining rooms, conference center, lodging facilities, and gas stations were not exempt establishments, but its golf course and horseback riding might qualify as separate recreational establishments.</w:t>
      </w:r>
      <w:r>
        <w:rPr>
          <w:rFonts w:ascii="Times New Roman" w:eastAsia="Times New Roman" w:hAnsi="Times New Roman" w:cs="Times New Roman"/>
          <w:color w:val="000000"/>
          <w:sz w:val="24"/>
          <w:szCs w:val="24"/>
          <w:vertAlign w:val="superscript"/>
        </w:rPr>
        <w:footnoteReference w:id="24"/>
      </w:r>
      <w:r>
        <w:rPr>
          <w:rFonts w:ascii="Times New Roman" w:eastAsia="Times New Roman" w:hAnsi="Times New Roman" w:cs="Times New Roman"/>
          <w:color w:val="000000"/>
          <w:sz w:val="24"/>
          <w:szCs w:val="24"/>
        </w:rPr>
        <w:t xml:space="preserve"> The court explained that “Double JJ is not in the </w:t>
      </w:r>
      <w:r>
        <w:rPr>
          <w:rFonts w:ascii="Times New Roman" w:eastAsia="Times New Roman" w:hAnsi="Times New Roman" w:cs="Times New Roman"/>
          <w:color w:val="000000"/>
          <w:sz w:val="24"/>
          <w:szCs w:val="24"/>
        </w:rPr>
        <w:lastRenderedPageBreak/>
        <w:t>recreation business. Its primary purpose is to sell foods and rent beds; the recreational activities are just a carrot enticing people to make the trip.”</w:t>
      </w:r>
      <w:r>
        <w:rPr>
          <w:rFonts w:ascii="Times New Roman" w:eastAsia="Times New Roman" w:hAnsi="Times New Roman" w:cs="Times New Roman"/>
          <w:color w:val="000000"/>
          <w:sz w:val="24"/>
          <w:szCs w:val="24"/>
          <w:vertAlign w:val="superscript"/>
        </w:rPr>
        <w:footnoteReference w:id="25"/>
      </w:r>
    </w:p>
    <w:p w14:paraId="000000A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Unit stores, such as department stores, will ordinarily constitute a single establishment.</w:t>
      </w:r>
      <w:r>
        <w:rPr>
          <w:rFonts w:ascii="Times New Roman" w:eastAsia="Times New Roman" w:hAnsi="Times New Roman" w:cs="Times New Roman"/>
          <w:color w:val="000000"/>
          <w:sz w:val="24"/>
          <w:szCs w:val="24"/>
          <w:vertAlign w:val="superscript"/>
        </w:rPr>
        <w:footnoteReference w:id="26"/>
      </w:r>
      <w:r>
        <w:rPr>
          <w:rFonts w:ascii="Times New Roman" w:eastAsia="Times New Roman" w:hAnsi="Times New Roman" w:cs="Times New Roman"/>
          <w:color w:val="000000"/>
          <w:sz w:val="24"/>
          <w:szCs w:val="24"/>
        </w:rPr>
        <w:t xml:space="preserve"> Where a store has a back room that produces goods (e.g., bakery shop or tailor shop) and sells those goods in an adjoining front room, such shops will be considered a single establishment if there is a unity of ownership and the back and front rooms are operated as a single store.</w:t>
      </w:r>
      <w:r>
        <w:rPr>
          <w:rFonts w:ascii="Times New Roman" w:eastAsia="Times New Roman" w:hAnsi="Times New Roman" w:cs="Times New Roman"/>
          <w:color w:val="000000"/>
          <w:sz w:val="24"/>
          <w:szCs w:val="24"/>
          <w:vertAlign w:val="superscript"/>
        </w:rPr>
        <w:footnoteReference w:id="27"/>
      </w:r>
      <w:r>
        <w:rPr>
          <w:rFonts w:ascii="Times New Roman" w:eastAsia="Times New Roman" w:hAnsi="Times New Roman" w:cs="Times New Roman"/>
          <w:color w:val="000000"/>
          <w:sz w:val="24"/>
          <w:szCs w:val="24"/>
        </w:rPr>
        <w:t xml:space="preserve"> </w:t>
      </w:r>
    </w:p>
    <w:p w14:paraId="000000A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regulations, two or more physically separated portions of a business, although located on the same premises, may constitute multiple establishments provided (1) they are engaged in operations that are physically separated from the other activities; (2) they are functionally operated as a separate unit having separate records and separate bookkeeping; and (3) there is no interchange of employees between the units.</w:t>
      </w:r>
      <w:r>
        <w:rPr>
          <w:rFonts w:ascii="Times New Roman" w:eastAsia="Times New Roman" w:hAnsi="Times New Roman" w:cs="Times New Roman"/>
          <w:color w:val="000000"/>
          <w:sz w:val="24"/>
          <w:szCs w:val="24"/>
          <w:vertAlign w:val="superscript"/>
        </w:rPr>
        <w:footnoteReference w:id="28"/>
      </w:r>
    </w:p>
    <w:p w14:paraId="000000A2"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ab/>
        <w:t xml:space="preserve">“Employed By” </w:t>
      </w:r>
    </w:p>
    <w:p w14:paraId="000000A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used in Section 213 of the FLSA, the phrases “employee of” and “employed by” are synonymous.</w:t>
      </w:r>
      <w:r>
        <w:rPr>
          <w:rFonts w:ascii="Times New Roman" w:eastAsia="Times New Roman" w:hAnsi="Times New Roman" w:cs="Times New Roman"/>
          <w:color w:val="000000"/>
          <w:sz w:val="24"/>
          <w:szCs w:val="24"/>
          <w:vertAlign w:val="superscript"/>
        </w:rPr>
        <w:footnoteReference w:id="29"/>
      </w:r>
      <w:r>
        <w:rPr>
          <w:rFonts w:ascii="Times New Roman" w:eastAsia="Times New Roman" w:hAnsi="Times New Roman" w:cs="Times New Roman"/>
          <w:color w:val="000000"/>
          <w:sz w:val="24"/>
          <w:szCs w:val="24"/>
        </w:rPr>
        <w:t xml:space="preserve"> When applicable, these exemptions apply to all employees employed by the establishment regardless of where the work is performed.</w:t>
      </w:r>
      <w:r>
        <w:rPr>
          <w:rFonts w:ascii="Times New Roman" w:eastAsia="Times New Roman" w:hAnsi="Times New Roman" w:cs="Times New Roman"/>
          <w:color w:val="000000"/>
          <w:sz w:val="24"/>
          <w:szCs w:val="24"/>
          <w:vertAlign w:val="superscript"/>
        </w:rPr>
        <w:footnoteReference w:id="30"/>
      </w:r>
      <w:r>
        <w:rPr>
          <w:rFonts w:ascii="Times New Roman" w:eastAsia="Times New Roman" w:hAnsi="Times New Roman" w:cs="Times New Roman"/>
          <w:color w:val="000000"/>
          <w:sz w:val="24"/>
          <w:szCs w:val="24"/>
        </w:rPr>
        <w:t xml:space="preserve"> On the other hand, the exemptions will not extend to employees who, although actually working “in” the establishment, are not “employed by” the exempt establishment. For example, a manufacturer’s employee who demonstrates product at a customer’s exempt retail establishment will not be exempt.</w:t>
      </w:r>
      <w:r>
        <w:rPr>
          <w:rFonts w:ascii="Times New Roman" w:eastAsia="Times New Roman" w:hAnsi="Times New Roman" w:cs="Times New Roman"/>
          <w:color w:val="000000"/>
          <w:sz w:val="24"/>
          <w:szCs w:val="24"/>
          <w:vertAlign w:val="superscript"/>
        </w:rPr>
        <w:footnoteReference w:id="31"/>
      </w:r>
    </w:p>
    <w:p w14:paraId="000000A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be “employed by” the establishment, an employee, whether performing work inside or outside the establishment, must be engaged in activities within the scope of the exempt business.</w:t>
      </w:r>
      <w:r>
        <w:rPr>
          <w:rFonts w:ascii="Times New Roman" w:eastAsia="Times New Roman" w:hAnsi="Times New Roman" w:cs="Times New Roman"/>
          <w:color w:val="000000"/>
          <w:sz w:val="24"/>
          <w:szCs w:val="24"/>
          <w:vertAlign w:val="superscript"/>
        </w:rPr>
        <w:footnoteReference w:id="32"/>
      </w:r>
      <w:r>
        <w:rPr>
          <w:rFonts w:ascii="Times New Roman" w:eastAsia="Times New Roman" w:hAnsi="Times New Roman" w:cs="Times New Roman"/>
          <w:color w:val="000000"/>
          <w:sz w:val="24"/>
          <w:szCs w:val="24"/>
        </w:rPr>
        <w:t xml:space="preserve"> For example, in </w:t>
      </w:r>
      <w:r>
        <w:rPr>
          <w:rFonts w:ascii="Times New Roman" w:eastAsia="Times New Roman" w:hAnsi="Times New Roman" w:cs="Times New Roman"/>
          <w:i/>
          <w:color w:val="000000"/>
          <w:sz w:val="24"/>
          <w:szCs w:val="24"/>
        </w:rPr>
        <w:t>Gieg v. DDR,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33"/>
      </w:r>
      <w:r>
        <w:rPr>
          <w:rFonts w:ascii="Times New Roman" w:eastAsia="Times New Roman" w:hAnsi="Times New Roman" w:cs="Times New Roman"/>
          <w:color w:val="000000"/>
          <w:sz w:val="24"/>
          <w:szCs w:val="24"/>
        </w:rPr>
        <w:t xml:space="preserve"> finance and insurance managers employed by retail automobile dealerships were deemed to be within the scope of the exemption because the finance and insurance packages they sold were an integral part of the dealerships’ retail business.</w:t>
      </w:r>
      <w:r>
        <w:rPr>
          <w:rFonts w:ascii="Times New Roman" w:eastAsia="Times New Roman" w:hAnsi="Times New Roman" w:cs="Times New Roman"/>
          <w:color w:val="000000"/>
          <w:sz w:val="24"/>
          <w:szCs w:val="24"/>
          <w:vertAlign w:val="superscript"/>
        </w:rPr>
        <w:footnoteReference w:id="34"/>
      </w:r>
    </w:p>
    <w:p w14:paraId="000000A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regulations provide that </w:t>
      </w:r>
    </w:p>
    <w:p w14:paraId="000000A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[w]here the employer’s business operations are conducted in more than one establishment, as in the various units of a chain-store system or where branch establishments are operated in conjunction with a main store, the employer is entitled to exemption … for those of his employees in such business operations, and those only, who are “employed by” an establishment which qualifies for exemption under the statutory tests. For example, the central office or central warehouse of a chain-store operation even though located on the same premises as one of the chain’s retail stores would be considered a separate establishment for purposes of the exemption, if it is physically separated from the area in which the retail operations are carried on and has separate employees and records.</w:t>
      </w:r>
      <w:r>
        <w:rPr>
          <w:rFonts w:ascii="Times New Roman" w:eastAsia="Times New Roman" w:hAnsi="Times New Roman" w:cs="Times New Roman"/>
          <w:color w:val="000000"/>
          <w:sz w:val="20"/>
          <w:szCs w:val="20"/>
          <w:vertAlign w:val="superscript"/>
        </w:rPr>
        <w:footnoteReference w:id="35"/>
      </w:r>
    </w:p>
    <w:p w14:paraId="000000A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employed by an exempt establishment are exempt even though their employer also operates one or more nonexempt establishments.</w:t>
      </w:r>
      <w:r>
        <w:rPr>
          <w:rFonts w:ascii="Times New Roman" w:eastAsia="Times New Roman" w:hAnsi="Times New Roman" w:cs="Times New Roman"/>
          <w:color w:val="000000"/>
          <w:sz w:val="24"/>
          <w:szCs w:val="24"/>
          <w:vertAlign w:val="superscript"/>
        </w:rPr>
        <w:footnoteReference w:id="36"/>
      </w:r>
      <w:r>
        <w:rPr>
          <w:rFonts w:ascii="Times New Roman" w:eastAsia="Times New Roman" w:hAnsi="Times New Roman" w:cs="Times New Roman"/>
          <w:color w:val="000000"/>
          <w:sz w:val="24"/>
          <w:szCs w:val="24"/>
        </w:rPr>
        <w:t xml:space="preserve"> However, where an employee of such an employer performs work for both exempt and nonexempt establishments during the same workweek, the employee is not “employed by” an exempt establishment during that workweek.</w:t>
      </w:r>
      <w:r>
        <w:rPr>
          <w:rFonts w:ascii="Times New Roman" w:eastAsia="Times New Roman" w:hAnsi="Times New Roman" w:cs="Times New Roman"/>
          <w:color w:val="000000"/>
          <w:sz w:val="24"/>
          <w:szCs w:val="24"/>
          <w:vertAlign w:val="superscript"/>
        </w:rPr>
        <w:footnoteReference w:id="37"/>
      </w:r>
    </w:p>
    <w:p w14:paraId="000000A8" w14:textId="77777777" w:rsidR="00DC27AA" w:rsidRDefault="000F36B4">
      <w:pPr>
        <w:pBdr>
          <w:top w:val="nil"/>
          <w:left w:val="nil"/>
          <w:bottom w:val="nil"/>
          <w:right w:val="nil"/>
          <w:between w:val="nil"/>
        </w:pBdr>
        <w:spacing w:before="480" w:after="240" w:line="240"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 xml:space="preserve">III. Section 213(a) Exemptions From the Minimum Wage and Overtime </w:t>
      </w:r>
      <w:r>
        <w:rPr>
          <w:rFonts w:ascii="Times New Roman" w:eastAsia="Times New Roman" w:hAnsi="Times New Roman" w:cs="Times New Roman"/>
          <w:smallCaps/>
          <w:color w:val="000000"/>
          <w:sz w:val="24"/>
          <w:szCs w:val="24"/>
        </w:rPr>
        <w:br/>
        <w:t>Requirements of the FLSA</w:t>
      </w:r>
    </w:p>
    <w:p w14:paraId="000000A9"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ab/>
        <w:t>Employees Employed by Amusement or Recreational Establishments, Organized Camps, or Religious or Nonprofit Educational Conferences</w:t>
      </w:r>
    </w:p>
    <w:p w14:paraId="000000A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213(a)(3) provides an exemption from the minimum wage and overtime requirements of the FLSA for any employee employed by an amusement or recreational establishment, organized camp, or religious or nonprofit educational conference center that satisfies one of the two “seasonal test” requirements:</w:t>
      </w:r>
    </w:p>
    <w:p w14:paraId="000000AB"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w:t>
      </w:r>
      <w:r>
        <w:rPr>
          <w:rFonts w:ascii="Times New Roman" w:eastAsia="Times New Roman" w:hAnsi="Times New Roman" w:cs="Times New Roman"/>
          <w:color w:val="000000"/>
          <w:sz w:val="20"/>
          <w:szCs w:val="20"/>
        </w:rPr>
        <w:tab/>
        <w:t>it does not operate for more than seven months in any calendar year, or</w:t>
      </w:r>
    </w:p>
    <w:p w14:paraId="000000A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 </w:t>
      </w:r>
      <w:r>
        <w:rPr>
          <w:rFonts w:ascii="Times New Roman" w:eastAsia="Times New Roman" w:hAnsi="Times New Roman" w:cs="Times New Roman"/>
          <w:color w:val="000000"/>
          <w:sz w:val="20"/>
          <w:szCs w:val="20"/>
        </w:rPr>
        <w:tab/>
        <w:t>during the preceding calendar year, its average receipts for any six months of such year were not more than 33 1/3 per centum of its average receipts for the other six months of such year … .</w:t>
      </w:r>
      <w:r>
        <w:rPr>
          <w:rFonts w:ascii="Times New Roman" w:eastAsia="Times New Roman" w:hAnsi="Times New Roman" w:cs="Times New Roman"/>
          <w:color w:val="000000"/>
          <w:sz w:val="20"/>
          <w:szCs w:val="20"/>
          <w:vertAlign w:val="superscript"/>
        </w:rPr>
        <w:footnoteReference w:id="38"/>
      </w:r>
    </w:p>
    <w:p w14:paraId="000000A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Tenth Circuit, the exemption’s purpose is “to allow recreational facilities to employ young people on a seasonal basis and not have to pay the relatively high minimum wages required by the Fair Labor Standards Act.”</w:t>
      </w:r>
      <w:r>
        <w:rPr>
          <w:rFonts w:ascii="Times New Roman" w:eastAsia="Times New Roman" w:hAnsi="Times New Roman" w:cs="Times New Roman"/>
          <w:color w:val="000000"/>
          <w:sz w:val="24"/>
          <w:szCs w:val="24"/>
          <w:vertAlign w:val="superscript"/>
        </w:rPr>
        <w:footnoteReference w:id="39"/>
      </w:r>
      <w:r>
        <w:rPr>
          <w:rFonts w:ascii="Times New Roman" w:eastAsia="Times New Roman" w:hAnsi="Times New Roman" w:cs="Times New Roman"/>
          <w:color w:val="000000"/>
          <w:sz w:val="24"/>
          <w:szCs w:val="24"/>
        </w:rPr>
        <w:t xml:space="preserve"> However, according to the Fifth Circuit: “While that appears to be a logical theory, we can find nothing in the legislative history to confirm it. The legislative history simply does not directly address the purpose of the amusement-recreation exemption.”</w:t>
      </w:r>
      <w:r>
        <w:rPr>
          <w:rFonts w:ascii="Times New Roman" w:eastAsia="Times New Roman" w:hAnsi="Times New Roman" w:cs="Times New Roman"/>
          <w:color w:val="000000"/>
          <w:sz w:val="24"/>
          <w:szCs w:val="24"/>
          <w:vertAlign w:val="superscript"/>
        </w:rPr>
        <w:footnoteReference w:id="40"/>
      </w:r>
    </w:p>
    <w:p w14:paraId="000000A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FLSA does not define the term “amusement or recreational establishment,” and for that reason many courts seeking to resolve cases under Section 213(a)(3) have turned to the legislative history.</w:t>
      </w:r>
      <w:r>
        <w:rPr>
          <w:rFonts w:ascii="Times New Roman" w:eastAsia="Times New Roman" w:hAnsi="Times New Roman" w:cs="Times New Roman"/>
          <w:color w:val="000000"/>
          <w:sz w:val="24"/>
          <w:szCs w:val="24"/>
          <w:vertAlign w:val="superscript"/>
        </w:rPr>
        <w:footnoteReference w:id="41"/>
      </w:r>
      <w:r>
        <w:rPr>
          <w:rFonts w:ascii="Times New Roman" w:eastAsia="Times New Roman" w:hAnsi="Times New Roman" w:cs="Times New Roman"/>
          <w:color w:val="000000"/>
          <w:sz w:val="24"/>
          <w:szCs w:val="24"/>
        </w:rPr>
        <w:t xml:space="preserve"> The exemption originally appeared in the statute in 1961</w:t>
      </w:r>
      <w:r>
        <w:rPr>
          <w:rFonts w:ascii="Times New Roman" w:eastAsia="Times New Roman" w:hAnsi="Times New Roman" w:cs="Times New Roman"/>
          <w:color w:val="000000"/>
          <w:sz w:val="24"/>
          <w:szCs w:val="24"/>
          <w:vertAlign w:val="superscript"/>
        </w:rPr>
        <w:footnoteReference w:id="42"/>
      </w:r>
      <w:r>
        <w:rPr>
          <w:rFonts w:ascii="Times New Roman" w:eastAsia="Times New Roman" w:hAnsi="Times New Roman" w:cs="Times New Roman"/>
          <w:color w:val="000000"/>
          <w:sz w:val="24"/>
          <w:szCs w:val="24"/>
        </w:rPr>
        <w:t xml:space="preserve"> as part of Section 213(a)(2). The FLSA’s 1961 amendments extended minimum wage and overtime coverage to employees in retail trade enterprises with sales exceeding $1 million annually.</w:t>
      </w:r>
      <w:r>
        <w:rPr>
          <w:rFonts w:ascii="Times New Roman" w:eastAsia="Times New Roman" w:hAnsi="Times New Roman" w:cs="Times New Roman"/>
          <w:color w:val="000000"/>
          <w:sz w:val="24"/>
          <w:szCs w:val="24"/>
          <w:vertAlign w:val="superscript"/>
        </w:rPr>
        <w:footnoteReference w:id="43"/>
      </w:r>
      <w:r>
        <w:rPr>
          <w:rFonts w:ascii="Times New Roman" w:eastAsia="Times New Roman" w:hAnsi="Times New Roman" w:cs="Times New Roman"/>
          <w:color w:val="000000"/>
          <w:sz w:val="24"/>
          <w:szCs w:val="24"/>
        </w:rPr>
        <w:t xml:space="preserve"> However, the 1961 amendments also exempted from the minimum wage and overtime requirements certain types of “retail or service establishments” such as hotels, motels, restaurants, movie theaters, and </w:t>
      </w:r>
      <w:r>
        <w:rPr>
          <w:rFonts w:ascii="Times New Roman" w:eastAsia="Times New Roman" w:hAnsi="Times New Roman" w:cs="Times New Roman"/>
          <w:i/>
          <w:color w:val="000000"/>
          <w:sz w:val="24"/>
          <w:szCs w:val="24"/>
        </w:rPr>
        <w:t>seasonal amusement or recreational establishments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4"/>
      </w:r>
      <w:r>
        <w:rPr>
          <w:rFonts w:ascii="Times New Roman" w:eastAsia="Times New Roman" w:hAnsi="Times New Roman" w:cs="Times New Roman"/>
          <w:color w:val="000000"/>
          <w:sz w:val="24"/>
          <w:szCs w:val="24"/>
        </w:rPr>
        <w:t xml:space="preserve"> The Senate Committee Report described the exemption for amusement and recreational establishments:</w:t>
      </w:r>
    </w:p>
    <w:p w14:paraId="000000AF"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Amusement and recreational establishments operating on a seasonal basis.—A similar exemption, without regard to the annual sales volume of the enterprise, is provided for employees of amusement and recreational establishments operating on a seasonal basis. These establishments are typically those operated by concessionaires at amusement parks and beaches and are in operation for 6 months or less a year.</w:t>
      </w:r>
      <w:r>
        <w:rPr>
          <w:rFonts w:ascii="Times New Roman" w:eastAsia="Times New Roman" w:hAnsi="Times New Roman" w:cs="Times New Roman"/>
          <w:color w:val="000000"/>
          <w:sz w:val="20"/>
          <w:szCs w:val="20"/>
          <w:vertAlign w:val="superscript"/>
        </w:rPr>
        <w:footnoteReference w:id="45"/>
      </w:r>
    </w:p>
    <w:p w14:paraId="000000B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1966, a stand-alone amusement or recreational exemption was added to the statute, designated as Section 213(a)(3).</w:t>
      </w:r>
      <w:r>
        <w:rPr>
          <w:rFonts w:ascii="Times New Roman" w:eastAsia="Times New Roman" w:hAnsi="Times New Roman" w:cs="Times New Roman"/>
          <w:color w:val="000000"/>
          <w:sz w:val="24"/>
          <w:szCs w:val="24"/>
          <w:vertAlign w:val="superscript"/>
        </w:rPr>
        <w:footnoteReference w:id="46"/>
      </w:r>
      <w:r>
        <w:rPr>
          <w:rFonts w:ascii="Times New Roman" w:eastAsia="Times New Roman" w:hAnsi="Times New Roman" w:cs="Times New Roman"/>
          <w:color w:val="000000"/>
          <w:sz w:val="24"/>
          <w:szCs w:val="24"/>
        </w:rPr>
        <w:t xml:space="preserve"> During floor debates on this new section, Representative John Dent acknowledged the amendment under consideration “retain[ed] the existing exemption for amusement or recreational establishments, such as amusement parks, sports events, pari-mutuel racing, sport boating or fishing and similar activities.”</w:t>
      </w:r>
      <w:r>
        <w:rPr>
          <w:rFonts w:ascii="Times New Roman" w:eastAsia="Times New Roman" w:hAnsi="Times New Roman" w:cs="Times New Roman"/>
          <w:color w:val="000000"/>
          <w:sz w:val="24"/>
          <w:szCs w:val="24"/>
          <w:vertAlign w:val="superscript"/>
        </w:rPr>
        <w:footnoteReference w:id="47"/>
      </w:r>
      <w:r>
        <w:rPr>
          <w:rFonts w:ascii="Times New Roman" w:eastAsia="Times New Roman" w:hAnsi="Times New Roman" w:cs="Times New Roman"/>
          <w:color w:val="000000"/>
          <w:sz w:val="24"/>
          <w:szCs w:val="24"/>
        </w:rPr>
        <w:t>According to the First Circuit, “[t]he current wording [of Section 213(a)(3)] seems to have been intended to establish criteria for seasonality, and—by eliminating the ‘retail and service’ language—to make plain that employees of seasonal amusement or recreational companies generally are exempt.”</w:t>
      </w:r>
      <w:r>
        <w:rPr>
          <w:rFonts w:ascii="Times New Roman" w:eastAsia="Times New Roman" w:hAnsi="Times New Roman" w:cs="Times New Roman"/>
          <w:color w:val="000000"/>
          <w:sz w:val="24"/>
          <w:szCs w:val="24"/>
          <w:vertAlign w:val="superscript"/>
        </w:rPr>
        <w:footnoteReference w:id="48"/>
      </w:r>
    </w:p>
    <w:p w14:paraId="000000B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1977 amendments to Section 213(a)(3) added the words “organized camp, or religious or non-profit educational conference center” after “recreational establishment” and inserted an exception for private entities under contract with the Secretary of the Interior or the Secretary of Agriculture to provide services or facilities in a national park, national forest, or on </w:t>
      </w:r>
      <w:r>
        <w:rPr>
          <w:rFonts w:ascii="Times New Roman" w:eastAsia="Times New Roman" w:hAnsi="Times New Roman" w:cs="Times New Roman"/>
          <w:color w:val="000000"/>
          <w:sz w:val="24"/>
          <w:szCs w:val="24"/>
        </w:rPr>
        <w:lastRenderedPageBreak/>
        <w:t>land in the National Wildlife Refuge System,</w:t>
      </w:r>
      <w:r>
        <w:rPr>
          <w:rFonts w:ascii="Times New Roman" w:eastAsia="Times New Roman" w:hAnsi="Times New Roman" w:cs="Times New Roman"/>
          <w:color w:val="000000"/>
          <w:sz w:val="24"/>
          <w:szCs w:val="24"/>
          <w:vertAlign w:val="superscript"/>
        </w:rPr>
        <w:footnoteReference w:id="49"/>
      </w:r>
      <w:r>
        <w:rPr>
          <w:rFonts w:ascii="Times New Roman" w:eastAsia="Times New Roman" w:hAnsi="Times New Roman" w:cs="Times New Roman"/>
          <w:color w:val="000000"/>
          <w:sz w:val="24"/>
          <w:szCs w:val="24"/>
        </w:rPr>
        <w:t xml:space="preserve"> although these entities may qualify for a separate statutory exemption from the FLSA’s overtime requirements under Section </w:t>
      </w:r>
      <w:r>
        <w:rPr>
          <w:rFonts w:ascii="Times New Roman" w:eastAsia="Times New Roman" w:hAnsi="Times New Roman" w:cs="Times New Roman"/>
          <w:color w:val="000000"/>
          <w:sz w:val="24"/>
          <w:szCs w:val="24"/>
        </w:rPr>
        <w:br/>
        <w:t>213(b)(29).</w:t>
      </w:r>
      <w:r>
        <w:rPr>
          <w:rFonts w:ascii="Times New Roman" w:eastAsia="Times New Roman" w:hAnsi="Times New Roman" w:cs="Times New Roman"/>
          <w:color w:val="000000"/>
          <w:sz w:val="24"/>
          <w:szCs w:val="24"/>
          <w:vertAlign w:val="superscript"/>
        </w:rPr>
        <w:footnoteReference w:id="50"/>
      </w:r>
      <w:r>
        <w:rPr>
          <w:rFonts w:ascii="Times New Roman" w:eastAsia="Times New Roman" w:hAnsi="Times New Roman" w:cs="Times New Roman"/>
          <w:color w:val="000000"/>
          <w:sz w:val="24"/>
          <w:szCs w:val="24"/>
        </w:rPr>
        <w:t xml:space="preserve"> </w:t>
      </w:r>
    </w:p>
    <w:p w14:paraId="000000B2"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w:t>
      </w:r>
      <w:r>
        <w:rPr>
          <w:rFonts w:ascii="Times New Roman" w:eastAsia="Times New Roman" w:hAnsi="Times New Roman" w:cs="Times New Roman"/>
          <w:b/>
          <w:i/>
          <w:color w:val="000000"/>
          <w:sz w:val="24"/>
          <w:szCs w:val="24"/>
        </w:rPr>
        <w:tab/>
        <w:t>The Character of an Amusement or Recreational Establishment</w:t>
      </w:r>
      <w:r>
        <w:rPr>
          <w:rFonts w:ascii="Times New Roman" w:eastAsia="Times New Roman" w:hAnsi="Times New Roman" w:cs="Times New Roman"/>
          <w:color w:val="000000"/>
          <w:sz w:val="24"/>
          <w:szCs w:val="24"/>
          <w:vertAlign w:val="superscript"/>
        </w:rPr>
        <w:footnoteReference w:id="51"/>
      </w:r>
    </w:p>
    <w:p w14:paraId="000000B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Chen v. Major League Baseball Properties,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2"/>
      </w:r>
      <w:r>
        <w:rPr>
          <w:rFonts w:ascii="Times New Roman" w:eastAsia="Times New Roman" w:hAnsi="Times New Roman" w:cs="Times New Roman"/>
          <w:color w:val="000000"/>
          <w:sz w:val="24"/>
          <w:szCs w:val="24"/>
        </w:rPr>
        <w:t xml:space="preserve"> the Second Circuit interpreted the term “establishment” in the context of the exemption for amusement or recreational establishments:</w:t>
      </w:r>
    </w:p>
    <w:p w14:paraId="000000B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While the Supreme Court construed “establishment” for purposes of the retail establishment exemption in </w:t>
      </w:r>
      <w:r>
        <w:rPr>
          <w:rFonts w:ascii="Times New Roman" w:eastAsia="Times New Roman" w:hAnsi="Times New Roman" w:cs="Times New Roman"/>
          <w:i/>
          <w:color w:val="000000"/>
          <w:sz w:val="20"/>
          <w:szCs w:val="20"/>
        </w:rPr>
        <w:t>A.H. Phillips</w:t>
      </w:r>
      <w:r>
        <w:rPr>
          <w:rFonts w:ascii="Times New Roman" w:eastAsia="Times New Roman" w:hAnsi="Times New Roman" w:cs="Times New Roman"/>
          <w:color w:val="000000"/>
          <w:sz w:val="20"/>
          <w:szCs w:val="20"/>
        </w:rPr>
        <w:t>, we perceive no basis to conclude that Congress intended a different meaning under the amusement or recreational establishment exemption, in particular as the latter provision was originally enacted as part of the former.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Pub. L. No. 87-30, 75 Stat. 65, 71 (1961). In addition, a House Committee Report discussing the 1961 amendment indicates that Congress understood establishment to have the same meaning with respect to the FLSA more generally.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H.R. Rep. No. 87-75, 13 (1961).</w:t>
      </w:r>
      <w:r>
        <w:rPr>
          <w:rFonts w:ascii="Times New Roman" w:eastAsia="Times New Roman" w:hAnsi="Times New Roman" w:cs="Times New Roman"/>
          <w:color w:val="000000"/>
          <w:sz w:val="20"/>
          <w:szCs w:val="20"/>
          <w:vertAlign w:val="superscript"/>
        </w:rPr>
        <w:footnoteReference w:id="53"/>
      </w:r>
    </w:p>
    <w:p w14:paraId="000000B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has opined that “the nature of the employer’s business, not the work performed by a particular employee, determines whether establishment-based exemptions … apply.”</w:t>
      </w:r>
      <w:r>
        <w:rPr>
          <w:rFonts w:ascii="Times New Roman" w:eastAsia="Times New Roman" w:hAnsi="Times New Roman" w:cs="Times New Roman"/>
          <w:color w:val="000000"/>
          <w:sz w:val="24"/>
          <w:szCs w:val="24"/>
          <w:vertAlign w:val="superscript"/>
        </w:rPr>
        <w:footnoteReference w:id="54"/>
      </w:r>
      <w:r>
        <w:rPr>
          <w:rFonts w:ascii="Times New Roman" w:eastAsia="Times New Roman" w:hAnsi="Times New Roman" w:cs="Times New Roman"/>
          <w:color w:val="000000"/>
          <w:sz w:val="24"/>
          <w:szCs w:val="24"/>
        </w:rPr>
        <w:t xml:space="preserve"> The Tenth Circuit has likewise looked to the character of the organization to determine whether the exemption applies. In </w:t>
      </w:r>
      <w:r>
        <w:rPr>
          <w:rFonts w:ascii="Times New Roman" w:eastAsia="Times New Roman" w:hAnsi="Times New Roman" w:cs="Times New Roman"/>
          <w:i/>
          <w:color w:val="000000"/>
          <w:sz w:val="24"/>
          <w:szCs w:val="24"/>
        </w:rPr>
        <w:t>Hamilton v. Tulsa County Public Facilities Authority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5"/>
      </w:r>
      <w:r>
        <w:rPr>
          <w:rFonts w:ascii="Times New Roman" w:eastAsia="Times New Roman" w:hAnsi="Times New Roman" w:cs="Times New Roman"/>
          <w:color w:val="000000"/>
          <w:sz w:val="24"/>
          <w:szCs w:val="24"/>
        </w:rPr>
        <w:t xml:space="preserve"> maintenance and security employees of a public trust that managed a county fairground were found to be exempt under Section 213(a)(3) where the primary purpose of the trust was to “establish, provide, maintain, and promote recreational centers, agricultural and industrial expositions, fairs, trade shows and other recreational facilities and activities,”</w:t>
      </w:r>
      <w:r>
        <w:rPr>
          <w:rFonts w:ascii="Times New Roman" w:eastAsia="Times New Roman" w:hAnsi="Times New Roman" w:cs="Times New Roman"/>
          <w:color w:val="000000"/>
          <w:sz w:val="24"/>
          <w:szCs w:val="24"/>
          <w:vertAlign w:val="superscript"/>
        </w:rPr>
        <w:footnoteReference w:id="56"/>
      </w:r>
      <w:r>
        <w:rPr>
          <w:rFonts w:ascii="Times New Roman" w:eastAsia="Times New Roman" w:hAnsi="Times New Roman" w:cs="Times New Roman"/>
          <w:color w:val="000000"/>
          <w:sz w:val="24"/>
          <w:szCs w:val="24"/>
        </w:rPr>
        <w:t xml:space="preserve"> and more than 50 percent of the trust’s income was derived from recreational or amusement activities, including the Tulsa State Fair, horse racing, amusement and water parks, and baseball. The fact that maintenance and security work was not a traditional amusement or recreational activity held no sway with the Tenth Circuit:</w:t>
      </w:r>
    </w:p>
    <w:p w14:paraId="000000B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By its own terms, §213(a)(3) of the FLSA exempts employees employed by amusement or recreational establishments; it does not exempt employees on the basis of the work performed at an amusement or recreational establishment. It is the character of the revenue producing activity which affords the employer </w:t>
      </w:r>
      <w:r>
        <w:rPr>
          <w:rFonts w:ascii="Times New Roman" w:eastAsia="Times New Roman" w:hAnsi="Times New Roman" w:cs="Times New Roman"/>
          <w:color w:val="000000"/>
          <w:sz w:val="20"/>
          <w:szCs w:val="20"/>
        </w:rPr>
        <w:lastRenderedPageBreak/>
        <w:t>the protection of the exemption. Since [the Tulsa County Public Facilities Authority] is in the business of providing “amusement and recreation” to the public and it has satisfied the requirements of §213(a)(3)(B), its employees are exempt.</w:t>
      </w:r>
      <w:r>
        <w:rPr>
          <w:rFonts w:ascii="Times New Roman" w:eastAsia="Times New Roman" w:hAnsi="Times New Roman" w:cs="Times New Roman"/>
          <w:color w:val="000000"/>
          <w:sz w:val="20"/>
          <w:szCs w:val="20"/>
          <w:vertAlign w:val="superscript"/>
        </w:rPr>
        <w:footnoteReference w:id="57"/>
      </w:r>
    </w:p>
    <w:p w14:paraId="000000B7"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House of Representatives committee report, issued during the period the exemption was part of Section 213(a)(2), listed the following as exempt amusement or recreational activities: “amusement parks, carnivals, circuses, sports events, pari-mutuel racing, sport boating or fishing.”</w:t>
      </w:r>
      <w:r>
        <w:rPr>
          <w:rFonts w:ascii="Times New Roman" w:eastAsia="Times New Roman" w:hAnsi="Times New Roman" w:cs="Times New Roman"/>
          <w:color w:val="000000"/>
          <w:sz w:val="24"/>
          <w:szCs w:val="24"/>
          <w:vertAlign w:val="superscript"/>
        </w:rPr>
        <w:footnoteReference w:id="58"/>
      </w:r>
      <w:r>
        <w:rPr>
          <w:rFonts w:ascii="Times New Roman" w:eastAsia="Times New Roman" w:hAnsi="Times New Roman" w:cs="Times New Roman"/>
          <w:color w:val="000000"/>
          <w:sz w:val="24"/>
          <w:szCs w:val="24"/>
        </w:rPr>
        <w:t xml:space="preserve"> In a series of opinion letters, the WHD Administrator found the following activities to be eligible for the Section 213(a)(3) exemption: golf courses;</w:t>
      </w:r>
      <w:r>
        <w:rPr>
          <w:rFonts w:ascii="Times New Roman" w:eastAsia="Times New Roman" w:hAnsi="Times New Roman" w:cs="Times New Roman"/>
          <w:color w:val="000000"/>
          <w:sz w:val="24"/>
          <w:szCs w:val="24"/>
          <w:vertAlign w:val="superscript"/>
        </w:rPr>
        <w:footnoteReference w:id="59"/>
      </w:r>
      <w:r>
        <w:rPr>
          <w:rFonts w:ascii="Times New Roman" w:eastAsia="Times New Roman" w:hAnsi="Times New Roman" w:cs="Times New Roman"/>
          <w:color w:val="000000"/>
          <w:sz w:val="24"/>
          <w:szCs w:val="24"/>
        </w:rPr>
        <w:t xml:space="preserve"> amusement parks, baseball parks, racetracks, and dog tracks;</w:t>
      </w:r>
      <w:r>
        <w:rPr>
          <w:rFonts w:ascii="Times New Roman" w:eastAsia="Times New Roman" w:hAnsi="Times New Roman" w:cs="Times New Roman"/>
          <w:color w:val="000000"/>
          <w:sz w:val="24"/>
          <w:szCs w:val="24"/>
          <w:vertAlign w:val="superscript"/>
        </w:rPr>
        <w:footnoteReference w:id="60"/>
      </w:r>
      <w:r>
        <w:rPr>
          <w:rFonts w:ascii="Times New Roman" w:eastAsia="Times New Roman" w:hAnsi="Times New Roman" w:cs="Times New Roman"/>
          <w:color w:val="000000"/>
          <w:sz w:val="24"/>
          <w:szCs w:val="24"/>
        </w:rPr>
        <w:t xml:space="preserve"> and overnight vacation cruises.</w:t>
      </w:r>
      <w:r>
        <w:rPr>
          <w:rFonts w:ascii="Times New Roman" w:eastAsia="Times New Roman" w:hAnsi="Times New Roman" w:cs="Times New Roman"/>
          <w:color w:val="000000"/>
          <w:sz w:val="24"/>
          <w:szCs w:val="24"/>
          <w:vertAlign w:val="superscript"/>
        </w:rPr>
        <w:footnoteReference w:id="61"/>
      </w:r>
      <w:r>
        <w:rPr>
          <w:rFonts w:ascii="Times New Roman" w:eastAsia="Times New Roman" w:hAnsi="Times New Roman" w:cs="Times New Roman"/>
          <w:color w:val="000000"/>
          <w:sz w:val="24"/>
          <w:szCs w:val="24"/>
        </w:rPr>
        <w:t xml:space="preserve"> </w:t>
      </w:r>
    </w:p>
    <w:p w14:paraId="000000B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Augmenting these opinion letters,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includes a comprehensive list of the types of entities that fall within the scope of the exemption, so long as the seasonal tests are also met:</w:t>
      </w:r>
    </w:p>
    <w:p w14:paraId="000000B9"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Beach and Boardwalk Facilities:</w:t>
      </w:r>
      <w:r>
        <w:rPr>
          <w:rFonts w:ascii="Times New Roman" w:eastAsia="Times New Roman" w:hAnsi="Times New Roman" w:cs="Times New Roman"/>
          <w:color w:val="000000"/>
          <w:sz w:val="24"/>
          <w:szCs w:val="24"/>
        </w:rPr>
        <w:t xml:space="preserve"> The Section 213(a)(3) exemption for amusement parks and recreational areas is applicable in the case of either private or public amusement and recreational activities </w:t>
      </w:r>
      <w:r>
        <w:rPr>
          <w:rFonts w:ascii="Times New Roman" w:eastAsia="Times New Roman" w:hAnsi="Times New Roman" w:cs="Times New Roman"/>
          <w:i/>
          <w:color w:val="000000"/>
          <w:sz w:val="24"/>
          <w:szCs w:val="24"/>
        </w:rPr>
        <w:t>directly</w:t>
      </w:r>
      <w:r>
        <w:rPr>
          <w:rFonts w:ascii="Times New Roman" w:eastAsia="Times New Roman" w:hAnsi="Times New Roman" w:cs="Times New Roman"/>
          <w:color w:val="000000"/>
          <w:sz w:val="24"/>
          <w:szCs w:val="24"/>
        </w:rPr>
        <w:t xml:space="preserve"> related to the operation of a beach and boardwalk. Lifeguards on a beach, drivers of a motorized train along a boardwalk, and comfort station attendants at those stations operated solely for the convenience of the persons patronizing the beach come within the exemption. In the case of a public agency, those employees solely employed in the cleaning of the beach may also come within the exemption as long as they are not engaged in any work related to the cleaning of the city’s streets or other parks.</w:t>
      </w:r>
      <w:r>
        <w:rPr>
          <w:rFonts w:ascii="Times New Roman" w:eastAsia="Times New Roman" w:hAnsi="Times New Roman" w:cs="Times New Roman"/>
          <w:color w:val="000000"/>
          <w:sz w:val="24"/>
          <w:szCs w:val="24"/>
          <w:vertAlign w:val="superscript"/>
        </w:rPr>
        <w:footnoteReference w:id="62"/>
      </w:r>
    </w:p>
    <w:p w14:paraId="000000BA"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State or</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 xml:space="preserve">County Fairs: </w:t>
      </w:r>
      <w:r>
        <w:rPr>
          <w:rFonts w:ascii="Times New Roman" w:eastAsia="Times New Roman" w:hAnsi="Times New Roman" w:cs="Times New Roman"/>
          <w:color w:val="000000"/>
          <w:sz w:val="24"/>
          <w:szCs w:val="24"/>
        </w:rPr>
        <w:t xml:space="preserve">The activities of the usual state or county fair are analogous to those of an amusement park, carnival, or circus (i.e., it has rides, exhibitions, side shows, etc.) and its revenues are derived principally from selling admissions to such </w:t>
      </w:r>
      <w:r>
        <w:rPr>
          <w:rFonts w:ascii="Times New Roman" w:eastAsia="Times New Roman" w:hAnsi="Times New Roman" w:cs="Times New Roman"/>
          <w:color w:val="000000"/>
          <w:sz w:val="24"/>
          <w:szCs w:val="24"/>
        </w:rPr>
        <w:lastRenderedPageBreak/>
        <w:t>events. State and county fairs may thus qualify for the Section 213(a)(3) exemption if the seasonal tests are met.</w:t>
      </w:r>
      <w:r>
        <w:rPr>
          <w:rFonts w:ascii="Times New Roman" w:eastAsia="Times New Roman" w:hAnsi="Times New Roman" w:cs="Times New Roman"/>
          <w:color w:val="000000"/>
          <w:sz w:val="24"/>
          <w:szCs w:val="24"/>
          <w:vertAlign w:val="superscript"/>
        </w:rPr>
        <w:footnoteReference w:id="63"/>
      </w:r>
    </w:p>
    <w:p w14:paraId="000000BB"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Drive-in Theaters: </w:t>
      </w:r>
      <w:r>
        <w:rPr>
          <w:rFonts w:ascii="Times New Roman" w:eastAsia="Times New Roman" w:hAnsi="Times New Roman" w:cs="Times New Roman"/>
          <w:color w:val="000000"/>
          <w:sz w:val="24"/>
          <w:szCs w:val="24"/>
        </w:rPr>
        <w:t>Drive-in theaters may qualify for the Section 213(a)(3) exemption if either of the tests is met.</w:t>
      </w:r>
      <w:r>
        <w:rPr>
          <w:rFonts w:ascii="Times New Roman" w:eastAsia="Times New Roman" w:hAnsi="Times New Roman" w:cs="Times New Roman"/>
          <w:color w:val="000000"/>
          <w:sz w:val="24"/>
          <w:szCs w:val="24"/>
          <w:vertAlign w:val="superscript"/>
        </w:rPr>
        <w:footnoteReference w:id="64"/>
      </w:r>
    </w:p>
    <w:p w14:paraId="000000B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Riverboat Cruises: </w:t>
      </w:r>
      <w:r>
        <w:rPr>
          <w:rFonts w:ascii="Times New Roman" w:eastAsia="Times New Roman" w:hAnsi="Times New Roman" w:cs="Times New Roman"/>
          <w:color w:val="000000"/>
          <w:sz w:val="24"/>
          <w:szCs w:val="24"/>
        </w:rPr>
        <w:t>Businesses engaged in conducting riverboat cruises for sightseeing and entertainment purposes may qualify for the Section 213(a)(3) exemption where the tests for the exemption are met and the majority of the firm’s revenue is derived from ticket sales and entertainment, rather than food, drink, concessions, and gifts. For purposes of applying the exemption, riverboats, docking, and ticketing facilities are treated as one establishment.</w:t>
      </w:r>
      <w:r>
        <w:rPr>
          <w:rFonts w:ascii="Times New Roman" w:eastAsia="Times New Roman" w:hAnsi="Times New Roman" w:cs="Times New Roman"/>
          <w:color w:val="000000"/>
          <w:sz w:val="24"/>
          <w:szCs w:val="24"/>
          <w:vertAlign w:val="superscript"/>
        </w:rPr>
        <w:footnoteReference w:id="65"/>
      </w:r>
    </w:p>
    <w:p w14:paraId="000000BD"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Summer Programs of Schools: </w:t>
      </w:r>
      <w:r>
        <w:rPr>
          <w:rFonts w:ascii="Times New Roman" w:eastAsia="Times New Roman" w:hAnsi="Times New Roman" w:cs="Times New Roman"/>
          <w:color w:val="000000"/>
          <w:sz w:val="24"/>
          <w:szCs w:val="24"/>
        </w:rPr>
        <w:t>Some elementary or secondary schools or institutions of higher education that are academically accredited during the fall through spring semesters operate establishments that provide summer recreation or summer camp programs. Where such programs meet the seasonal tests for the exemption and are not a part, continuation, or extension of the accredited academic program of the school, such an establishment may qualify as “an amusement or recreational establishment, organized camp, or religious or non-profit educational conference center” pursuant to the exemption, even though some credit courses may be offered on a voluntary basis along with the recreational activities. The applicability of Section 213(a)(3) to employees of such an establishment is not defeated by the fact that the same distinct physical place of business is for part of the year a school and for part of the year “an amusement or recreational establishment, organized camp, or religious or non-profit educational conference center.”</w:t>
      </w:r>
      <w:r>
        <w:rPr>
          <w:rFonts w:ascii="Times New Roman" w:eastAsia="Times New Roman" w:hAnsi="Times New Roman" w:cs="Times New Roman"/>
          <w:color w:val="000000"/>
          <w:sz w:val="24"/>
          <w:szCs w:val="24"/>
          <w:vertAlign w:val="superscript"/>
        </w:rPr>
        <w:footnoteReference w:id="66"/>
      </w:r>
    </w:p>
    <w:p w14:paraId="000000BE"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State and Local Government Facilities: </w:t>
      </w:r>
      <w:r>
        <w:rPr>
          <w:rFonts w:ascii="Times New Roman" w:eastAsia="Times New Roman" w:hAnsi="Times New Roman" w:cs="Times New Roman"/>
          <w:color w:val="000000"/>
          <w:sz w:val="24"/>
          <w:szCs w:val="24"/>
        </w:rPr>
        <w:t xml:space="preserve">Golf courses, swimming pools, summer camps, ice skating rinks, and similar establishments are the type that may qualify for exemption under Section 213(a)(3). Activities conducted during the summer months in a city’s parks, such as playground activities, arts and crafts, sports programs, and related activities that are in operation for not more than 7 months of the year, may also come within this exemption. Playground counselors, arts and crafts instructors, and games leaders are the type of employees who may be exempt as long as they work solely in a park or parks in such exempt activities. As provided in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25j04(b), the exemption is not applicable to central office employees of the parks or recreation department or to maintenance crews who operate out of a central facility responsible for the maintenance and cleaning of all the city’s parks.</w:t>
      </w:r>
      <w:r>
        <w:rPr>
          <w:rFonts w:ascii="Times New Roman" w:eastAsia="Times New Roman" w:hAnsi="Times New Roman" w:cs="Times New Roman"/>
          <w:color w:val="000000"/>
          <w:sz w:val="24"/>
          <w:szCs w:val="24"/>
          <w:vertAlign w:val="superscript"/>
        </w:rPr>
        <w:footnoteReference w:id="67"/>
      </w:r>
    </w:p>
    <w:p w14:paraId="000000BF"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Campsites and Campgrounds: </w:t>
      </w:r>
      <w:r>
        <w:rPr>
          <w:rFonts w:ascii="Times New Roman" w:eastAsia="Times New Roman" w:hAnsi="Times New Roman" w:cs="Times New Roman"/>
          <w:color w:val="000000"/>
          <w:sz w:val="24"/>
          <w:szCs w:val="24"/>
        </w:rPr>
        <w:t xml:space="preserve">Campsites and campgrounds provide facilities where the general public may camp in tents, campers, recreational vehicles, travel trailers, or </w:t>
      </w:r>
      <w:r>
        <w:rPr>
          <w:rFonts w:ascii="Times New Roman" w:eastAsia="Times New Roman" w:hAnsi="Times New Roman" w:cs="Times New Roman"/>
          <w:color w:val="000000"/>
          <w:sz w:val="24"/>
          <w:szCs w:val="24"/>
        </w:rPr>
        <w:lastRenderedPageBreak/>
        <w:t>motor homes. They may include paved driveways and furnish water, waste and electrical outlets, picnic benches and tables, restrooms and showers, laundry facilities, ice houses, bottled gas and grocery facilities, and provide for handling mail and various recreational pursuits. The camping season usually runs from the end of May through the Labor Day weekend, but in milder climates some campgrounds have a longer season, and others are open year-round.</w:t>
      </w:r>
    </w:p>
    <w:p w14:paraId="000000C0"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exempt campsite or campground operates and maintains its establishment as a functional amusement or recreational unit (i.e., providing facilities for camping as a recreational activity). It may provide swimming, boating, or fishing facilities as well as facilities for various other amusement or recreational activities such as volleyball, horseshoes, miniature golf, movies, dances, contests, bonfires, and the like. It may be located on either state or local government or private land. Such a campsite or campground may be considered an amusement or recreational establishment for the purpose of Section 213(a)(3) and tested for exemption under the seasonal tests of that section.</w:t>
      </w:r>
      <w:r>
        <w:rPr>
          <w:rFonts w:ascii="Times New Roman" w:eastAsia="Times New Roman" w:hAnsi="Times New Roman" w:cs="Times New Roman"/>
          <w:color w:val="000000"/>
          <w:sz w:val="24"/>
          <w:szCs w:val="24"/>
          <w:vertAlign w:val="superscript"/>
        </w:rPr>
        <w:footnoteReference w:id="68"/>
      </w:r>
    </w:p>
    <w:p w14:paraId="000000C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According to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the Section 213(a)(3) exemption would </w:t>
      </w:r>
      <w:r>
        <w:rPr>
          <w:rFonts w:ascii="Times New Roman" w:eastAsia="Times New Roman" w:hAnsi="Times New Roman" w:cs="Times New Roman"/>
          <w:i/>
          <w:color w:val="000000"/>
          <w:sz w:val="24"/>
          <w:szCs w:val="24"/>
        </w:rPr>
        <w:t>not</w:t>
      </w:r>
      <w:r>
        <w:rPr>
          <w:rFonts w:ascii="Times New Roman" w:eastAsia="Times New Roman" w:hAnsi="Times New Roman" w:cs="Times New Roman"/>
          <w:color w:val="000000"/>
          <w:sz w:val="24"/>
          <w:szCs w:val="24"/>
        </w:rPr>
        <w:t xml:space="preserve"> apply to the following:</w:t>
      </w:r>
    </w:p>
    <w:p w14:paraId="000000C2"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Employees at a Convention: </w:t>
      </w:r>
      <w:r>
        <w:rPr>
          <w:rFonts w:ascii="Times New Roman" w:eastAsia="Times New Roman" w:hAnsi="Times New Roman" w:cs="Times New Roman"/>
          <w:color w:val="000000"/>
          <w:sz w:val="24"/>
          <w:szCs w:val="24"/>
        </w:rPr>
        <w:t>Employees at a convention (including those employed by a concessionaire) are not within the scope of the Section 213(a)(3) exemption because a convention is not considered an exempt establishment.</w:t>
      </w:r>
      <w:r>
        <w:rPr>
          <w:rFonts w:ascii="Times New Roman" w:eastAsia="Times New Roman" w:hAnsi="Times New Roman" w:cs="Times New Roman"/>
          <w:color w:val="000000"/>
          <w:sz w:val="24"/>
          <w:szCs w:val="24"/>
          <w:vertAlign w:val="superscript"/>
        </w:rPr>
        <w:footnoteReference w:id="69"/>
      </w:r>
    </w:p>
    <w:p w14:paraId="000000C3"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Resort Hotels: </w:t>
      </w:r>
      <w:r>
        <w:rPr>
          <w:rFonts w:ascii="Times New Roman" w:eastAsia="Times New Roman" w:hAnsi="Times New Roman" w:cs="Times New Roman"/>
          <w:color w:val="000000"/>
          <w:sz w:val="24"/>
          <w:szCs w:val="24"/>
        </w:rPr>
        <w:t>Resort hotels are generally not considered amusement or recreational establishments for purposes of Section 213(a)(3). However, if a resort hotel operates a particular facility (i.e., a golf course or swimming pool) as a separate establishment, employees of such an establishment might qualify for exemption under Section 213(a)(3) if the seasonal tests are met.</w:t>
      </w:r>
      <w:r>
        <w:rPr>
          <w:rFonts w:ascii="Times New Roman" w:eastAsia="Times New Roman" w:hAnsi="Times New Roman" w:cs="Times New Roman"/>
          <w:color w:val="000000"/>
          <w:sz w:val="24"/>
          <w:szCs w:val="24"/>
          <w:vertAlign w:val="superscript"/>
        </w:rPr>
        <w:footnoteReference w:id="70"/>
      </w:r>
    </w:p>
    <w:p w14:paraId="000000C4"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 xml:space="preserve">Marinas: </w:t>
      </w:r>
      <w:r>
        <w:rPr>
          <w:rFonts w:ascii="Times New Roman" w:eastAsia="Times New Roman" w:hAnsi="Times New Roman" w:cs="Times New Roman"/>
          <w:color w:val="000000"/>
          <w:sz w:val="24"/>
          <w:szCs w:val="24"/>
        </w:rPr>
        <w:t xml:space="preserve">A marina is an establishment that typically is engaged in providing boat storage for rent and selling boating supplies, fishing tackle, oil, fuel, grocery items, </w:t>
      </w:r>
      <w:r>
        <w:rPr>
          <w:rFonts w:ascii="Times New Roman" w:eastAsia="Times New Roman" w:hAnsi="Times New Roman" w:cs="Times New Roman"/>
          <w:color w:val="000000"/>
          <w:sz w:val="24"/>
          <w:szCs w:val="24"/>
        </w:rPr>
        <w:lastRenderedPageBreak/>
        <w:t>new and used boats, as well as providing refinishing and repair service for boats. Such an establishment is not considered an amusement or recreational establishment within the meaning of Section 213(a)(3). Such an establishment is used by persons engaged in recreation but does not itself provide the recreation.</w:t>
      </w:r>
      <w:r>
        <w:rPr>
          <w:rFonts w:ascii="Times New Roman" w:eastAsia="Times New Roman" w:hAnsi="Times New Roman" w:cs="Times New Roman"/>
          <w:color w:val="000000"/>
          <w:sz w:val="24"/>
          <w:szCs w:val="24"/>
          <w:vertAlign w:val="superscript"/>
        </w:rPr>
        <w:footnoteReference w:id="71"/>
      </w:r>
    </w:p>
    <w:p w14:paraId="000000C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has issued several opinion letters finding that certain establishments lack the characteristics required to qualify for the Section 213(a)(3) exemption:</w:t>
      </w:r>
    </w:p>
    <w:p w14:paraId="000000C6"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“[H]otels, motels and eating places do not have an amusement or recreational character. Nor do gas stations.”</w:t>
      </w:r>
      <w:r>
        <w:rPr>
          <w:rFonts w:ascii="Times New Roman" w:eastAsia="Times New Roman" w:hAnsi="Times New Roman" w:cs="Times New Roman"/>
          <w:color w:val="000000"/>
          <w:sz w:val="24"/>
          <w:szCs w:val="24"/>
          <w:vertAlign w:val="superscript"/>
        </w:rPr>
        <w:footnoteReference w:id="72"/>
      </w:r>
    </w:p>
    <w:p w14:paraId="000000C7"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A dude ranch “falls within the category of a resort hotel [and is not covered by the exemption].”</w:t>
      </w:r>
      <w:r>
        <w:rPr>
          <w:rFonts w:ascii="Times New Roman" w:eastAsia="Times New Roman" w:hAnsi="Times New Roman" w:cs="Times New Roman"/>
          <w:color w:val="000000"/>
          <w:sz w:val="24"/>
          <w:szCs w:val="24"/>
          <w:vertAlign w:val="superscript"/>
        </w:rPr>
        <w:footnoteReference w:id="73"/>
      </w:r>
    </w:p>
    <w:p w14:paraId="000000C8"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“Restricted indoor pool facilities within penthouse suites or pools with poolside food and beverage service from hospitality or residential staff” do not constitute amusement or recreational establishments.</w:t>
      </w:r>
      <w:r>
        <w:rPr>
          <w:rFonts w:ascii="Times New Roman" w:eastAsia="Times New Roman" w:hAnsi="Times New Roman" w:cs="Times New Roman"/>
          <w:color w:val="000000"/>
          <w:sz w:val="24"/>
          <w:szCs w:val="24"/>
          <w:vertAlign w:val="superscript"/>
        </w:rPr>
        <w:footnoteReference w:id="74"/>
      </w:r>
    </w:p>
    <w:p w14:paraId="000000C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has opined that various seasonal programs sponsored by state and local governments that operate for not more than seven months in a year may qualify as amusement or recreational establishments, even if their operating costs are met with tax funds, including: “stadiums, golf courses, swimming pools, summer camps, ice skating rinks, zoos, beaches, and boardwalk facilities. … For example, lifeguards on a beach and other employees who are engaged in work solely connected with the operation of the beach would come within the exemption.”</w:t>
      </w:r>
      <w:r>
        <w:rPr>
          <w:rFonts w:ascii="Times New Roman" w:eastAsia="Times New Roman" w:hAnsi="Times New Roman" w:cs="Times New Roman"/>
          <w:color w:val="000000"/>
          <w:sz w:val="24"/>
          <w:szCs w:val="24"/>
          <w:vertAlign w:val="superscript"/>
        </w:rPr>
        <w:footnoteReference w:id="75"/>
      </w:r>
      <w:r>
        <w:rPr>
          <w:rFonts w:ascii="Times New Roman" w:eastAsia="Times New Roman" w:hAnsi="Times New Roman" w:cs="Times New Roman"/>
          <w:color w:val="000000"/>
          <w:sz w:val="24"/>
          <w:szCs w:val="24"/>
        </w:rPr>
        <w:t xml:space="preserve"> </w:t>
      </w:r>
    </w:p>
    <w:p w14:paraId="000000C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other hand, according to the DOL, parks department employees of a central, non-recreational agency facility do not qualify for the exemption even if they only work seasonally.</w:t>
      </w:r>
      <w:r>
        <w:rPr>
          <w:rFonts w:ascii="Times New Roman" w:eastAsia="Times New Roman" w:hAnsi="Times New Roman" w:cs="Times New Roman"/>
          <w:color w:val="000000"/>
          <w:sz w:val="24"/>
          <w:szCs w:val="24"/>
          <w:vertAlign w:val="superscript"/>
        </w:rPr>
        <w:footnoteReference w:id="76"/>
      </w:r>
      <w:r>
        <w:rPr>
          <w:rFonts w:ascii="Times New Roman" w:eastAsia="Times New Roman" w:hAnsi="Times New Roman" w:cs="Times New Roman"/>
          <w:color w:val="000000"/>
          <w:sz w:val="24"/>
          <w:szCs w:val="24"/>
        </w:rPr>
        <w:t xml:space="preserve"> But, so long as the seasonal tests are met, employees working solely at a separate and distinct amusement or recreational facility operated by a municipality qualify for the exemption.</w:t>
      </w:r>
      <w:r>
        <w:rPr>
          <w:rFonts w:ascii="Times New Roman" w:eastAsia="Times New Roman" w:hAnsi="Times New Roman" w:cs="Times New Roman"/>
          <w:color w:val="000000"/>
          <w:sz w:val="24"/>
          <w:szCs w:val="24"/>
          <w:vertAlign w:val="superscript"/>
        </w:rPr>
        <w:footnoteReference w:id="77"/>
      </w:r>
    </w:p>
    <w:p w14:paraId="000000C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Brennan v. Texas City Dike &amp; Marina,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78"/>
      </w:r>
      <w:r>
        <w:rPr>
          <w:rFonts w:ascii="Times New Roman" w:eastAsia="Times New Roman" w:hAnsi="Times New Roman" w:cs="Times New Roman"/>
          <w:color w:val="000000"/>
          <w:sz w:val="24"/>
          <w:szCs w:val="24"/>
        </w:rPr>
        <w:t xml:space="preserve"> the defendant argued that its principal activity was not selling recreational equipment; rather, its principal activity was providing the means for recreational boating and fishing in and on the Gulf of Mexico.</w:t>
      </w:r>
      <w:r>
        <w:rPr>
          <w:rFonts w:ascii="Times New Roman" w:eastAsia="Times New Roman" w:hAnsi="Times New Roman" w:cs="Times New Roman"/>
          <w:color w:val="000000"/>
          <w:sz w:val="24"/>
          <w:szCs w:val="24"/>
          <w:vertAlign w:val="superscript"/>
        </w:rPr>
        <w:footnoteReference w:id="79"/>
      </w:r>
      <w:r>
        <w:rPr>
          <w:rFonts w:ascii="Times New Roman" w:eastAsia="Times New Roman" w:hAnsi="Times New Roman" w:cs="Times New Roman"/>
          <w:color w:val="000000"/>
          <w:sz w:val="24"/>
          <w:szCs w:val="24"/>
        </w:rPr>
        <w:t xml:space="preserve"> The Fifth Circuit disagreed. Reversing the district court, it found that the Section 213(a)(3) exemption did not cover establishments whose sole or primary activity was selling goods.</w:t>
      </w:r>
      <w:r>
        <w:rPr>
          <w:rFonts w:ascii="Times New Roman" w:eastAsia="Times New Roman" w:hAnsi="Times New Roman" w:cs="Times New Roman"/>
          <w:color w:val="000000"/>
          <w:sz w:val="24"/>
          <w:szCs w:val="24"/>
          <w:vertAlign w:val="superscript"/>
        </w:rPr>
        <w:footnoteReference w:id="80"/>
      </w:r>
    </w:p>
    <w:p w14:paraId="000000C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The Fifth Circuit reasoned that, unlike a national park, the Gulf was not set aside for recreational use. The court acknowledged that “enterprises that solely or primarily sell goods” may qualify for the Section 213(a)(3) exemption if they contract to and operate in a “geographically delimited” area designated for recreational use.</w:t>
      </w:r>
      <w:r>
        <w:rPr>
          <w:rFonts w:ascii="Times New Roman" w:eastAsia="Times New Roman" w:hAnsi="Times New Roman" w:cs="Times New Roman"/>
          <w:color w:val="000000"/>
          <w:sz w:val="24"/>
          <w:szCs w:val="24"/>
          <w:vertAlign w:val="superscript"/>
        </w:rPr>
        <w:footnoteReference w:id="81"/>
      </w:r>
      <w:r>
        <w:rPr>
          <w:rFonts w:ascii="Times New Roman" w:eastAsia="Times New Roman" w:hAnsi="Times New Roman" w:cs="Times New Roman"/>
          <w:color w:val="000000"/>
          <w:sz w:val="24"/>
          <w:szCs w:val="24"/>
        </w:rPr>
        <w:t xml:space="preserve"> “Examples are pro shops at golf courses and dry goods stores in national parks.”</w:t>
      </w:r>
      <w:r>
        <w:rPr>
          <w:rFonts w:ascii="Times New Roman" w:eastAsia="Times New Roman" w:hAnsi="Times New Roman" w:cs="Times New Roman"/>
          <w:color w:val="000000"/>
          <w:sz w:val="24"/>
          <w:szCs w:val="24"/>
          <w:vertAlign w:val="superscript"/>
        </w:rPr>
        <w:footnoteReference w:id="82"/>
      </w:r>
    </w:p>
    <w:p w14:paraId="000000C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Similarly, the exemption did not apply to a corporation that operated more than 100 roadside firework stands.</w:t>
      </w:r>
      <w:r>
        <w:rPr>
          <w:rFonts w:ascii="Times New Roman" w:eastAsia="Times New Roman" w:hAnsi="Times New Roman" w:cs="Times New Roman"/>
          <w:color w:val="000000"/>
          <w:sz w:val="24"/>
          <w:szCs w:val="24"/>
          <w:vertAlign w:val="superscript"/>
        </w:rPr>
        <w:footnoteReference w:id="83"/>
      </w:r>
      <w:r>
        <w:rPr>
          <w:rFonts w:ascii="Times New Roman" w:eastAsia="Times New Roman" w:hAnsi="Times New Roman" w:cs="Times New Roman"/>
          <w:color w:val="000000"/>
          <w:sz w:val="24"/>
          <w:szCs w:val="24"/>
        </w:rPr>
        <w:t xml:space="preserve"> Although the “products provide amusement,” this was equally true of “retailers of other seasonal and recreational items such as fishing tackle, shot gun shells, or ski equipment,” that did not qualify for the exemption because, as with the firework stands, the products were not sold for use in a nearby “geographically delimited” area.</w:t>
      </w:r>
      <w:r>
        <w:rPr>
          <w:rFonts w:ascii="Times New Roman" w:eastAsia="Times New Roman" w:hAnsi="Times New Roman" w:cs="Times New Roman"/>
          <w:color w:val="000000"/>
          <w:sz w:val="24"/>
          <w:szCs w:val="24"/>
          <w:vertAlign w:val="superscript"/>
        </w:rPr>
        <w:footnoteReference w:id="84"/>
      </w:r>
    </w:p>
    <w:p w14:paraId="000000C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Eleventh Circuit held that a recreational vehicle (RV) park principally engaged in selling RV lots and RVs was not an exempt recreational establishment.</w:t>
      </w:r>
      <w:r>
        <w:rPr>
          <w:rFonts w:ascii="Times New Roman" w:eastAsia="Times New Roman" w:hAnsi="Times New Roman" w:cs="Times New Roman"/>
          <w:color w:val="000000"/>
          <w:sz w:val="24"/>
          <w:szCs w:val="24"/>
          <w:vertAlign w:val="superscript"/>
        </w:rPr>
        <w:footnoteReference w:id="85"/>
      </w:r>
      <w:r>
        <w:rPr>
          <w:rFonts w:ascii="Times New Roman" w:eastAsia="Times New Roman" w:hAnsi="Times New Roman" w:cs="Times New Roman"/>
          <w:color w:val="000000"/>
          <w:sz w:val="24"/>
          <w:szCs w:val="24"/>
        </w:rPr>
        <w:t xml:space="preserve"> That the establishment’s patrons came for recreation “does not transform the business itself into a recreational entity” because, by that “reasoning, an establishment that provides recreation, but is not in the business of recreation, like a store that sells pool supplies and toys, would qualify,” thereby “permit[ting] an exemption to swallow the FLSA.”</w:t>
      </w:r>
      <w:r>
        <w:rPr>
          <w:rFonts w:ascii="Times New Roman" w:eastAsia="Times New Roman" w:hAnsi="Times New Roman" w:cs="Times New Roman"/>
          <w:color w:val="000000"/>
          <w:sz w:val="24"/>
          <w:szCs w:val="24"/>
          <w:vertAlign w:val="superscript"/>
        </w:rPr>
        <w:footnoteReference w:id="86"/>
      </w:r>
      <w:r>
        <w:rPr>
          <w:rFonts w:ascii="Times New Roman" w:eastAsia="Times New Roman" w:hAnsi="Times New Roman" w:cs="Times New Roman"/>
          <w:color w:val="000000"/>
          <w:sz w:val="24"/>
          <w:szCs w:val="24"/>
        </w:rPr>
        <w:t xml:space="preserve"> </w:t>
      </w:r>
    </w:p>
    <w:p w14:paraId="000000C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Expressing a similar concern about the exception swallowing the rule, the Sixth Circuit in </w:t>
      </w:r>
      <w:r>
        <w:rPr>
          <w:rFonts w:ascii="Times New Roman" w:eastAsia="Times New Roman" w:hAnsi="Times New Roman" w:cs="Times New Roman"/>
          <w:i/>
          <w:color w:val="000000"/>
          <w:sz w:val="24"/>
          <w:szCs w:val="24"/>
        </w:rPr>
        <w:t>Chao v. Double JJ Resort Ranch</w:t>
      </w:r>
      <w:r>
        <w:rPr>
          <w:rFonts w:ascii="Times New Roman" w:eastAsia="Times New Roman" w:hAnsi="Times New Roman" w:cs="Times New Roman"/>
          <w:color w:val="000000"/>
          <w:sz w:val="24"/>
          <w:szCs w:val="24"/>
          <w:vertAlign w:val="superscript"/>
        </w:rPr>
        <w:footnoteReference w:id="87"/>
      </w:r>
      <w:r>
        <w:rPr>
          <w:rFonts w:ascii="Times New Roman" w:eastAsia="Times New Roman" w:hAnsi="Times New Roman" w:cs="Times New Roman"/>
          <w:color w:val="000000"/>
          <w:sz w:val="24"/>
          <w:szCs w:val="24"/>
        </w:rPr>
        <w:t xml:space="preserve"> held that a resort hotel offering a variety of recreational activities—including lodging and dining facilities; a conference center; bars; a general store; a gift shop; campsites; swimming pools; three lakes; and facilities related to horseback riding, canoeing, archery, shuffleboard, climbing walls, fishing, and water slides, among other activities—did not have an amusement or recreational character where the great bulk of the resort’s revenue came from the sale of food, drink, and lodging, not from the sale of recreational activities.</w:t>
      </w:r>
      <w:r>
        <w:rPr>
          <w:rFonts w:ascii="Times New Roman" w:eastAsia="Times New Roman" w:hAnsi="Times New Roman" w:cs="Times New Roman"/>
          <w:color w:val="000000"/>
          <w:sz w:val="24"/>
          <w:szCs w:val="24"/>
          <w:vertAlign w:val="superscript"/>
        </w:rPr>
        <w:footnoteReference w:id="88"/>
      </w:r>
    </w:p>
    <w:p w14:paraId="000000D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Having concluded that the resort hotel was “not in the recreation business” because “[i]ts primary purpose is to sell foods and rent beds; the recreational activities are just a carrot enticing people to make the trip,”</w:t>
      </w:r>
      <w:r>
        <w:rPr>
          <w:rFonts w:ascii="Times New Roman" w:eastAsia="Times New Roman" w:hAnsi="Times New Roman" w:cs="Times New Roman"/>
          <w:color w:val="000000"/>
          <w:sz w:val="24"/>
          <w:szCs w:val="24"/>
          <w:vertAlign w:val="superscript"/>
        </w:rPr>
        <w:footnoteReference w:id="89"/>
      </w:r>
      <w:r>
        <w:rPr>
          <w:rFonts w:ascii="Times New Roman" w:eastAsia="Times New Roman" w:hAnsi="Times New Roman" w:cs="Times New Roman"/>
          <w:color w:val="000000"/>
          <w:sz w:val="24"/>
          <w:szCs w:val="24"/>
        </w:rPr>
        <w:t xml:space="preserve"> the Sixth Circuit, unlike the Fifth Circuit in </w:t>
      </w:r>
      <w:r>
        <w:rPr>
          <w:rFonts w:ascii="Times New Roman" w:eastAsia="Times New Roman" w:hAnsi="Times New Roman" w:cs="Times New Roman"/>
          <w:i/>
          <w:color w:val="000000"/>
          <w:sz w:val="24"/>
          <w:szCs w:val="24"/>
        </w:rPr>
        <w:t>Texas City Dike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0"/>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declined to follow the Secretary’s suggestion and adopt an “income test”</w:t>
      </w:r>
      <w:r>
        <w:rPr>
          <w:rFonts w:ascii="Times New Roman" w:eastAsia="Times New Roman" w:hAnsi="Times New Roman" w:cs="Times New Roman"/>
          <w:color w:val="000000"/>
          <w:sz w:val="24"/>
          <w:szCs w:val="24"/>
          <w:vertAlign w:val="superscript"/>
        </w:rPr>
        <w:footnoteReference w:id="91"/>
      </w:r>
      <w:r>
        <w:rPr>
          <w:rFonts w:ascii="Times New Roman" w:eastAsia="Times New Roman" w:hAnsi="Times New Roman" w:cs="Times New Roman"/>
          <w:color w:val="000000"/>
          <w:sz w:val="24"/>
          <w:szCs w:val="24"/>
        </w:rPr>
        <w:t xml:space="preserve"> to determine whether providing recreation constituted an enterprise’s principal activity. </w:t>
      </w:r>
    </w:p>
    <w:p w14:paraId="000000D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Second and Tenth Circuits have also declined to require that an enterprise derive a certain percentage of revenue from strictly recreational activities to be considered recreational. In </w:t>
      </w:r>
      <w:r>
        <w:rPr>
          <w:rFonts w:ascii="Times New Roman" w:eastAsia="Times New Roman" w:hAnsi="Times New Roman" w:cs="Times New Roman"/>
          <w:i/>
          <w:color w:val="000000"/>
          <w:sz w:val="24"/>
          <w:szCs w:val="24"/>
        </w:rPr>
        <w:t>Chessin v. Keystone Resort Management,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2"/>
      </w:r>
      <w:r>
        <w:rPr>
          <w:rFonts w:ascii="Times New Roman" w:eastAsia="Times New Roman" w:hAnsi="Times New Roman" w:cs="Times New Roman"/>
          <w:color w:val="000000"/>
          <w:sz w:val="24"/>
          <w:szCs w:val="24"/>
        </w:rPr>
        <w:t xml:space="preserve"> the issue was whether Keystone’s facilities were primarily recreational. The plaintiffs argued that Keystone derived substantial revenue from allegedly non-recreational sources, such as hotels, restaurants, retail stores, and a convention center. In fact, lodging and food sales represented Keystone’s second-largest revenue source, aside from ski operations.</w:t>
      </w:r>
      <w:r>
        <w:rPr>
          <w:rFonts w:ascii="Times New Roman" w:eastAsia="Times New Roman" w:hAnsi="Times New Roman" w:cs="Times New Roman"/>
          <w:color w:val="000000"/>
          <w:sz w:val="24"/>
          <w:szCs w:val="24"/>
          <w:vertAlign w:val="superscript"/>
        </w:rPr>
        <w:footnoteReference w:id="93"/>
      </w:r>
      <w:r>
        <w:rPr>
          <w:rFonts w:ascii="Times New Roman" w:eastAsia="Times New Roman" w:hAnsi="Times New Roman" w:cs="Times New Roman"/>
          <w:color w:val="000000"/>
          <w:sz w:val="24"/>
          <w:szCs w:val="24"/>
        </w:rPr>
        <w:t xml:space="preserve"> However, the Tenth Circuit distinguished </w:t>
      </w:r>
      <w:r>
        <w:rPr>
          <w:rFonts w:ascii="Times New Roman" w:eastAsia="Times New Roman" w:hAnsi="Times New Roman" w:cs="Times New Roman"/>
          <w:i/>
          <w:color w:val="000000"/>
          <w:sz w:val="24"/>
          <w:szCs w:val="24"/>
        </w:rPr>
        <w:t>Chessin</w:t>
      </w:r>
      <w:r>
        <w:rPr>
          <w:rFonts w:ascii="Times New Roman" w:eastAsia="Times New Roman" w:hAnsi="Times New Roman" w:cs="Times New Roman"/>
          <w:color w:val="000000"/>
          <w:sz w:val="24"/>
          <w:szCs w:val="24"/>
        </w:rPr>
        <w:t xml:space="preserve"> from </w:t>
      </w:r>
      <w:r>
        <w:rPr>
          <w:rFonts w:ascii="Times New Roman" w:eastAsia="Times New Roman" w:hAnsi="Times New Roman" w:cs="Times New Roman"/>
          <w:i/>
          <w:color w:val="000000"/>
          <w:sz w:val="24"/>
          <w:szCs w:val="24"/>
        </w:rPr>
        <w:t>Texas City Dike</w:t>
      </w:r>
      <w:r>
        <w:rPr>
          <w:rFonts w:ascii="Times New Roman" w:eastAsia="Times New Roman" w:hAnsi="Times New Roman" w:cs="Times New Roman"/>
          <w:color w:val="000000"/>
          <w:sz w:val="24"/>
          <w:szCs w:val="24"/>
        </w:rPr>
        <w:t xml:space="preserve"> on the ground that Keystone was located on national forest land and that Keystone had obtained a special permit from the Department of Agriculture authorizing it to maintain a “four season recreation resort” in the White River National Forest.</w:t>
      </w:r>
      <w:r>
        <w:rPr>
          <w:rFonts w:ascii="Times New Roman" w:eastAsia="Times New Roman" w:hAnsi="Times New Roman" w:cs="Times New Roman"/>
          <w:color w:val="000000"/>
          <w:sz w:val="24"/>
          <w:szCs w:val="24"/>
          <w:vertAlign w:val="superscript"/>
        </w:rPr>
        <w:footnoteReference w:id="94"/>
      </w:r>
      <w:r>
        <w:rPr>
          <w:rFonts w:ascii="Times New Roman" w:eastAsia="Times New Roman" w:hAnsi="Times New Roman" w:cs="Times New Roman"/>
          <w:color w:val="000000"/>
          <w:sz w:val="24"/>
          <w:szCs w:val="24"/>
        </w:rPr>
        <w:t xml:space="preserve"> Finally, the court decided that it was not going to use a percentage-of-revenue test to make its determination as to whether Keystone was a recreational establishment.</w:t>
      </w:r>
    </w:p>
    <w:p w14:paraId="000000D2"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 decline to require an enterprise to derive a certain percentage of revenue from strictly recreational activities in order to be considered recreational. Although the </w:t>
      </w:r>
      <w:r>
        <w:rPr>
          <w:rFonts w:ascii="Times New Roman" w:eastAsia="Times New Roman" w:hAnsi="Times New Roman" w:cs="Times New Roman"/>
          <w:i/>
          <w:color w:val="000000"/>
          <w:sz w:val="20"/>
          <w:szCs w:val="20"/>
        </w:rPr>
        <w:t>Texas City Dike</w:t>
      </w:r>
      <w:r>
        <w:rPr>
          <w:rFonts w:ascii="Times New Roman" w:eastAsia="Times New Roman" w:hAnsi="Times New Roman" w:cs="Times New Roman"/>
          <w:color w:val="000000"/>
          <w:sz w:val="20"/>
          <w:szCs w:val="20"/>
        </w:rPr>
        <w:t xml:space="preserve"> court used an income test to determine whether providing recreation constitutes an enterprise’s principal activity, … the Tenth Circuit has never held that financial percentages are the only relevant factors. We prefer to examine the totality of the circumstances, including but not limited to the establishment’s primary purpose; activities and services, such as restaurants and shops, that it offers incidental to its recreational facilities; its relationship to land set aside for recreational use; and its revenue sources.</w:t>
      </w:r>
      <w:r>
        <w:rPr>
          <w:rFonts w:ascii="Times New Roman" w:eastAsia="Times New Roman" w:hAnsi="Times New Roman" w:cs="Times New Roman"/>
          <w:color w:val="000000"/>
          <w:sz w:val="20"/>
          <w:szCs w:val="20"/>
          <w:vertAlign w:val="superscript"/>
        </w:rPr>
        <w:footnoteReference w:id="95"/>
      </w:r>
    </w:p>
    <w:p w14:paraId="000000D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the Second Circuit, the court found that “revenues mattered” in reaching a conclusion as to whether an establishment was “recreational.” In </w:t>
      </w:r>
      <w:r>
        <w:rPr>
          <w:rFonts w:ascii="Times New Roman" w:eastAsia="Times New Roman" w:hAnsi="Times New Roman" w:cs="Times New Roman"/>
          <w:i/>
          <w:color w:val="000000"/>
          <w:sz w:val="24"/>
          <w:szCs w:val="24"/>
        </w:rPr>
        <w:t>Jones v. Bryant Park Market Events, LLC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6"/>
      </w:r>
      <w:r>
        <w:rPr>
          <w:rFonts w:ascii="Times New Roman" w:eastAsia="Times New Roman" w:hAnsi="Times New Roman" w:cs="Times New Roman"/>
          <w:color w:val="000000"/>
          <w:sz w:val="24"/>
          <w:szCs w:val="24"/>
        </w:rPr>
        <w:t xml:space="preserve"> the plaintiff worked at a restaurant that operated in Winter Village, which included not only the restaurant, but also a skating rink and some 120 temporary shops. The plaintiff argued that Winter Village was not a recreational establishment because the nonrecreational portion of its income generated more than the recreational portion. The defendant, on the other hand, asked the court to look at the totality of the circumstances as the Tenth Circuit had done in </w:t>
      </w:r>
      <w:r>
        <w:rPr>
          <w:rFonts w:ascii="Times New Roman" w:eastAsia="Times New Roman" w:hAnsi="Times New Roman" w:cs="Times New Roman"/>
          <w:i/>
          <w:color w:val="000000"/>
          <w:sz w:val="24"/>
          <w:szCs w:val="24"/>
        </w:rPr>
        <w:t xml:space="preserve">Chessin. </w:t>
      </w:r>
      <w:r>
        <w:rPr>
          <w:rFonts w:ascii="Times New Roman" w:eastAsia="Times New Roman" w:hAnsi="Times New Roman" w:cs="Times New Roman"/>
          <w:color w:val="000000"/>
          <w:sz w:val="24"/>
          <w:szCs w:val="24"/>
        </w:rPr>
        <w:t xml:space="preserve">The court agreed that that approach more closely comported with the approach it had taken in </w:t>
      </w:r>
      <w:r>
        <w:rPr>
          <w:rFonts w:ascii="Times New Roman" w:eastAsia="Times New Roman" w:hAnsi="Times New Roman" w:cs="Times New Roman"/>
          <w:i/>
          <w:color w:val="000000"/>
          <w:sz w:val="24"/>
          <w:szCs w:val="24"/>
        </w:rPr>
        <w:t>Chen v. Major League Baseball Properties,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7"/>
      </w:r>
      <w:r>
        <w:rPr>
          <w:rFonts w:ascii="Times New Roman" w:eastAsia="Times New Roman" w:hAnsi="Times New Roman" w:cs="Times New Roman"/>
          <w:color w:val="000000"/>
          <w:sz w:val="24"/>
          <w:szCs w:val="24"/>
        </w:rPr>
        <w:t xml:space="preserve"> However, in applying this test, the Second Circuit noted that the district court had conspicuously failed to discuss the 120 shops that were part of the Winter Village establishment. “Defendant has failed to demonstrate that the revenue it derives from the rink is not dwarfed by the revenue it derives from the shops.”</w:t>
      </w:r>
      <w:r>
        <w:rPr>
          <w:rFonts w:ascii="Times New Roman" w:eastAsia="Times New Roman" w:hAnsi="Times New Roman" w:cs="Times New Roman"/>
          <w:color w:val="000000"/>
          <w:sz w:val="24"/>
          <w:szCs w:val="24"/>
          <w:vertAlign w:val="superscript"/>
        </w:rPr>
        <w:footnoteReference w:id="98"/>
      </w:r>
      <w:r>
        <w:rPr>
          <w:rFonts w:ascii="Times New Roman" w:eastAsia="Times New Roman" w:hAnsi="Times New Roman" w:cs="Times New Roman"/>
          <w:color w:val="000000"/>
          <w:sz w:val="24"/>
          <w:szCs w:val="24"/>
        </w:rPr>
        <w:t xml:space="preserve"> The court also found that comparing the revenue from the skating rink to the revenue of the restaurant was not </w:t>
      </w:r>
      <w:r>
        <w:rPr>
          <w:rFonts w:ascii="Times New Roman" w:eastAsia="Times New Roman" w:hAnsi="Times New Roman" w:cs="Times New Roman"/>
          <w:color w:val="000000"/>
          <w:sz w:val="24"/>
          <w:szCs w:val="24"/>
        </w:rPr>
        <w:lastRenderedPageBreak/>
        <w:t>as straightforward as it might appear, because the defendant made profits on the rink by renting ice time to private parties, which may “undercut the significance of the revenue.”</w:t>
      </w:r>
      <w:r>
        <w:rPr>
          <w:rFonts w:ascii="Times New Roman" w:eastAsia="Times New Roman" w:hAnsi="Times New Roman" w:cs="Times New Roman"/>
          <w:color w:val="000000"/>
          <w:sz w:val="24"/>
          <w:szCs w:val="24"/>
          <w:vertAlign w:val="superscript"/>
        </w:rPr>
        <w:footnoteReference w:id="99"/>
      </w:r>
      <w:r>
        <w:rPr>
          <w:rFonts w:ascii="Times New Roman" w:eastAsia="Times New Roman" w:hAnsi="Times New Roman" w:cs="Times New Roman"/>
          <w:color w:val="000000"/>
          <w:sz w:val="24"/>
          <w:szCs w:val="24"/>
        </w:rPr>
        <w:t xml:space="preserve"> In remanding the case to the district court, the Second Circuit opined:</w:t>
      </w:r>
    </w:p>
    <w:p w14:paraId="000000D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One reason why relative revenues matter is that if recreational activities generate more revenue than non-recreational activities, it suggests that the public is drawn to the establishment for the purpose of recreation. But if [Defendant’s] revenues are skewed by the presence of corporate events attended by relatively few people, its revenues may tell us less about whether most people who visited Winter Village did so because they wanted to ice-skate or because they wanted to dine and shop.</w:t>
      </w:r>
      <w:r>
        <w:rPr>
          <w:rFonts w:ascii="Times New Roman" w:eastAsia="Times New Roman" w:hAnsi="Times New Roman" w:cs="Times New Roman"/>
          <w:color w:val="000000"/>
          <w:sz w:val="20"/>
          <w:szCs w:val="20"/>
          <w:vertAlign w:val="superscript"/>
        </w:rPr>
        <w:footnoteReference w:id="100"/>
      </w:r>
    </w:p>
    <w:p w14:paraId="000000D5"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r>
        <w:rPr>
          <w:rFonts w:ascii="Times New Roman" w:eastAsia="Times New Roman" w:hAnsi="Times New Roman" w:cs="Times New Roman"/>
          <w:b/>
          <w:i/>
          <w:color w:val="000000"/>
          <w:sz w:val="24"/>
          <w:szCs w:val="24"/>
        </w:rPr>
        <w:tab/>
        <w:t>The Establishment Must Be “Frequented by the Public”</w:t>
      </w:r>
    </w:p>
    <w:p w14:paraId="000000D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DOL’s position is that, to qualify as an exempt establishment, an amusement or recreational establishment must be “frequented by the public for its amusement or recreation.”</w:t>
      </w:r>
      <w:r>
        <w:rPr>
          <w:rFonts w:ascii="Times New Roman" w:eastAsia="Times New Roman" w:hAnsi="Times New Roman" w:cs="Times New Roman"/>
          <w:color w:val="000000"/>
          <w:sz w:val="24"/>
          <w:szCs w:val="24"/>
          <w:vertAlign w:val="superscript"/>
        </w:rPr>
        <w:footnoteReference w:id="101"/>
      </w:r>
      <w:r>
        <w:rPr>
          <w:rFonts w:ascii="Times New Roman" w:eastAsia="Times New Roman" w:hAnsi="Times New Roman" w:cs="Times New Roman"/>
          <w:color w:val="000000"/>
          <w:sz w:val="24"/>
          <w:szCs w:val="24"/>
        </w:rPr>
        <w:t xml:space="preserve"> This reading of Section 213(a)(3) flows from the DOL’s interpretive bulletins regarding retail or service establishments. Until the repeal of Section 213(a)(2), both the DOL and the courts consistently took the position that public accessibility was essential to the retail or service establishment exemption,</w:t>
      </w:r>
      <w:r>
        <w:rPr>
          <w:rFonts w:ascii="Times New Roman" w:eastAsia="Times New Roman" w:hAnsi="Times New Roman" w:cs="Times New Roman"/>
          <w:color w:val="000000"/>
          <w:sz w:val="24"/>
          <w:szCs w:val="24"/>
          <w:vertAlign w:val="superscript"/>
        </w:rPr>
        <w:footnoteReference w:id="102"/>
      </w:r>
      <w:r>
        <w:rPr>
          <w:rFonts w:ascii="Times New Roman" w:eastAsia="Times New Roman" w:hAnsi="Times New Roman" w:cs="Times New Roman"/>
          <w:color w:val="000000"/>
          <w:sz w:val="24"/>
          <w:szCs w:val="24"/>
        </w:rPr>
        <w:t xml:space="preserve"> a conclusion drawn primarily from the WHD Administrator’s opinions holding that private clubs were not retail establishments because they lacked public accessibility</w:t>
      </w:r>
      <w:r>
        <w:rPr>
          <w:rFonts w:ascii="Times New Roman" w:eastAsia="Times New Roman" w:hAnsi="Times New Roman" w:cs="Times New Roman"/>
          <w:color w:val="000000"/>
          <w:sz w:val="24"/>
          <w:szCs w:val="24"/>
          <w:vertAlign w:val="superscript"/>
        </w:rPr>
        <w:footnoteReference w:id="103"/>
      </w:r>
      <w:r>
        <w:rPr>
          <w:rFonts w:ascii="Times New Roman" w:eastAsia="Times New Roman" w:hAnsi="Times New Roman" w:cs="Times New Roman"/>
          <w:color w:val="000000"/>
          <w:sz w:val="24"/>
          <w:szCs w:val="24"/>
        </w:rPr>
        <w:t xml:space="preserve"> and the DOL regulations providing that retail or service establishments must be open to the general public to qualify for the exemption.</w:t>
      </w:r>
      <w:r>
        <w:rPr>
          <w:rFonts w:ascii="Times New Roman" w:eastAsia="Times New Roman" w:hAnsi="Times New Roman" w:cs="Times New Roman"/>
          <w:color w:val="000000"/>
          <w:sz w:val="24"/>
          <w:szCs w:val="24"/>
          <w:vertAlign w:val="superscript"/>
        </w:rPr>
        <w:footnoteReference w:id="104"/>
      </w:r>
    </w:p>
    <w:p w14:paraId="000000D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in </w:t>
      </w:r>
      <w:r>
        <w:rPr>
          <w:rFonts w:ascii="Times New Roman" w:eastAsia="Times New Roman" w:hAnsi="Times New Roman" w:cs="Times New Roman"/>
          <w:i/>
          <w:color w:val="000000"/>
          <w:sz w:val="24"/>
          <w:szCs w:val="24"/>
        </w:rPr>
        <w:t>Brock v. Louvers &amp; Dampers,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5"/>
      </w:r>
      <w:r>
        <w:rPr>
          <w:rFonts w:ascii="Times New Roman" w:eastAsia="Times New Roman" w:hAnsi="Times New Roman" w:cs="Times New Roman"/>
          <w:color w:val="000000"/>
          <w:sz w:val="24"/>
          <w:szCs w:val="24"/>
        </w:rPr>
        <w:t xml:space="preserve"> the Sixth Circuit found the DOL’s view unpersuasive, reasoning that </w:t>
      </w:r>
    </w:p>
    <w:p w14:paraId="000000D8"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agency assumes without analysis that the public accessibility requirement of the retail exemption must also be included in the seasonality exemption. The agency’s bald statement that the legislative history is clear does not make it so. The department’s legislative history relies only on statements made during the passage of the 1961 exemption, before the seasonality exemption was separated from the retail exemption in the 1966 amendments. And even those statements do not mandate a public accessibility requirement, but simply give as examples of exempted facilities those which cater to the general public such as concessionaires at amusement parks and beaches.</w:t>
      </w:r>
      <w:r>
        <w:rPr>
          <w:rFonts w:ascii="Times New Roman" w:eastAsia="Times New Roman" w:hAnsi="Times New Roman" w:cs="Times New Roman"/>
          <w:color w:val="000000"/>
          <w:sz w:val="20"/>
          <w:szCs w:val="20"/>
          <w:vertAlign w:val="superscript"/>
        </w:rPr>
        <w:footnoteReference w:id="106"/>
      </w:r>
      <w:r>
        <w:rPr>
          <w:rFonts w:ascii="Times New Roman" w:eastAsia="Times New Roman" w:hAnsi="Times New Roman" w:cs="Times New Roman"/>
          <w:color w:val="000000"/>
          <w:sz w:val="20"/>
          <w:szCs w:val="20"/>
        </w:rPr>
        <w:t xml:space="preserve"> </w:t>
      </w:r>
    </w:p>
    <w:p w14:paraId="000000D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Despite the </w:t>
      </w:r>
      <w:r>
        <w:rPr>
          <w:rFonts w:ascii="Times New Roman" w:eastAsia="Times New Roman" w:hAnsi="Times New Roman" w:cs="Times New Roman"/>
          <w:i/>
          <w:color w:val="000000"/>
          <w:sz w:val="24"/>
          <w:szCs w:val="24"/>
        </w:rPr>
        <w:t>Louvers &amp; Dampers</w:t>
      </w:r>
      <w:r>
        <w:rPr>
          <w:rFonts w:ascii="Times New Roman" w:eastAsia="Times New Roman" w:hAnsi="Times New Roman" w:cs="Times New Roman"/>
          <w:color w:val="000000"/>
          <w:sz w:val="24"/>
          <w:szCs w:val="24"/>
        </w:rPr>
        <w:t xml:space="preserve"> decision, the DOL has maintained its position that a facility must be open to the public to qualify for the Section 213(a)(3) exemption.</w:t>
      </w:r>
      <w:r>
        <w:rPr>
          <w:rFonts w:ascii="Times New Roman" w:eastAsia="Times New Roman" w:hAnsi="Times New Roman" w:cs="Times New Roman"/>
          <w:color w:val="000000"/>
          <w:sz w:val="24"/>
          <w:szCs w:val="24"/>
          <w:vertAlign w:val="superscript"/>
        </w:rPr>
        <w:footnoteReference w:id="107"/>
      </w:r>
      <w:r>
        <w:rPr>
          <w:rFonts w:ascii="Times New Roman" w:eastAsia="Times New Roman" w:hAnsi="Times New Roman" w:cs="Times New Roman"/>
          <w:color w:val="000000"/>
          <w:sz w:val="24"/>
          <w:szCs w:val="24"/>
        </w:rPr>
        <w:t xml:space="preserve"> However, the DOL has interpreted this requirement somewhat broadly. In an opinion letter, the WHD Administrator wrote that “merely charging a fee for access does not preclude an establishment from being ‘frequented by the public.’”</w:t>
      </w:r>
      <w:r>
        <w:rPr>
          <w:rFonts w:ascii="Times New Roman" w:eastAsia="Times New Roman" w:hAnsi="Times New Roman" w:cs="Times New Roman"/>
          <w:color w:val="000000"/>
          <w:sz w:val="24"/>
          <w:szCs w:val="24"/>
          <w:vertAlign w:val="superscript"/>
        </w:rPr>
        <w:footnoteReference w:id="108"/>
      </w:r>
      <w:r>
        <w:rPr>
          <w:rFonts w:ascii="Times New Roman" w:eastAsia="Times New Roman" w:hAnsi="Times New Roman" w:cs="Times New Roman"/>
          <w:color w:val="000000"/>
          <w:sz w:val="24"/>
          <w:szCs w:val="24"/>
        </w:rPr>
        <w:t xml:space="preserve"> Subsequently, the DOL opined that a pool maintenance company’s “operations [maintaining swimming pool facilities at hotel, motel, apartment, and condominium buildings] will qualify for the exemption … if the pool facilities are generally accessible to nonresidential occupants. This is true even if access is restricted to paying customers.”</w:t>
      </w:r>
      <w:r>
        <w:rPr>
          <w:rFonts w:ascii="Times New Roman" w:eastAsia="Times New Roman" w:hAnsi="Times New Roman" w:cs="Times New Roman"/>
          <w:color w:val="000000"/>
          <w:sz w:val="24"/>
          <w:szCs w:val="24"/>
          <w:vertAlign w:val="superscript"/>
        </w:rPr>
        <w:footnoteReference w:id="109"/>
      </w:r>
      <w:r>
        <w:rPr>
          <w:rFonts w:ascii="Times New Roman" w:eastAsia="Times New Roman" w:hAnsi="Times New Roman" w:cs="Times New Roman"/>
          <w:color w:val="000000"/>
          <w:sz w:val="24"/>
          <w:szCs w:val="24"/>
        </w:rPr>
        <w:t xml:space="preserve"> Additionally,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provides that “[a] country or town club whose membership fees are nominal (</w:t>
      </w:r>
      <w:r>
        <w:rPr>
          <w:rFonts w:ascii="Times New Roman" w:eastAsia="Times New Roman" w:hAnsi="Times New Roman" w:cs="Times New Roman"/>
          <w:i/>
          <w:color w:val="000000"/>
          <w:sz w:val="24"/>
          <w:szCs w:val="24"/>
        </w:rPr>
        <w:t>e.g.</w:t>
      </w:r>
      <w:r>
        <w:rPr>
          <w:rFonts w:ascii="Times New Roman" w:eastAsia="Times New Roman" w:hAnsi="Times New Roman" w:cs="Times New Roman"/>
          <w:color w:val="000000"/>
          <w:sz w:val="24"/>
          <w:szCs w:val="24"/>
        </w:rPr>
        <w:t>, $100 per year) would be considered to be open to the general public and may qualify for the section 13(a)(3) exemption … .”</w:t>
      </w:r>
      <w:r>
        <w:rPr>
          <w:rFonts w:ascii="Times New Roman" w:eastAsia="Times New Roman" w:hAnsi="Times New Roman" w:cs="Times New Roman"/>
          <w:color w:val="000000"/>
          <w:sz w:val="24"/>
          <w:szCs w:val="24"/>
          <w:vertAlign w:val="superscript"/>
        </w:rPr>
        <w:footnoteReference w:id="110"/>
      </w:r>
    </w:p>
    <w:p w14:paraId="000000DA"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w:t>
      </w:r>
      <w:r>
        <w:rPr>
          <w:rFonts w:ascii="Times New Roman" w:eastAsia="Times New Roman" w:hAnsi="Times New Roman" w:cs="Times New Roman"/>
          <w:b/>
          <w:i/>
          <w:color w:val="000000"/>
          <w:sz w:val="24"/>
          <w:szCs w:val="24"/>
        </w:rPr>
        <w:tab/>
        <w:t>A Distinct Physical Place of Business</w:t>
      </w:r>
      <w:r>
        <w:rPr>
          <w:rFonts w:ascii="Times New Roman" w:eastAsia="Times New Roman" w:hAnsi="Times New Roman" w:cs="Times New Roman"/>
          <w:color w:val="000000"/>
          <w:sz w:val="24"/>
          <w:szCs w:val="24"/>
          <w:vertAlign w:val="superscript"/>
        </w:rPr>
        <w:footnoteReference w:id="111"/>
      </w:r>
    </w:p>
    <w:p w14:paraId="000000D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has interpreted “establishment” as it is used in Section 213(a)(3) and throughout the FLSA as a “distinct physical place of business,” in contrast to “an entire business or enterprise,” which may include several separate places of business.</w:t>
      </w:r>
      <w:r>
        <w:rPr>
          <w:rFonts w:ascii="Times New Roman" w:eastAsia="Times New Roman" w:hAnsi="Times New Roman" w:cs="Times New Roman"/>
          <w:color w:val="000000"/>
          <w:sz w:val="20"/>
          <w:szCs w:val="20"/>
          <w:vertAlign w:val="superscript"/>
        </w:rPr>
        <w:footnoteReference w:id="112"/>
      </w:r>
      <w:r>
        <w:rPr>
          <w:rFonts w:ascii="Times New Roman" w:eastAsia="Times New Roman" w:hAnsi="Times New Roman" w:cs="Times New Roman"/>
          <w:color w:val="000000"/>
          <w:sz w:val="24"/>
          <w:szCs w:val="24"/>
        </w:rPr>
        <w:t xml:space="preserve"> In a 2021 opinion letter, the DOL addressed a situation where an entity organized, led, and facilitated a variety of nature walks, hikes, day trips, and other backpacking and overnight camping excursions for children, primarily those 13 years of age or younger.</w:t>
      </w:r>
      <w:r>
        <w:rPr>
          <w:rFonts w:ascii="Times New Roman" w:eastAsia="Times New Roman" w:hAnsi="Times New Roman" w:cs="Times New Roman"/>
          <w:color w:val="000000"/>
          <w:sz w:val="20"/>
          <w:szCs w:val="20"/>
          <w:vertAlign w:val="superscript"/>
        </w:rPr>
        <w:footnoteReference w:id="113"/>
      </w:r>
      <w:r>
        <w:rPr>
          <w:rFonts w:ascii="Times New Roman" w:eastAsia="Times New Roman" w:hAnsi="Times New Roman" w:cs="Times New Roman"/>
          <w:color w:val="000000"/>
          <w:sz w:val="24"/>
          <w:szCs w:val="24"/>
        </w:rPr>
        <w:t xml:space="preserve"> The entity employed three full-time and 17 part-time employees who facilitated and led the events, trips, and other outings. The events took place throughout nearby forests, rivers, mountains, fields, and beaches. The entity leased office space solely for administrative purposes; no events or meetings were held there, nor did outings leave from or return to the office. The entity’s bookings were conducted online; its website posted upcoming events and allowed customers to sign up and submit payment online.</w:t>
      </w:r>
      <w:r>
        <w:rPr>
          <w:rFonts w:ascii="Times New Roman" w:eastAsia="Times New Roman" w:hAnsi="Times New Roman" w:cs="Times New Roman"/>
          <w:color w:val="000000"/>
          <w:sz w:val="20"/>
          <w:szCs w:val="20"/>
          <w:vertAlign w:val="superscript"/>
        </w:rPr>
        <w:footnoteReference w:id="114"/>
      </w:r>
    </w:p>
    <w:p w14:paraId="000000D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concluded that the entity had an amusement or recreational character, but, because it did not have a distinct physical place of business, it was not an amusement or recreational establishment under Section 213(a)(3).</w:t>
      </w:r>
      <w:r>
        <w:rPr>
          <w:rFonts w:ascii="Times New Roman" w:eastAsia="Times New Roman" w:hAnsi="Times New Roman" w:cs="Times New Roman"/>
          <w:color w:val="000000"/>
          <w:sz w:val="20"/>
          <w:szCs w:val="20"/>
          <w:vertAlign w:val="superscript"/>
        </w:rPr>
        <w:footnoteReference w:id="115"/>
      </w:r>
      <w:r>
        <w:rPr>
          <w:rFonts w:ascii="Times New Roman" w:eastAsia="Times New Roman" w:hAnsi="Times New Roman" w:cs="Times New Roman"/>
          <w:color w:val="000000"/>
          <w:sz w:val="24"/>
          <w:szCs w:val="24"/>
        </w:rPr>
        <w:t xml:space="preserve"> While reaching this conclusion, the </w:t>
      </w:r>
      <w:r>
        <w:rPr>
          <w:rFonts w:ascii="Times New Roman" w:eastAsia="Times New Roman" w:hAnsi="Times New Roman" w:cs="Times New Roman"/>
          <w:color w:val="000000"/>
          <w:sz w:val="24"/>
          <w:szCs w:val="24"/>
        </w:rPr>
        <w:lastRenderedPageBreak/>
        <w:t>Administrator said “the Department’s long standing interpretative regulations, which have been in place and acknowledged by the courts for nearly 50 years, explicitly require that an establishment be a ‘distinct physical place of business.’”</w:t>
      </w:r>
      <w:r>
        <w:rPr>
          <w:rFonts w:ascii="Times New Roman" w:eastAsia="Times New Roman" w:hAnsi="Times New Roman" w:cs="Times New Roman"/>
          <w:color w:val="000000"/>
          <w:sz w:val="20"/>
          <w:szCs w:val="20"/>
          <w:vertAlign w:val="superscript"/>
        </w:rPr>
        <w:footnoteReference w:id="116"/>
      </w:r>
      <w:r>
        <w:rPr>
          <w:rFonts w:ascii="Times New Roman" w:eastAsia="Times New Roman" w:hAnsi="Times New Roman" w:cs="Times New Roman"/>
          <w:color w:val="000000"/>
          <w:sz w:val="24"/>
          <w:szCs w:val="24"/>
        </w:rPr>
        <w:t xml:space="preserve"> The opinion letter went on to explain that, “to constitute an exempt establishment, an entity that offers amusement or recreational services must have a physical location that is in some way used in any of the activities that comprise its amusement or recreational character … . Here, the entity’s only distinct physical location—the office it leases—is entirely divorced from the functions that afford its amusement or recreational character.”</w:t>
      </w:r>
      <w:r>
        <w:rPr>
          <w:rFonts w:ascii="Times New Roman" w:eastAsia="Times New Roman" w:hAnsi="Times New Roman" w:cs="Times New Roman"/>
          <w:color w:val="000000"/>
          <w:sz w:val="20"/>
          <w:szCs w:val="20"/>
          <w:vertAlign w:val="superscript"/>
        </w:rPr>
        <w:footnoteReference w:id="117"/>
      </w:r>
      <w:r>
        <w:rPr>
          <w:rFonts w:ascii="Times New Roman" w:eastAsia="Times New Roman" w:hAnsi="Times New Roman" w:cs="Times New Roman"/>
          <w:color w:val="000000"/>
          <w:sz w:val="24"/>
          <w:szCs w:val="24"/>
        </w:rPr>
        <w:t xml:space="preserve"> </w:t>
      </w:r>
    </w:p>
    <w:p w14:paraId="000000D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Administrator also noted that the entity was not transformed into a multi-site employer because some of its trips and events occurred in different locations or, on multiple days, involved setting up camp overnight at a location. It noted “a discrete location that an entity uses on a temporary, non-recurring basis may constitute a distinct physical place of business but only if, as in the case of a fixed location, the entity takes possession of it, exercises control over it, and uses it for a business purpose.”</w:t>
      </w:r>
      <w:r>
        <w:rPr>
          <w:rFonts w:ascii="Times New Roman" w:eastAsia="Times New Roman" w:hAnsi="Times New Roman" w:cs="Times New Roman"/>
          <w:color w:val="000000"/>
          <w:sz w:val="20"/>
          <w:szCs w:val="20"/>
          <w:vertAlign w:val="superscript"/>
        </w:rPr>
        <w:footnoteReference w:id="118"/>
      </w:r>
      <w:r>
        <w:rPr>
          <w:rFonts w:ascii="Times New Roman" w:eastAsia="Times New Roman" w:hAnsi="Times New Roman" w:cs="Times New Roman"/>
          <w:color w:val="000000"/>
          <w:sz w:val="24"/>
          <w:szCs w:val="24"/>
        </w:rPr>
        <w:t xml:space="preserve"> The opinion letter concluded that the entity’s outdoor events were not comparable to carnivals or festivals. The hikes, excursions, and other events that it facilitated were not confined to discrete locations that it controlled like a fairground or amphitheater.</w:t>
      </w:r>
      <w:r>
        <w:rPr>
          <w:rFonts w:ascii="Times New Roman" w:eastAsia="Times New Roman" w:hAnsi="Times New Roman" w:cs="Times New Roman"/>
          <w:color w:val="000000"/>
          <w:sz w:val="20"/>
          <w:szCs w:val="20"/>
          <w:vertAlign w:val="superscript"/>
        </w:rPr>
        <w:footnoteReference w:id="119"/>
      </w:r>
      <w:r>
        <w:rPr>
          <w:rFonts w:ascii="Times New Roman" w:eastAsia="Times New Roman" w:hAnsi="Times New Roman" w:cs="Times New Roman"/>
          <w:color w:val="000000"/>
          <w:sz w:val="24"/>
          <w:szCs w:val="24"/>
        </w:rPr>
        <w:t xml:space="preserve"> </w:t>
      </w:r>
    </w:p>
    <w:p w14:paraId="000000D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same opinion letter also addressed the situation where a family-owned and operated business produced up to 2,400 events in a normal year for individuals, companies, nonprofits, schools, universities, and a variety of public entities across the state in which it was located.</w:t>
      </w:r>
      <w:r>
        <w:rPr>
          <w:rFonts w:ascii="Times New Roman" w:eastAsia="Times New Roman" w:hAnsi="Times New Roman" w:cs="Times New Roman"/>
          <w:color w:val="000000"/>
          <w:sz w:val="20"/>
          <w:szCs w:val="20"/>
          <w:vertAlign w:val="superscript"/>
        </w:rPr>
        <w:footnoteReference w:id="120"/>
      </w:r>
      <w:r>
        <w:rPr>
          <w:rFonts w:ascii="Times New Roman" w:eastAsia="Times New Roman" w:hAnsi="Times New Roman" w:cs="Times New Roman"/>
          <w:color w:val="000000"/>
          <w:sz w:val="24"/>
          <w:szCs w:val="24"/>
        </w:rPr>
        <w:t xml:space="preserve"> The entity helped plan the activities and provided the requested amusement rides, attractions, entertainment, concession equipment, personnel, and related items—e.g., delivering, installing, and often operating them at the event site. The vast majority of these events lasted no more than a single day. The entity maintained a warehouse and administrative offices at which it stored and maintained inventory and conducted necessary year-round sales and business activities. It did not offer any of the above services to the public at this location. The Administrator concluded that the entity did not qualify for the Section 213(a)(3) exemption because it did not meet the regulatory definition of an establishment.</w:t>
      </w:r>
      <w:r>
        <w:rPr>
          <w:rFonts w:ascii="Times New Roman" w:eastAsia="Times New Roman" w:hAnsi="Times New Roman" w:cs="Times New Roman"/>
          <w:color w:val="000000"/>
          <w:sz w:val="20"/>
          <w:szCs w:val="20"/>
          <w:vertAlign w:val="superscript"/>
        </w:rPr>
        <w:footnoteReference w:id="121"/>
      </w:r>
      <w:r>
        <w:rPr>
          <w:rFonts w:ascii="Times New Roman" w:eastAsia="Times New Roman" w:hAnsi="Times New Roman" w:cs="Times New Roman"/>
          <w:color w:val="000000"/>
          <w:sz w:val="24"/>
          <w:szCs w:val="24"/>
        </w:rPr>
        <w:t xml:space="preserve"> The Administrator found that, although the entity had a warehouse and administrative offices, it used them exclusively in a support capacity. Moreover, the Administrator also concluded that the entity’s production of temporary events at various locations did not convert it into a multi-site employer because the entity did not convert </w:t>
      </w:r>
      <w:r>
        <w:rPr>
          <w:rFonts w:ascii="Times New Roman" w:eastAsia="Times New Roman" w:hAnsi="Times New Roman" w:cs="Times New Roman"/>
          <w:color w:val="000000"/>
          <w:sz w:val="24"/>
          <w:szCs w:val="24"/>
        </w:rPr>
        <w:lastRenderedPageBreak/>
        <w:t>the location into its temporary place of business by taking possession of it, exerting control over it, and using it to generate revenue.</w:t>
      </w:r>
      <w:r>
        <w:rPr>
          <w:rFonts w:ascii="Times New Roman" w:eastAsia="Times New Roman" w:hAnsi="Times New Roman" w:cs="Times New Roman"/>
          <w:color w:val="000000"/>
          <w:sz w:val="20"/>
          <w:szCs w:val="20"/>
          <w:vertAlign w:val="superscript"/>
        </w:rPr>
        <w:footnoteReference w:id="122"/>
      </w:r>
    </w:p>
    <w:p w14:paraId="000000D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In the context of more permanent multi-unit operations, however, some of the establishments may qualify for the exemption, whereas others may not. Each physically separate place of business is considered a separate establishment and must be analyzed separately.</w:t>
      </w:r>
      <w:r>
        <w:rPr>
          <w:rFonts w:ascii="Times New Roman" w:eastAsia="Times New Roman" w:hAnsi="Times New Roman" w:cs="Times New Roman"/>
          <w:color w:val="000000"/>
          <w:sz w:val="24"/>
          <w:szCs w:val="24"/>
          <w:vertAlign w:val="superscript"/>
        </w:rPr>
        <w:footnoteReference w:id="123"/>
      </w:r>
      <w:r>
        <w:rPr>
          <w:rFonts w:ascii="Times New Roman" w:eastAsia="Times New Roman" w:hAnsi="Times New Roman" w:cs="Times New Roman"/>
          <w:color w:val="000000"/>
          <w:sz w:val="24"/>
          <w:szCs w:val="24"/>
        </w:rPr>
        <w:t xml:space="preserve"> Thus, the Sixth Circuit held that while the exemption clearly did not apply to a resort hotel’s bars, restaurants, dining facilities, conference center, lodging facilities, and gas station, the golf course on site was covered by the exemption and the horseback facilities may or may not have met the exemption’s requirements.</w:t>
      </w:r>
      <w:r>
        <w:rPr>
          <w:rFonts w:ascii="Times New Roman" w:eastAsia="Times New Roman" w:hAnsi="Times New Roman" w:cs="Times New Roman"/>
          <w:color w:val="000000"/>
          <w:sz w:val="24"/>
          <w:szCs w:val="24"/>
          <w:vertAlign w:val="superscript"/>
        </w:rPr>
        <w:footnoteReference w:id="124"/>
      </w:r>
    </w:p>
    <w:p w14:paraId="000000E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some settings, such as an amusement park, baseball park, or racetrack, food and souvenir vendors are often employed by a concessionaire on the premises. If the operations of the concessionaire constitute a separate establishment, the seasonal tests of Section 213(a)(3) are applied to the concessionaire’s establishment separately without regard to the operations of the host establishment.</w:t>
      </w:r>
      <w:r>
        <w:rPr>
          <w:rFonts w:ascii="Times New Roman" w:eastAsia="Times New Roman" w:hAnsi="Times New Roman" w:cs="Times New Roman"/>
          <w:color w:val="000000"/>
          <w:sz w:val="24"/>
          <w:szCs w:val="24"/>
          <w:vertAlign w:val="superscript"/>
        </w:rPr>
        <w:footnoteReference w:id="125"/>
      </w:r>
      <w:r>
        <w:rPr>
          <w:rFonts w:ascii="Times New Roman" w:eastAsia="Times New Roman" w:hAnsi="Times New Roman" w:cs="Times New Roman"/>
          <w:color w:val="000000"/>
          <w:sz w:val="24"/>
          <w:szCs w:val="24"/>
        </w:rPr>
        <w:t xml:space="preserve"> On the other hand, if the concessionaire and host constitute a single establishment, the seasonal tests for exemption account for all the operations of the establishment, including those of the concessionaire.</w:t>
      </w:r>
      <w:r>
        <w:rPr>
          <w:rFonts w:ascii="Times New Roman" w:eastAsia="Times New Roman" w:hAnsi="Times New Roman" w:cs="Times New Roman"/>
          <w:color w:val="000000"/>
          <w:sz w:val="24"/>
          <w:szCs w:val="24"/>
          <w:vertAlign w:val="superscript"/>
        </w:rPr>
        <w:footnoteReference w:id="126"/>
      </w:r>
    </w:p>
    <w:p w14:paraId="000000E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Hill v. Delaware North Cos. Sportservice,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27"/>
      </w:r>
      <w:r>
        <w:rPr>
          <w:rFonts w:ascii="Times New Roman" w:eastAsia="Times New Roman" w:hAnsi="Times New Roman" w:cs="Times New Roman"/>
          <w:color w:val="000000"/>
          <w:sz w:val="24"/>
          <w:szCs w:val="24"/>
        </w:rPr>
        <w:t xml:space="preserve"> the Second Circuit considered whether an establishment operating on the premises of an amusement or recreational host, selling goods or services to the host’s customers for their consumption or use as they engaged in the host’s amusement or recreational activities, was a “concessionaire” with an “amusement or recreational” character. The court noted that “the legislative history of Section 213(a)(3) treats concessionaires as core examples of amusement or recreational establishments, even when analyzed separately from the amusement or recreational sites they serve,”</w:t>
      </w:r>
      <w:r>
        <w:rPr>
          <w:rFonts w:ascii="Times New Roman" w:eastAsia="Times New Roman" w:hAnsi="Times New Roman" w:cs="Times New Roman"/>
          <w:color w:val="000000"/>
          <w:sz w:val="24"/>
          <w:szCs w:val="24"/>
          <w:vertAlign w:val="superscript"/>
        </w:rPr>
        <w:footnoteReference w:id="128"/>
      </w:r>
      <w:r>
        <w:rPr>
          <w:rFonts w:ascii="Times New Roman" w:eastAsia="Times New Roman" w:hAnsi="Times New Roman" w:cs="Times New Roman"/>
          <w:color w:val="000000"/>
          <w:sz w:val="24"/>
          <w:szCs w:val="24"/>
        </w:rPr>
        <w:t xml:space="preserve"> and therefore held “that the concessionaires at amusement or recreational establishment will qualify on their own as exempt establishments if they meet at least one of the seasonality tests in 29 U.S.C. §213(a)(3).”</w:t>
      </w:r>
      <w:r>
        <w:rPr>
          <w:rFonts w:ascii="Times New Roman" w:eastAsia="Times New Roman" w:hAnsi="Times New Roman" w:cs="Times New Roman"/>
          <w:color w:val="000000"/>
          <w:sz w:val="24"/>
          <w:szCs w:val="24"/>
          <w:vertAlign w:val="superscript"/>
        </w:rPr>
        <w:footnoteReference w:id="129"/>
      </w:r>
    </w:p>
    <w:p w14:paraId="000000E2"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4.</w:t>
      </w:r>
      <w:r>
        <w:rPr>
          <w:rFonts w:ascii="Times New Roman" w:eastAsia="Times New Roman" w:hAnsi="Times New Roman" w:cs="Times New Roman"/>
          <w:b/>
          <w:i/>
          <w:color w:val="000000"/>
          <w:sz w:val="24"/>
          <w:szCs w:val="24"/>
        </w:rPr>
        <w:tab/>
        <w:t>Separate Establishments on the Same Premises</w:t>
      </w:r>
    </w:p>
    <w:p w14:paraId="000000E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DOL regulations recognize that “two or more physically separated portions of a business though located on the same premises, and even under the same roof in some circumstances may constitute more than one establishment for purposes of exemptions.”</w:t>
      </w:r>
      <w:r>
        <w:rPr>
          <w:rFonts w:ascii="Times New Roman" w:eastAsia="Times New Roman" w:hAnsi="Times New Roman" w:cs="Times New Roman"/>
          <w:color w:val="000000"/>
          <w:sz w:val="24"/>
          <w:szCs w:val="24"/>
          <w:vertAlign w:val="superscript"/>
        </w:rPr>
        <w:footnoteReference w:id="130"/>
      </w:r>
      <w:r>
        <w:rPr>
          <w:rFonts w:ascii="Times New Roman" w:eastAsia="Times New Roman" w:hAnsi="Times New Roman" w:cs="Times New Roman"/>
          <w:color w:val="000000"/>
          <w:sz w:val="24"/>
          <w:szCs w:val="24"/>
        </w:rPr>
        <w:t xml:space="preserve"> To be considered distinct establishments, “physical separation is a prerequisite” and “the physically separated portions of the business also must be engaged in operations which are functionally separated from each other.”</w:t>
      </w:r>
      <w:r>
        <w:rPr>
          <w:rFonts w:ascii="Times New Roman" w:eastAsia="Times New Roman" w:hAnsi="Times New Roman" w:cs="Times New Roman"/>
          <w:color w:val="000000"/>
          <w:sz w:val="24"/>
          <w:szCs w:val="24"/>
          <w:vertAlign w:val="superscript"/>
        </w:rPr>
        <w:footnoteReference w:id="131"/>
      </w:r>
    </w:p>
    <w:p w14:paraId="000000E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such, the retail portion of an establishment would be considered a separate establishment from the unrelated portion for the purpose of the exemption if</w:t>
      </w:r>
    </w:p>
    <w:p w14:paraId="000000E5"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it is physically separated from the other activities; and</w:t>
      </w:r>
    </w:p>
    <w:p w14:paraId="000000E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it is functionally operated as a separate unit having separate records, and separate bookkeeping; and</w:t>
      </w:r>
    </w:p>
    <w:p w14:paraId="000000E7"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 there is no interchange of employees between the units.</w:t>
      </w:r>
      <w:r>
        <w:rPr>
          <w:rFonts w:ascii="Times New Roman" w:eastAsia="Times New Roman" w:hAnsi="Times New Roman" w:cs="Times New Roman"/>
          <w:color w:val="000000"/>
          <w:sz w:val="20"/>
          <w:szCs w:val="20"/>
          <w:vertAlign w:val="superscript"/>
        </w:rPr>
        <w:footnoteReference w:id="132"/>
      </w:r>
    </w:p>
    <w:p w14:paraId="000000E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 xml:space="preserve">Marshall </w:t>
      </w:r>
      <w:r>
        <w:rPr>
          <w:rFonts w:ascii="Times New Roman" w:eastAsia="Times New Roman" w:hAnsi="Times New Roman" w:cs="Times New Roman"/>
          <w:color w:val="000000"/>
          <w:sz w:val="24"/>
          <w:szCs w:val="24"/>
        </w:rPr>
        <w:t>v.</w:t>
      </w:r>
      <w:r>
        <w:rPr>
          <w:rFonts w:ascii="Times New Roman" w:eastAsia="Times New Roman" w:hAnsi="Times New Roman" w:cs="Times New Roman"/>
          <w:i/>
          <w:color w:val="000000"/>
          <w:sz w:val="24"/>
          <w:szCs w:val="24"/>
        </w:rPr>
        <w:t xml:space="preserve"> New Hampshire Jockey Club,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33"/>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First Circuit noted that “both the Secretary of Labor’s regulations and the case law indicate that ownership and control are not dispositive in determining whether or not an ‘establishment’ is single or multiple.”</w:t>
      </w:r>
      <w:r>
        <w:rPr>
          <w:rFonts w:ascii="Times New Roman" w:eastAsia="Times New Roman" w:hAnsi="Times New Roman" w:cs="Times New Roman"/>
          <w:color w:val="000000"/>
          <w:sz w:val="24"/>
          <w:szCs w:val="24"/>
          <w:vertAlign w:val="superscript"/>
        </w:rPr>
        <w:footnoteReference w:id="134"/>
      </w:r>
      <w:r>
        <w:rPr>
          <w:rFonts w:ascii="Times New Roman" w:eastAsia="Times New Roman" w:hAnsi="Times New Roman" w:cs="Times New Roman"/>
          <w:color w:val="000000"/>
          <w:sz w:val="24"/>
          <w:szCs w:val="24"/>
        </w:rPr>
        <w:t xml:space="preserve"> In support of its holding that two companies operating a shared racetrack, one running thoroughbred flat racing during the summer months and the other conducting harness racing during the spring and fall, operated separate establishments, the court found that (1) each business used the same facilities at a different season, with no overlap, and so temporal separation provided for physical separation; (2) the operations were functionally separated from each other; and (3) even though many of the same individuals were employed in different seasons by both businesses, each business hired the employees it needed and there was no simultaneous sharing of the same employees.</w:t>
      </w:r>
      <w:r>
        <w:rPr>
          <w:rFonts w:ascii="Times New Roman" w:eastAsia="Times New Roman" w:hAnsi="Times New Roman" w:cs="Times New Roman"/>
          <w:color w:val="000000"/>
          <w:sz w:val="24"/>
          <w:szCs w:val="24"/>
          <w:vertAlign w:val="superscript"/>
        </w:rPr>
        <w:footnoteReference w:id="135"/>
      </w:r>
    </w:p>
    <w:p w14:paraId="000000E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has opined that 45 base camps owned by the same organization were likely separate establishments because they were physically remote from one another.</w:t>
      </w:r>
      <w:r>
        <w:rPr>
          <w:rFonts w:ascii="Times New Roman" w:eastAsia="Times New Roman" w:hAnsi="Times New Roman" w:cs="Times New Roman"/>
          <w:color w:val="000000"/>
          <w:sz w:val="24"/>
          <w:szCs w:val="24"/>
          <w:vertAlign w:val="superscript"/>
        </w:rPr>
        <w:footnoteReference w:id="136"/>
      </w:r>
      <w:r>
        <w:rPr>
          <w:rFonts w:ascii="Times New Roman" w:eastAsia="Times New Roman" w:hAnsi="Times New Roman" w:cs="Times New Roman"/>
          <w:color w:val="000000"/>
          <w:sz w:val="24"/>
          <w:szCs w:val="24"/>
        </w:rPr>
        <w:t xml:space="preserve"> Similarly, the </w:t>
      </w:r>
      <w:r>
        <w:rPr>
          <w:rFonts w:ascii="Times New Roman" w:eastAsia="Times New Roman" w:hAnsi="Times New Roman" w:cs="Times New Roman"/>
          <w:color w:val="000000"/>
          <w:sz w:val="24"/>
          <w:szCs w:val="24"/>
        </w:rPr>
        <w:lastRenderedPageBreak/>
        <w:t>Tenth Circuit held that a company that contracted with the Secretary of the Interior to operate concessions, including hotels, inns, lodges, cabins, and restaurants, in widely separated places within Yellowstone National Park did not constitute a single establishment but, rather, a number of separate and distinct establishments.</w:t>
      </w:r>
      <w:r>
        <w:rPr>
          <w:rFonts w:ascii="Times New Roman" w:eastAsia="Times New Roman" w:hAnsi="Times New Roman" w:cs="Times New Roman"/>
          <w:color w:val="000000"/>
          <w:sz w:val="24"/>
          <w:szCs w:val="24"/>
          <w:vertAlign w:val="superscript"/>
        </w:rPr>
        <w:footnoteReference w:id="137"/>
      </w:r>
      <w:r>
        <w:rPr>
          <w:rFonts w:ascii="Times New Roman" w:eastAsia="Times New Roman" w:hAnsi="Times New Roman" w:cs="Times New Roman"/>
          <w:color w:val="000000"/>
          <w:sz w:val="24"/>
          <w:szCs w:val="24"/>
        </w:rPr>
        <w:t xml:space="preserve"> </w:t>
      </w:r>
    </w:p>
    <w:p w14:paraId="000000E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Physical separateness was likewise crucial to the Tenth Circuit’s conclusion in </w:t>
      </w:r>
      <w:r>
        <w:rPr>
          <w:rFonts w:ascii="Times New Roman" w:eastAsia="Times New Roman" w:hAnsi="Times New Roman" w:cs="Times New Roman"/>
          <w:i/>
          <w:color w:val="000000"/>
          <w:sz w:val="24"/>
          <w:szCs w:val="24"/>
        </w:rPr>
        <w:t>Chessin v. Keystone Resort Management,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38"/>
      </w:r>
      <w:r>
        <w:rPr>
          <w:rFonts w:ascii="Times New Roman" w:eastAsia="Times New Roman" w:hAnsi="Times New Roman" w:cs="Times New Roman"/>
          <w:color w:val="000000"/>
          <w:sz w:val="24"/>
          <w:szCs w:val="24"/>
        </w:rPr>
        <w:t xml:space="preserve"> which also rejected the argument that two ski areas should be treated as one establishment because they were administratively and economically integrated. “Given the six-mile separation between Arapahoe Basin and Keystone, we hold that they constitute separate establishments.”</w:t>
      </w:r>
      <w:r>
        <w:rPr>
          <w:rFonts w:ascii="Times New Roman" w:eastAsia="Times New Roman" w:hAnsi="Times New Roman" w:cs="Times New Roman"/>
          <w:color w:val="000000"/>
          <w:sz w:val="24"/>
          <w:szCs w:val="24"/>
          <w:vertAlign w:val="superscript"/>
        </w:rPr>
        <w:footnoteReference w:id="139"/>
      </w:r>
      <w:r>
        <w:rPr>
          <w:rFonts w:ascii="Times New Roman" w:eastAsia="Times New Roman" w:hAnsi="Times New Roman" w:cs="Times New Roman"/>
          <w:color w:val="000000"/>
          <w:sz w:val="24"/>
          <w:szCs w:val="24"/>
        </w:rPr>
        <w:t xml:space="preserve"> </w:t>
      </w:r>
    </w:p>
    <w:p w14:paraId="000000E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And in </w:t>
      </w:r>
      <w:r>
        <w:rPr>
          <w:rFonts w:ascii="Times New Roman" w:eastAsia="Times New Roman" w:hAnsi="Times New Roman" w:cs="Times New Roman"/>
          <w:i/>
          <w:color w:val="000000"/>
          <w:sz w:val="24"/>
          <w:szCs w:val="24"/>
        </w:rPr>
        <w:t>Chen v. Major League Baseball Properties,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40"/>
      </w:r>
      <w:r>
        <w:rPr>
          <w:rFonts w:ascii="Times New Roman" w:eastAsia="Times New Roman" w:hAnsi="Times New Roman" w:cs="Times New Roman"/>
          <w:color w:val="000000"/>
          <w:sz w:val="24"/>
          <w:szCs w:val="24"/>
        </w:rPr>
        <w:t xml:space="preserve"> the Second Circuit “conclude[d] that Congress used the term ‘establishment for purposes of the exemption at Section 213(a)(3), 29 U.S.C. § 213(a)(3), to mean a distinct, physical place of business as opposed to an integrated multiunit business or enterprise.”</w:t>
      </w:r>
      <w:r>
        <w:rPr>
          <w:rFonts w:ascii="Times New Roman" w:eastAsia="Times New Roman" w:hAnsi="Times New Roman" w:cs="Times New Roman"/>
          <w:color w:val="000000"/>
          <w:sz w:val="24"/>
          <w:szCs w:val="24"/>
          <w:vertAlign w:val="superscript"/>
        </w:rPr>
        <w:footnoteReference w:id="141"/>
      </w:r>
      <w:r>
        <w:rPr>
          <w:rFonts w:ascii="Times New Roman" w:eastAsia="Times New Roman" w:hAnsi="Times New Roman" w:cs="Times New Roman"/>
          <w:color w:val="000000"/>
          <w:sz w:val="24"/>
          <w:szCs w:val="24"/>
        </w:rPr>
        <w:t xml:space="preserve"> Following this distinction, the court held that FanFest, a five-day baseball theme park organized in conjunction with the 2013 All-Star Game and held at the Javits Center on West 34th St. in New York City, was a separate establishment from Major League Baseball, headquartered at 245 Park Ave. The court explained: “This physical separation is determinative in deciding whether these business units constitute a single establishment or multiple ones. Where such business units are not located at the same premises, overlap in operations and personnel is immaterial to determining whether they are separate establishments.”</w:t>
      </w:r>
      <w:r>
        <w:rPr>
          <w:rFonts w:ascii="Times New Roman" w:eastAsia="Times New Roman" w:hAnsi="Times New Roman" w:cs="Times New Roman"/>
          <w:color w:val="000000"/>
          <w:sz w:val="24"/>
          <w:szCs w:val="24"/>
          <w:vertAlign w:val="superscript"/>
        </w:rPr>
        <w:footnoteReference w:id="142"/>
      </w:r>
    </w:p>
    <w:p w14:paraId="000000E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contrast, the DOL opined that a nonprofit charitable organization that operated a horseback-riding lesson program throughout the calendar year and a summer day camp for nine weeks between June and August were not separate “establishments” because the camp’s riding and horse care instruction were not physically separated from the stables’ riding instructions within the meaning of 29 C.F.R. §779.305.</w:t>
      </w:r>
      <w:r>
        <w:rPr>
          <w:rFonts w:ascii="Times New Roman" w:eastAsia="Times New Roman" w:hAnsi="Times New Roman" w:cs="Times New Roman"/>
          <w:color w:val="000000"/>
          <w:sz w:val="24"/>
          <w:szCs w:val="24"/>
          <w:vertAlign w:val="superscript"/>
        </w:rPr>
        <w:footnoteReference w:id="143"/>
      </w:r>
    </w:p>
    <w:p w14:paraId="000000E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The DOL again addressed the “separate establishment” requirement when it considered whether swimming pool facilities at hotels, motels, apartments, and condominiums were </w:t>
      </w:r>
      <w:r>
        <w:rPr>
          <w:rFonts w:ascii="Times New Roman" w:eastAsia="Times New Roman" w:hAnsi="Times New Roman" w:cs="Times New Roman"/>
          <w:color w:val="000000"/>
          <w:sz w:val="24"/>
          <w:szCs w:val="24"/>
        </w:rPr>
        <w:lastRenderedPageBreak/>
        <w:t>physically separated enough from the buildings to qualify as separate establishments.</w:t>
      </w:r>
      <w:r>
        <w:rPr>
          <w:rFonts w:ascii="Times New Roman" w:eastAsia="Times New Roman" w:hAnsi="Times New Roman" w:cs="Times New Roman"/>
          <w:color w:val="000000"/>
          <w:sz w:val="24"/>
          <w:szCs w:val="24"/>
          <w:vertAlign w:val="superscript"/>
        </w:rPr>
        <w:footnoteReference w:id="144"/>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Citing as common examples of a physically separated pool facility “a rooftop or adjacent outdoor pool,”</w:t>
      </w:r>
      <w:r>
        <w:rPr>
          <w:rFonts w:ascii="Times New Roman" w:eastAsia="Times New Roman" w:hAnsi="Times New Roman" w:cs="Times New Roman"/>
          <w:color w:val="000000"/>
          <w:sz w:val="24"/>
          <w:szCs w:val="24"/>
          <w:vertAlign w:val="superscript"/>
        </w:rPr>
        <w:footnoteReference w:id="145"/>
      </w:r>
      <w:r>
        <w:rPr>
          <w:rFonts w:ascii="Times New Roman" w:eastAsia="Times New Roman" w:hAnsi="Times New Roman" w:cs="Times New Roman"/>
          <w:color w:val="000000"/>
          <w:sz w:val="24"/>
          <w:szCs w:val="24"/>
        </w:rPr>
        <w:t xml:space="preserve"> and noting that examples of physically ­integrated pool facilities are “restricted indoor pools within penthouse suites or pools with poolside food and beverage service from hospitality or residential staff,”</w:t>
      </w:r>
      <w:r>
        <w:rPr>
          <w:rFonts w:ascii="Times New Roman" w:eastAsia="Times New Roman" w:hAnsi="Times New Roman" w:cs="Times New Roman"/>
          <w:color w:val="000000"/>
          <w:sz w:val="24"/>
          <w:szCs w:val="24"/>
          <w:vertAlign w:val="superscript"/>
        </w:rPr>
        <w:footnoteReference w:id="146"/>
      </w:r>
      <w:r>
        <w:rPr>
          <w:rFonts w:ascii="Times New Roman" w:eastAsia="Times New Roman" w:hAnsi="Times New Roman" w:cs="Times New Roman"/>
          <w:color w:val="000000"/>
          <w:sz w:val="24"/>
          <w:szCs w:val="24"/>
        </w:rPr>
        <w:t xml:space="preserve"> the DOL found that because the company that operated and maintained the swimming pool facilities employed “its own staff at each swimming pool to exclusively perform pool services, its business operations appear[ed] functionally independent.”</w:t>
      </w:r>
      <w:r>
        <w:rPr>
          <w:rFonts w:ascii="Times New Roman" w:eastAsia="Times New Roman" w:hAnsi="Times New Roman" w:cs="Times New Roman"/>
          <w:color w:val="000000"/>
          <w:sz w:val="24"/>
          <w:szCs w:val="24"/>
          <w:vertAlign w:val="superscript"/>
        </w:rPr>
        <w:footnoteReference w:id="147"/>
      </w:r>
    </w:p>
    <w:p w14:paraId="000000E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Finally, the fact that various other businesses are located on an entity’s grounds will not defeat the exemption. In </w:t>
      </w:r>
      <w:r>
        <w:rPr>
          <w:rFonts w:ascii="Times New Roman" w:eastAsia="Times New Roman" w:hAnsi="Times New Roman" w:cs="Times New Roman"/>
          <w:i/>
          <w:color w:val="000000"/>
          <w:sz w:val="24"/>
          <w:szCs w:val="24"/>
        </w:rPr>
        <w:t>Hamilton v. Tulsa County Public Facilities Authority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48"/>
      </w:r>
      <w:r>
        <w:rPr>
          <w:rFonts w:ascii="Times New Roman" w:eastAsia="Times New Roman" w:hAnsi="Times New Roman" w:cs="Times New Roman"/>
          <w:color w:val="000000"/>
          <w:sz w:val="24"/>
          <w:szCs w:val="24"/>
        </w:rPr>
        <w:t xml:space="preserve"> the Tenth Circuit found that a public trust that managed a county fairground for purposes of “establish[ing], provid[ing], maintain[ing], and promot[ing] recreational centers, agricultural and industrial expositions, fairs, trade shows and other recreational facilities and activities”</w:t>
      </w:r>
      <w:r>
        <w:rPr>
          <w:rFonts w:ascii="Times New Roman" w:eastAsia="Times New Roman" w:hAnsi="Times New Roman" w:cs="Times New Roman"/>
          <w:color w:val="000000"/>
          <w:sz w:val="24"/>
          <w:szCs w:val="24"/>
          <w:vertAlign w:val="superscript"/>
        </w:rPr>
        <w:footnoteReference w:id="149"/>
      </w:r>
      <w:r>
        <w:rPr>
          <w:rFonts w:ascii="Times New Roman" w:eastAsia="Times New Roman" w:hAnsi="Times New Roman" w:cs="Times New Roman"/>
          <w:color w:val="000000"/>
          <w:sz w:val="24"/>
          <w:szCs w:val="24"/>
        </w:rPr>
        <w:t xml:space="preserve"> was exempt under Section 213(a)(3), even though the trust leased property to other businesses on the fairgrounds that were not amusement or recreational in nature where the trust did not own or operate those other businesses.</w:t>
      </w:r>
      <w:r>
        <w:rPr>
          <w:rFonts w:ascii="Times New Roman" w:eastAsia="Times New Roman" w:hAnsi="Times New Roman" w:cs="Times New Roman"/>
          <w:color w:val="000000"/>
          <w:sz w:val="24"/>
          <w:szCs w:val="24"/>
          <w:vertAlign w:val="superscript"/>
        </w:rPr>
        <w:footnoteReference w:id="150"/>
      </w:r>
      <w:r>
        <w:rPr>
          <w:rFonts w:ascii="Times New Roman" w:eastAsia="Times New Roman" w:hAnsi="Times New Roman" w:cs="Times New Roman"/>
          <w:color w:val="000000"/>
          <w:sz w:val="24"/>
          <w:szCs w:val="24"/>
        </w:rPr>
        <w:t xml:space="preserve"> The Eleventh Circuit held that the fact that an entity does not own the real property on which it operates does not bear on the amusement or recreational establishment exemption.</w:t>
      </w:r>
      <w:r>
        <w:rPr>
          <w:rFonts w:ascii="Times New Roman" w:eastAsia="Times New Roman" w:hAnsi="Times New Roman" w:cs="Times New Roman"/>
          <w:color w:val="000000"/>
          <w:sz w:val="24"/>
          <w:szCs w:val="24"/>
          <w:vertAlign w:val="superscript"/>
        </w:rPr>
        <w:footnoteReference w:id="151"/>
      </w:r>
    </w:p>
    <w:p w14:paraId="000000EF"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5.</w:t>
      </w:r>
      <w:r>
        <w:rPr>
          <w:rFonts w:ascii="Times New Roman" w:eastAsia="Times New Roman" w:hAnsi="Times New Roman" w:cs="Times New Roman"/>
          <w:b/>
          <w:i/>
          <w:color w:val="000000"/>
          <w:sz w:val="24"/>
          <w:szCs w:val="24"/>
        </w:rPr>
        <w:tab/>
        <w:t>Organized Camps, or Religious or Nonprofit Educational Conference Centers</w:t>
      </w:r>
    </w:p>
    <w:p w14:paraId="000000F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defines the term “Organized Camp” as follows:</w:t>
      </w:r>
    </w:p>
    <w:p w14:paraId="000000F1"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 organized camp characteristically provides room and board in a rustic setting over a sustained period of time. An organized camp is one with a program of activities and sustained supervision, provided for a set fee. The American Camping Association defines a “camp” as “a sustained experience which provides a creative recreational and educational opportunity in group living in the out of doors. It utilizes trained </w:t>
      </w:r>
      <w:r>
        <w:rPr>
          <w:rFonts w:ascii="Times New Roman" w:eastAsia="Times New Roman" w:hAnsi="Times New Roman" w:cs="Times New Roman"/>
          <w:color w:val="000000"/>
          <w:sz w:val="20"/>
          <w:szCs w:val="20"/>
        </w:rPr>
        <w:lastRenderedPageBreak/>
        <w:t>leadership and the resources of natural surroundings to contribute to each camper’s mental, physical, social, and spiritual growth.”</w:t>
      </w:r>
      <w:r>
        <w:rPr>
          <w:rFonts w:ascii="Times New Roman" w:eastAsia="Times New Roman" w:hAnsi="Times New Roman" w:cs="Times New Roman"/>
          <w:color w:val="000000"/>
          <w:sz w:val="20"/>
          <w:szCs w:val="20"/>
          <w:vertAlign w:val="superscript"/>
        </w:rPr>
        <w:footnoteReference w:id="152"/>
      </w:r>
    </w:p>
    <w:p w14:paraId="000000F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defines the term “religious or non-profit educational conference center” as follows:</w:t>
      </w:r>
    </w:p>
    <w:p w14:paraId="000000F3"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“religious or non-profit educational conference center” is a meeting center providing for religious, educational, and leadership growth experiences for both youth and adults. They are usually built in secluded and scenic areas and often provide residence accommodations, meal service and recreational facilities. Most are under the sponsorship of religious denominations and are operated on a non-profit and tax-exempt basis.</w:t>
      </w:r>
      <w:r>
        <w:rPr>
          <w:rFonts w:ascii="Times New Roman" w:eastAsia="Times New Roman" w:hAnsi="Times New Roman" w:cs="Times New Roman"/>
          <w:color w:val="000000"/>
          <w:sz w:val="20"/>
          <w:szCs w:val="20"/>
          <w:vertAlign w:val="superscript"/>
        </w:rPr>
        <w:footnoteReference w:id="153"/>
      </w:r>
    </w:p>
    <w:p w14:paraId="000000F4"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6.</w:t>
      </w:r>
      <w:r>
        <w:rPr>
          <w:rFonts w:ascii="Times New Roman" w:eastAsia="Times New Roman" w:hAnsi="Times New Roman" w:cs="Times New Roman"/>
          <w:b/>
          <w:i/>
          <w:color w:val="000000"/>
          <w:sz w:val="24"/>
          <w:szCs w:val="24"/>
        </w:rPr>
        <w:tab/>
        <w:t>The Seasonality Tests Under the Section 213(a)(3) Exemption</w:t>
      </w:r>
    </w:p>
    <w:p w14:paraId="000000F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“amusement or recreational establishment, organized camp, or religious or non-profit educational conference center” will be exempt from the minimum wage and overtime requirements under Section 213(a)(3) of the FLSA “if it meets </w:t>
      </w:r>
      <w:r>
        <w:rPr>
          <w:rFonts w:ascii="Times New Roman" w:eastAsia="Times New Roman" w:hAnsi="Times New Roman" w:cs="Times New Roman"/>
          <w:i/>
          <w:color w:val="000000"/>
          <w:sz w:val="24"/>
          <w:szCs w:val="24"/>
        </w:rPr>
        <w:t>either</w:t>
      </w:r>
      <w:r>
        <w:rPr>
          <w:rFonts w:ascii="Times New Roman" w:eastAsia="Times New Roman" w:hAnsi="Times New Roman" w:cs="Times New Roman"/>
          <w:color w:val="000000"/>
          <w:sz w:val="24"/>
          <w:szCs w:val="24"/>
        </w:rPr>
        <w:t>” Test A or Test B of the statute’s seasonality requirement.</w:t>
      </w:r>
      <w:r>
        <w:rPr>
          <w:rFonts w:ascii="Times New Roman" w:eastAsia="Times New Roman" w:hAnsi="Times New Roman" w:cs="Times New Roman"/>
          <w:color w:val="000000"/>
          <w:sz w:val="24"/>
          <w:szCs w:val="24"/>
          <w:vertAlign w:val="superscript"/>
        </w:rPr>
        <w:footnoteReference w:id="154"/>
      </w:r>
      <w:r>
        <w:rPr>
          <w:rFonts w:ascii="Times New Roman" w:eastAsia="Times New Roman" w:hAnsi="Times New Roman" w:cs="Times New Roman"/>
          <w:color w:val="000000"/>
          <w:sz w:val="24"/>
          <w:szCs w:val="24"/>
        </w:rPr>
        <w:t xml:space="preserve"> </w:t>
      </w:r>
    </w:p>
    <w:p w14:paraId="000000F6"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ab/>
        <w:t>Test A: Does Not Operate for More Than Seven Months in Any Calendar Year</w:t>
      </w:r>
    </w:p>
    <w:p w14:paraId="000000F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amusement or recreational establishment, organized camp, or religious or nonprofit educational conference center will be exempt if “it does not operate for more than seven months in any calendar year.”</w:t>
      </w:r>
      <w:r>
        <w:rPr>
          <w:rFonts w:ascii="Times New Roman" w:eastAsia="Times New Roman" w:hAnsi="Times New Roman" w:cs="Times New Roman"/>
          <w:color w:val="000000"/>
          <w:sz w:val="24"/>
          <w:szCs w:val="24"/>
          <w:vertAlign w:val="superscript"/>
        </w:rPr>
        <w:footnoteReference w:id="155"/>
      </w:r>
      <w:r>
        <w:rPr>
          <w:rFonts w:ascii="Times New Roman" w:eastAsia="Times New Roman" w:hAnsi="Times New Roman" w:cs="Times New Roman"/>
          <w:color w:val="000000"/>
          <w:sz w:val="24"/>
          <w:szCs w:val="24"/>
        </w:rPr>
        <w:t xml:space="preserve"> Whether an establishment “operates” during a particular month depends on whether it operates as an amusement or recreational establishment, organized camp, or religious or nonprofit educational conference center.</w:t>
      </w:r>
      <w:r>
        <w:rPr>
          <w:rFonts w:ascii="Times New Roman" w:eastAsia="Times New Roman" w:hAnsi="Times New Roman" w:cs="Times New Roman"/>
          <w:color w:val="000000"/>
          <w:sz w:val="24"/>
          <w:szCs w:val="24"/>
          <w:vertAlign w:val="superscript"/>
        </w:rPr>
        <w:footnoteReference w:id="156"/>
      </w:r>
      <w:r>
        <w:rPr>
          <w:rFonts w:ascii="Times New Roman" w:eastAsia="Times New Roman" w:hAnsi="Times New Roman" w:cs="Times New Roman"/>
          <w:color w:val="000000"/>
          <w:sz w:val="24"/>
          <w:szCs w:val="24"/>
        </w:rPr>
        <w:t xml:space="preserve"> “If an establishment engages only in activities such as maintenance operations or ordering supplies during the dead season, it is not considered to be operating for purposes of the exemption.”</w:t>
      </w:r>
      <w:r>
        <w:rPr>
          <w:rFonts w:ascii="Times New Roman" w:eastAsia="Times New Roman" w:hAnsi="Times New Roman" w:cs="Times New Roman"/>
          <w:color w:val="000000"/>
          <w:sz w:val="24"/>
          <w:szCs w:val="24"/>
          <w:vertAlign w:val="superscript"/>
        </w:rPr>
        <w:footnoteReference w:id="157"/>
      </w:r>
      <w:r>
        <w:rPr>
          <w:rFonts w:ascii="Times New Roman" w:eastAsia="Times New Roman" w:hAnsi="Times New Roman" w:cs="Times New Roman"/>
          <w:color w:val="000000"/>
          <w:sz w:val="24"/>
          <w:szCs w:val="24"/>
        </w:rPr>
        <w:t xml:space="preserve"> For example, the WHD has held that the fact that some lifeguards may work more than seven months in the year maintaining the equipment would not serve to deny the exemption under Section 213(a)(3), provided the establishment (the beach) was not open as a recreational facility (i.e., protected swimming) for more than seven months in any calendar year.</w:t>
      </w:r>
      <w:r>
        <w:rPr>
          <w:rFonts w:ascii="Times New Roman" w:eastAsia="Times New Roman" w:hAnsi="Times New Roman" w:cs="Times New Roman"/>
          <w:color w:val="000000"/>
          <w:sz w:val="24"/>
          <w:szCs w:val="24"/>
          <w:vertAlign w:val="superscript"/>
        </w:rPr>
        <w:footnoteReference w:id="158"/>
      </w:r>
    </w:p>
    <w:p w14:paraId="000000F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Jeffery v. Sarasota White Sox,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59"/>
      </w:r>
      <w:r>
        <w:rPr>
          <w:rFonts w:ascii="Times New Roman" w:eastAsia="Times New Roman" w:hAnsi="Times New Roman" w:cs="Times New Roman"/>
          <w:color w:val="000000"/>
          <w:sz w:val="24"/>
          <w:szCs w:val="24"/>
        </w:rPr>
        <w:t xml:space="preserve"> the Eleventh Circuit held that a facility need not shut down completely, or terminate every employee, in order to establish that it is inoperative for </w:t>
      </w:r>
      <w:r>
        <w:rPr>
          <w:rFonts w:ascii="Times New Roman" w:eastAsia="Times New Roman" w:hAnsi="Times New Roman" w:cs="Times New Roman"/>
          <w:color w:val="000000"/>
          <w:sz w:val="24"/>
          <w:szCs w:val="24"/>
        </w:rPr>
        <w:lastRenderedPageBreak/>
        <w:t>the requisite five months during a year.</w:t>
      </w:r>
      <w:r>
        <w:rPr>
          <w:rFonts w:ascii="Times New Roman" w:eastAsia="Times New Roman" w:hAnsi="Times New Roman" w:cs="Times New Roman"/>
          <w:color w:val="000000"/>
          <w:sz w:val="24"/>
          <w:szCs w:val="24"/>
          <w:vertAlign w:val="superscript"/>
        </w:rPr>
        <w:footnoteReference w:id="160"/>
      </w:r>
      <w:r>
        <w:rPr>
          <w:rFonts w:ascii="Times New Roman" w:eastAsia="Times New Roman" w:hAnsi="Times New Roman" w:cs="Times New Roman"/>
          <w:color w:val="000000"/>
          <w:sz w:val="24"/>
          <w:szCs w:val="24"/>
        </w:rPr>
        <w:t xml:space="preserve"> The court reasoned that because the exemption is based on the revenue-producing operation of a business, the inquiry focuses on the length of the seasonal operation, not on the length of time that the employee in question performed the work.</w:t>
      </w:r>
      <w:r>
        <w:rPr>
          <w:rFonts w:ascii="Times New Roman" w:eastAsia="Times New Roman" w:hAnsi="Times New Roman" w:cs="Times New Roman"/>
          <w:color w:val="000000"/>
          <w:sz w:val="24"/>
          <w:szCs w:val="24"/>
          <w:vertAlign w:val="superscript"/>
        </w:rPr>
        <w:footnoteReference w:id="161"/>
      </w:r>
      <w:r>
        <w:rPr>
          <w:rFonts w:ascii="Times New Roman" w:eastAsia="Times New Roman" w:hAnsi="Times New Roman" w:cs="Times New Roman"/>
          <w:color w:val="000000"/>
          <w:sz w:val="24"/>
          <w:szCs w:val="24"/>
        </w:rPr>
        <w:t xml:space="preserve"> Thus, the exemption applied to a groundskeeper employed in the off-season months to prepare and maintain the baseball fields because it was the revenue-producing operation of the Sarasota White Sox as a professional baseball franchise that afforded it the protection of the exemption.</w:t>
      </w:r>
      <w:r>
        <w:rPr>
          <w:rFonts w:ascii="Times New Roman" w:eastAsia="Times New Roman" w:hAnsi="Times New Roman" w:cs="Times New Roman"/>
          <w:color w:val="000000"/>
          <w:sz w:val="24"/>
          <w:szCs w:val="24"/>
          <w:vertAlign w:val="superscript"/>
        </w:rPr>
        <w:footnoteReference w:id="162"/>
      </w:r>
    </w:p>
    <w:p w14:paraId="000000F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Reaching a different result in another baseball case, the Sixth Circuit ruled that a Major League Baseball club did not qualify for the Section 213(a)(3) exemption where it employed 120 workers (out of a total of 700) year-round, notwithstanding the fact that baseball games were played for fewer than eight months during the year:</w:t>
      </w:r>
      <w:r>
        <w:rPr>
          <w:rFonts w:ascii="Times New Roman" w:eastAsia="Times New Roman" w:hAnsi="Times New Roman" w:cs="Times New Roman"/>
          <w:color w:val="000000"/>
          <w:sz w:val="24"/>
          <w:szCs w:val="24"/>
          <w:vertAlign w:val="superscript"/>
        </w:rPr>
        <w:footnoteReference w:id="163"/>
      </w:r>
    </w:p>
    <w:p w14:paraId="000000FA"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view of the stipulated facts, it seems to us that the parties incorrectly focus on the duration of the Reds’ activities at Riverfront rather than on the duration of the Reds’ overall operation. An entity seeking to invoke the Sec. 213(a)(3) exemption must both be an amusement or recreational establishment and operate for fewer than eight months per year. The Reds would have us conflate these separate requirements and instead ask whether the Reds are an establishment that stages amusement activities for fewer than eight months per year. There is nothing in the Act that would suggest that this is the correct approach. The proper inquiry is, assuming </w:t>
      </w:r>
      <w:r>
        <w:rPr>
          <w:rFonts w:ascii="Times New Roman" w:eastAsia="Times New Roman" w:hAnsi="Times New Roman" w:cs="Times New Roman"/>
          <w:i/>
          <w:color w:val="000000"/>
          <w:sz w:val="20"/>
          <w:szCs w:val="20"/>
        </w:rPr>
        <w:t xml:space="preserve">arguendo </w:t>
      </w:r>
      <w:r>
        <w:rPr>
          <w:rFonts w:ascii="Times New Roman" w:eastAsia="Times New Roman" w:hAnsi="Times New Roman" w:cs="Times New Roman"/>
          <w:color w:val="000000"/>
          <w:sz w:val="20"/>
          <w:szCs w:val="20"/>
        </w:rPr>
        <w:t>that the Reds are an amusement or recreational establishment, whether the Reds operate for more than seven months per year, not whether they are an entity that provides amusement or recreation for its customers for more than seven months per year.</w:t>
      </w:r>
      <w:r>
        <w:rPr>
          <w:rFonts w:ascii="Times New Roman" w:eastAsia="Times New Roman" w:hAnsi="Times New Roman" w:cs="Times New Roman"/>
          <w:color w:val="000000"/>
          <w:sz w:val="20"/>
          <w:szCs w:val="20"/>
          <w:vertAlign w:val="superscript"/>
        </w:rPr>
        <w:footnoteReference w:id="164"/>
      </w:r>
    </w:p>
    <w:p w14:paraId="000000FB"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court concluded that, “[w]hile a truly seasonal business that employs an insignificant number of workers year round could conceivably qualify for the exemption, the fact that the Reds employ 120 year-round workers compels the conclusion that they ‘operate’ year round.”</w:t>
      </w:r>
      <w:r>
        <w:rPr>
          <w:rFonts w:ascii="Times New Roman" w:eastAsia="Times New Roman" w:hAnsi="Times New Roman" w:cs="Times New Roman"/>
          <w:color w:val="000000"/>
          <w:sz w:val="24"/>
          <w:szCs w:val="24"/>
          <w:vertAlign w:val="superscript"/>
        </w:rPr>
        <w:footnoteReference w:id="165"/>
      </w:r>
    </w:p>
    <w:p w14:paraId="000000FC"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w:t>
      </w:r>
      <w:r>
        <w:rPr>
          <w:rFonts w:ascii="Times New Roman" w:eastAsia="Times New Roman" w:hAnsi="Times New Roman" w:cs="Times New Roman"/>
          <w:i/>
          <w:color w:val="000000"/>
          <w:sz w:val="24"/>
          <w:szCs w:val="24"/>
        </w:rPr>
        <w:tab/>
        <w:t>Test B: The 33 1/3% Test</w:t>
      </w:r>
    </w:p>
    <w:p w14:paraId="000000F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An amusement or recreational establishment, organized camp, or religious or nonprofit educational conference center will be exempt if “during the preceding calendar year, its average receipts for any six months of such year were not more than 33 1/3 per centum of its average </w:t>
      </w:r>
      <w:r>
        <w:rPr>
          <w:rFonts w:ascii="Times New Roman" w:eastAsia="Times New Roman" w:hAnsi="Times New Roman" w:cs="Times New Roman"/>
          <w:color w:val="000000"/>
          <w:sz w:val="24"/>
          <w:szCs w:val="24"/>
        </w:rPr>
        <w:lastRenderedPageBreak/>
        <w:t>receipts for the other six months of such year.”</w:t>
      </w:r>
      <w:r>
        <w:rPr>
          <w:rFonts w:ascii="Times New Roman" w:eastAsia="Times New Roman" w:hAnsi="Times New Roman" w:cs="Times New Roman"/>
          <w:color w:val="000000"/>
          <w:sz w:val="24"/>
          <w:szCs w:val="24"/>
          <w:vertAlign w:val="superscript"/>
        </w:rPr>
        <w:footnoteReference w:id="166"/>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provides guidance on identifying the six-month periods for comparison:</w:t>
      </w:r>
    </w:p>
    <w:p w14:paraId="000000FE"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Since the language of the statute refers to receipts for any 6 months (not necessarily consecutive months), the monthly average based on total receipts for the 6 individual months in which the receipts were smallest should be tested against the monthly average for 6 individual months when the receipts were largest to determine whether this test is met.</w:t>
      </w:r>
      <w:r>
        <w:rPr>
          <w:rFonts w:ascii="Times New Roman" w:eastAsia="Times New Roman" w:hAnsi="Times New Roman" w:cs="Times New Roman"/>
          <w:color w:val="000000"/>
          <w:sz w:val="20"/>
          <w:szCs w:val="20"/>
          <w:vertAlign w:val="superscript"/>
        </w:rPr>
        <w:footnoteReference w:id="167"/>
      </w:r>
    </w:p>
    <w:p w14:paraId="000000FF"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way of example, the Field Operations Handbook</w:t>
      </w:r>
    </w:p>
    <w:p w14:paraId="0000010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consider[s] an amusement or recreational establishment … [that] operated for nine months in the preceding calendar year. The establishment was closed during December, January, and February. The total receipts for May, June, July, August, September, and October (the 6 months in which the receipts were largest) totaled $260,000, a monthly average of $43,333; the total receipts for the other 6 months totaled $75,000, a monthly average of $12,500. Since the average receipts of the latter 6 months [$12,500] were not more than 33 1/3 percent of the average receipts for the other 6 months of the year [$14,430], the section 13(a)(3) exemptions will apply.</w:t>
      </w:r>
      <w:r>
        <w:rPr>
          <w:rFonts w:ascii="Times New Roman" w:eastAsia="Times New Roman" w:hAnsi="Times New Roman" w:cs="Times New Roman"/>
          <w:color w:val="000000"/>
          <w:sz w:val="20"/>
          <w:szCs w:val="20"/>
          <w:vertAlign w:val="superscript"/>
        </w:rPr>
        <w:footnoteReference w:id="168"/>
      </w:r>
    </w:p>
    <w:p w14:paraId="0000010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Bridewell v. Cincinnati Reds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69"/>
      </w:r>
      <w:r>
        <w:rPr>
          <w:rFonts w:ascii="Times New Roman" w:eastAsia="Times New Roman" w:hAnsi="Times New Roman" w:cs="Times New Roman"/>
          <w:color w:val="000000"/>
          <w:sz w:val="24"/>
          <w:szCs w:val="24"/>
        </w:rPr>
        <w:t xml:space="preserve"> the ballclub argued that its average receipts from the six-month off-season did not amount to more than 33 1/3 percent of its average receipts during the six-month baseball season, so that the exemption applied. “[T]he Reds receives [sic] money in the off-season for season-tickets and tickets for specific games, but does not record that money as income until the specific games are actually played.”</w:t>
      </w:r>
      <w:r>
        <w:rPr>
          <w:rFonts w:ascii="Times New Roman" w:eastAsia="Times New Roman" w:hAnsi="Times New Roman" w:cs="Times New Roman"/>
          <w:color w:val="000000"/>
          <w:sz w:val="24"/>
          <w:szCs w:val="24"/>
          <w:vertAlign w:val="superscript"/>
        </w:rPr>
        <w:footnoteReference w:id="170"/>
      </w:r>
      <w:r>
        <w:rPr>
          <w:rFonts w:ascii="Times New Roman" w:eastAsia="Times New Roman" w:hAnsi="Times New Roman" w:cs="Times New Roman"/>
          <w:color w:val="000000"/>
          <w:sz w:val="24"/>
          <w:szCs w:val="24"/>
        </w:rPr>
        <w:t xml:space="preserve"> Consequently, the case turned on whether “receipts” were properly calculated when the cash was received or at the time the revenue was recorded as income (the accrual method of accounting).</w:t>
      </w:r>
      <w:r>
        <w:rPr>
          <w:rFonts w:ascii="Times New Roman" w:eastAsia="Times New Roman" w:hAnsi="Times New Roman" w:cs="Times New Roman"/>
          <w:color w:val="000000"/>
          <w:sz w:val="24"/>
          <w:szCs w:val="24"/>
          <w:vertAlign w:val="superscript"/>
        </w:rPr>
        <w:footnoteReference w:id="171"/>
      </w:r>
      <w:r>
        <w:rPr>
          <w:rFonts w:ascii="Times New Roman" w:eastAsia="Times New Roman" w:hAnsi="Times New Roman" w:cs="Times New Roman"/>
          <w:color w:val="000000"/>
          <w:sz w:val="24"/>
          <w:szCs w:val="24"/>
        </w:rPr>
        <w:t xml:space="preserve"> The Sixth Circuit noted that a cash accounting method, where a company records money as income the moment it is received, “often fails accurately to reflect the nature of the business, especially where the company’s customers pay for products or services in advance.”</w:t>
      </w:r>
      <w:r>
        <w:rPr>
          <w:rFonts w:ascii="Times New Roman" w:eastAsia="Times New Roman" w:hAnsi="Times New Roman" w:cs="Times New Roman"/>
          <w:color w:val="000000"/>
          <w:sz w:val="24"/>
          <w:szCs w:val="24"/>
          <w:vertAlign w:val="superscript"/>
        </w:rPr>
        <w:footnoteReference w:id="172"/>
      </w:r>
      <w:r>
        <w:rPr>
          <w:rFonts w:ascii="Times New Roman" w:eastAsia="Times New Roman" w:hAnsi="Times New Roman" w:cs="Times New Roman"/>
          <w:color w:val="000000"/>
          <w:sz w:val="24"/>
          <w:szCs w:val="24"/>
        </w:rPr>
        <w:t xml:space="preserve"> Nevertheless, the Sixth Circuit ruled that the term “receipts” as used in the statute refers to money as it is actually received by the amusement establishments, and deemed the exemption inapplicable.</w:t>
      </w:r>
      <w:r>
        <w:rPr>
          <w:rFonts w:ascii="Times New Roman" w:eastAsia="Times New Roman" w:hAnsi="Times New Roman" w:cs="Times New Roman"/>
          <w:color w:val="000000"/>
          <w:sz w:val="24"/>
          <w:szCs w:val="24"/>
          <w:vertAlign w:val="superscript"/>
        </w:rPr>
        <w:footnoteReference w:id="173"/>
      </w:r>
    </w:p>
    <w:p w14:paraId="0000010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some cases, the “receipts” test cannot be used by a government entity in determining seasonality.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provides that under Section 213(a)(3)(B), “‘receipts’ are fees received from admissions.”</w:t>
      </w:r>
      <w:r>
        <w:rPr>
          <w:rFonts w:ascii="Times New Roman" w:eastAsia="Times New Roman" w:hAnsi="Times New Roman" w:cs="Times New Roman"/>
          <w:color w:val="000000"/>
          <w:sz w:val="24"/>
          <w:szCs w:val="24"/>
          <w:vertAlign w:val="superscript"/>
        </w:rPr>
        <w:footnoteReference w:id="174"/>
      </w:r>
      <w:r>
        <w:rPr>
          <w:rFonts w:ascii="Times New Roman" w:eastAsia="Times New Roman" w:hAnsi="Times New Roman" w:cs="Times New Roman"/>
          <w:color w:val="000000"/>
          <w:sz w:val="24"/>
          <w:szCs w:val="24"/>
        </w:rPr>
        <w:t xml:space="preserve"> Therefore, a state or local government-operated amusement or recreational establishment whose operating costs are met primarily from tax funds fails to qualify for the exemption based on the receipts test.</w:t>
      </w:r>
      <w:r>
        <w:rPr>
          <w:rFonts w:ascii="Times New Roman" w:eastAsia="Times New Roman" w:hAnsi="Times New Roman" w:cs="Times New Roman"/>
          <w:color w:val="000000"/>
          <w:sz w:val="24"/>
          <w:szCs w:val="24"/>
          <w:vertAlign w:val="superscript"/>
        </w:rPr>
        <w:footnoteReference w:id="175"/>
      </w:r>
      <w:r>
        <w:rPr>
          <w:rFonts w:ascii="Times New Roman" w:eastAsia="Times New Roman" w:hAnsi="Times New Roman" w:cs="Times New Roman"/>
          <w:color w:val="000000"/>
          <w:sz w:val="24"/>
          <w:szCs w:val="24"/>
        </w:rPr>
        <w:t xml:space="preserve"> However, as the Tenth Circuit ruled in </w:t>
      </w:r>
      <w:r>
        <w:rPr>
          <w:rFonts w:ascii="Times New Roman" w:eastAsia="Times New Roman" w:hAnsi="Times New Roman" w:cs="Times New Roman"/>
          <w:i/>
          <w:color w:val="000000"/>
          <w:sz w:val="24"/>
          <w:szCs w:val="24"/>
        </w:rPr>
        <w:t>Hays v. City of Pauls Valley</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76"/>
      </w:r>
      <w:r>
        <w:rPr>
          <w:rFonts w:ascii="Times New Roman" w:eastAsia="Times New Roman" w:hAnsi="Times New Roman" w:cs="Times New Roman"/>
          <w:color w:val="000000"/>
          <w:sz w:val="24"/>
          <w:szCs w:val="24"/>
        </w:rPr>
        <w:t xml:space="preserve"> where a government-operated establishment, in this case a city golf course, had “substantial private receipts,” it will “qualif[y] as an exempt recreational establishment.”</w:t>
      </w:r>
      <w:r>
        <w:rPr>
          <w:rFonts w:ascii="Times New Roman" w:eastAsia="Times New Roman" w:hAnsi="Times New Roman" w:cs="Times New Roman"/>
          <w:color w:val="000000"/>
          <w:sz w:val="24"/>
          <w:szCs w:val="24"/>
          <w:vertAlign w:val="superscript"/>
        </w:rPr>
        <w:footnoteReference w:id="177"/>
      </w:r>
      <w:r>
        <w:rPr>
          <w:rFonts w:ascii="Times New Roman" w:eastAsia="Times New Roman" w:hAnsi="Times New Roman" w:cs="Times New Roman"/>
          <w:color w:val="000000"/>
          <w:sz w:val="24"/>
          <w:szCs w:val="24"/>
        </w:rPr>
        <w:t xml:space="preserve"> </w:t>
      </w:r>
    </w:p>
    <w:p w14:paraId="0000010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2021 opinion letter, the Administrator addressed the application of the “receipts test” to a nonprofit religious ministry that ran a ranch-style camp and retreat center that operated year-round but had distinct high and slow seasons.</w:t>
      </w:r>
      <w:r>
        <w:rPr>
          <w:rFonts w:ascii="Times New Roman" w:eastAsia="Times New Roman" w:hAnsi="Times New Roman" w:cs="Times New Roman"/>
          <w:color w:val="000000"/>
          <w:sz w:val="20"/>
          <w:szCs w:val="20"/>
          <w:vertAlign w:val="superscript"/>
        </w:rPr>
        <w:footnoteReference w:id="178"/>
      </w:r>
      <w:r>
        <w:rPr>
          <w:rFonts w:ascii="Times New Roman" w:eastAsia="Times New Roman" w:hAnsi="Times New Roman" w:cs="Times New Roman"/>
          <w:color w:val="000000"/>
          <w:sz w:val="24"/>
          <w:szCs w:val="24"/>
        </w:rPr>
        <w:t xml:space="preserve"> The entity used an accrual accounting method in which revenue was recognized as received at the time the entity provided the corresponding service. In addition, the organization received both solicited and unsolicited charitable donations throughout the year and asked whether it must include all types of charitable donations when calculating its average receipts. The Administrator determined that in Section 213(a)(3)(B), “receipts” refers to money actually received by the employer in exchange for goods and/or services at the time it was received: </w:t>
      </w:r>
    </w:p>
    <w:p w14:paraId="0000010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Although WHD has neither squarely answered this question in its regulations nor addressed the issue in its opinion letters, this opinion aligns with numerous letters cited above that recount the requirements of Section 13(a)(3)(b). WHD has never applied the Receipts Test based on revenue or in an accrual accounting context.</w:t>
      </w:r>
      <w:r>
        <w:rPr>
          <w:rFonts w:ascii="Times New Roman" w:eastAsia="Times New Roman" w:hAnsi="Times New Roman" w:cs="Times New Roman"/>
          <w:color w:val="000000"/>
          <w:sz w:val="20"/>
          <w:szCs w:val="20"/>
          <w:vertAlign w:val="superscript"/>
        </w:rPr>
        <w:footnoteReference w:id="179"/>
      </w:r>
      <w:r>
        <w:rPr>
          <w:rFonts w:ascii="Times New Roman" w:eastAsia="Times New Roman" w:hAnsi="Times New Roman" w:cs="Times New Roman"/>
          <w:color w:val="000000"/>
          <w:sz w:val="20"/>
          <w:szCs w:val="20"/>
        </w:rPr>
        <w:t xml:space="preserve"> </w:t>
      </w:r>
    </w:p>
    <w:p w14:paraId="0000010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respect to the question of charitable gifts and donations counting as receipts, the Administrator concluded:</w:t>
      </w:r>
    </w:p>
    <w:p w14:paraId="0000010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purposes of the Receipts Test, an amusement or recreational establishment, organized camp, or religious or non-profit educational conference center must include all payments received in exchange for an amusement or recreational product or service provided by the entity to the giver. Bona fide charitable gifts and donations are not such payments and, therefore are not counted under the Receipts Test.</w:t>
      </w:r>
      <w:r>
        <w:rPr>
          <w:rFonts w:ascii="Times New Roman" w:eastAsia="Times New Roman" w:hAnsi="Times New Roman" w:cs="Times New Roman"/>
          <w:color w:val="000000"/>
          <w:sz w:val="20"/>
          <w:szCs w:val="20"/>
          <w:vertAlign w:val="superscript"/>
        </w:rPr>
        <w:footnoteReference w:id="180"/>
      </w:r>
    </w:p>
    <w:p w14:paraId="00000107"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w:t>
      </w:r>
      <w:r>
        <w:rPr>
          <w:rFonts w:ascii="Times New Roman" w:eastAsia="Times New Roman" w:hAnsi="Times New Roman" w:cs="Times New Roman"/>
          <w:i/>
          <w:color w:val="000000"/>
          <w:sz w:val="24"/>
          <w:szCs w:val="24"/>
        </w:rPr>
        <w:tab/>
        <w:t>Application of Tests A and B: “New Business”</w:t>
      </w:r>
    </w:p>
    <w:p w14:paraId="0000010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provides guidance for applying Tests A and B to a new business.</w:t>
      </w:r>
    </w:p>
    <w:p w14:paraId="0000010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(a)</w:t>
      </w:r>
      <w:r>
        <w:rPr>
          <w:rFonts w:ascii="Times New Roman" w:eastAsia="Times New Roman" w:hAnsi="Times New Roman" w:cs="Times New Roman"/>
          <w:color w:val="000000"/>
          <w:sz w:val="20"/>
          <w:szCs w:val="20"/>
        </w:rPr>
        <w:t> Tests A and B refer to a calendar year throughout which the operations of [an] establishment can be tested to determine its character as a seasonally operated place of business. In the case of a new business, Tests A and B are to be applied as follows: </w:t>
      </w:r>
    </w:p>
    <w:p w14:paraId="0000010A"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(1) Test A</w:t>
      </w:r>
    </w:p>
    <w:p w14:paraId="0000010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Generally, Test A is not met by a new business establishment which has operated for no more than 7 months in a calendar year for the reason that its business operations did not start until a considerable portion of the year had elapsed. If, however, the character of the establishment is that of an “amusement or recreational establishment, organized camp, or religious or non-profit educational conference center” whose operations are shown by acceptable evidence to be subject to seasonal factors which would require the establishment to cease operations for 5 months or more in the calendar year even if it had been in business for the entire calendar year, the new business establishment may meet the requirements of Test A so that its employees will be exempt. For example, an employer may open a new ski slope establishment in November under circumstances where it is clear that the establishment would have operated less than 7 months in the year regardless of the date it began operations. In such a case the establishment could claim the exemption under Test A.</w:t>
      </w:r>
    </w:p>
    <w:p w14:paraId="0000010C"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(2) Test B</w:t>
      </w:r>
    </w:p>
    <w:p w14:paraId="0000010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Test B is based on the establishment’s experience “during the preceding calendar year.” Generally this requires an entire year’s experience to apply Test B in order to make the necessary calculation. However, in the case of a new business where there is no preceding calendar year on which to apply Test B, the WHD will apply the following criteria in determining the applicability of section 13(a)(3)(B):</w:t>
      </w:r>
    </w:p>
    <w:p w14:paraId="0000010E"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a. If the enterprise of which the new establishment is a part operates other seasonal amusement or recreational establishments, organized camps, or religious or non-profit educational conference centers of the same type in the same general area under substantially the same conditions and </w:t>
      </w:r>
      <w:r>
        <w:rPr>
          <w:rFonts w:ascii="Times New Roman" w:eastAsia="Times New Roman" w:hAnsi="Times New Roman" w:cs="Times New Roman"/>
          <w:i/>
          <w:color w:val="000000"/>
          <w:sz w:val="20"/>
          <w:szCs w:val="20"/>
        </w:rPr>
        <w:t>all</w:t>
      </w:r>
      <w:r>
        <w:rPr>
          <w:rFonts w:ascii="Times New Roman" w:eastAsia="Times New Roman" w:hAnsi="Times New Roman" w:cs="Times New Roman"/>
          <w:color w:val="000000"/>
          <w:sz w:val="20"/>
          <w:szCs w:val="20"/>
        </w:rPr>
        <w:t xml:space="preserve"> such establishments conclusively and clearly meet the condition of Test B; </w:t>
      </w:r>
      <w:r>
        <w:rPr>
          <w:rFonts w:ascii="Times New Roman" w:eastAsia="Times New Roman" w:hAnsi="Times New Roman" w:cs="Times New Roman"/>
          <w:i/>
          <w:color w:val="000000"/>
          <w:sz w:val="20"/>
          <w:szCs w:val="20"/>
        </w:rPr>
        <w:t>or</w:t>
      </w:r>
    </w:p>
    <w:p w14:paraId="0000010F"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b. If such employer does not have other such establishments but other employers operating the same type of establishment in the same general area under substantially the same conditions and manner of operation clearly are entitled to exemption under Test B.</w:t>
      </w:r>
    </w:p>
    <w:p w14:paraId="0000011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b/>
          <w:color w:val="000000"/>
          <w:sz w:val="20"/>
          <w:szCs w:val="20"/>
        </w:rPr>
        <w:t>(b)</w:t>
      </w:r>
      <w:r>
        <w:rPr>
          <w:rFonts w:ascii="Times New Roman" w:eastAsia="Times New Roman" w:hAnsi="Times New Roman" w:cs="Times New Roman"/>
          <w:color w:val="000000"/>
          <w:sz w:val="20"/>
          <w:szCs w:val="20"/>
        </w:rPr>
        <w:t> The WHD will consider the exemption applicable in the year the new establishment begins operation if either of these tests are met </w:t>
      </w:r>
      <w:r>
        <w:rPr>
          <w:rFonts w:ascii="Times New Roman" w:eastAsia="Times New Roman" w:hAnsi="Times New Roman" w:cs="Times New Roman"/>
          <w:i/>
          <w:color w:val="000000"/>
          <w:sz w:val="20"/>
          <w:szCs w:val="20"/>
        </w:rPr>
        <w:t xml:space="preserve">provided, </w:t>
      </w:r>
      <w:r>
        <w:rPr>
          <w:rFonts w:ascii="Times New Roman" w:eastAsia="Times New Roman" w:hAnsi="Times New Roman" w:cs="Times New Roman"/>
          <w:color w:val="000000"/>
          <w:sz w:val="20"/>
          <w:szCs w:val="20"/>
        </w:rPr>
        <w:t>however, that in the event after a year’s operation the establishment does not qualify under Test B, proper minimum wage and overtime is paid retroactively.</w:t>
      </w:r>
      <w:r>
        <w:rPr>
          <w:rFonts w:ascii="Times New Roman" w:eastAsia="Times New Roman" w:hAnsi="Times New Roman" w:cs="Times New Roman"/>
          <w:color w:val="000000"/>
          <w:sz w:val="20"/>
          <w:szCs w:val="20"/>
          <w:vertAlign w:val="superscript"/>
        </w:rPr>
        <w:footnoteReference w:id="181"/>
      </w:r>
    </w:p>
    <w:p w14:paraId="0000011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The Second Circuit, in </w:t>
      </w:r>
      <w:r>
        <w:rPr>
          <w:rFonts w:ascii="Times New Roman" w:eastAsia="Times New Roman" w:hAnsi="Times New Roman" w:cs="Times New Roman"/>
          <w:i/>
          <w:color w:val="000000"/>
          <w:sz w:val="24"/>
          <w:szCs w:val="24"/>
        </w:rPr>
        <w:t>Hill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Delaware North Cos</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Sportservice,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82"/>
      </w:r>
      <w:r>
        <w:rPr>
          <w:rFonts w:ascii="Times New Roman" w:eastAsia="Times New Roman" w:hAnsi="Times New Roman" w:cs="Times New Roman"/>
          <w:color w:val="000000"/>
          <w:sz w:val="24"/>
          <w:szCs w:val="24"/>
        </w:rPr>
        <w:t xml:space="preserve"> applied New Business Test B in holding that an operator of food, beverage, and merchandise concessions at a seasonally operated ballpark qualified for the amusement or recreational establishment exemption. The court granted the New Business Test B </w:t>
      </w:r>
      <w:r>
        <w:rPr>
          <w:rFonts w:ascii="Times New Roman" w:eastAsia="Times New Roman" w:hAnsi="Times New Roman" w:cs="Times New Roman"/>
          <w:i/>
          <w:color w:val="000000"/>
          <w:sz w:val="24"/>
          <w:szCs w:val="24"/>
        </w:rPr>
        <w:t xml:space="preserve">Skidmore </w:t>
      </w:r>
      <w:r>
        <w:rPr>
          <w:rFonts w:ascii="Times New Roman" w:eastAsia="Times New Roman" w:hAnsi="Times New Roman" w:cs="Times New Roman"/>
          <w:color w:val="000000"/>
          <w:sz w:val="24"/>
          <w:szCs w:val="24"/>
        </w:rPr>
        <w:t>deference, noting “the ‘thoroughness evident in [DOL’s] consideration’ and ‘validity of its reasoning’ and because we have not found any contrary interpretive statements from the DOL.”</w:t>
      </w:r>
      <w:r>
        <w:rPr>
          <w:rFonts w:ascii="Times New Roman" w:eastAsia="Times New Roman" w:hAnsi="Times New Roman" w:cs="Times New Roman"/>
          <w:color w:val="000000"/>
          <w:sz w:val="24"/>
          <w:szCs w:val="24"/>
          <w:vertAlign w:val="superscript"/>
        </w:rPr>
        <w:footnoteReference w:id="183"/>
      </w:r>
    </w:p>
    <w:p w14:paraId="00000112"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w:t>
      </w:r>
      <w:r>
        <w:rPr>
          <w:rFonts w:ascii="Times New Roman" w:eastAsia="Times New Roman" w:hAnsi="Times New Roman" w:cs="Times New Roman"/>
          <w:i/>
          <w:color w:val="000000"/>
          <w:sz w:val="24"/>
          <w:szCs w:val="24"/>
        </w:rPr>
        <w:tab/>
        <w:t xml:space="preserve">Revenue-Producing Activities; Maintenance and Construction Work in the “Off </w:t>
      </w:r>
      <w:r>
        <w:rPr>
          <w:rFonts w:ascii="Times New Roman" w:eastAsia="Times New Roman" w:hAnsi="Times New Roman" w:cs="Times New Roman"/>
          <w:i/>
          <w:color w:val="000000"/>
          <w:sz w:val="24"/>
          <w:szCs w:val="24"/>
        </w:rPr>
        <w:tab/>
        <w:t>Season”</w:t>
      </w:r>
    </w:p>
    <w:p w14:paraId="0000011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Hill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Delaware North Cos</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Sportservice,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84"/>
      </w:r>
      <w:r>
        <w:rPr>
          <w:rFonts w:ascii="Times New Roman" w:eastAsia="Times New Roman" w:hAnsi="Times New Roman" w:cs="Times New Roman"/>
          <w:color w:val="000000"/>
          <w:sz w:val="24"/>
          <w:szCs w:val="24"/>
        </w:rPr>
        <w:t xml:space="preserve"> the Second Circuit noted that while most of the business at Oriole Park, a Major League Baseball park, was tied to baseball games occurring during a baseball season lasting no more than seven months, the concessionaire continued to operate a team store and brew pub during the off season. Although not agreeing with the proposition that a “recreational establishment is not operating if it is ‘not open as a </w:t>
      </w:r>
      <w:r>
        <w:rPr>
          <w:rFonts w:ascii="Times New Roman" w:eastAsia="Times New Roman" w:hAnsi="Times New Roman" w:cs="Times New Roman"/>
          <w:color w:val="000000"/>
          <w:sz w:val="24"/>
          <w:szCs w:val="24"/>
        </w:rPr>
        <w:lastRenderedPageBreak/>
        <w:t>recreational facility,’” at least, as in this case, where the off-season activities were revenue-</w:t>
      </w:r>
      <w:r>
        <w:rPr>
          <w:rFonts w:ascii="Times New Roman" w:eastAsia="Times New Roman" w:hAnsi="Times New Roman" w:cs="Times New Roman"/>
          <w:color w:val="000000"/>
          <w:sz w:val="24"/>
          <w:szCs w:val="24"/>
        </w:rPr>
        <w:br/>
        <w:t>producing, as opposed to maintenance, the court found it unnecessary to adopt a “bind[ing] … rule as to whether and when revenue-producing operations that are not for amusement or recreational purposes should count toward the seasonal operations test’s seven month limit,” because the concessionaire satisfied the receipts test.</w:t>
      </w:r>
      <w:r>
        <w:rPr>
          <w:rFonts w:ascii="Times New Roman" w:eastAsia="Times New Roman" w:hAnsi="Times New Roman" w:cs="Times New Roman"/>
          <w:color w:val="000000"/>
          <w:sz w:val="24"/>
          <w:szCs w:val="24"/>
          <w:vertAlign w:val="superscript"/>
        </w:rPr>
        <w:footnoteReference w:id="185"/>
      </w:r>
      <w:r>
        <w:rPr>
          <w:rFonts w:ascii="Times New Roman" w:eastAsia="Times New Roman" w:hAnsi="Times New Roman" w:cs="Times New Roman"/>
          <w:color w:val="000000"/>
          <w:sz w:val="24"/>
          <w:szCs w:val="24"/>
        </w:rPr>
        <w:t xml:space="preserve"> </w:t>
      </w:r>
    </w:p>
    <w:p w14:paraId="0000011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WHD Administrator has stated that “employees of a Section 213(a)(3) exempt establishment who engage in construction or reconstruction work do not qualify for the Section 213(a)(3) exemption in any workweek in which they are so engaged.”</w:t>
      </w:r>
      <w:r>
        <w:rPr>
          <w:rFonts w:ascii="Times New Roman" w:eastAsia="Times New Roman" w:hAnsi="Times New Roman" w:cs="Times New Roman"/>
          <w:color w:val="000000"/>
          <w:sz w:val="24"/>
          <w:szCs w:val="24"/>
          <w:vertAlign w:val="superscript"/>
        </w:rPr>
        <w:footnoteReference w:id="186"/>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Brennan v. Six Flags Over Georgia, Ltd.</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87"/>
      </w:r>
      <w:r>
        <w:rPr>
          <w:rFonts w:ascii="Times New Roman" w:eastAsia="Times New Roman" w:hAnsi="Times New Roman" w:cs="Times New Roman"/>
          <w:color w:val="000000"/>
          <w:sz w:val="24"/>
          <w:szCs w:val="24"/>
        </w:rPr>
        <w:t xml:space="preserve"> the Fifth Circuit held that maintenance employees erecting new structures, buildings, and places of entertainment at an amusement park were not exempt from the FLSA’s overtime provision because if a general contractor had been hired to do that work, the contractor would not have been operating a recreational establishment.</w:t>
      </w:r>
      <w:r>
        <w:rPr>
          <w:rFonts w:ascii="Times New Roman" w:eastAsia="Times New Roman" w:hAnsi="Times New Roman" w:cs="Times New Roman"/>
          <w:color w:val="000000"/>
          <w:sz w:val="24"/>
          <w:szCs w:val="24"/>
          <w:vertAlign w:val="superscript"/>
        </w:rPr>
        <w:footnoteReference w:id="188"/>
      </w:r>
    </w:p>
    <w:p w14:paraId="0000011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the other hand, “maintenance employees who engage in maintenance and repair work which is a routine, normal incident to the operation of the exempt summer camp would come within the [Section 213(a)(3)] exemption for the entire year.”</w:t>
      </w:r>
      <w:r>
        <w:rPr>
          <w:rFonts w:ascii="Times New Roman" w:eastAsia="Times New Roman" w:hAnsi="Times New Roman" w:cs="Times New Roman"/>
          <w:color w:val="000000"/>
          <w:sz w:val="24"/>
          <w:szCs w:val="24"/>
          <w:vertAlign w:val="superscript"/>
        </w:rPr>
        <w:footnoteReference w:id="189"/>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McMillan v. Boy Scouts of</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America-Aloha Council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90"/>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district court found that a properties superintendent/camp ranger who worked year-round came within the Section 213(a)(3) exemption where his duties included a variety of maintenance functions such as servicing the swimming pool, lodging areas, and the campsite’s vehicles; performing yard work; inspecting safety equipment; checking in guests; and scheduling service projects.</w:t>
      </w:r>
      <w:r>
        <w:rPr>
          <w:rFonts w:ascii="Times New Roman" w:eastAsia="Times New Roman" w:hAnsi="Times New Roman" w:cs="Times New Roman"/>
          <w:color w:val="000000"/>
          <w:sz w:val="24"/>
          <w:szCs w:val="24"/>
          <w:vertAlign w:val="superscript"/>
        </w:rPr>
        <w:footnoteReference w:id="191"/>
      </w:r>
    </w:p>
    <w:p w14:paraId="00000116"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b/>
          <w:color w:val="000000"/>
          <w:sz w:val="24"/>
          <w:szCs w:val="24"/>
        </w:rPr>
        <w:tab/>
        <w:t>Employees Engaged in Fishing or First Processing at Sea of Aquatic Products</w:t>
      </w:r>
    </w:p>
    <w:p w14:paraId="0000011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213(a)(5) exempts employees who engage in fishing or first processing at sea of aquatic products from the FLSA’s minimum wage and overtime provisions. The 1961 amendments removed from the exemption the so-called onshore activities and left “the exemption applicable to ‘offshore’ activities connected with the procurement of the aquatic products.”</w:t>
      </w:r>
      <w:r>
        <w:rPr>
          <w:rFonts w:ascii="Times New Roman" w:eastAsia="Times New Roman" w:hAnsi="Times New Roman" w:cs="Times New Roman"/>
          <w:color w:val="000000"/>
          <w:sz w:val="24"/>
          <w:szCs w:val="24"/>
          <w:vertAlign w:val="superscript"/>
        </w:rPr>
        <w:footnoteReference w:id="192"/>
      </w:r>
    </w:p>
    <w:p w14:paraId="0000011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DOL regulations,</w:t>
      </w:r>
    </w:p>
    <w:p w14:paraId="0000011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the purpose of the section 13(a)(5) exemption [was] to exempt from the minimum wage and overtime provisions of the Act employment in those activities in the fishing industry which are controlled or materially affected by natural factors or elements such as the vicissitudes of the weather, the changeable conditions of the water, the run of the catch, and the perishability of the products obtained.</w:t>
      </w:r>
      <w:r>
        <w:rPr>
          <w:rFonts w:ascii="Times New Roman" w:eastAsia="Times New Roman" w:hAnsi="Times New Roman" w:cs="Times New Roman"/>
          <w:color w:val="000000"/>
          <w:sz w:val="20"/>
          <w:szCs w:val="20"/>
          <w:vertAlign w:val="superscript"/>
        </w:rPr>
        <w:footnoteReference w:id="193"/>
      </w:r>
    </w:p>
    <w:p w14:paraId="0000011A"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Thus, the exemption applies to:</w:t>
      </w:r>
    </w:p>
    <w:p w14:paraId="0000011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any employee employed in the catching, taking, propagating, harvesting, cultivating, or farming</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of any kind of fish, shell-fish, crustacea, sponges, seaweeds, or other aquatic forms of animal and vegetable life, or in the first processing, canning or packing such marine products at sea as an incident to, or in conjunction with, such fishing operations, including the going to and ­returning from work and loading and unloading when performed by any such employee.</w:t>
      </w:r>
      <w:r>
        <w:rPr>
          <w:rFonts w:ascii="Times New Roman" w:eastAsia="Times New Roman" w:hAnsi="Times New Roman" w:cs="Times New Roman"/>
          <w:color w:val="000000"/>
          <w:sz w:val="20"/>
          <w:szCs w:val="20"/>
          <w:vertAlign w:val="superscript"/>
        </w:rPr>
        <w:footnoteReference w:id="194"/>
      </w:r>
      <w:r>
        <w:rPr>
          <w:rFonts w:ascii="Times New Roman" w:eastAsia="Times New Roman" w:hAnsi="Times New Roman" w:cs="Times New Roman"/>
          <w:color w:val="000000"/>
          <w:sz w:val="20"/>
          <w:szCs w:val="20"/>
        </w:rPr>
        <w:t xml:space="preserve"> </w:t>
      </w:r>
    </w:p>
    <w:p w14:paraId="0000011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exemption is applicable only to those employees who are “employed in” the named operations.</w:t>
      </w:r>
      <w:r>
        <w:rPr>
          <w:rFonts w:ascii="Times New Roman" w:eastAsia="Times New Roman" w:hAnsi="Times New Roman" w:cs="Times New Roman"/>
          <w:color w:val="000000"/>
          <w:sz w:val="24"/>
          <w:szCs w:val="24"/>
          <w:vertAlign w:val="superscript"/>
        </w:rPr>
        <w:footnoteReference w:id="195"/>
      </w:r>
      <w:r>
        <w:rPr>
          <w:rFonts w:ascii="Times New Roman" w:eastAsia="Times New Roman" w:hAnsi="Times New Roman" w:cs="Times New Roman"/>
          <w:color w:val="000000"/>
          <w:sz w:val="24"/>
          <w:szCs w:val="24"/>
        </w:rPr>
        <w:t xml:space="preserve"> An employee is considered to be “employed in” such an operation where (1) the employee’s work “is an essential and integrated step in performing such named operation,” or (2) the employee is engaged in activities that are “functionally so related to a named operation under the particular facts and circumstances that they are necessary to the conduct of such operation and [the] employment is, as a practical matter, necessarily and directly a part of carrying on the operation for which exemption was intended.”</w:t>
      </w:r>
      <w:r>
        <w:rPr>
          <w:rFonts w:ascii="Times New Roman" w:eastAsia="Times New Roman" w:hAnsi="Times New Roman" w:cs="Times New Roman"/>
          <w:color w:val="000000"/>
          <w:sz w:val="24"/>
          <w:szCs w:val="24"/>
          <w:vertAlign w:val="superscript"/>
        </w:rPr>
        <w:footnoteReference w:id="196"/>
      </w:r>
      <w:r>
        <w:rPr>
          <w:rFonts w:ascii="Times New Roman" w:eastAsia="Times New Roman" w:hAnsi="Times New Roman" w:cs="Times New Roman"/>
          <w:color w:val="000000"/>
          <w:sz w:val="24"/>
          <w:szCs w:val="24"/>
        </w:rPr>
        <w:t xml:space="preserve"> For example in </w:t>
      </w:r>
      <w:r>
        <w:rPr>
          <w:rFonts w:ascii="Times New Roman" w:eastAsia="Times New Roman" w:hAnsi="Times New Roman" w:cs="Times New Roman"/>
          <w:i/>
          <w:color w:val="000000"/>
          <w:sz w:val="24"/>
          <w:szCs w:val="24"/>
        </w:rPr>
        <w:t>Do v. Ocean Peace,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97"/>
      </w:r>
      <w:r>
        <w:rPr>
          <w:rFonts w:ascii="Times New Roman" w:eastAsia="Times New Roman" w:hAnsi="Times New Roman" w:cs="Times New Roman"/>
          <w:color w:val="000000"/>
          <w:sz w:val="24"/>
          <w:szCs w:val="24"/>
        </w:rPr>
        <w:t xml:space="preserve"> a “housekeeper” on a fishing trawler came within the scope of the exemption given her concession that the processing operation could not go on without her housekeeping functions. </w:t>
      </w:r>
    </w:p>
    <w:p w14:paraId="0000011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is also possible for an employee to come within the scope of the exemption even though the employee does not directly participate in the physical acts performed on the enumerated marine products in carrying on the operations named in Section 213(a)(5).</w:t>
      </w:r>
      <w:r>
        <w:rPr>
          <w:rFonts w:ascii="Times New Roman" w:eastAsia="Times New Roman" w:hAnsi="Times New Roman" w:cs="Times New Roman"/>
          <w:color w:val="000000"/>
          <w:sz w:val="24"/>
          <w:szCs w:val="24"/>
          <w:vertAlign w:val="superscript"/>
        </w:rPr>
        <w:footnoteReference w:id="198"/>
      </w:r>
      <w:r>
        <w:rPr>
          <w:rFonts w:ascii="Times New Roman" w:eastAsia="Times New Roman" w:hAnsi="Times New Roman" w:cs="Times New Roman"/>
          <w:color w:val="000000"/>
          <w:sz w:val="24"/>
          <w:szCs w:val="24"/>
        </w:rPr>
        <w:t xml:space="preserve"> However, it is not enough to simply be hired by an employer engaged in one or more of the named operations or employed by an establishment or in an industry in which operations enumerated in Section 213(a)(5) are performed.</w:t>
      </w:r>
      <w:r>
        <w:rPr>
          <w:rFonts w:ascii="Times New Roman" w:eastAsia="Times New Roman" w:hAnsi="Times New Roman" w:cs="Times New Roman"/>
          <w:color w:val="000000"/>
          <w:sz w:val="24"/>
          <w:szCs w:val="24"/>
          <w:vertAlign w:val="superscript"/>
        </w:rPr>
        <w:footnoteReference w:id="199"/>
      </w:r>
    </w:p>
    <w:p w14:paraId="0000011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meet the requirements for “first processing, canning, or packing of marine products,” there must be a showing that such operations are performed as an incident to, or in conjunction with, fishing operations of the vessel; that such operations are performed at sea; and that such </w:t>
      </w:r>
      <w:r>
        <w:rPr>
          <w:rFonts w:ascii="Times New Roman" w:eastAsia="Times New Roman" w:hAnsi="Times New Roman" w:cs="Times New Roman"/>
          <w:color w:val="000000"/>
          <w:sz w:val="24"/>
          <w:szCs w:val="24"/>
        </w:rPr>
        <w:lastRenderedPageBreak/>
        <w:t>operations are performed on the marine products specified in the statute.</w:t>
      </w:r>
      <w:r>
        <w:rPr>
          <w:rFonts w:ascii="Times New Roman" w:eastAsia="Times New Roman" w:hAnsi="Times New Roman" w:cs="Times New Roman"/>
          <w:color w:val="000000"/>
          <w:sz w:val="24"/>
          <w:szCs w:val="24"/>
          <w:vertAlign w:val="superscript"/>
        </w:rPr>
        <w:footnoteReference w:id="200"/>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Do v. Ocean Peace,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201"/>
      </w:r>
      <w:r>
        <w:rPr>
          <w:rFonts w:ascii="Times New Roman" w:eastAsia="Times New Roman" w:hAnsi="Times New Roman" w:cs="Times New Roman"/>
          <w:color w:val="000000"/>
          <w:sz w:val="24"/>
          <w:szCs w:val="24"/>
        </w:rPr>
        <w:t xml:space="preserve"> the Ninth Circuit rejected a proffered interpretation of the word “first” in Section 213(a)(5) to imply that, for the exemption to apply, there must be some sort of “second” or final processing beyond the immediate measures required to preserve the fish,</w:t>
      </w:r>
      <w:r>
        <w:rPr>
          <w:rFonts w:ascii="Times New Roman" w:eastAsia="Times New Roman" w:hAnsi="Times New Roman" w:cs="Times New Roman"/>
          <w:color w:val="000000"/>
          <w:sz w:val="24"/>
          <w:szCs w:val="24"/>
          <w:vertAlign w:val="superscript"/>
        </w:rPr>
        <w:footnoteReference w:id="202"/>
      </w:r>
      <w:r>
        <w:rPr>
          <w:rFonts w:ascii="Times New Roman" w:eastAsia="Times New Roman" w:hAnsi="Times New Roman" w:cs="Times New Roman"/>
          <w:color w:val="000000"/>
          <w:sz w:val="24"/>
          <w:szCs w:val="24"/>
        </w:rPr>
        <w:t xml:space="preserve"> as inconsistent with the operative DOL regulations:</w:t>
      </w:r>
    </w:p>
    <w:p w14:paraId="0000011F"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regulations define “first processing” as the “first operation or series of continuous operations” that effectuate change from a marine product’s natural state. 29 C.F.R. §784.133. In illustrating typical first processing operations, §784.133 describes operations that are virtually identical to those performed on the Ocean Peace and Seafreeze: cleaning, washing, and grading in preparation for first processing, and then gutting and freezing.</w:t>
      </w:r>
      <w:r>
        <w:rPr>
          <w:rFonts w:ascii="Times New Roman" w:eastAsia="Times New Roman" w:hAnsi="Times New Roman" w:cs="Times New Roman"/>
          <w:color w:val="000000"/>
          <w:sz w:val="20"/>
          <w:szCs w:val="20"/>
          <w:vertAlign w:val="superscript"/>
        </w:rPr>
        <w:footnoteReference w:id="203"/>
      </w:r>
      <w:r>
        <w:rPr>
          <w:rFonts w:ascii="Times New Roman" w:eastAsia="Times New Roman" w:hAnsi="Times New Roman" w:cs="Times New Roman"/>
          <w:color w:val="000000"/>
          <w:sz w:val="20"/>
          <w:szCs w:val="20"/>
        </w:rPr>
        <w:t xml:space="preserve"> </w:t>
      </w:r>
    </w:p>
    <w:p w14:paraId="0000012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in </w:t>
      </w:r>
      <w:r>
        <w:rPr>
          <w:rFonts w:ascii="Times New Roman" w:eastAsia="Times New Roman" w:hAnsi="Times New Roman" w:cs="Times New Roman"/>
          <w:i/>
          <w:color w:val="000000"/>
          <w:sz w:val="24"/>
          <w:szCs w:val="24"/>
        </w:rPr>
        <w:t>Worthington v. Icicle Seafoods,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204"/>
      </w:r>
      <w:r>
        <w:rPr>
          <w:rFonts w:ascii="Times New Roman" w:eastAsia="Times New Roman" w:hAnsi="Times New Roman" w:cs="Times New Roman"/>
          <w:color w:val="000000"/>
          <w:sz w:val="24"/>
          <w:szCs w:val="24"/>
        </w:rPr>
        <w:t xml:space="preserve"> the Ninth Circuit held that employees of an ocean-going fish-processing barge were not covered by the Section 213(a)(5) exemption where, although the employees were engaged in “first processing,” the fish were harvested by other vessels, as DOL regulations require processing to be done by the catcher vessel.</w:t>
      </w:r>
      <w:r>
        <w:rPr>
          <w:rFonts w:ascii="Times New Roman" w:eastAsia="Times New Roman" w:hAnsi="Times New Roman" w:cs="Times New Roman"/>
          <w:color w:val="000000"/>
          <w:sz w:val="24"/>
          <w:szCs w:val="24"/>
          <w:vertAlign w:val="superscript"/>
        </w:rPr>
        <w:footnoteReference w:id="205"/>
      </w:r>
    </w:p>
    <w:p w14:paraId="0000012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exemption does not extend to employees who work on products falling beyond the description of “any kind of fish, shellfish, crustacea, sponge, seaweed or other aquatic forms of animal and vegetable life.”</w:t>
      </w:r>
      <w:r>
        <w:rPr>
          <w:rFonts w:ascii="Times New Roman" w:eastAsia="Times New Roman" w:hAnsi="Times New Roman" w:cs="Times New Roman"/>
          <w:color w:val="000000"/>
          <w:sz w:val="24"/>
          <w:szCs w:val="24"/>
          <w:vertAlign w:val="superscript"/>
        </w:rPr>
        <w:footnoteReference w:id="206"/>
      </w:r>
      <w:r>
        <w:rPr>
          <w:rFonts w:ascii="Times New Roman" w:eastAsia="Times New Roman" w:hAnsi="Times New Roman" w:cs="Times New Roman"/>
          <w:color w:val="000000"/>
          <w:sz w:val="24"/>
          <w:szCs w:val="24"/>
        </w:rPr>
        <w:t xml:space="preserve"> Accordingly, the manufacture of buttons from clam shells or the dredging of shells to be made into lime and cement are not exempt operations because the shells are not living things.</w:t>
      </w:r>
      <w:r>
        <w:rPr>
          <w:rFonts w:ascii="Times New Roman" w:eastAsia="Times New Roman" w:hAnsi="Times New Roman" w:cs="Times New Roman"/>
          <w:color w:val="000000"/>
          <w:sz w:val="24"/>
          <w:szCs w:val="24"/>
          <w:vertAlign w:val="superscript"/>
        </w:rPr>
        <w:footnoteReference w:id="207"/>
      </w:r>
      <w:r>
        <w:rPr>
          <w:rFonts w:ascii="Times New Roman" w:eastAsia="Times New Roman" w:hAnsi="Times New Roman" w:cs="Times New Roman"/>
          <w:color w:val="000000"/>
          <w:sz w:val="24"/>
          <w:szCs w:val="24"/>
        </w:rPr>
        <w:t xml:space="preserve"> Nor does the exemption apply to employees responsible for making commodities from ingredients only partially consisting of aquatic products if a “substantial amount” of other products not enumerated in the statute is contained in the commodity so produced.</w:t>
      </w:r>
      <w:r>
        <w:rPr>
          <w:rFonts w:ascii="Times New Roman" w:eastAsia="Times New Roman" w:hAnsi="Times New Roman" w:cs="Times New Roman"/>
          <w:color w:val="000000"/>
          <w:sz w:val="24"/>
          <w:szCs w:val="24"/>
          <w:vertAlign w:val="superscript"/>
        </w:rPr>
        <w:footnoteReference w:id="208"/>
      </w:r>
      <w:r>
        <w:rPr>
          <w:rFonts w:ascii="Times New Roman" w:eastAsia="Times New Roman" w:hAnsi="Times New Roman" w:cs="Times New Roman"/>
          <w:color w:val="000000"/>
          <w:sz w:val="24"/>
          <w:szCs w:val="24"/>
        </w:rPr>
        <w:t xml:space="preserve"> In addition, work related to fishing or processing operations performed in “off” or “dead” seasons normally does not give rise to the exemption, except where the work is carried out “so close in point of time and function” to the performance of covered operations that the employment “is, as a practical matter, necessarily and directly a part of carrying on the operation for which the exemption was intended.”</w:t>
      </w:r>
      <w:r>
        <w:rPr>
          <w:rFonts w:ascii="Times New Roman" w:eastAsia="Times New Roman" w:hAnsi="Times New Roman" w:cs="Times New Roman"/>
          <w:color w:val="000000"/>
          <w:sz w:val="24"/>
          <w:szCs w:val="24"/>
          <w:vertAlign w:val="superscript"/>
        </w:rPr>
        <w:footnoteReference w:id="209"/>
      </w:r>
    </w:p>
    <w:p w14:paraId="0000012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exemption is lost in the case of an employee who, during any workweek, spends more than 20 percent of his or her time on nonexempt work.</w:t>
      </w:r>
      <w:r>
        <w:rPr>
          <w:rFonts w:ascii="Times New Roman" w:eastAsia="Times New Roman" w:hAnsi="Times New Roman" w:cs="Times New Roman"/>
          <w:color w:val="000000"/>
          <w:sz w:val="24"/>
          <w:szCs w:val="24"/>
          <w:vertAlign w:val="superscript"/>
        </w:rPr>
        <w:footnoteReference w:id="210"/>
      </w:r>
      <w:r>
        <w:rPr>
          <w:rFonts w:ascii="Times New Roman" w:eastAsia="Times New Roman" w:hAnsi="Times New Roman" w:cs="Times New Roman"/>
          <w:color w:val="000000"/>
          <w:sz w:val="24"/>
          <w:szCs w:val="24"/>
        </w:rPr>
        <w:t xml:space="preserve"> Moreover, the exemption will not apply if the exempt and nonexempt work “is not or cannot be segregated so as to permit separate measurement of the time spent in each.”</w:t>
      </w:r>
      <w:r>
        <w:rPr>
          <w:rFonts w:ascii="Times New Roman" w:eastAsia="Times New Roman" w:hAnsi="Times New Roman" w:cs="Times New Roman"/>
          <w:color w:val="000000"/>
          <w:sz w:val="24"/>
          <w:szCs w:val="24"/>
          <w:vertAlign w:val="superscript"/>
        </w:rPr>
        <w:footnoteReference w:id="211"/>
      </w:r>
    </w:p>
    <w:p w14:paraId="00000123"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ab/>
        <w:t>Employees Employed in the Publication of Limited Circulation Newspapers</w:t>
      </w:r>
    </w:p>
    <w:p w14:paraId="0000012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Section 213(a)(8), the FLSA’s minimum wage and overtime compensation requirements do not apply to employees of local, small-circulation newspapers. Specifically, the exemption covers “any employee employed in connection with the publication of any weekly, semi-weekly, or daily newspaper with a circulation of less than four thousand the major part of which circulation is within the county where published or counties contiguous thereto.”</w:t>
      </w:r>
      <w:r>
        <w:rPr>
          <w:rFonts w:ascii="Times New Roman" w:eastAsia="Times New Roman" w:hAnsi="Times New Roman" w:cs="Times New Roman"/>
          <w:color w:val="000000"/>
          <w:sz w:val="24"/>
          <w:szCs w:val="24"/>
          <w:vertAlign w:val="superscript"/>
        </w:rPr>
        <w:footnoteReference w:id="212"/>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Oklahoma Press Publishing Co. v. Walling</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213"/>
      </w:r>
      <w:r>
        <w:rPr>
          <w:rFonts w:ascii="Times New Roman" w:eastAsia="Times New Roman" w:hAnsi="Times New Roman" w:cs="Times New Roman"/>
          <w:color w:val="000000"/>
          <w:sz w:val="24"/>
          <w:szCs w:val="24"/>
        </w:rPr>
        <w:t xml:space="preserve"> the Supreme Court held that the exemption’s geographic- and circulation-based distinctions were constitutionally permissible.</w:t>
      </w:r>
      <w:r>
        <w:rPr>
          <w:rFonts w:ascii="Times New Roman" w:eastAsia="Times New Roman" w:hAnsi="Times New Roman" w:cs="Times New Roman"/>
          <w:color w:val="000000"/>
          <w:sz w:val="24"/>
          <w:szCs w:val="24"/>
          <w:vertAlign w:val="superscript"/>
        </w:rPr>
        <w:footnoteReference w:id="214"/>
      </w:r>
    </w:p>
    <w:p w14:paraId="0000012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exemption applies only where the major part of the newspaper’s circulation is within the county in which it is published, within contiguous counties, or within some combination of these counties.”</w:t>
      </w:r>
      <w:r>
        <w:rPr>
          <w:rFonts w:ascii="Times New Roman" w:eastAsia="Times New Roman" w:hAnsi="Times New Roman" w:cs="Times New Roman"/>
          <w:color w:val="000000"/>
          <w:sz w:val="24"/>
          <w:szCs w:val="24"/>
          <w:vertAlign w:val="superscript"/>
        </w:rPr>
        <w:footnoteReference w:id="215"/>
      </w:r>
      <w:r>
        <w:rPr>
          <w:rFonts w:ascii="Times New Roman" w:eastAsia="Times New Roman" w:hAnsi="Times New Roman" w:cs="Times New Roman"/>
          <w:color w:val="000000"/>
          <w:sz w:val="24"/>
          <w:szCs w:val="24"/>
        </w:rPr>
        <w:t xml:space="preserve"> A “contiguous county” for purposes of Section 213(a)(8) means a county sharing a common boundary with the county where the newspaper is published.</w:t>
      </w:r>
      <w:r>
        <w:rPr>
          <w:rFonts w:ascii="Times New Roman" w:eastAsia="Times New Roman" w:hAnsi="Times New Roman" w:cs="Times New Roman"/>
          <w:color w:val="000000"/>
          <w:sz w:val="24"/>
          <w:szCs w:val="24"/>
          <w:vertAlign w:val="superscript"/>
        </w:rPr>
        <w:footnoteReference w:id="216"/>
      </w:r>
    </w:p>
    <w:p w14:paraId="0000012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daily publication that contains news of the local courts, legal notices, other matters pertaining to court proceedings, and advertisements is a “newspaper” within the meaning of the Section 213(a)(8) exemption.</w:t>
      </w:r>
      <w:r>
        <w:rPr>
          <w:rFonts w:ascii="Times New Roman" w:eastAsia="Times New Roman" w:hAnsi="Times New Roman" w:cs="Times New Roman"/>
          <w:color w:val="000000"/>
          <w:sz w:val="24"/>
          <w:szCs w:val="24"/>
          <w:vertAlign w:val="superscript"/>
        </w:rPr>
        <w:footnoteReference w:id="217"/>
      </w:r>
      <w:r>
        <w:rPr>
          <w:rFonts w:ascii="Times New Roman" w:eastAsia="Times New Roman" w:hAnsi="Times New Roman" w:cs="Times New Roman"/>
          <w:color w:val="000000"/>
          <w:sz w:val="24"/>
          <w:szCs w:val="24"/>
        </w:rPr>
        <w:t xml:space="preserve"> A newspaper also includes a “shopping news or guide” that contains some news, even though small in amount, and some advertising copy.</w:t>
      </w:r>
      <w:r>
        <w:rPr>
          <w:rFonts w:ascii="Times New Roman" w:eastAsia="Times New Roman" w:hAnsi="Times New Roman" w:cs="Times New Roman"/>
          <w:color w:val="000000"/>
          <w:sz w:val="24"/>
          <w:szCs w:val="24"/>
          <w:vertAlign w:val="superscript"/>
        </w:rPr>
        <w:footnoteReference w:id="218"/>
      </w:r>
      <w:r>
        <w:rPr>
          <w:rFonts w:ascii="Times New Roman" w:eastAsia="Times New Roman" w:hAnsi="Times New Roman" w:cs="Times New Roman"/>
          <w:color w:val="000000"/>
          <w:sz w:val="24"/>
          <w:szCs w:val="24"/>
        </w:rPr>
        <w:t xml:space="preserve"> Circulars ordinarily lack the characteristics of a newspaper. However, work performed by a publisher that </w:t>
      </w:r>
      <w:r>
        <w:rPr>
          <w:rFonts w:ascii="Times New Roman" w:eastAsia="Times New Roman" w:hAnsi="Times New Roman" w:cs="Times New Roman"/>
          <w:color w:val="000000"/>
          <w:sz w:val="24"/>
          <w:szCs w:val="24"/>
        </w:rPr>
        <w:lastRenderedPageBreak/>
        <w:t>publishes circulars for incorporation into a Section 213(a)(8)–exempt newspaper would be exempt even if the printing of such circulars was “jobbed out.”</w:t>
      </w:r>
      <w:r>
        <w:rPr>
          <w:rFonts w:ascii="Times New Roman" w:eastAsia="Times New Roman" w:hAnsi="Times New Roman" w:cs="Times New Roman"/>
          <w:color w:val="000000"/>
          <w:sz w:val="24"/>
          <w:szCs w:val="24"/>
          <w:vertAlign w:val="superscript"/>
        </w:rPr>
        <w:footnoteReference w:id="219"/>
      </w:r>
    </w:p>
    <w:p w14:paraId="0000012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“Job printing” refers to printing work for outside customers and does not include printing done by the employer at its own establishment for its own business operations.</w:t>
      </w:r>
      <w:r>
        <w:rPr>
          <w:rFonts w:ascii="Times New Roman" w:eastAsia="Times New Roman" w:hAnsi="Times New Roman" w:cs="Times New Roman"/>
          <w:color w:val="000000"/>
          <w:sz w:val="24"/>
          <w:szCs w:val="24"/>
          <w:vertAlign w:val="superscript"/>
        </w:rPr>
        <w:footnoteReference w:id="220"/>
      </w:r>
      <w:r>
        <w:rPr>
          <w:rFonts w:ascii="Times New Roman" w:eastAsia="Times New Roman" w:hAnsi="Times New Roman" w:cs="Times New Roman"/>
          <w:color w:val="000000"/>
          <w:sz w:val="24"/>
          <w:szCs w:val="24"/>
        </w:rPr>
        <w:t xml:space="preserve"> The printing of a newspaper published by others is to be regarded as “job printing” for purposes of Section 213(a)(8).</w:t>
      </w:r>
      <w:r>
        <w:rPr>
          <w:rFonts w:ascii="Times New Roman" w:eastAsia="Times New Roman" w:hAnsi="Times New Roman" w:cs="Times New Roman"/>
          <w:color w:val="000000"/>
          <w:sz w:val="24"/>
          <w:szCs w:val="24"/>
          <w:vertAlign w:val="superscript"/>
        </w:rPr>
        <w:footnoteReference w:id="221"/>
      </w:r>
      <w:r>
        <w:rPr>
          <w:rFonts w:ascii="Times New Roman" w:eastAsia="Times New Roman" w:hAnsi="Times New Roman" w:cs="Times New Roman"/>
          <w:color w:val="000000"/>
          <w:sz w:val="24"/>
          <w:szCs w:val="24"/>
        </w:rPr>
        <w:t xml:space="preserve"> As long as an employee’s primary duties relate to publication of the newspaper, he or she qualifies for the exemption even if the business generates more income from unrelated printing activities than from newspaper publication.</w:t>
      </w:r>
      <w:r>
        <w:rPr>
          <w:rFonts w:ascii="Times New Roman" w:eastAsia="Times New Roman" w:hAnsi="Times New Roman" w:cs="Times New Roman"/>
          <w:color w:val="000000"/>
          <w:sz w:val="24"/>
          <w:szCs w:val="24"/>
          <w:vertAlign w:val="superscript"/>
        </w:rPr>
        <w:footnoteReference w:id="222"/>
      </w:r>
    </w:p>
    <w:p w14:paraId="0000012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WHD takes the enforcement position that “an employee is within the exemption even though he is also engaged in job printing activities, if less than 50 percent of the employee’s worktime during the workweek is spent in job printing work, some of which is subject to the Act. If none of the job printing activities are within the general coverage of the Act, the exemption applies even if the job printing activities equal or exceed 50 percent of the employee’s worktime. However, this exemption is not applicable if the employee spends 50 percent or more of his worktime in a workweek on job printing, any portion of which is within the general coverage of the Act on an individual or enterprise basis.”</w:t>
      </w:r>
      <w:r>
        <w:rPr>
          <w:rFonts w:ascii="Times New Roman" w:eastAsia="Times New Roman" w:hAnsi="Times New Roman" w:cs="Times New Roman"/>
          <w:color w:val="000000"/>
          <w:sz w:val="24"/>
          <w:szCs w:val="24"/>
          <w:vertAlign w:val="superscript"/>
        </w:rPr>
        <w:footnoteReference w:id="223"/>
      </w:r>
    </w:p>
    <w:p w14:paraId="0000012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a 1965 DOL opinion letter, “when a company publishes more than one newspaper, each newspaper is tested separately in order to determine whether the circulation is less than four thousand, provided that, in addition to their separate mastheads, the several newspapers carry different local news items.”</w:t>
      </w:r>
      <w:r>
        <w:rPr>
          <w:rFonts w:ascii="Times New Roman" w:eastAsia="Times New Roman" w:hAnsi="Times New Roman" w:cs="Times New Roman"/>
          <w:color w:val="000000"/>
          <w:sz w:val="24"/>
          <w:szCs w:val="24"/>
          <w:vertAlign w:val="superscript"/>
        </w:rPr>
        <w:footnoteReference w:id="224"/>
      </w:r>
    </w:p>
    <w:p w14:paraId="0000012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Third Circuit provided further guidance on this point in </w:t>
      </w:r>
      <w:r>
        <w:rPr>
          <w:rFonts w:ascii="Times New Roman" w:eastAsia="Times New Roman" w:hAnsi="Times New Roman" w:cs="Times New Roman"/>
          <w:i/>
          <w:color w:val="000000"/>
          <w:sz w:val="24"/>
          <w:szCs w:val="24"/>
        </w:rPr>
        <w:t>Reich v. Gateway Press,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225"/>
      </w:r>
      <w:r>
        <w:rPr>
          <w:rFonts w:ascii="Times New Roman" w:eastAsia="Times New Roman" w:hAnsi="Times New Roman" w:cs="Times New Roman"/>
          <w:color w:val="000000"/>
          <w:sz w:val="24"/>
          <w:szCs w:val="24"/>
        </w:rPr>
        <w:t xml:space="preserve"> drawing on the enterprise concept and explaining that</w:t>
      </w:r>
    </w:p>
    <w:p w14:paraId="0000012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applying the small newspaper exemption to publishers of more than a single publication, the court should aggregate the circulation of those publications that are (1) related, (2) have a unified operation or control, and (3) have a common publishing purpose. In evaluating the first two factors, the focus should be on the different business operations of the publications. The court should look to see to what extent the publisher is taking advantage of significant economies of scale in running the publications. Particularly important would be the use of the same editorial staff and reporters for the different publications. Also important would be the degree to which the publications are after the same market niche in the different communities, the centralization of the publication decisions, the centralization of advertising sales, and other administrative functions of the publisher. The focus of the third consideration should be on the content of the papers—the extent to which the articles, advertisements, and editorials differ among the publications. </w:t>
      </w:r>
      <w:r>
        <w:rPr>
          <w:rFonts w:ascii="Times New Roman" w:eastAsia="Times New Roman" w:hAnsi="Times New Roman" w:cs="Times New Roman"/>
          <w:color w:val="000000"/>
          <w:sz w:val="20"/>
          <w:szCs w:val="20"/>
        </w:rPr>
        <w:lastRenderedPageBreak/>
        <w:t>Minor variations among the publications—different stories on only one page, for example—will not be enough [to] require a court to measure their circulations separately.</w:t>
      </w:r>
      <w:r>
        <w:rPr>
          <w:rFonts w:ascii="Times New Roman" w:eastAsia="Times New Roman" w:hAnsi="Times New Roman" w:cs="Times New Roman"/>
          <w:color w:val="000000"/>
          <w:sz w:val="20"/>
          <w:szCs w:val="20"/>
          <w:vertAlign w:val="superscript"/>
        </w:rPr>
        <w:footnoteReference w:id="226"/>
      </w:r>
    </w:p>
    <w:p w14:paraId="0000012C"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Applying this analysis, the court found that the Gateway newspapers within each geographic group should be aggregated. First, the court determined that the newspapers were engaged in related activities because the focus of each was on local happenings in the different communities. Second, the newspapers satisfied the unified operation or common control requirement because major decisions about administration and editorial policy were made from the central office. In addition, circulation numbers of the groups—not the individual papers—were cited when selling advertising space. Third, the newspapers within each geographic group had a common publishing purpose.</w:t>
      </w:r>
      <w:r>
        <w:rPr>
          <w:rFonts w:ascii="Times New Roman" w:eastAsia="Times New Roman" w:hAnsi="Times New Roman" w:cs="Times New Roman"/>
          <w:color w:val="000000"/>
          <w:sz w:val="24"/>
          <w:szCs w:val="24"/>
          <w:vertAlign w:val="superscript"/>
        </w:rPr>
        <w:footnoteReference w:id="227"/>
      </w:r>
      <w:r>
        <w:rPr>
          <w:rFonts w:ascii="Times New Roman" w:eastAsia="Times New Roman" w:hAnsi="Times New Roman" w:cs="Times New Roman"/>
          <w:color w:val="000000"/>
          <w:sz w:val="24"/>
          <w:szCs w:val="24"/>
        </w:rPr>
        <w:t xml:space="preserve"> “Although the papers within each of the five regional groups have some different local news items, they are otherwise identical,” the court said, noting, “[t]he papers within each group are just slight variations of each other. Indeed, they seem to be different editions of the same paper in much the same way major metropolitan daily papers have different regional editions.”</w:t>
      </w:r>
      <w:r>
        <w:rPr>
          <w:rFonts w:ascii="Times New Roman" w:eastAsia="Times New Roman" w:hAnsi="Times New Roman" w:cs="Times New Roman"/>
          <w:color w:val="000000"/>
          <w:sz w:val="24"/>
          <w:szCs w:val="24"/>
          <w:vertAlign w:val="superscript"/>
        </w:rPr>
        <w:footnoteReference w:id="228"/>
      </w:r>
    </w:p>
    <w:p w14:paraId="0000012D"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b/>
          <w:color w:val="000000"/>
          <w:sz w:val="24"/>
          <w:szCs w:val="24"/>
        </w:rPr>
        <w:tab/>
        <w:t>Switchboard Operators Employed by Small Public Telephone Companies</w:t>
      </w:r>
    </w:p>
    <w:p w14:paraId="0000012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Section 213(a)(10), the FLSA’s minimum wage and overtime provisions do not apply to “any switchboard operator employed by an independently owned public telephone company which has not more than seven hundred and fifty stations.”</w:t>
      </w:r>
      <w:r>
        <w:rPr>
          <w:rFonts w:ascii="Times New Roman" w:eastAsia="Times New Roman" w:hAnsi="Times New Roman" w:cs="Times New Roman"/>
          <w:color w:val="000000"/>
          <w:sz w:val="24"/>
          <w:szCs w:val="24"/>
          <w:vertAlign w:val="superscript"/>
        </w:rPr>
        <w:footnoteReference w:id="229"/>
      </w:r>
      <w:r>
        <w:rPr>
          <w:rFonts w:ascii="Times New Roman" w:eastAsia="Times New Roman" w:hAnsi="Times New Roman" w:cs="Times New Roman"/>
          <w:color w:val="000000"/>
          <w:sz w:val="24"/>
          <w:szCs w:val="24"/>
        </w:rPr>
        <w:t xml:space="preserve"> The exemption extends only to companies with 750 or fewer “receiving and transmitting instruments” served by a particular exchange</w:t>
      </w:r>
      <w:r>
        <w:rPr>
          <w:rFonts w:ascii="Times New Roman" w:eastAsia="Times New Roman" w:hAnsi="Times New Roman" w:cs="Times New Roman"/>
          <w:color w:val="000000"/>
          <w:sz w:val="24"/>
          <w:szCs w:val="24"/>
          <w:vertAlign w:val="superscript"/>
        </w:rPr>
        <w:footnoteReference w:id="230"/>
      </w:r>
      <w:r>
        <w:rPr>
          <w:rFonts w:ascii="Times New Roman" w:eastAsia="Times New Roman" w:hAnsi="Times New Roman" w:cs="Times New Roman"/>
          <w:color w:val="000000"/>
          <w:sz w:val="24"/>
          <w:szCs w:val="24"/>
        </w:rPr>
        <w:t xml:space="preserve"> and covers only switchboard operators employed by small “public” telephone companies serving or willing to serve the entire public within the area in which the </w:t>
      </w:r>
      <w:r>
        <w:rPr>
          <w:rFonts w:ascii="Times New Roman" w:eastAsia="Times New Roman" w:hAnsi="Times New Roman" w:cs="Times New Roman"/>
          <w:color w:val="000000"/>
          <w:sz w:val="24"/>
          <w:szCs w:val="24"/>
        </w:rPr>
        <w:lastRenderedPageBreak/>
        <w:t>organization’s facilities are located.</w:t>
      </w:r>
      <w:r>
        <w:rPr>
          <w:rFonts w:ascii="Times New Roman" w:eastAsia="Times New Roman" w:hAnsi="Times New Roman" w:cs="Times New Roman"/>
          <w:color w:val="000000"/>
          <w:sz w:val="24"/>
          <w:szCs w:val="24"/>
          <w:vertAlign w:val="superscript"/>
        </w:rPr>
        <w:footnoteReference w:id="231"/>
      </w:r>
      <w:r>
        <w:rPr>
          <w:rFonts w:ascii="Times New Roman" w:eastAsia="Times New Roman" w:hAnsi="Times New Roman" w:cs="Times New Roman"/>
          <w:color w:val="000000"/>
          <w:sz w:val="24"/>
          <w:szCs w:val="24"/>
        </w:rPr>
        <w:t xml:space="preserve"> Telephone answering services lack the requisite public component and do not qualify under the FLSA exemption.</w:t>
      </w:r>
      <w:r>
        <w:rPr>
          <w:rFonts w:ascii="Times New Roman" w:eastAsia="Times New Roman" w:hAnsi="Times New Roman" w:cs="Times New Roman"/>
          <w:color w:val="000000"/>
          <w:sz w:val="24"/>
          <w:szCs w:val="24"/>
          <w:vertAlign w:val="superscript"/>
        </w:rPr>
        <w:footnoteReference w:id="232"/>
      </w:r>
    </w:p>
    <w:p w14:paraId="0000012F"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w:t>
      </w:r>
      <w:r>
        <w:rPr>
          <w:rFonts w:ascii="Times New Roman" w:eastAsia="Times New Roman" w:hAnsi="Times New Roman" w:cs="Times New Roman"/>
          <w:b/>
          <w:color w:val="000000"/>
          <w:sz w:val="24"/>
          <w:szCs w:val="24"/>
        </w:rPr>
        <w:tab/>
        <w:t>Seamen on Non-American Vessels</w:t>
      </w:r>
    </w:p>
    <w:p w14:paraId="0000013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Section 213(a)(12), the FLSA’s minimum wage and overtime provisions do not apply to any employee employed as a seaman on a vessel other than an American vessel.</w:t>
      </w:r>
      <w:r>
        <w:rPr>
          <w:rFonts w:ascii="Times New Roman" w:eastAsia="Times New Roman" w:hAnsi="Times New Roman" w:cs="Times New Roman"/>
          <w:color w:val="000000"/>
          <w:sz w:val="24"/>
          <w:szCs w:val="24"/>
          <w:vertAlign w:val="superscript"/>
        </w:rPr>
        <w:footnoteReference w:id="233"/>
      </w:r>
      <w:r>
        <w:rPr>
          <w:rFonts w:ascii="Times New Roman" w:eastAsia="Times New Roman" w:hAnsi="Times New Roman" w:cs="Times New Roman"/>
          <w:color w:val="000000"/>
          <w:sz w:val="24"/>
          <w:szCs w:val="24"/>
        </w:rPr>
        <w:t xml:space="preserve"> Whether a seaman is exempt pursuant to either Section 213(a)(12) or Section 213(b)(6) will depend on whether he or she is a “seaman” working on a “vessel,” as those terms are defined in the regulations.</w:t>
      </w:r>
      <w:r>
        <w:rPr>
          <w:rFonts w:ascii="Times New Roman" w:eastAsia="Times New Roman" w:hAnsi="Times New Roman" w:cs="Times New Roman"/>
          <w:color w:val="000000"/>
          <w:sz w:val="24"/>
          <w:szCs w:val="24"/>
          <w:vertAlign w:val="superscript"/>
        </w:rPr>
        <w:footnoteReference w:id="234"/>
      </w:r>
      <w:r>
        <w:rPr>
          <w:rFonts w:ascii="Times New Roman" w:eastAsia="Times New Roman" w:hAnsi="Times New Roman" w:cs="Times New Roman"/>
          <w:color w:val="000000"/>
          <w:sz w:val="24"/>
          <w:szCs w:val="24"/>
        </w:rPr>
        <w:t xml:space="preserve"> </w:t>
      </w:r>
    </w:p>
    <w:p w14:paraId="0000013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Kaluom v. Stolt Offshore,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235"/>
      </w:r>
      <w:r>
        <w:rPr>
          <w:rFonts w:ascii="Times New Roman" w:eastAsia="Times New Roman" w:hAnsi="Times New Roman" w:cs="Times New Roman"/>
          <w:color w:val="000000"/>
          <w:sz w:val="24"/>
          <w:szCs w:val="24"/>
        </w:rPr>
        <w:t xml:space="preserve"> the court observed that “in the right circumstances, a vessel not formally documented as an American vessel could be an American vessel under the FLSA,”</w:t>
      </w:r>
      <w:r>
        <w:rPr>
          <w:rFonts w:ascii="Times New Roman" w:eastAsia="Times New Roman" w:hAnsi="Times New Roman" w:cs="Times New Roman"/>
          <w:color w:val="000000"/>
          <w:sz w:val="24"/>
          <w:szCs w:val="24"/>
          <w:vertAlign w:val="superscript"/>
        </w:rPr>
        <w:footnoteReference w:id="236"/>
      </w:r>
      <w:r>
        <w:rPr>
          <w:rFonts w:ascii="Times New Roman" w:eastAsia="Times New Roman" w:hAnsi="Times New Roman" w:cs="Times New Roman"/>
          <w:color w:val="000000"/>
          <w:sz w:val="24"/>
          <w:szCs w:val="24"/>
        </w:rPr>
        <w:t xml:space="preserve"> and ultimately concluded there was a factual dispute on the point where there was evidence that a foreign-flagged vessel was controlled by a U.S. company that employed the barge superintendent.</w:t>
      </w:r>
      <w:r>
        <w:rPr>
          <w:rFonts w:ascii="Times New Roman" w:eastAsia="Times New Roman" w:hAnsi="Times New Roman" w:cs="Times New Roman"/>
          <w:color w:val="000000"/>
          <w:sz w:val="24"/>
          <w:szCs w:val="24"/>
          <w:vertAlign w:val="superscript"/>
        </w:rPr>
        <w:footnoteReference w:id="237"/>
      </w:r>
    </w:p>
    <w:p w14:paraId="0000013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least two courts have skirted the issue of whether a foreign-flagged vessel qualifies as an American vessel under Section 213(a)(12), finding the seamen exempt under Section 213(f)’s foreign workplace exemption.</w:t>
      </w:r>
      <w:r>
        <w:rPr>
          <w:rFonts w:ascii="Times New Roman" w:eastAsia="Times New Roman" w:hAnsi="Times New Roman" w:cs="Times New Roman"/>
          <w:color w:val="000000"/>
          <w:sz w:val="24"/>
          <w:szCs w:val="24"/>
          <w:vertAlign w:val="superscript"/>
        </w:rPr>
        <w:footnoteReference w:id="238"/>
      </w:r>
      <w:r>
        <w:rPr>
          <w:rFonts w:ascii="Times New Roman" w:eastAsia="Times New Roman" w:hAnsi="Times New Roman" w:cs="Times New Roman"/>
          <w:color w:val="000000"/>
          <w:sz w:val="24"/>
          <w:szCs w:val="24"/>
        </w:rPr>
        <w:t xml:space="preserve"> </w:t>
      </w:r>
    </w:p>
    <w:p w14:paraId="00000133"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w:t>
      </w:r>
      <w:r>
        <w:rPr>
          <w:rFonts w:ascii="Times New Roman" w:eastAsia="Times New Roman" w:hAnsi="Times New Roman" w:cs="Times New Roman"/>
          <w:b/>
          <w:color w:val="000000"/>
          <w:sz w:val="24"/>
          <w:szCs w:val="24"/>
        </w:rPr>
        <w:tab/>
        <w:t>Casual-Basis Babysitters and Domestic Companionship Service Providers</w:t>
      </w:r>
    </w:p>
    <w:p w14:paraId="0000013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Under Section 213(a)(15), the FLSA’s minimum wage and overtime compensation requirements do not apply to casual-basis babysitters and domestic companions. Specifically, the exemption applies to </w:t>
      </w:r>
    </w:p>
    <w:p w14:paraId="00000135"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any employee employed on a casual basis in domestic service employment to provide babysitting services or any employee employed in domestic service employment to provide companionship services for individuals who (because of age or infirmity) are unable to care for themselves (as such terms are defined and delimited by regulations of the Secretary).</w:t>
      </w:r>
      <w:r>
        <w:rPr>
          <w:rFonts w:ascii="Times New Roman" w:eastAsia="Times New Roman" w:hAnsi="Times New Roman" w:cs="Times New Roman"/>
          <w:color w:val="000000"/>
          <w:sz w:val="20"/>
          <w:szCs w:val="20"/>
          <w:vertAlign w:val="superscript"/>
        </w:rPr>
        <w:footnoteReference w:id="239"/>
      </w:r>
    </w:p>
    <w:p w14:paraId="0000013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exemption was not in the original version of the FLSA, primarily because, with few exceptions,</w:t>
      </w:r>
      <w:r>
        <w:rPr>
          <w:rFonts w:ascii="Times New Roman" w:eastAsia="Times New Roman" w:hAnsi="Times New Roman" w:cs="Times New Roman"/>
          <w:color w:val="000000"/>
          <w:sz w:val="24"/>
          <w:szCs w:val="24"/>
          <w:vertAlign w:val="superscript"/>
        </w:rPr>
        <w:footnoteReference w:id="240"/>
      </w:r>
      <w:r>
        <w:rPr>
          <w:rFonts w:ascii="Times New Roman" w:eastAsia="Times New Roman" w:hAnsi="Times New Roman" w:cs="Times New Roman"/>
          <w:color w:val="000000"/>
          <w:sz w:val="24"/>
          <w:szCs w:val="24"/>
        </w:rPr>
        <w:t xml:space="preserve"> domestic service employees were not covered by the FLSA until 1974. In that year, Congress extended the FLSA to “domestic service” employees, but exempted from the FLSA’s minimum wage and overtime provisions domestic service employees employed on “a casual basis to provide babysitting services”</w:t>
      </w:r>
      <w:r>
        <w:rPr>
          <w:rFonts w:ascii="Times New Roman" w:eastAsia="Times New Roman" w:hAnsi="Times New Roman" w:cs="Times New Roman"/>
          <w:color w:val="000000"/>
          <w:sz w:val="24"/>
          <w:szCs w:val="24"/>
          <w:vertAlign w:val="superscript"/>
        </w:rPr>
        <w:footnoteReference w:id="241"/>
      </w:r>
      <w:r>
        <w:rPr>
          <w:rFonts w:ascii="Times New Roman" w:eastAsia="Times New Roman" w:hAnsi="Times New Roman" w:cs="Times New Roman"/>
          <w:color w:val="000000"/>
          <w:sz w:val="24"/>
          <w:szCs w:val="24"/>
        </w:rPr>
        <w:t xml:space="preserve"> or “employed in domestic service employment to provide companionship services” to elderly persons or persons with illnesses, injuries, or disabilities who require assistance in caring for themselves.</w:t>
      </w:r>
      <w:r>
        <w:rPr>
          <w:rFonts w:ascii="Times New Roman" w:eastAsia="Times New Roman" w:hAnsi="Times New Roman" w:cs="Times New Roman"/>
          <w:color w:val="000000"/>
          <w:sz w:val="24"/>
          <w:szCs w:val="24"/>
          <w:vertAlign w:val="superscript"/>
        </w:rPr>
        <w:footnoteReference w:id="242"/>
      </w:r>
      <w:r>
        <w:rPr>
          <w:rFonts w:ascii="Times New Roman" w:eastAsia="Times New Roman" w:hAnsi="Times New Roman" w:cs="Times New Roman"/>
          <w:color w:val="000000"/>
          <w:sz w:val="24"/>
          <w:szCs w:val="24"/>
        </w:rPr>
        <w:t xml:space="preserve"> The enactment also exempted from the FLSA’s overtime provision domestic service employees residing in the household where they provide services.</w:t>
      </w:r>
      <w:r>
        <w:rPr>
          <w:rFonts w:ascii="Times New Roman" w:eastAsia="Times New Roman" w:hAnsi="Times New Roman" w:cs="Times New Roman"/>
          <w:color w:val="000000"/>
          <w:sz w:val="24"/>
          <w:szCs w:val="24"/>
          <w:vertAlign w:val="superscript"/>
        </w:rPr>
        <w:footnoteReference w:id="243"/>
      </w:r>
    </w:p>
    <w:p w14:paraId="0000013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Following these enactments, the DOL promulgated regulations implementing the Section 213(a)(15) and 213(b)(21) exemptions.</w:t>
      </w:r>
      <w:r>
        <w:rPr>
          <w:rFonts w:ascii="Times New Roman" w:eastAsia="Times New Roman" w:hAnsi="Times New Roman" w:cs="Times New Roman"/>
          <w:color w:val="000000"/>
          <w:sz w:val="24"/>
          <w:szCs w:val="24"/>
          <w:vertAlign w:val="superscript"/>
        </w:rPr>
        <w:footnoteReference w:id="244"/>
      </w:r>
      <w:r>
        <w:rPr>
          <w:rFonts w:ascii="Times New Roman" w:eastAsia="Times New Roman" w:hAnsi="Times New Roman" w:cs="Times New Roman"/>
          <w:color w:val="000000"/>
          <w:sz w:val="24"/>
          <w:szCs w:val="24"/>
        </w:rPr>
        <w:t xml:space="preserve"> As applied to “casual babysitters,” those regulations have remained substantially unchanged.</w:t>
      </w:r>
      <w:r>
        <w:rPr>
          <w:rFonts w:ascii="Times New Roman" w:eastAsia="Times New Roman" w:hAnsi="Times New Roman" w:cs="Times New Roman"/>
          <w:color w:val="000000"/>
          <w:sz w:val="24"/>
          <w:szCs w:val="24"/>
          <w:vertAlign w:val="superscript"/>
        </w:rPr>
        <w:footnoteReference w:id="245"/>
      </w:r>
      <w:r>
        <w:rPr>
          <w:rFonts w:ascii="Times New Roman" w:eastAsia="Times New Roman" w:hAnsi="Times New Roman" w:cs="Times New Roman"/>
          <w:color w:val="000000"/>
          <w:sz w:val="24"/>
          <w:szCs w:val="24"/>
        </w:rPr>
        <w:t xml:space="preserve"> However, in 2013, the DOL issued new regulations concerning “companionship services.”</w:t>
      </w:r>
      <w:r>
        <w:rPr>
          <w:rFonts w:ascii="Times New Roman" w:eastAsia="Times New Roman" w:hAnsi="Times New Roman" w:cs="Times New Roman"/>
          <w:color w:val="000000"/>
          <w:sz w:val="24"/>
          <w:szCs w:val="24"/>
          <w:vertAlign w:val="superscript"/>
        </w:rPr>
        <w:footnoteReference w:id="246"/>
      </w:r>
    </w:p>
    <w:p w14:paraId="00000138"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w:t>
      </w:r>
      <w:r>
        <w:rPr>
          <w:rFonts w:ascii="Times New Roman" w:eastAsia="Times New Roman" w:hAnsi="Times New Roman" w:cs="Times New Roman"/>
          <w:b/>
          <w:i/>
          <w:color w:val="000000"/>
          <w:sz w:val="24"/>
          <w:szCs w:val="24"/>
        </w:rPr>
        <w:tab/>
        <w:t>Casual Babysitters</w:t>
      </w:r>
    </w:p>
    <w:p w14:paraId="00000139"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ab/>
        <w:t>“Babysitting Services”</w:t>
      </w:r>
    </w:p>
    <w:p w14:paraId="0000013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DOL regulations, the term “babysitting services” means the custodial care and protection, during any part of the 24-hour day, of infants or children in or about the private home in which the infants or young children reside,</w:t>
      </w:r>
      <w:r>
        <w:rPr>
          <w:rFonts w:ascii="Times New Roman" w:eastAsia="Times New Roman" w:hAnsi="Times New Roman" w:cs="Times New Roman"/>
          <w:color w:val="000000"/>
          <w:sz w:val="24"/>
          <w:szCs w:val="24"/>
          <w:vertAlign w:val="superscript"/>
        </w:rPr>
        <w:footnoteReference w:id="247"/>
      </w:r>
      <w:r>
        <w:rPr>
          <w:rFonts w:ascii="Times New Roman" w:eastAsia="Times New Roman" w:hAnsi="Times New Roman" w:cs="Times New Roman"/>
          <w:color w:val="000000"/>
          <w:sz w:val="24"/>
          <w:szCs w:val="24"/>
        </w:rPr>
        <w:t xml:space="preserve"> but does not include services relating to </w:t>
      </w:r>
      <w:r>
        <w:rPr>
          <w:rFonts w:ascii="Times New Roman" w:eastAsia="Times New Roman" w:hAnsi="Times New Roman" w:cs="Times New Roman"/>
          <w:color w:val="000000"/>
          <w:sz w:val="24"/>
          <w:szCs w:val="24"/>
        </w:rPr>
        <w:lastRenderedPageBreak/>
        <w:t>the care and protection of infants or children performed by trained personnel, such as registered, vocational, or practical nurses.</w:t>
      </w:r>
      <w:r>
        <w:rPr>
          <w:rFonts w:ascii="Times New Roman" w:eastAsia="Times New Roman" w:hAnsi="Times New Roman" w:cs="Times New Roman"/>
          <w:color w:val="000000"/>
          <w:sz w:val="24"/>
          <w:szCs w:val="24"/>
          <w:vertAlign w:val="superscript"/>
        </w:rPr>
        <w:footnoteReference w:id="248"/>
      </w:r>
    </w:p>
    <w:p w14:paraId="0000013B"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w:t>
      </w:r>
      <w:r>
        <w:rPr>
          <w:rFonts w:ascii="Times New Roman" w:eastAsia="Times New Roman" w:hAnsi="Times New Roman" w:cs="Times New Roman"/>
          <w:i/>
          <w:color w:val="000000"/>
          <w:sz w:val="24"/>
          <w:szCs w:val="24"/>
        </w:rPr>
        <w:tab/>
        <w:t>“Casual Basis”</w:t>
      </w:r>
    </w:p>
    <w:p w14:paraId="0000013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regulations also provide that the term “casual basis,” when applied to babysitting services, shall mean “employment which is irregular or intermittent, and which is not performed by an individual whose vocation is babysitting.”</w:t>
      </w:r>
      <w:r>
        <w:rPr>
          <w:rFonts w:ascii="Times New Roman" w:eastAsia="Times New Roman" w:hAnsi="Times New Roman" w:cs="Times New Roman"/>
          <w:color w:val="000000"/>
          <w:sz w:val="24"/>
          <w:szCs w:val="24"/>
          <w:vertAlign w:val="superscript"/>
        </w:rPr>
        <w:footnoteReference w:id="249"/>
      </w:r>
      <w:r>
        <w:rPr>
          <w:rFonts w:ascii="Times New Roman" w:eastAsia="Times New Roman" w:hAnsi="Times New Roman" w:cs="Times New Roman"/>
          <w:color w:val="000000"/>
          <w:sz w:val="24"/>
          <w:szCs w:val="24"/>
        </w:rPr>
        <w:t xml:space="preserve"> Individuals who engage in babysitting as a full-time occupation are not employed on a “casual basis.”</w:t>
      </w:r>
      <w:r>
        <w:rPr>
          <w:rFonts w:ascii="Times New Roman" w:eastAsia="Times New Roman" w:hAnsi="Times New Roman" w:cs="Times New Roman"/>
          <w:color w:val="000000"/>
          <w:sz w:val="24"/>
          <w:szCs w:val="24"/>
          <w:vertAlign w:val="superscript"/>
        </w:rPr>
        <w:footnoteReference w:id="250"/>
      </w:r>
      <w:r>
        <w:rPr>
          <w:rFonts w:ascii="Times New Roman" w:eastAsia="Times New Roman" w:hAnsi="Times New Roman" w:cs="Times New Roman"/>
          <w:color w:val="000000"/>
          <w:sz w:val="24"/>
          <w:szCs w:val="24"/>
        </w:rPr>
        <w:t xml:space="preserve"> Moreover, employees are not employed on a “casual basis” for purposes of the Section 213(a)(15) exemption if they are engaged by an employer or agency other than the family or household using their services.</w:t>
      </w:r>
      <w:r>
        <w:rPr>
          <w:rFonts w:ascii="Times New Roman" w:eastAsia="Times New Roman" w:hAnsi="Times New Roman" w:cs="Times New Roman"/>
          <w:color w:val="000000"/>
          <w:sz w:val="24"/>
          <w:szCs w:val="24"/>
          <w:vertAlign w:val="superscript"/>
        </w:rPr>
        <w:footnoteReference w:id="251"/>
      </w:r>
      <w:r>
        <w:rPr>
          <w:rFonts w:ascii="Times New Roman" w:eastAsia="Times New Roman" w:hAnsi="Times New Roman" w:cs="Times New Roman"/>
          <w:color w:val="000000"/>
          <w:sz w:val="24"/>
          <w:szCs w:val="24"/>
        </w:rPr>
        <w:t xml:space="preserve"> According to DOL regulations, such employees are engaged in this occupation as a vocation.</w:t>
      </w:r>
      <w:r>
        <w:rPr>
          <w:rFonts w:ascii="Times New Roman" w:eastAsia="Times New Roman" w:hAnsi="Times New Roman" w:cs="Times New Roman"/>
          <w:color w:val="000000"/>
          <w:sz w:val="24"/>
          <w:szCs w:val="24"/>
          <w:vertAlign w:val="superscript"/>
        </w:rPr>
        <w:footnoteReference w:id="252"/>
      </w:r>
    </w:p>
    <w:p w14:paraId="0000013D"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w:t>
      </w:r>
      <w:r>
        <w:rPr>
          <w:rFonts w:ascii="Times New Roman" w:eastAsia="Times New Roman" w:hAnsi="Times New Roman" w:cs="Times New Roman"/>
          <w:i/>
          <w:color w:val="000000"/>
          <w:sz w:val="24"/>
          <w:szCs w:val="24"/>
        </w:rPr>
        <w:tab/>
        <w:t>Casual Babysitting Services</w:t>
      </w:r>
    </w:p>
    <w:p w14:paraId="0000013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Babysitting services may include the performance of some household work not related to caring for the children, “[p]rovided, however, that such work is incidental, i.e., does not exceed 20 percent of the total hours worked on the particular babysitting assignment.”</w:t>
      </w:r>
      <w:r>
        <w:rPr>
          <w:rFonts w:ascii="Times New Roman" w:eastAsia="Times New Roman" w:hAnsi="Times New Roman" w:cs="Times New Roman"/>
          <w:color w:val="000000"/>
          <w:sz w:val="24"/>
          <w:szCs w:val="24"/>
          <w:vertAlign w:val="superscript"/>
        </w:rPr>
        <w:footnoteReference w:id="253"/>
      </w:r>
      <w:r>
        <w:rPr>
          <w:rFonts w:ascii="Times New Roman" w:eastAsia="Times New Roman" w:hAnsi="Times New Roman" w:cs="Times New Roman"/>
          <w:color w:val="000000"/>
          <w:sz w:val="24"/>
          <w:szCs w:val="24"/>
        </w:rPr>
        <w:t xml:space="preserve"> If the individual performing babysitting services on a “casual basis” devotes more than 20 percent of his or her time to household work during a babysitting assignment, the exemption for “babysitting services on a casual basis” does not apply during that assignment and the individual must be paid in accordance with the FLSA’s minimum wage and overtime requirements.</w:t>
      </w:r>
      <w:r>
        <w:rPr>
          <w:rFonts w:ascii="Times New Roman" w:eastAsia="Times New Roman" w:hAnsi="Times New Roman" w:cs="Times New Roman"/>
          <w:color w:val="000000"/>
          <w:sz w:val="24"/>
          <w:szCs w:val="24"/>
          <w:vertAlign w:val="superscript"/>
        </w:rPr>
        <w:footnoteReference w:id="254"/>
      </w:r>
      <w:r>
        <w:rPr>
          <w:rFonts w:ascii="Times New Roman" w:eastAsia="Times New Roman" w:hAnsi="Times New Roman" w:cs="Times New Roman"/>
          <w:color w:val="000000"/>
          <w:sz w:val="24"/>
          <w:szCs w:val="24"/>
        </w:rPr>
        <w:t xml:space="preserve"> This does not affect application of the exemption for previous or subsequent babysitting assignments where the 20 percent tolerance is not exceeded.</w:t>
      </w:r>
      <w:r>
        <w:rPr>
          <w:rFonts w:ascii="Times New Roman" w:eastAsia="Times New Roman" w:hAnsi="Times New Roman" w:cs="Times New Roman"/>
          <w:color w:val="000000"/>
          <w:sz w:val="24"/>
          <w:szCs w:val="24"/>
          <w:vertAlign w:val="superscript"/>
        </w:rPr>
        <w:footnoteReference w:id="255"/>
      </w:r>
    </w:p>
    <w:p w14:paraId="0000013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Usually, babysitting services are on a “casual basis,” whether performed for one or more employers, if such work does not exceed 20 hours per week in the aggregate.</w:t>
      </w:r>
      <w:r>
        <w:rPr>
          <w:rFonts w:ascii="Times New Roman" w:eastAsia="Times New Roman" w:hAnsi="Times New Roman" w:cs="Times New Roman"/>
          <w:color w:val="000000"/>
          <w:sz w:val="24"/>
          <w:szCs w:val="24"/>
          <w:vertAlign w:val="superscript"/>
        </w:rPr>
        <w:footnoteReference w:id="256"/>
      </w:r>
      <w:r>
        <w:rPr>
          <w:rFonts w:ascii="Times New Roman" w:eastAsia="Times New Roman" w:hAnsi="Times New Roman" w:cs="Times New Roman"/>
          <w:color w:val="000000"/>
          <w:sz w:val="24"/>
          <w:szCs w:val="24"/>
        </w:rPr>
        <w:t xml:space="preserve"> Employment in excess of these hours may still be on a “casual basis” if the excessive hours are without regularity or are for irregular or intermittent periods.</w:t>
      </w:r>
      <w:r>
        <w:rPr>
          <w:rFonts w:ascii="Times New Roman" w:eastAsia="Times New Roman" w:hAnsi="Times New Roman" w:cs="Times New Roman"/>
          <w:color w:val="000000"/>
          <w:sz w:val="24"/>
          <w:szCs w:val="24"/>
          <w:vertAlign w:val="superscript"/>
        </w:rPr>
        <w:footnoteReference w:id="257"/>
      </w:r>
      <w:r>
        <w:rPr>
          <w:rFonts w:ascii="Times New Roman" w:eastAsia="Times New Roman" w:hAnsi="Times New Roman" w:cs="Times New Roman"/>
          <w:color w:val="000000"/>
          <w:sz w:val="24"/>
          <w:szCs w:val="24"/>
        </w:rPr>
        <w:t xml:space="preserve"> Babysitting also is deemed to be on a “casual basis” (regardless of the number of weekly hours worked by the babysitter) in the case of individuals not employed in domestic service as a vocation who accompany families for a </w:t>
      </w:r>
      <w:r>
        <w:rPr>
          <w:rFonts w:ascii="Times New Roman" w:eastAsia="Times New Roman" w:hAnsi="Times New Roman" w:cs="Times New Roman"/>
          <w:color w:val="000000"/>
          <w:sz w:val="24"/>
          <w:szCs w:val="24"/>
        </w:rPr>
        <w:lastRenderedPageBreak/>
        <w:t>vacation period to take care of the children, if the duration of such employment does not exceed six weeks.</w:t>
      </w:r>
      <w:r>
        <w:rPr>
          <w:rFonts w:ascii="Times New Roman" w:eastAsia="Times New Roman" w:hAnsi="Times New Roman" w:cs="Times New Roman"/>
          <w:color w:val="000000"/>
          <w:sz w:val="24"/>
          <w:szCs w:val="24"/>
          <w:vertAlign w:val="superscript"/>
        </w:rPr>
        <w:footnoteReference w:id="258"/>
      </w:r>
    </w:p>
    <w:p w14:paraId="00000140"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r>
        <w:rPr>
          <w:rFonts w:ascii="Times New Roman" w:eastAsia="Times New Roman" w:hAnsi="Times New Roman" w:cs="Times New Roman"/>
          <w:b/>
          <w:i/>
          <w:color w:val="000000"/>
          <w:sz w:val="24"/>
          <w:szCs w:val="24"/>
        </w:rPr>
        <w:tab/>
        <w:t>Companionship Services</w:t>
      </w:r>
    </w:p>
    <w:p w14:paraId="0000014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By way of a 2013 final rule,</w:t>
      </w:r>
      <w:r>
        <w:rPr>
          <w:rFonts w:ascii="Times New Roman" w:eastAsia="Times New Roman" w:hAnsi="Times New Roman" w:cs="Times New Roman"/>
          <w:color w:val="000000"/>
          <w:sz w:val="24"/>
          <w:szCs w:val="24"/>
          <w:vertAlign w:val="superscript"/>
        </w:rPr>
        <w:footnoteReference w:id="259"/>
      </w:r>
      <w:r>
        <w:rPr>
          <w:rFonts w:ascii="Times New Roman" w:eastAsia="Times New Roman" w:hAnsi="Times New Roman" w:cs="Times New Roman"/>
          <w:color w:val="000000"/>
          <w:sz w:val="24"/>
          <w:szCs w:val="24"/>
        </w:rPr>
        <w:t xml:space="preserve"> the DOL modified several sections of 29 C.F.R. Part 552 to</w:t>
      </w:r>
    </w:p>
    <w:p w14:paraId="00000142"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revise the definition of “domestic service employment” in Section 552.3 to clarify the language and modernize the list of examples of professions falling within this category;</w:t>
      </w:r>
    </w:p>
    <w:p w14:paraId="00000143"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revise the definition of “companionship services” in Section 552.6 to restrict the term to encompass only workers providing limited, nonprofessional services;</w:t>
      </w:r>
    </w:p>
    <w:p w14:paraId="00000144"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require the keeping of actual records of hours worked by live-in domestic service employees as set forth in Section 552.102 and .110; and</w:t>
      </w:r>
    </w:p>
    <w:p w14:paraId="00000145"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provide that neither the Section 213(a)(15) nor the Section 213(b)(21) exemption applies to “third party employers,” that is, employers other than the individual receiving services or his or her family or household.</w:t>
      </w:r>
    </w:p>
    <w:p w14:paraId="0000014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final rule’s revised third-party regulation and revised definition of “companionship services” were the subject of an unsuccessful court challenge.</w:t>
      </w:r>
      <w:r>
        <w:rPr>
          <w:rFonts w:ascii="Times New Roman" w:eastAsia="Times New Roman" w:hAnsi="Times New Roman" w:cs="Times New Roman"/>
          <w:color w:val="000000"/>
          <w:sz w:val="24"/>
          <w:szCs w:val="24"/>
          <w:vertAlign w:val="superscript"/>
        </w:rPr>
        <w:footnoteReference w:id="260"/>
      </w:r>
      <w:r>
        <w:rPr>
          <w:rFonts w:ascii="Times New Roman" w:eastAsia="Times New Roman" w:hAnsi="Times New Roman" w:cs="Times New Roman"/>
          <w:color w:val="000000"/>
          <w:sz w:val="24"/>
          <w:szCs w:val="24"/>
        </w:rPr>
        <w:t xml:space="preserve"> The D.C. Circuit concluded that “the department’s decision to extend the FLSA’s protections to [domestic services] employees is grounded in a reasonable interpretation of the statute and is neither arbitrary nor capricious,”</w:t>
      </w:r>
      <w:r>
        <w:rPr>
          <w:rFonts w:ascii="Times New Roman" w:eastAsia="Times New Roman" w:hAnsi="Times New Roman" w:cs="Times New Roman"/>
          <w:color w:val="000000"/>
          <w:sz w:val="24"/>
          <w:szCs w:val="24"/>
          <w:vertAlign w:val="superscript"/>
        </w:rPr>
        <w:footnoteReference w:id="261"/>
      </w:r>
      <w:r>
        <w:rPr>
          <w:rFonts w:ascii="Times New Roman" w:eastAsia="Times New Roman" w:hAnsi="Times New Roman" w:cs="Times New Roman"/>
          <w:color w:val="000000"/>
          <w:sz w:val="24"/>
          <w:szCs w:val="24"/>
        </w:rPr>
        <w:t xml:space="preserve"> agreeing with the DOL that the Supreme Court decision in </w:t>
      </w:r>
      <w:r>
        <w:rPr>
          <w:rFonts w:ascii="Times New Roman" w:eastAsia="Times New Roman" w:hAnsi="Times New Roman" w:cs="Times New Roman"/>
          <w:i/>
          <w:color w:val="000000"/>
          <w:sz w:val="24"/>
          <w:szCs w:val="24"/>
        </w:rPr>
        <w:t>Long Island Care at Home Ltd. v. Coke</w:t>
      </w:r>
      <w:r>
        <w:rPr>
          <w:rFonts w:ascii="Times New Roman" w:eastAsia="Times New Roman" w:hAnsi="Times New Roman" w:cs="Times New Roman"/>
          <w:color w:val="000000"/>
          <w:sz w:val="24"/>
          <w:szCs w:val="24"/>
          <w:vertAlign w:val="superscript"/>
        </w:rPr>
        <w:footnoteReference w:id="262"/>
      </w:r>
      <w:r>
        <w:rPr>
          <w:rFonts w:ascii="Times New Roman" w:eastAsia="Times New Roman" w:hAnsi="Times New Roman" w:cs="Times New Roman"/>
          <w:color w:val="000000"/>
          <w:sz w:val="24"/>
          <w:szCs w:val="24"/>
        </w:rPr>
        <w:t xml:space="preserve"> foreclosed any contention that the DOL lacked authority to issue its amended third-party employment regulation: “[</w:t>
      </w:r>
      <w:r>
        <w:rPr>
          <w:rFonts w:ascii="Times New Roman" w:eastAsia="Times New Roman" w:hAnsi="Times New Roman" w:cs="Times New Roman"/>
          <w:i/>
          <w:color w:val="000000"/>
          <w:sz w:val="24"/>
          <w:szCs w:val="24"/>
        </w:rPr>
        <w:t>Coke</w:t>
      </w:r>
      <w:r>
        <w:rPr>
          <w:rFonts w:ascii="Times New Roman" w:eastAsia="Times New Roman" w:hAnsi="Times New Roman" w:cs="Times New Roman"/>
          <w:color w:val="000000"/>
          <w:sz w:val="24"/>
          <w:szCs w:val="24"/>
        </w:rPr>
        <w:t>] confirms that the act vests the department with discretion to apply … or not to apply … the companionship services and live-in exemptions to employees of third-party agencies.”</w:t>
      </w:r>
      <w:r>
        <w:rPr>
          <w:rFonts w:ascii="Times New Roman" w:eastAsia="Times New Roman" w:hAnsi="Times New Roman" w:cs="Times New Roman"/>
          <w:color w:val="000000"/>
          <w:sz w:val="24"/>
          <w:szCs w:val="24"/>
          <w:vertAlign w:val="superscript"/>
        </w:rPr>
        <w:footnoteReference w:id="263"/>
      </w:r>
      <w:r>
        <w:rPr>
          <w:rFonts w:ascii="Times New Roman" w:eastAsia="Times New Roman" w:hAnsi="Times New Roman" w:cs="Times New Roman"/>
          <w:color w:val="000000"/>
          <w:sz w:val="24"/>
          <w:szCs w:val="24"/>
        </w:rPr>
        <w:t xml:space="preserve"> </w:t>
      </w:r>
    </w:p>
    <w:p w14:paraId="00000147"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ab/>
        <w:t>Historical Background</w:t>
      </w:r>
    </w:p>
    <w:p w14:paraId="0000014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1974, Congress extended FLSA coverage to all “domestic service” workers, including those employed in private households or companies too small to be covered by the Act.</w:t>
      </w:r>
      <w:r>
        <w:rPr>
          <w:rFonts w:ascii="Times New Roman" w:eastAsia="Times New Roman" w:hAnsi="Times New Roman" w:cs="Times New Roman"/>
          <w:color w:val="000000"/>
          <w:sz w:val="24"/>
          <w:szCs w:val="24"/>
          <w:vertAlign w:val="superscript"/>
        </w:rPr>
        <w:footnoteReference w:id="264"/>
      </w:r>
      <w:r>
        <w:rPr>
          <w:rFonts w:ascii="Times New Roman" w:eastAsia="Times New Roman" w:hAnsi="Times New Roman" w:cs="Times New Roman"/>
          <w:color w:val="000000"/>
          <w:sz w:val="24"/>
          <w:szCs w:val="24"/>
        </w:rPr>
        <w:t xml:space="preserve"> Section 206(f) extended the minimum wage requirements to domestic service employees in either of the following instances:</w:t>
      </w:r>
    </w:p>
    <w:p w14:paraId="0000014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(1) If the employee’s compensation for such services from his/her employer would constitute wages under section 209(a)(6) of title II of the Social Security Act, that is, if the cash remuneration during a calendar year is not less than $1,000 in 1995, or the amount designated for subsequent years pursuant to the adjustment provision in section 3121(x) of the Internal Revenue Code of 1986; or</w:t>
      </w:r>
    </w:p>
    <w:p w14:paraId="0000014A"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(2) If the employee was employed in such domestic service work by one or more employers for more than 8 hours in the aggregate in any workweek.</w:t>
      </w:r>
      <w:r>
        <w:rPr>
          <w:rFonts w:ascii="Times New Roman" w:eastAsia="Times New Roman" w:hAnsi="Times New Roman" w:cs="Times New Roman"/>
          <w:color w:val="000000"/>
          <w:sz w:val="20"/>
          <w:szCs w:val="20"/>
          <w:vertAlign w:val="superscript"/>
        </w:rPr>
        <w:footnoteReference w:id="265"/>
      </w:r>
    </w:p>
    <w:p w14:paraId="0000014B"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207(l) extended the overtime provisions of Section 207(a) to domestic service employees, defined in Section 206(f).</w:t>
      </w:r>
      <w:r>
        <w:rPr>
          <w:rFonts w:ascii="Times New Roman" w:eastAsia="Times New Roman" w:hAnsi="Times New Roman" w:cs="Times New Roman"/>
          <w:color w:val="000000"/>
          <w:sz w:val="24"/>
          <w:szCs w:val="24"/>
          <w:vertAlign w:val="superscript"/>
        </w:rPr>
        <w:footnoteReference w:id="266"/>
      </w:r>
    </w:p>
    <w:p w14:paraId="0000014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At the same time the FLSA was amended to include within its coverage domestic service employees, Congress also created an exemption from the minimum wage and overtime requirements for employees “employed in domestic service employment to provide companionship services for individuals who (because of age or infirmity) are unable to care for themselves.”</w:t>
      </w:r>
      <w:r>
        <w:rPr>
          <w:rFonts w:ascii="Times New Roman" w:eastAsia="Times New Roman" w:hAnsi="Times New Roman" w:cs="Times New Roman"/>
          <w:color w:val="000000"/>
          <w:sz w:val="24"/>
          <w:szCs w:val="24"/>
          <w:vertAlign w:val="superscript"/>
        </w:rPr>
        <w:footnoteReference w:id="267"/>
      </w:r>
      <w:r>
        <w:rPr>
          <w:rFonts w:ascii="Times New Roman" w:eastAsia="Times New Roman" w:hAnsi="Times New Roman" w:cs="Times New Roman"/>
          <w:color w:val="000000"/>
          <w:sz w:val="24"/>
          <w:szCs w:val="24"/>
        </w:rPr>
        <w:t xml:space="preserve"> Congress also created an exemption from overtime for domestic service employees residing in the household in which they are employed.</w:t>
      </w:r>
      <w:r>
        <w:rPr>
          <w:rFonts w:ascii="Times New Roman" w:eastAsia="Times New Roman" w:hAnsi="Times New Roman" w:cs="Times New Roman"/>
          <w:color w:val="000000"/>
          <w:sz w:val="24"/>
          <w:szCs w:val="24"/>
          <w:vertAlign w:val="superscript"/>
        </w:rPr>
        <w:footnoteReference w:id="268"/>
      </w:r>
      <w:r>
        <w:rPr>
          <w:rFonts w:ascii="Times New Roman" w:eastAsia="Times New Roman" w:hAnsi="Times New Roman" w:cs="Times New Roman"/>
          <w:color w:val="000000"/>
          <w:sz w:val="24"/>
          <w:szCs w:val="24"/>
        </w:rPr>
        <w:t xml:space="preserve"> According to the legislative history of the 1974 amendments:</w:t>
      </w:r>
    </w:p>
    <w:p w14:paraId="0000014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 is the intent of the committee to include within the coverage of the Act all employees whose vocation is domestic service. However, the exemption reflects the intent of the committee to exclude from coverage … companions for individuals who are unable because of age and infirmity to care for themselves. But it is not intended that trained personnel such as nurses, whether registered or practical, shall be excluded. People who will be employed in the excluded categories are not regular bread-winners or responsible for their families’ support. The fact that persons performing … services as companions do some incidental household work does not keep them from being … companions for purposes of this exclusion.</w:t>
      </w:r>
      <w:r>
        <w:rPr>
          <w:rFonts w:ascii="Times New Roman" w:eastAsia="Times New Roman" w:hAnsi="Times New Roman" w:cs="Times New Roman"/>
          <w:color w:val="000000"/>
          <w:sz w:val="20"/>
          <w:szCs w:val="20"/>
          <w:vertAlign w:val="superscript"/>
        </w:rPr>
        <w:footnoteReference w:id="269"/>
      </w:r>
      <w:r>
        <w:rPr>
          <w:rFonts w:ascii="Times New Roman" w:eastAsia="Times New Roman" w:hAnsi="Times New Roman" w:cs="Times New Roman"/>
          <w:color w:val="000000"/>
          <w:sz w:val="20"/>
          <w:szCs w:val="20"/>
        </w:rPr>
        <w:t xml:space="preserve"> </w:t>
      </w:r>
    </w:p>
    <w:p w14:paraId="0000014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 the statutory grant of authority to “define and delimit by regulations” the terms “domestic service employment” and “companionship services,”</w:t>
      </w:r>
      <w:r>
        <w:rPr>
          <w:rFonts w:ascii="Times New Roman" w:eastAsia="Times New Roman" w:hAnsi="Times New Roman" w:cs="Times New Roman"/>
          <w:color w:val="000000"/>
          <w:sz w:val="24"/>
          <w:szCs w:val="24"/>
          <w:vertAlign w:val="superscript"/>
        </w:rPr>
        <w:footnoteReference w:id="270"/>
      </w:r>
      <w:r>
        <w:rPr>
          <w:rFonts w:ascii="Times New Roman" w:eastAsia="Times New Roman" w:hAnsi="Times New Roman" w:cs="Times New Roman"/>
          <w:color w:val="000000"/>
          <w:sz w:val="24"/>
          <w:szCs w:val="24"/>
        </w:rPr>
        <w:t xml:space="preserve"> the Secretary promulgated regulations implementing the Section 213(a)(15) and Section 213(b)(21) exemptions.</w:t>
      </w:r>
      <w:r>
        <w:rPr>
          <w:rFonts w:ascii="Times New Roman" w:eastAsia="Times New Roman" w:hAnsi="Times New Roman" w:cs="Times New Roman"/>
          <w:color w:val="000000"/>
          <w:sz w:val="24"/>
          <w:szCs w:val="24"/>
          <w:vertAlign w:val="superscript"/>
        </w:rPr>
        <w:footnoteReference w:id="271"/>
      </w:r>
      <w:r>
        <w:rPr>
          <w:rFonts w:ascii="Times New Roman" w:eastAsia="Times New Roman" w:hAnsi="Times New Roman" w:cs="Times New Roman"/>
          <w:color w:val="000000"/>
          <w:sz w:val="24"/>
          <w:szCs w:val="24"/>
        </w:rPr>
        <w:t xml:space="preserve"> The regulations were divided into two parts: Subpart A of 29 C.F.R. Part 552 defined and delimited the terms “domestic service employment” at 29 C.F.R. §552.3 and “companionship services” at 29 C.F.R. §552.6. Subpart B of the regulations “set forth statements of general policy and </w:t>
      </w:r>
      <w:r>
        <w:rPr>
          <w:rFonts w:ascii="Times New Roman" w:eastAsia="Times New Roman" w:hAnsi="Times New Roman" w:cs="Times New Roman"/>
          <w:color w:val="000000"/>
          <w:sz w:val="24"/>
          <w:szCs w:val="24"/>
        </w:rPr>
        <w:lastRenderedPageBreak/>
        <w:t>interpretation concerning the application of the FLSA to domestic service employees.”</w:t>
      </w:r>
      <w:r>
        <w:rPr>
          <w:rFonts w:ascii="Times New Roman" w:eastAsia="Times New Roman" w:hAnsi="Times New Roman" w:cs="Times New Roman"/>
          <w:color w:val="000000"/>
          <w:sz w:val="24"/>
          <w:szCs w:val="24"/>
          <w:vertAlign w:val="superscript"/>
        </w:rPr>
        <w:footnoteReference w:id="272"/>
      </w:r>
      <w:r>
        <w:rPr>
          <w:rFonts w:ascii="Times New Roman" w:eastAsia="Times New Roman" w:hAnsi="Times New Roman" w:cs="Times New Roman"/>
          <w:color w:val="000000"/>
          <w:sz w:val="24"/>
          <w:szCs w:val="24"/>
        </w:rPr>
        <w:t xml:space="preserve"> Additionally, the Subpart B interpretations permitted third-party employers, or employers of home care workers other than the individuals receiving care or their families, to claim both the companionship services and live-in domestic service exemptions.</w:t>
      </w:r>
      <w:r>
        <w:rPr>
          <w:rFonts w:ascii="Times New Roman" w:eastAsia="Times New Roman" w:hAnsi="Times New Roman" w:cs="Times New Roman"/>
          <w:color w:val="000000"/>
          <w:sz w:val="24"/>
          <w:szCs w:val="24"/>
          <w:vertAlign w:val="superscript"/>
        </w:rPr>
        <w:footnoteReference w:id="273"/>
      </w:r>
      <w:r>
        <w:rPr>
          <w:rFonts w:ascii="Times New Roman" w:eastAsia="Times New Roman" w:hAnsi="Times New Roman" w:cs="Times New Roman"/>
          <w:color w:val="000000"/>
          <w:sz w:val="24"/>
          <w:szCs w:val="24"/>
        </w:rPr>
        <w:t xml:space="preserve"> These regulations remained substantially unchanged from the time they were promulgated in 1975, until 2013.</w:t>
      </w:r>
      <w:r>
        <w:rPr>
          <w:rFonts w:ascii="Times New Roman" w:eastAsia="Times New Roman" w:hAnsi="Times New Roman" w:cs="Times New Roman"/>
          <w:color w:val="000000"/>
          <w:sz w:val="24"/>
          <w:szCs w:val="24"/>
          <w:vertAlign w:val="superscript"/>
        </w:rPr>
        <w:footnoteReference w:id="274"/>
      </w:r>
    </w:p>
    <w:p w14:paraId="0000014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final rule issued on October 1, 2013, made significant changes to the regulations for employees performing companionship services and live-in domestic service.</w:t>
      </w:r>
      <w:r>
        <w:rPr>
          <w:rFonts w:ascii="Times New Roman" w:eastAsia="Times New Roman" w:hAnsi="Times New Roman" w:cs="Times New Roman"/>
          <w:color w:val="000000"/>
          <w:sz w:val="24"/>
          <w:szCs w:val="24"/>
          <w:vertAlign w:val="superscript"/>
        </w:rPr>
        <w:footnoteReference w:id="275"/>
      </w:r>
    </w:p>
    <w:p w14:paraId="00000150"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w:t>
      </w:r>
      <w:r>
        <w:rPr>
          <w:rFonts w:ascii="Times New Roman" w:eastAsia="Times New Roman" w:hAnsi="Times New Roman" w:cs="Times New Roman"/>
          <w:i/>
          <w:color w:val="000000"/>
          <w:sz w:val="24"/>
          <w:szCs w:val="24"/>
        </w:rPr>
        <w:tab/>
        <w:t>The 2013 Final Rule</w:t>
      </w:r>
    </w:p>
    <w:p w14:paraId="0000015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DOL’s 2013 final rule explains that,</w:t>
      </w:r>
    </w:p>
    <w:p w14:paraId="00000152"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[b]ecause the 1975 regulations define companionship services and address third-party employment in a manner that, given the changes to the home care services industry, the home care services workforce, and the scope of home care services provided, no longer aligns with Congress’s intent when it extended FLSA protections to domestic service employees, the Department is modifying the relevant regulatory provisions in 29 C.F.R. part 552. These changes are intended to clarify and narrow the scope of duties that fall within the definition of companionship services in order to limit the application of the exemption. The Department intends for the exemption to apply to those direct care workers who are performing “elder sitting” rather than the professionalized workforce for whom home care is a vocation.</w:t>
      </w:r>
      <w:r>
        <w:rPr>
          <w:rFonts w:ascii="Times New Roman" w:eastAsia="Times New Roman" w:hAnsi="Times New Roman" w:cs="Times New Roman"/>
          <w:color w:val="000000"/>
          <w:sz w:val="20"/>
          <w:szCs w:val="20"/>
          <w:vertAlign w:val="superscript"/>
        </w:rPr>
        <w:footnoteReference w:id="276"/>
      </w:r>
    </w:p>
    <w:p w14:paraId="0000015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final rule made changes to the following sections of 29 C.F.R. Part 552:</w:t>
      </w:r>
    </w:p>
    <w:p w14:paraId="00000154"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Section 552.3 (Domestic Service Employment);</w:t>
      </w:r>
    </w:p>
    <w:p w14:paraId="00000155"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Section 552.6 (Companionship Services);</w:t>
      </w:r>
    </w:p>
    <w:p w14:paraId="00000156"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Section 552.102 (Live-In Domestic Service Employees);</w:t>
      </w:r>
      <w:r>
        <w:rPr>
          <w:rFonts w:ascii="Times New Roman" w:eastAsia="Times New Roman" w:hAnsi="Times New Roman" w:cs="Times New Roman"/>
          <w:color w:val="000000"/>
          <w:sz w:val="24"/>
          <w:szCs w:val="24"/>
          <w:vertAlign w:val="superscript"/>
        </w:rPr>
        <w:footnoteReference w:id="277"/>
      </w:r>
    </w:p>
    <w:p w14:paraId="00000157"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Section 552.109 (Third Party Employment); and</w:t>
      </w:r>
    </w:p>
    <w:p w14:paraId="00000158"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Section 552.110 (Recordkeeping Requirements).</w:t>
      </w:r>
      <w:r>
        <w:rPr>
          <w:rFonts w:ascii="Times New Roman" w:eastAsia="Times New Roman" w:hAnsi="Times New Roman" w:cs="Times New Roman"/>
          <w:color w:val="000000"/>
          <w:sz w:val="24"/>
          <w:szCs w:val="24"/>
          <w:vertAlign w:val="superscript"/>
        </w:rPr>
        <w:footnoteReference w:id="278"/>
      </w:r>
    </w:p>
    <w:p w14:paraId="0000015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sections discuss each of these changes that are not covered elsewhere in this treatise.</w:t>
      </w:r>
    </w:p>
    <w:p w14:paraId="0000015A"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w:t>
      </w:r>
      <w:r>
        <w:rPr>
          <w:rFonts w:ascii="Times New Roman" w:eastAsia="Times New Roman" w:hAnsi="Times New Roman" w:cs="Times New Roman"/>
          <w:i/>
          <w:color w:val="000000"/>
          <w:sz w:val="24"/>
          <w:szCs w:val="24"/>
        </w:rPr>
        <w:tab/>
        <w:t>“Domestic Service Employment”</w:t>
      </w:r>
    </w:p>
    <w:p w14:paraId="0000015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2013 final rule made slight changes to the definition of “domestic service employment” found in 29 C.F.R. §552.3. Specifically, the DOL</w:t>
      </w:r>
    </w:p>
    <w:p w14:paraId="0000015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ab/>
        <w:t>removed the qualifying introductory phrase “as used in section [2]13(a)(15) of the Act” because the definition of domestic service employment has a broader context than just the exemption found in 213(a)(15);</w:t>
      </w:r>
      <w:r>
        <w:rPr>
          <w:rFonts w:ascii="Times New Roman" w:eastAsia="Times New Roman" w:hAnsi="Times New Roman" w:cs="Times New Roman"/>
          <w:color w:val="000000"/>
          <w:sz w:val="24"/>
          <w:szCs w:val="24"/>
          <w:vertAlign w:val="superscript"/>
        </w:rPr>
        <w:footnoteReference w:id="279"/>
      </w:r>
    </w:p>
    <w:p w14:paraId="0000015D"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removed the phrase “of the person by whom he or she is employed” because the DOL believes the phrase may be confusing and misread as narrowing the coverage of domestic service employees under the FLSA;</w:t>
      </w:r>
      <w:r>
        <w:rPr>
          <w:rFonts w:ascii="Times New Roman" w:eastAsia="Times New Roman" w:hAnsi="Times New Roman" w:cs="Times New Roman"/>
          <w:color w:val="000000"/>
          <w:sz w:val="24"/>
          <w:szCs w:val="24"/>
          <w:vertAlign w:val="superscript"/>
        </w:rPr>
        <w:footnoteReference w:id="280"/>
      </w:r>
    </w:p>
    <w:p w14:paraId="0000015E"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deleted outdated occupations such as “governesses,” “footmen,” and “grooms,” and included more modern occupations, such as “nannies,” “home health aides,” and “personal care aides;”</w:t>
      </w:r>
      <w:r>
        <w:rPr>
          <w:rFonts w:ascii="Times New Roman" w:eastAsia="Times New Roman" w:hAnsi="Times New Roman" w:cs="Times New Roman"/>
          <w:color w:val="000000"/>
          <w:sz w:val="24"/>
          <w:szCs w:val="24"/>
          <w:vertAlign w:val="superscript"/>
        </w:rPr>
        <w:footnoteReference w:id="281"/>
      </w:r>
      <w:r>
        <w:rPr>
          <w:rFonts w:ascii="Times New Roman" w:eastAsia="Times New Roman" w:hAnsi="Times New Roman" w:cs="Times New Roman"/>
          <w:color w:val="000000"/>
          <w:sz w:val="24"/>
          <w:szCs w:val="24"/>
        </w:rPr>
        <w:t xml:space="preserve"> and</w:t>
      </w:r>
    </w:p>
    <w:p w14:paraId="0000015F"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included the terms “babysitters” and “companions” on the list of domestic service workers.</w:t>
      </w:r>
      <w:r>
        <w:rPr>
          <w:rFonts w:ascii="Times New Roman" w:eastAsia="Times New Roman" w:hAnsi="Times New Roman" w:cs="Times New Roman"/>
          <w:color w:val="000000"/>
          <w:sz w:val="24"/>
          <w:szCs w:val="24"/>
          <w:vertAlign w:val="superscript"/>
        </w:rPr>
        <w:footnoteReference w:id="282"/>
      </w:r>
    </w:p>
    <w:p w14:paraId="00000160"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modified, the definition of “domestic service employment”</w:t>
      </w:r>
    </w:p>
    <w:p w14:paraId="00000161"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means services of a household nature performed by an employee in or about a private home (permanent or temporary). The term includes services performed by employees such as companions, babysitters, cooks, waiters, butlers, valets, maids, housekeepers, nannies, nurses, janitors, laundresses, caretakers, handymen, gardeners, home health aides, personal care aides, and chauffeurs of automobiles for family use. This listing is illustrative and not exhaustive.</w:t>
      </w:r>
      <w:r>
        <w:rPr>
          <w:rFonts w:ascii="Times New Roman" w:eastAsia="Times New Roman" w:hAnsi="Times New Roman" w:cs="Times New Roman"/>
          <w:color w:val="000000"/>
          <w:sz w:val="20"/>
          <w:szCs w:val="20"/>
          <w:vertAlign w:val="superscript"/>
        </w:rPr>
        <w:footnoteReference w:id="283"/>
      </w:r>
    </w:p>
    <w:p w14:paraId="00000162"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w:t>
      </w:r>
      <w:r>
        <w:rPr>
          <w:rFonts w:ascii="Times New Roman" w:eastAsia="Times New Roman" w:hAnsi="Times New Roman" w:cs="Times New Roman"/>
          <w:i/>
          <w:color w:val="000000"/>
          <w:sz w:val="24"/>
          <w:szCs w:val="24"/>
        </w:rPr>
        <w:tab/>
        <w:t>What Constitutes a “Private Home”</w:t>
      </w:r>
    </w:p>
    <w:p w14:paraId="0000016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qualify as a domestic service employee, an employee’s work must be performed in or about a “private home.”</w:t>
      </w:r>
      <w:r>
        <w:rPr>
          <w:rFonts w:ascii="Times New Roman" w:eastAsia="Times New Roman" w:hAnsi="Times New Roman" w:cs="Times New Roman"/>
          <w:color w:val="000000"/>
          <w:sz w:val="24"/>
          <w:szCs w:val="24"/>
          <w:vertAlign w:val="superscript"/>
        </w:rPr>
        <w:footnoteReference w:id="284"/>
      </w:r>
      <w:r>
        <w:rPr>
          <w:rFonts w:ascii="Times New Roman" w:eastAsia="Times New Roman" w:hAnsi="Times New Roman" w:cs="Times New Roman"/>
          <w:color w:val="000000"/>
          <w:sz w:val="24"/>
          <w:szCs w:val="24"/>
        </w:rPr>
        <w:t xml:space="preserve"> The 1975 regulations provided that a “home” can be “a fixed place of abode or a temporary dwelling as in the case of an individual or family traveling on vacation.”</w:t>
      </w:r>
      <w:r>
        <w:rPr>
          <w:rFonts w:ascii="Times New Roman" w:eastAsia="Times New Roman" w:hAnsi="Times New Roman" w:cs="Times New Roman"/>
          <w:color w:val="000000"/>
          <w:sz w:val="24"/>
          <w:szCs w:val="24"/>
          <w:vertAlign w:val="superscript"/>
        </w:rPr>
        <w:footnoteReference w:id="285"/>
      </w:r>
      <w:r>
        <w:rPr>
          <w:rFonts w:ascii="Times New Roman" w:eastAsia="Times New Roman" w:hAnsi="Times New Roman" w:cs="Times New Roman"/>
          <w:color w:val="000000"/>
          <w:sz w:val="24"/>
          <w:szCs w:val="24"/>
        </w:rPr>
        <w:t xml:space="preserve"> “[A] separate and distinct dwelling maintained by an individual or a family in an apartment house, condominium or hotel could constitute a private home.”</w:t>
      </w:r>
      <w:r>
        <w:rPr>
          <w:rFonts w:ascii="Times New Roman" w:eastAsia="Times New Roman" w:hAnsi="Times New Roman" w:cs="Times New Roman"/>
          <w:color w:val="000000"/>
          <w:sz w:val="24"/>
          <w:szCs w:val="24"/>
          <w:vertAlign w:val="superscript"/>
        </w:rPr>
        <w:footnoteReference w:id="286"/>
      </w:r>
      <w:r>
        <w:rPr>
          <w:rFonts w:ascii="Times New Roman" w:eastAsia="Times New Roman" w:hAnsi="Times New Roman" w:cs="Times New Roman"/>
          <w:color w:val="000000"/>
          <w:sz w:val="24"/>
          <w:szCs w:val="24"/>
        </w:rPr>
        <w:t xml:space="preserve"> However, if an employee is employed in “dwelling places which is primarily a rooming or boarding house,” he or she will not be considered a domestic service employee because these places of work “are not private homes but commercial or business establishments.”</w:t>
      </w:r>
      <w:r>
        <w:rPr>
          <w:rFonts w:ascii="Times New Roman" w:eastAsia="Times New Roman" w:hAnsi="Times New Roman" w:cs="Times New Roman"/>
          <w:color w:val="000000"/>
          <w:sz w:val="24"/>
          <w:szCs w:val="24"/>
          <w:vertAlign w:val="superscript"/>
        </w:rPr>
        <w:footnoteReference w:id="287"/>
      </w:r>
      <w:r>
        <w:rPr>
          <w:rFonts w:ascii="Times New Roman" w:eastAsia="Times New Roman" w:hAnsi="Times New Roman" w:cs="Times New Roman"/>
          <w:color w:val="000000"/>
          <w:sz w:val="24"/>
          <w:szCs w:val="24"/>
        </w:rPr>
        <w:t xml:space="preserve"> Similarly, employees employed in connection with a business or professional service conducted out of a home (such as a real estate, doctor’s, dentist’s or lawyer’s office) are not domestic service employees.</w:t>
      </w:r>
      <w:r>
        <w:rPr>
          <w:rFonts w:ascii="Times New Roman" w:eastAsia="Times New Roman" w:hAnsi="Times New Roman" w:cs="Times New Roman"/>
          <w:color w:val="000000"/>
          <w:sz w:val="24"/>
          <w:szCs w:val="24"/>
          <w:vertAlign w:val="superscript"/>
        </w:rPr>
        <w:footnoteReference w:id="288"/>
      </w:r>
      <w:r>
        <w:rPr>
          <w:rFonts w:ascii="Times New Roman" w:eastAsia="Times New Roman" w:hAnsi="Times New Roman" w:cs="Times New Roman"/>
          <w:color w:val="000000"/>
          <w:sz w:val="24"/>
          <w:szCs w:val="24"/>
        </w:rPr>
        <w:t xml:space="preserve"> Companionship services must be performed “inside” or “around the outside” of a private home and do not </w:t>
      </w:r>
      <w:r>
        <w:rPr>
          <w:rFonts w:ascii="Times New Roman" w:eastAsia="Times New Roman" w:hAnsi="Times New Roman" w:cs="Times New Roman"/>
          <w:color w:val="000000"/>
          <w:sz w:val="24"/>
          <w:szCs w:val="24"/>
        </w:rPr>
        <w:lastRenderedPageBreak/>
        <w:t>include services performed at a facility where clients participate in social and recreational activities.</w:t>
      </w:r>
      <w:r>
        <w:rPr>
          <w:rFonts w:ascii="Times New Roman" w:eastAsia="Times New Roman" w:hAnsi="Times New Roman" w:cs="Times New Roman"/>
          <w:color w:val="000000"/>
          <w:sz w:val="24"/>
          <w:szCs w:val="24"/>
          <w:vertAlign w:val="superscript"/>
        </w:rPr>
        <w:footnoteReference w:id="289"/>
      </w:r>
      <w:r>
        <w:rPr>
          <w:rFonts w:ascii="Times New Roman" w:eastAsia="Times New Roman" w:hAnsi="Times New Roman" w:cs="Times New Roman"/>
          <w:color w:val="000000"/>
          <w:sz w:val="24"/>
          <w:szCs w:val="24"/>
        </w:rPr>
        <w:t xml:space="preserve"> </w:t>
      </w:r>
    </w:p>
    <w:p w14:paraId="0000016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its 2013 final rule, the DOL retained the definition of “private home” as found in 29 C.F.R. §§552.3 and 552.101, and noted that “nothing in this final rule is altering the determination of whether work is being performed in or about a private home.”</w:t>
      </w:r>
      <w:r>
        <w:rPr>
          <w:rFonts w:ascii="Times New Roman" w:eastAsia="Times New Roman" w:hAnsi="Times New Roman" w:cs="Times New Roman"/>
          <w:color w:val="000000"/>
          <w:sz w:val="24"/>
          <w:szCs w:val="24"/>
          <w:vertAlign w:val="superscript"/>
        </w:rPr>
        <w:footnoteReference w:id="290"/>
      </w:r>
      <w:r>
        <w:rPr>
          <w:rFonts w:ascii="Times New Roman" w:eastAsia="Times New Roman" w:hAnsi="Times New Roman" w:cs="Times New Roman"/>
          <w:color w:val="000000"/>
          <w:sz w:val="24"/>
          <w:szCs w:val="24"/>
        </w:rPr>
        <w:t xml:space="preserve"> Elaborating on the point, the final rule, citing several opinion letters,</w:t>
      </w:r>
      <w:r>
        <w:rPr>
          <w:rFonts w:ascii="Times New Roman" w:eastAsia="Times New Roman" w:hAnsi="Times New Roman" w:cs="Times New Roman"/>
          <w:color w:val="000000"/>
          <w:sz w:val="24"/>
          <w:szCs w:val="24"/>
          <w:vertAlign w:val="superscript"/>
        </w:rPr>
        <w:footnoteReference w:id="291"/>
      </w:r>
      <w:r>
        <w:rPr>
          <w:rFonts w:ascii="Times New Roman" w:eastAsia="Times New Roman" w:hAnsi="Times New Roman" w:cs="Times New Roman"/>
          <w:color w:val="000000"/>
          <w:sz w:val="24"/>
          <w:szCs w:val="24"/>
        </w:rPr>
        <w:t xml:space="preserve"> explains that</w:t>
      </w:r>
    </w:p>
    <w:p w14:paraId="00000165"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analysis to determine whether an employee is working in a “private home” remains unchanged. Thus, employees who are working in a location that is not a private home were never properly classified as domestic service employees under the current regulations, and employers were not and are not entitled to claim the companionship services or live-in worker exemptions for such employees.</w:t>
      </w:r>
      <w:r>
        <w:rPr>
          <w:rFonts w:ascii="Times New Roman" w:eastAsia="Times New Roman" w:hAnsi="Times New Roman" w:cs="Times New Roman"/>
          <w:color w:val="000000"/>
          <w:sz w:val="20"/>
          <w:szCs w:val="20"/>
          <w:vertAlign w:val="superscript"/>
        </w:rPr>
        <w:footnoteReference w:id="292"/>
      </w:r>
    </w:p>
    <w:p w14:paraId="0000016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Among several cases the DOL cited with approval is the Tenth Circuit decision in </w:t>
      </w:r>
      <w:r>
        <w:rPr>
          <w:rFonts w:ascii="Times New Roman" w:eastAsia="Times New Roman" w:hAnsi="Times New Roman" w:cs="Times New Roman"/>
          <w:i/>
          <w:color w:val="000000"/>
          <w:sz w:val="24"/>
          <w:szCs w:val="24"/>
        </w:rPr>
        <w:t>Welding v. Bios Corp.</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293"/>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where the court observed that “the definition of ‘private home’ exists along a continuum”; at one end is “[a] traditional family home in which a single family resides,” and at the other end is “an institution primarily engaged in the care of the sick, the aged, the mentally ill or a boarding house used for business or commercial purposes.”</w:t>
      </w:r>
      <w:r>
        <w:rPr>
          <w:rFonts w:ascii="Times New Roman" w:eastAsia="Times New Roman" w:hAnsi="Times New Roman" w:cs="Times New Roman"/>
          <w:color w:val="000000"/>
          <w:sz w:val="24"/>
          <w:szCs w:val="24"/>
          <w:vertAlign w:val="superscript"/>
        </w:rPr>
        <w:footnoteReference w:id="294"/>
      </w:r>
      <w:r>
        <w:rPr>
          <w:rFonts w:ascii="Times New Roman" w:eastAsia="Times New Roman" w:hAnsi="Times New Roman" w:cs="Times New Roman"/>
          <w:color w:val="000000"/>
          <w:sz w:val="24"/>
          <w:szCs w:val="24"/>
        </w:rPr>
        <w:t xml:space="preserve"> According to the Tenth Circuit, “in evaluating where each living unit lies on the continuum … the key inquiries are who has ultimate management control of the living unit and whether the living unit is maintained primarily to facilitate the provision of assistive services.”</w:t>
      </w:r>
      <w:r>
        <w:rPr>
          <w:rFonts w:ascii="Times New Roman" w:eastAsia="Times New Roman" w:hAnsi="Times New Roman" w:cs="Times New Roman"/>
          <w:color w:val="000000"/>
          <w:sz w:val="24"/>
          <w:szCs w:val="24"/>
          <w:vertAlign w:val="superscript"/>
        </w:rPr>
        <w:footnoteReference w:id="295"/>
      </w:r>
      <w:r>
        <w:rPr>
          <w:rFonts w:ascii="Times New Roman" w:eastAsia="Times New Roman" w:hAnsi="Times New Roman" w:cs="Times New Roman"/>
          <w:color w:val="000000"/>
          <w:sz w:val="24"/>
          <w:szCs w:val="24"/>
        </w:rPr>
        <w:t xml:space="preserve"> This inquiry, the court explained, turned on six factors gleaned from the decisional law:</w:t>
      </w:r>
      <w:r>
        <w:rPr>
          <w:rFonts w:ascii="Times New Roman" w:eastAsia="Times New Roman" w:hAnsi="Times New Roman" w:cs="Times New Roman"/>
          <w:color w:val="000000"/>
          <w:sz w:val="24"/>
          <w:szCs w:val="24"/>
          <w:vertAlign w:val="superscript"/>
        </w:rPr>
        <w:footnoteReference w:id="296"/>
      </w:r>
      <w:r>
        <w:rPr>
          <w:rFonts w:ascii="Times New Roman" w:eastAsia="Times New Roman" w:hAnsi="Times New Roman" w:cs="Times New Roman"/>
          <w:color w:val="000000"/>
          <w:sz w:val="24"/>
          <w:szCs w:val="24"/>
          <w:vertAlign w:val="superscript"/>
        </w:rPr>
        <w:t xml:space="preserve"> </w:t>
      </w:r>
    </w:p>
    <w:p w14:paraId="00000167"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(1)</w:t>
      </w:r>
      <w:r>
        <w:rPr>
          <w:rFonts w:ascii="Times New Roman" w:eastAsia="Times New Roman" w:hAnsi="Times New Roman" w:cs="Times New Roman"/>
          <w:color w:val="000000"/>
          <w:sz w:val="24"/>
          <w:szCs w:val="24"/>
        </w:rPr>
        <w:tab/>
        <w:t>whether the client lived in the unit as his or her private home before beginning to receive services,</w:t>
      </w:r>
      <w:r>
        <w:rPr>
          <w:rFonts w:ascii="Times New Roman" w:eastAsia="Times New Roman" w:hAnsi="Times New Roman" w:cs="Times New Roman"/>
          <w:color w:val="000000"/>
          <w:sz w:val="24"/>
          <w:szCs w:val="24"/>
          <w:vertAlign w:val="superscript"/>
        </w:rPr>
        <w:footnoteReference w:id="297"/>
      </w:r>
    </w:p>
    <w:p w14:paraId="00000168"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who owned the unit,</w:t>
      </w:r>
      <w:r>
        <w:rPr>
          <w:rFonts w:ascii="Times New Roman" w:eastAsia="Times New Roman" w:hAnsi="Times New Roman" w:cs="Times New Roman"/>
          <w:color w:val="000000"/>
          <w:sz w:val="24"/>
          <w:szCs w:val="24"/>
          <w:vertAlign w:val="superscript"/>
        </w:rPr>
        <w:footnoteReference w:id="298"/>
      </w:r>
    </w:p>
    <w:p w14:paraId="00000169"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who managed and maintained the unit,</w:t>
      </w:r>
      <w:r>
        <w:rPr>
          <w:rFonts w:ascii="Times New Roman" w:eastAsia="Times New Roman" w:hAnsi="Times New Roman" w:cs="Times New Roman"/>
          <w:color w:val="000000"/>
          <w:sz w:val="24"/>
          <w:szCs w:val="24"/>
          <w:vertAlign w:val="superscript"/>
        </w:rPr>
        <w:footnoteReference w:id="299"/>
      </w:r>
    </w:p>
    <w:p w14:paraId="0000016A"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whether the client would be allowed to live in the unit if the client were not contracting with the provider for services,</w:t>
      </w:r>
      <w:r>
        <w:rPr>
          <w:rFonts w:ascii="Times New Roman" w:eastAsia="Times New Roman" w:hAnsi="Times New Roman" w:cs="Times New Roman"/>
          <w:color w:val="000000"/>
          <w:sz w:val="24"/>
          <w:szCs w:val="24"/>
          <w:vertAlign w:val="superscript"/>
        </w:rPr>
        <w:footnoteReference w:id="300"/>
      </w:r>
    </w:p>
    <w:p w14:paraId="0000016B"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the relative difference in the cost/value of the services provided and the cost of maintaining the unit, and</w:t>
      </w:r>
    </w:p>
    <w:p w14:paraId="0000016C"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whether the service provider used any part of the residence for the provider’s own business purposes.</w:t>
      </w:r>
      <w:r>
        <w:rPr>
          <w:rFonts w:ascii="Times New Roman" w:eastAsia="Times New Roman" w:hAnsi="Times New Roman" w:cs="Times New Roman"/>
          <w:color w:val="000000"/>
          <w:sz w:val="24"/>
          <w:szCs w:val="24"/>
          <w:vertAlign w:val="superscript"/>
        </w:rPr>
        <w:footnoteReference w:id="301"/>
      </w:r>
    </w:p>
    <w:p w14:paraId="0000016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final rule also considered whether significant public funding was involved; who determined who lived together in the home; whether residents lived together for treatment purposes as part of an overall care program; the number of residents; whether the clients could come and go freely; whether the employer or the client acquired the furniture; who had access to the home; and whether the provider was a for-profit or not-for-profit entity.</w:t>
      </w:r>
      <w:r>
        <w:rPr>
          <w:rFonts w:ascii="Times New Roman" w:eastAsia="Times New Roman" w:hAnsi="Times New Roman" w:cs="Times New Roman"/>
          <w:color w:val="000000"/>
          <w:sz w:val="24"/>
          <w:szCs w:val="24"/>
          <w:vertAlign w:val="superscript"/>
        </w:rPr>
        <w:footnoteReference w:id="302"/>
      </w:r>
    </w:p>
    <w:p w14:paraId="0000016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Applying the six factors articulated in </w:t>
      </w:r>
      <w:r>
        <w:rPr>
          <w:rFonts w:ascii="Times New Roman" w:eastAsia="Times New Roman" w:hAnsi="Times New Roman" w:cs="Times New Roman"/>
          <w:i/>
          <w:color w:val="000000"/>
          <w:sz w:val="24"/>
          <w:szCs w:val="24"/>
        </w:rPr>
        <w:t>Welding</w:t>
      </w:r>
      <w:r>
        <w:rPr>
          <w:rFonts w:ascii="Times New Roman" w:eastAsia="Times New Roman" w:hAnsi="Times New Roman" w:cs="Times New Roman"/>
          <w:color w:val="000000"/>
          <w:sz w:val="24"/>
          <w:szCs w:val="24"/>
        </w:rPr>
        <w:t>, a federal district court held that “independent supportive living locations” providing services to disabled individuals did not qualify as private homes.</w:t>
      </w:r>
      <w:r>
        <w:rPr>
          <w:rFonts w:ascii="Times New Roman" w:eastAsia="Times New Roman" w:hAnsi="Times New Roman" w:cs="Times New Roman"/>
          <w:color w:val="000000"/>
          <w:sz w:val="24"/>
          <w:szCs w:val="24"/>
          <w:vertAlign w:val="superscript"/>
        </w:rPr>
        <w:footnoteReference w:id="303"/>
      </w:r>
      <w:r>
        <w:rPr>
          <w:rFonts w:ascii="Times New Roman" w:eastAsia="Times New Roman" w:hAnsi="Times New Roman" w:cs="Times New Roman"/>
          <w:color w:val="000000"/>
          <w:sz w:val="24"/>
          <w:szCs w:val="24"/>
        </w:rPr>
        <w:t xml:space="preserve"> By contrast, the Eighth Circuit held in </w:t>
      </w:r>
      <w:r>
        <w:rPr>
          <w:rFonts w:ascii="Times New Roman" w:eastAsia="Times New Roman" w:hAnsi="Times New Roman" w:cs="Times New Roman"/>
          <w:i/>
          <w:color w:val="000000"/>
          <w:sz w:val="24"/>
          <w:szCs w:val="24"/>
        </w:rPr>
        <w:t>Fezard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United Cerebral </w:t>
      </w:r>
      <w:r>
        <w:rPr>
          <w:rFonts w:ascii="Times New Roman" w:eastAsia="Times New Roman" w:hAnsi="Times New Roman" w:cs="Times New Roman"/>
          <w:i/>
          <w:color w:val="000000"/>
          <w:sz w:val="24"/>
          <w:szCs w:val="24"/>
        </w:rPr>
        <w:lastRenderedPageBreak/>
        <w:t>Palsy of Central Arkansas</w:t>
      </w:r>
      <w:r>
        <w:rPr>
          <w:rFonts w:ascii="Times New Roman" w:eastAsia="Times New Roman" w:hAnsi="Times New Roman" w:cs="Times New Roman"/>
          <w:color w:val="000000"/>
          <w:sz w:val="24"/>
          <w:szCs w:val="24"/>
          <w:vertAlign w:val="superscript"/>
        </w:rPr>
        <w:footnoteReference w:id="304"/>
      </w:r>
      <w:r>
        <w:rPr>
          <w:rFonts w:ascii="Times New Roman" w:eastAsia="Times New Roman" w:hAnsi="Times New Roman" w:cs="Times New Roman"/>
          <w:color w:val="000000"/>
          <w:sz w:val="24"/>
          <w:szCs w:val="24"/>
        </w:rPr>
        <w:t xml:space="preserve"> that dwelling units were “private homes” where employees lived with clients and provided companionship services, reasoning that</w:t>
      </w:r>
    </w:p>
    <w:p w14:paraId="0000016F"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if the client chooses to live in a dwelling controlled primarily by the employer, the dwelling probably is not the client’s private home. If the client maintains control—or has delegated control to a third party—it probably is a private home. All of the clients in this case chose a living arrangement subject to some measure of control by a third-party who also happens to work for [United Cerebral Palsy of Central Arkansas]. From an employer’s perspective—the relevant perspective for purposes of the FLSA—it is irrelevant whether a client maintains a dwelling unit or pays a landlord to do so. In either case, the employer is providing companionship services for the client in a private home.</w:t>
      </w:r>
      <w:r>
        <w:rPr>
          <w:rFonts w:ascii="Times New Roman" w:eastAsia="Times New Roman" w:hAnsi="Times New Roman" w:cs="Times New Roman"/>
          <w:color w:val="000000"/>
          <w:sz w:val="20"/>
          <w:szCs w:val="20"/>
          <w:vertAlign w:val="superscript"/>
        </w:rPr>
        <w:footnoteReference w:id="305"/>
      </w:r>
    </w:p>
    <w:p w14:paraId="00000170"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Applying this standard, the Eighth Circuit concluded that the dwelling units in which the employees provided services were private homes.</w:t>
      </w:r>
      <w:r>
        <w:rPr>
          <w:rFonts w:ascii="Times New Roman" w:eastAsia="Times New Roman" w:hAnsi="Times New Roman" w:cs="Times New Roman"/>
          <w:color w:val="000000"/>
          <w:sz w:val="24"/>
          <w:szCs w:val="24"/>
          <w:vertAlign w:val="superscript"/>
        </w:rPr>
        <w:footnoteReference w:id="306"/>
      </w:r>
    </w:p>
    <w:p w14:paraId="0000017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final rule summarized the case law by noting that whether a living arrangement qualifies as a private home is a fact-specific inquiry, using the factors set out in the case law. It then cited several DOL opinion letters that have been issued on whether certain types of “living units” were “private homes.”</w:t>
      </w:r>
      <w:r>
        <w:rPr>
          <w:rFonts w:ascii="Times New Roman" w:eastAsia="Times New Roman" w:hAnsi="Times New Roman" w:cs="Times New Roman"/>
          <w:color w:val="000000"/>
          <w:sz w:val="24"/>
          <w:szCs w:val="24"/>
          <w:vertAlign w:val="superscript"/>
        </w:rPr>
        <w:footnoteReference w:id="307"/>
      </w:r>
    </w:p>
    <w:p w14:paraId="00000172"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w:t>
      </w:r>
      <w:r>
        <w:rPr>
          <w:rFonts w:ascii="Times New Roman" w:eastAsia="Times New Roman" w:hAnsi="Times New Roman" w:cs="Times New Roman"/>
          <w:i/>
          <w:color w:val="000000"/>
          <w:sz w:val="24"/>
          <w:szCs w:val="24"/>
        </w:rPr>
        <w:tab/>
        <w:t>What Constitutes “Companionship Services”</w:t>
      </w:r>
    </w:p>
    <w:p w14:paraId="0000017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“Companionship services” were defined in the 1975 regulation as “those services which provide fellowship, care and protection for a person who, because of advanced age or physical or mental infirmity, cannot care for his or her own needs.”</w:t>
      </w:r>
      <w:r>
        <w:rPr>
          <w:rFonts w:ascii="Times New Roman" w:eastAsia="Times New Roman" w:hAnsi="Times New Roman" w:cs="Times New Roman"/>
          <w:color w:val="000000"/>
          <w:sz w:val="24"/>
          <w:szCs w:val="24"/>
          <w:vertAlign w:val="superscript"/>
        </w:rPr>
        <w:footnoteReference w:id="308"/>
      </w:r>
      <w:r>
        <w:rPr>
          <w:rFonts w:ascii="Times New Roman" w:eastAsia="Times New Roman" w:hAnsi="Times New Roman" w:cs="Times New Roman"/>
          <w:color w:val="000000"/>
          <w:sz w:val="24"/>
          <w:szCs w:val="24"/>
        </w:rPr>
        <w:t xml:space="preserve"> In revising the language of the “companionship service” regulation in the 2013 final rule, the DOL stated its intention to “modernize and clarify” the definition of “fellowship, care, and protection.”</w:t>
      </w:r>
      <w:r>
        <w:rPr>
          <w:rFonts w:ascii="Times New Roman" w:eastAsia="Times New Roman" w:hAnsi="Times New Roman" w:cs="Times New Roman"/>
          <w:color w:val="000000"/>
          <w:sz w:val="24"/>
          <w:szCs w:val="24"/>
          <w:vertAlign w:val="superscript"/>
        </w:rPr>
        <w:footnoteReference w:id="309"/>
      </w:r>
      <w:r>
        <w:rPr>
          <w:rFonts w:ascii="Times New Roman" w:eastAsia="Times New Roman" w:hAnsi="Times New Roman" w:cs="Times New Roman"/>
          <w:color w:val="000000"/>
          <w:sz w:val="24"/>
          <w:szCs w:val="24"/>
        </w:rPr>
        <w:t xml:space="preserve"> The final rule also deleted the terms “aged,” “advanced age,” “infirm,” “infirmity,” and “physical or mental infirmity” in the regulatory text of this section.</w:t>
      </w:r>
      <w:r>
        <w:rPr>
          <w:rFonts w:ascii="Times New Roman" w:eastAsia="Times New Roman" w:hAnsi="Times New Roman" w:cs="Times New Roman"/>
          <w:color w:val="000000"/>
          <w:sz w:val="24"/>
          <w:szCs w:val="24"/>
          <w:vertAlign w:val="superscript"/>
        </w:rPr>
        <w:footnoteReference w:id="310"/>
      </w:r>
      <w:r>
        <w:rPr>
          <w:rFonts w:ascii="Times New Roman" w:eastAsia="Times New Roman" w:hAnsi="Times New Roman" w:cs="Times New Roman"/>
          <w:color w:val="000000"/>
          <w:sz w:val="24"/>
          <w:szCs w:val="24"/>
        </w:rPr>
        <w:t xml:space="preserve"> Where a “descriptor” was needed, the DOL substituted “elderly person or person with an illness, injury, or disability.”</w:t>
      </w:r>
      <w:r>
        <w:rPr>
          <w:rFonts w:ascii="Times New Roman" w:eastAsia="Times New Roman" w:hAnsi="Times New Roman" w:cs="Times New Roman"/>
          <w:color w:val="000000"/>
          <w:sz w:val="24"/>
          <w:szCs w:val="24"/>
          <w:vertAlign w:val="superscript"/>
        </w:rPr>
        <w:footnoteReference w:id="311"/>
      </w:r>
      <w:r>
        <w:rPr>
          <w:rFonts w:ascii="Times New Roman" w:eastAsia="Times New Roman" w:hAnsi="Times New Roman" w:cs="Times New Roman"/>
          <w:color w:val="000000"/>
          <w:sz w:val="24"/>
          <w:szCs w:val="24"/>
        </w:rPr>
        <w:t xml:space="preserve"> In addition, the DOL replaced the phrase “unable to care for themselves” with “requires assistance in caring for himself or herself.” According to the final rule: “Although the language being replaced is derived from FLSA section [2]13(a)(15) and the existing regulations at § 552.6, the Department </w:t>
      </w:r>
      <w:r>
        <w:rPr>
          <w:rFonts w:ascii="Times New Roman" w:eastAsia="Times New Roman" w:hAnsi="Times New Roman" w:cs="Times New Roman"/>
          <w:color w:val="000000"/>
          <w:sz w:val="24"/>
          <w:szCs w:val="24"/>
        </w:rPr>
        <w:lastRenderedPageBreak/>
        <w:t>recognizes that such language is outdated and does not reflect contemporary views regarding the elderly and people with disabilities.”</w:t>
      </w:r>
      <w:r>
        <w:rPr>
          <w:rFonts w:ascii="Times New Roman" w:eastAsia="Times New Roman" w:hAnsi="Times New Roman" w:cs="Times New Roman"/>
          <w:color w:val="000000"/>
          <w:sz w:val="24"/>
          <w:szCs w:val="24"/>
          <w:vertAlign w:val="superscript"/>
        </w:rPr>
        <w:footnoteReference w:id="312"/>
      </w:r>
    </w:p>
    <w:p w14:paraId="0000017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new Section 552.6 is divided into four separate paragraphs defining each of the key terms.</w:t>
      </w:r>
    </w:p>
    <w:p w14:paraId="0000017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552.6(a) defines “companionship services” as “the provision of fellowship and protection for an elderly person or person with an illness, injury, or disability who requires assistance in caring for himself or herself.”</w:t>
      </w:r>
      <w:r>
        <w:rPr>
          <w:rFonts w:ascii="Times New Roman" w:eastAsia="Times New Roman" w:hAnsi="Times New Roman" w:cs="Times New Roman"/>
          <w:color w:val="000000"/>
          <w:sz w:val="24"/>
          <w:szCs w:val="24"/>
          <w:vertAlign w:val="superscript"/>
        </w:rPr>
        <w:footnoteReference w:id="313"/>
      </w:r>
      <w:r>
        <w:rPr>
          <w:rFonts w:ascii="Times New Roman" w:eastAsia="Times New Roman" w:hAnsi="Times New Roman" w:cs="Times New Roman"/>
          <w:color w:val="000000"/>
          <w:sz w:val="24"/>
          <w:szCs w:val="24"/>
        </w:rPr>
        <w:t xml:space="preserve"> “Fellowship” means to engage the person in social, physical, and mental activities, such as conversation, reading, games, crafts, or accompanying the person on walks, on errands, to appointments, or to social events.</w:t>
      </w:r>
      <w:r>
        <w:rPr>
          <w:rFonts w:ascii="Times New Roman" w:eastAsia="Times New Roman" w:hAnsi="Times New Roman" w:cs="Times New Roman"/>
          <w:color w:val="000000"/>
          <w:sz w:val="24"/>
          <w:szCs w:val="24"/>
          <w:vertAlign w:val="superscript"/>
        </w:rPr>
        <w:footnoteReference w:id="314"/>
      </w:r>
      <w:r>
        <w:rPr>
          <w:rFonts w:ascii="Times New Roman" w:eastAsia="Times New Roman" w:hAnsi="Times New Roman" w:cs="Times New Roman"/>
          <w:color w:val="000000"/>
          <w:sz w:val="24"/>
          <w:szCs w:val="24"/>
        </w:rPr>
        <w:t xml:space="preserve"> “Protection” means “to be present with the person in his or her home or to accompany the person when outside of the home to monitor the person’s safety and well-being.”</w:t>
      </w:r>
      <w:r>
        <w:rPr>
          <w:rFonts w:ascii="Times New Roman" w:eastAsia="Times New Roman" w:hAnsi="Times New Roman" w:cs="Times New Roman"/>
          <w:color w:val="000000"/>
          <w:sz w:val="24"/>
          <w:szCs w:val="24"/>
          <w:vertAlign w:val="superscript"/>
        </w:rPr>
        <w:footnoteReference w:id="315"/>
      </w:r>
      <w:r>
        <w:rPr>
          <w:rFonts w:ascii="Times New Roman" w:eastAsia="Times New Roman" w:hAnsi="Times New Roman" w:cs="Times New Roman"/>
          <w:color w:val="000000"/>
          <w:sz w:val="24"/>
          <w:szCs w:val="24"/>
        </w:rPr>
        <w:t xml:space="preserve"> According to the preamble to the 2013 final rule, revisions to this definition reflect Congress’s intent that the companionship exemption “be akin to ‘elder sitting.’”</w:t>
      </w:r>
      <w:r>
        <w:rPr>
          <w:rFonts w:ascii="Times New Roman" w:eastAsia="Times New Roman" w:hAnsi="Times New Roman" w:cs="Times New Roman"/>
          <w:color w:val="000000"/>
          <w:sz w:val="24"/>
          <w:szCs w:val="24"/>
          <w:vertAlign w:val="superscript"/>
        </w:rPr>
        <w:footnoteReference w:id="316"/>
      </w:r>
      <w:r>
        <w:rPr>
          <w:rFonts w:ascii="Times New Roman" w:eastAsia="Times New Roman" w:hAnsi="Times New Roman" w:cs="Times New Roman"/>
          <w:color w:val="000000"/>
          <w:sz w:val="24"/>
          <w:szCs w:val="24"/>
        </w:rPr>
        <w:t xml:space="preserve"> The DOL discerned from the legislative history of the 1974 amendments that a companion is someone who “sits with [an elder person]” provides “constant attendance,” and renders services similar to a babysitter, that is, “someone to be there and watch an older person,” or an “elder sitter.”</w:t>
      </w:r>
      <w:r>
        <w:rPr>
          <w:rFonts w:ascii="Times New Roman" w:eastAsia="Times New Roman" w:hAnsi="Times New Roman" w:cs="Times New Roman"/>
          <w:color w:val="000000"/>
          <w:sz w:val="24"/>
          <w:szCs w:val="24"/>
          <w:vertAlign w:val="superscript"/>
        </w:rPr>
        <w:footnoteReference w:id="317"/>
      </w:r>
    </w:p>
    <w:p w14:paraId="0000017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552.6(b) provides that “companionship services” could also include “the provision of care if the care is provided attendant to and in conjunction with the provision of fellowship and protection, and if it does not exceed 20 percent of the total hours worked per person and per workweek.”</w:t>
      </w:r>
      <w:r>
        <w:rPr>
          <w:rFonts w:ascii="Times New Roman" w:eastAsia="Times New Roman" w:hAnsi="Times New Roman" w:cs="Times New Roman"/>
          <w:color w:val="000000"/>
          <w:sz w:val="24"/>
          <w:szCs w:val="24"/>
          <w:vertAlign w:val="superscript"/>
        </w:rPr>
        <w:footnoteReference w:id="318"/>
      </w:r>
      <w:r>
        <w:rPr>
          <w:rFonts w:ascii="Times New Roman" w:eastAsia="Times New Roman" w:hAnsi="Times New Roman" w:cs="Times New Roman"/>
          <w:color w:val="000000"/>
          <w:sz w:val="24"/>
          <w:szCs w:val="24"/>
        </w:rPr>
        <w:t xml:space="preserve"> The provision of care means</w:t>
      </w:r>
    </w:p>
    <w:p w14:paraId="00000177"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assist the person with activities of daily living (such as dressing, grooming, feeding, bathing, toileting, and transferring) and instrumental activities of daily living, which are tasks that enable a person to live independently at home (such as meal preparation, driving, light housework, managing finances, assistance with the physical taking of medications, and arranging medical care).</w:t>
      </w:r>
      <w:r>
        <w:rPr>
          <w:rFonts w:ascii="Times New Roman" w:eastAsia="Times New Roman" w:hAnsi="Times New Roman" w:cs="Times New Roman"/>
          <w:color w:val="000000"/>
          <w:sz w:val="20"/>
          <w:szCs w:val="20"/>
          <w:vertAlign w:val="superscript"/>
        </w:rPr>
        <w:footnoteReference w:id="319"/>
      </w:r>
    </w:p>
    <w:p w14:paraId="0000017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regard to the 20 percent limitation on the provision of care, it was “[t]he Department’s view … that failing to provide such a limitation would ignore Congressional intent that making meals and doing laundry would be incidental to the exempt companion’s primary purpose of watching over the consumer”</w:t>
      </w:r>
      <w:r>
        <w:rPr>
          <w:rFonts w:ascii="Times New Roman" w:eastAsia="Times New Roman" w:hAnsi="Times New Roman" w:cs="Times New Roman"/>
          <w:color w:val="000000"/>
          <w:sz w:val="24"/>
          <w:szCs w:val="24"/>
          <w:vertAlign w:val="superscript"/>
        </w:rPr>
        <w:footnoteReference w:id="320"/>
      </w:r>
      <w:r>
        <w:rPr>
          <w:rFonts w:ascii="Times New Roman" w:eastAsia="Times New Roman" w:hAnsi="Times New Roman" w:cs="Times New Roman"/>
          <w:color w:val="000000"/>
          <w:sz w:val="24"/>
          <w:szCs w:val="24"/>
        </w:rPr>
        <w:t xml:space="preserve"> and noted that “a 20 percent limitation for providing </w:t>
      </w:r>
      <w:r>
        <w:rPr>
          <w:rFonts w:ascii="Times New Roman" w:eastAsia="Times New Roman" w:hAnsi="Times New Roman" w:cs="Times New Roman"/>
          <w:color w:val="000000"/>
          <w:sz w:val="24"/>
          <w:szCs w:val="24"/>
        </w:rPr>
        <w:lastRenderedPageBreak/>
        <w:t>this care, coupled with a primary focus on the provision of fellowship and protection, was appropriate for a worker who is not entitled to minimum wage and overtime protections.”</w:t>
      </w:r>
      <w:r>
        <w:rPr>
          <w:rFonts w:ascii="Times New Roman" w:eastAsia="Times New Roman" w:hAnsi="Times New Roman" w:cs="Times New Roman"/>
          <w:color w:val="000000"/>
          <w:sz w:val="24"/>
          <w:szCs w:val="24"/>
          <w:vertAlign w:val="superscript"/>
        </w:rPr>
        <w:footnoteReference w:id="321"/>
      </w:r>
    </w:p>
    <w:p w14:paraId="0000017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i/>
          <w:color w:val="000000"/>
          <w:sz w:val="24"/>
          <w:szCs w:val="24"/>
        </w:rPr>
        <w:t>Cummings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Bost,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322"/>
      </w:r>
      <w:r>
        <w:rPr>
          <w:rFonts w:ascii="Times New Roman" w:eastAsia="Times New Roman" w:hAnsi="Times New Roman" w:cs="Times New Roman"/>
          <w:color w:val="000000"/>
          <w:sz w:val="24"/>
          <w:szCs w:val="24"/>
        </w:rPr>
        <w:t xml:space="preserve"> the court adopted a burden-shifting approach in assessing whether the 20 percent limit had been exceeded, holding that</w:t>
      </w:r>
    </w:p>
    <w:p w14:paraId="0000017A"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Plaintiffs do have a burden, albeit a low one, to show that they qualify under the general household work exception to the companionship services exemption. … Before shifting the burden to [the employer], Plaintiffs must first provide some evidence to meet their burden of showing that they spent more than 20-percent of a work week on general household work.</w:t>
      </w:r>
      <w:r>
        <w:rPr>
          <w:rFonts w:ascii="Times New Roman" w:eastAsia="Times New Roman" w:hAnsi="Times New Roman" w:cs="Times New Roman"/>
          <w:color w:val="000000"/>
          <w:sz w:val="20"/>
          <w:szCs w:val="20"/>
          <w:vertAlign w:val="superscript"/>
        </w:rPr>
        <w:footnoteReference w:id="323"/>
      </w:r>
      <w:r>
        <w:rPr>
          <w:rFonts w:ascii="Times New Roman" w:eastAsia="Times New Roman" w:hAnsi="Times New Roman" w:cs="Times New Roman"/>
          <w:color w:val="000000"/>
          <w:sz w:val="20"/>
          <w:szCs w:val="20"/>
        </w:rPr>
        <w:t xml:space="preserve"> </w:t>
      </w:r>
    </w:p>
    <w:p w14:paraId="0000017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However, in </w:t>
      </w:r>
      <w:r>
        <w:rPr>
          <w:rFonts w:ascii="Times New Roman" w:eastAsia="Times New Roman" w:hAnsi="Times New Roman" w:cs="Times New Roman"/>
          <w:i/>
          <w:color w:val="000000"/>
          <w:sz w:val="24"/>
          <w:szCs w:val="24"/>
        </w:rPr>
        <w:t>Romero v. Diaz-Fox</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vertAlign w:val="superscript"/>
        </w:rPr>
        <w:footnoteReference w:id="324"/>
      </w:r>
      <w:r>
        <w:rPr>
          <w:rFonts w:ascii="Times New Roman" w:eastAsia="Times New Roman" w:hAnsi="Times New Roman" w:cs="Times New Roman"/>
          <w:color w:val="000000"/>
          <w:sz w:val="24"/>
          <w:szCs w:val="24"/>
        </w:rPr>
        <w:t xml:space="preserve"> the uncontested facts established that the plaintiff spent well over the 20-percent threshold per week providing care service, and therefore the plaintiff was not exempt under the companionship services exemption. Section 552.6(c) excludes from “companionship services” domestic services “performed primarily for the benefit of other members of the household.”</w:t>
      </w:r>
      <w:r>
        <w:rPr>
          <w:rFonts w:ascii="Times New Roman" w:eastAsia="Times New Roman" w:hAnsi="Times New Roman" w:cs="Times New Roman"/>
          <w:color w:val="000000"/>
          <w:sz w:val="24"/>
          <w:szCs w:val="24"/>
          <w:vertAlign w:val="superscript"/>
        </w:rPr>
        <w:footnoteReference w:id="325"/>
      </w:r>
      <w:r>
        <w:rPr>
          <w:rFonts w:ascii="Times New Roman" w:eastAsia="Times New Roman" w:hAnsi="Times New Roman" w:cs="Times New Roman"/>
          <w:color w:val="000000"/>
          <w:sz w:val="24"/>
          <w:szCs w:val="24"/>
        </w:rPr>
        <w:t xml:space="preserve"> This definition of “companionship services” contrasts with the 1975 regulations, which extended the companionship services exemption to a worker who spent up to 20 percent of his or her time performing general household work unrelated to the care of the person receiving the services.</w:t>
      </w:r>
      <w:r>
        <w:rPr>
          <w:rFonts w:ascii="Times New Roman" w:eastAsia="Times New Roman" w:hAnsi="Times New Roman" w:cs="Times New Roman"/>
          <w:color w:val="000000"/>
          <w:sz w:val="24"/>
          <w:szCs w:val="24"/>
          <w:vertAlign w:val="superscript"/>
        </w:rPr>
        <w:footnoteReference w:id="326"/>
      </w:r>
      <w:r>
        <w:rPr>
          <w:rFonts w:ascii="Times New Roman" w:eastAsia="Times New Roman" w:hAnsi="Times New Roman" w:cs="Times New Roman"/>
          <w:color w:val="000000"/>
          <w:sz w:val="24"/>
          <w:szCs w:val="24"/>
        </w:rPr>
        <w:t xml:space="preserve"> Through its 2013 final rule, the DOL stated that it “intended to exclude”</w:t>
      </w:r>
      <w:r>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from companionship services any general domestic services unrelated to the care of the consumer as defined in paragraph (b).</w:t>
      </w:r>
      <w:r>
        <w:rPr>
          <w:rFonts w:ascii="Times New Roman" w:eastAsia="Times New Roman" w:hAnsi="Times New Roman" w:cs="Times New Roman"/>
          <w:color w:val="000000"/>
          <w:sz w:val="24"/>
          <w:szCs w:val="24"/>
          <w:vertAlign w:val="superscript"/>
        </w:rPr>
        <w:footnoteReference w:id="327"/>
      </w:r>
      <w:r>
        <w:rPr>
          <w:rFonts w:ascii="Times New Roman" w:eastAsia="Times New Roman" w:hAnsi="Times New Roman" w:cs="Times New Roman"/>
          <w:color w:val="000000"/>
          <w:sz w:val="24"/>
          <w:szCs w:val="24"/>
        </w:rPr>
        <w:t xml:space="preserve"> “The determination of whether a particular task constitutes the provision of care or is instead a service performed primarily for the benefit of others in the household is based on a common sense assessment of the facts at issue.”</w:t>
      </w:r>
      <w:r>
        <w:rPr>
          <w:rFonts w:ascii="Times New Roman" w:eastAsia="Times New Roman" w:hAnsi="Times New Roman" w:cs="Times New Roman"/>
          <w:color w:val="000000"/>
          <w:sz w:val="24"/>
          <w:szCs w:val="24"/>
          <w:vertAlign w:val="superscript"/>
        </w:rPr>
        <w:footnoteReference w:id="328"/>
      </w:r>
    </w:p>
    <w:p w14:paraId="0000017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For example, an exempt companion may vacuum up food the consumer drops or wash a soiled blouse for the consumer as part of his or her “care activities.” Additionally, light housework such as dusting a bedroom the consumer shares with another, that only tangentially benefits others living in the household, may constitute “care” if performed attendant to and in </w:t>
      </w:r>
      <w:r>
        <w:rPr>
          <w:rFonts w:ascii="Times New Roman" w:eastAsia="Times New Roman" w:hAnsi="Times New Roman" w:cs="Times New Roman"/>
          <w:color w:val="000000"/>
          <w:sz w:val="24"/>
          <w:szCs w:val="24"/>
        </w:rPr>
        <w:lastRenderedPageBreak/>
        <w:t>conjunction with the provision of fellowship and protection of the consumer and within the 20 percent limitation on care.</w:t>
      </w:r>
      <w:r>
        <w:rPr>
          <w:rFonts w:ascii="Times New Roman" w:eastAsia="Times New Roman" w:hAnsi="Times New Roman" w:cs="Times New Roman"/>
          <w:color w:val="000000"/>
          <w:sz w:val="24"/>
          <w:szCs w:val="24"/>
          <w:vertAlign w:val="superscript"/>
        </w:rPr>
        <w:footnoteReference w:id="329"/>
      </w:r>
    </w:p>
    <w:p w14:paraId="0000017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552.6(d) provides that “companionship services” do not include the performance of medically related services. Services are medically related if they “typically require and are performed by trained personnel, such as registered nurses, licensed practical nurses, or certified nursing assistants.”</w:t>
      </w:r>
      <w:r>
        <w:rPr>
          <w:rFonts w:ascii="Times New Roman" w:eastAsia="Times New Roman" w:hAnsi="Times New Roman" w:cs="Times New Roman"/>
          <w:color w:val="000000"/>
          <w:sz w:val="24"/>
          <w:szCs w:val="24"/>
          <w:vertAlign w:val="superscript"/>
        </w:rPr>
        <w:footnoteReference w:id="330"/>
      </w:r>
      <w:r>
        <w:rPr>
          <w:rFonts w:ascii="Times New Roman" w:eastAsia="Times New Roman" w:hAnsi="Times New Roman" w:cs="Times New Roman"/>
          <w:color w:val="000000"/>
          <w:sz w:val="24"/>
          <w:szCs w:val="24"/>
        </w:rPr>
        <w:t xml:space="preserve"> The determination is not based on the actual training or occupational title of the individual performing the services.</w:t>
      </w:r>
      <w:r>
        <w:rPr>
          <w:rFonts w:ascii="Times New Roman" w:eastAsia="Times New Roman" w:hAnsi="Times New Roman" w:cs="Times New Roman"/>
          <w:color w:val="000000"/>
          <w:sz w:val="24"/>
          <w:szCs w:val="24"/>
          <w:vertAlign w:val="superscript"/>
        </w:rPr>
        <w:footnoteReference w:id="331"/>
      </w:r>
    </w:p>
    <w:p w14:paraId="0000017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2013 final rule makes two substantive changes to the 1975 regulations’ treatment of the term “trained personnel.” First, the final rule adds “certified nursing assistants” as an example of “trained personnel” who perform medically related services. Second, the final rule clarifies that whether the individual who performs medical tasks received training is irrelevant to the determination of whether the tasks are medically related.</w:t>
      </w:r>
      <w:r>
        <w:rPr>
          <w:rFonts w:ascii="Times New Roman" w:eastAsia="Times New Roman" w:hAnsi="Times New Roman" w:cs="Times New Roman"/>
          <w:color w:val="000000"/>
          <w:sz w:val="24"/>
          <w:szCs w:val="24"/>
          <w:vertAlign w:val="superscript"/>
        </w:rPr>
        <w:footnoteReference w:id="332"/>
      </w:r>
    </w:p>
    <w:p w14:paraId="0000017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specifically decided not to include home health aides or personal care aides in its illustrative list of trained personnel because “[t]he work of practitioners of those occupations does not necessarily include medically related services.”</w:t>
      </w:r>
      <w:r>
        <w:rPr>
          <w:rFonts w:ascii="Times New Roman" w:eastAsia="Times New Roman" w:hAnsi="Times New Roman" w:cs="Times New Roman"/>
          <w:color w:val="000000"/>
          <w:sz w:val="24"/>
          <w:szCs w:val="24"/>
          <w:vertAlign w:val="superscript"/>
        </w:rPr>
        <w:footnoteReference w:id="333"/>
      </w:r>
    </w:p>
    <w:p w14:paraId="00000180"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f.</w:t>
      </w:r>
      <w:r>
        <w:rPr>
          <w:rFonts w:ascii="Times New Roman" w:eastAsia="Times New Roman" w:hAnsi="Times New Roman" w:cs="Times New Roman"/>
          <w:i/>
          <w:color w:val="000000"/>
          <w:sz w:val="24"/>
          <w:szCs w:val="24"/>
        </w:rPr>
        <w:tab/>
        <w:t>Third-Party Employment</w:t>
      </w:r>
    </w:p>
    <w:p w14:paraId="0000018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2013 final rule revised 29 C.F.R. §552.109 to prohibit third-party employers from claiming the Section 213(a)(15) exemption; now, rather, “only an individual, family, or household would be permitted to claim the exemptions in §§ [2]13(a)(15) and [2]13(b)(21) of the FLSA.”</w:t>
      </w:r>
      <w:r>
        <w:rPr>
          <w:rFonts w:ascii="Times New Roman" w:eastAsia="Times New Roman" w:hAnsi="Times New Roman" w:cs="Times New Roman"/>
          <w:color w:val="000000"/>
          <w:sz w:val="24"/>
          <w:szCs w:val="24"/>
          <w:vertAlign w:val="superscript"/>
        </w:rPr>
        <w:footnoteReference w:id="334"/>
      </w:r>
      <w:r>
        <w:rPr>
          <w:rFonts w:ascii="Times New Roman" w:eastAsia="Times New Roman" w:hAnsi="Times New Roman" w:cs="Times New Roman"/>
          <w:color w:val="000000"/>
          <w:sz w:val="24"/>
          <w:szCs w:val="24"/>
        </w:rPr>
        <w:t xml:space="preserve"> By way of explanation for the change, the DOL pointed to congressional intent as well as legislative history of the 1974 amendments.</w:t>
      </w:r>
      <w:r>
        <w:rPr>
          <w:rFonts w:ascii="Times New Roman" w:eastAsia="Times New Roman" w:hAnsi="Times New Roman" w:cs="Times New Roman"/>
          <w:color w:val="000000"/>
          <w:sz w:val="24"/>
          <w:szCs w:val="24"/>
          <w:vertAlign w:val="superscript"/>
        </w:rPr>
        <w:footnoteReference w:id="335"/>
      </w:r>
    </w:p>
    <w:p w14:paraId="0000018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final rule also explained the DOL’s reversal of the position advocated before the Supreme Court in </w:t>
      </w:r>
      <w:r>
        <w:rPr>
          <w:rFonts w:ascii="Times New Roman" w:eastAsia="Times New Roman" w:hAnsi="Times New Roman" w:cs="Times New Roman"/>
          <w:i/>
          <w:color w:val="000000"/>
          <w:sz w:val="24"/>
          <w:szCs w:val="24"/>
        </w:rPr>
        <w:t>Long Island Care at Home, Ltd. v. Coke: </w:t>
      </w:r>
      <w:r>
        <w:rPr>
          <w:rFonts w:ascii="Times New Roman" w:eastAsia="Times New Roman" w:hAnsi="Times New Roman" w:cs="Times New Roman"/>
          <w:color w:val="000000"/>
          <w:sz w:val="24"/>
          <w:szCs w:val="24"/>
          <w:vertAlign w:val="superscript"/>
        </w:rPr>
        <w:footnoteReference w:id="336"/>
      </w:r>
    </w:p>
    <w:p w14:paraId="00000183"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Although the commenters who noted that the Department is changing its position as to the proper treatment of third party employers in § 552.109 are correct, such a change is not only permissible, but also reasonable. The Department did argue in </w:t>
      </w:r>
      <w:r>
        <w:rPr>
          <w:rFonts w:ascii="Times New Roman" w:eastAsia="Times New Roman" w:hAnsi="Times New Roman" w:cs="Times New Roman"/>
          <w:i/>
          <w:color w:val="000000"/>
          <w:sz w:val="20"/>
          <w:szCs w:val="20"/>
        </w:rPr>
        <w:t>Coke</w:t>
      </w:r>
      <w:r>
        <w:rPr>
          <w:rFonts w:ascii="Times New Roman" w:eastAsia="Times New Roman" w:hAnsi="Times New Roman" w:cs="Times New Roman"/>
          <w:color w:val="000000"/>
          <w:sz w:val="20"/>
          <w:szCs w:val="20"/>
        </w:rPr>
        <w:t>, as well as in Wage and Hour Advisory Memorandum (“WHAM”) 2005–1 … that the third party regulation as written in 1975 was the Department’s best reading of these statutory exemptions. In the past, however, the Department erroneously focused on the phrase “any employee,” instead of focusing on the purpose and objective behind the 1974 amendments, which was to expand minimum wage and overtime protections to workers employed in private households that did not otherwise meet the FLSA coverage requirements. … Moreover, the WHAM failed to consider the industry changes that have taken place over the decades since the statutory amendment was enacted.</w:t>
      </w:r>
      <w:r>
        <w:rPr>
          <w:rFonts w:ascii="Times New Roman" w:eastAsia="Times New Roman" w:hAnsi="Times New Roman" w:cs="Times New Roman"/>
          <w:color w:val="000000"/>
          <w:sz w:val="20"/>
          <w:szCs w:val="20"/>
          <w:vertAlign w:val="superscript"/>
        </w:rPr>
        <w:footnoteReference w:id="337"/>
      </w:r>
    </w:p>
    <w:p w14:paraId="0000018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assist the public in complying with the new regulations, the DOL issued the following fact sheets: </w:t>
      </w:r>
    </w:p>
    <w:p w14:paraId="00000185"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Fact Sheet #79: Private Homes and Domestic Service Employment Under the Fair Labor Standards Act (FLSA);</w:t>
      </w:r>
      <w:r>
        <w:rPr>
          <w:rFonts w:ascii="Times New Roman" w:eastAsia="Times New Roman" w:hAnsi="Times New Roman" w:cs="Times New Roman"/>
          <w:color w:val="000000"/>
          <w:sz w:val="24"/>
          <w:szCs w:val="24"/>
          <w:vertAlign w:val="superscript"/>
        </w:rPr>
        <w:footnoteReference w:id="338"/>
      </w:r>
    </w:p>
    <w:p w14:paraId="00000186"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Fact Sheet #79A: Companionship Services Under the Fair Labor Standards Act (FLSA);</w:t>
      </w:r>
      <w:r>
        <w:rPr>
          <w:rFonts w:ascii="Times New Roman" w:eastAsia="Times New Roman" w:hAnsi="Times New Roman" w:cs="Times New Roman"/>
          <w:color w:val="000000"/>
          <w:sz w:val="24"/>
          <w:szCs w:val="24"/>
          <w:vertAlign w:val="superscript"/>
        </w:rPr>
        <w:footnoteReference w:id="339"/>
      </w:r>
    </w:p>
    <w:p w14:paraId="00000187"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Fact Sheet #79B: Live-in Domestic Service Workers Under the Fair Labor Standards Act (FLSA);</w:t>
      </w:r>
      <w:r>
        <w:rPr>
          <w:rFonts w:ascii="Times New Roman" w:eastAsia="Times New Roman" w:hAnsi="Times New Roman" w:cs="Times New Roman"/>
          <w:color w:val="000000"/>
          <w:sz w:val="24"/>
          <w:szCs w:val="24"/>
          <w:vertAlign w:val="superscript"/>
        </w:rPr>
        <w:footnoteReference w:id="340"/>
      </w:r>
    </w:p>
    <w:p w14:paraId="00000188"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Fact Sheet #79C: Recordkeeping Requirements for Individuals, Families, or Households Who Employ Domestic Service Workers Under the Fair Labor Standards Act (FLSA);</w:t>
      </w:r>
      <w:r>
        <w:rPr>
          <w:rFonts w:ascii="Times New Roman" w:eastAsia="Times New Roman" w:hAnsi="Times New Roman" w:cs="Times New Roman"/>
          <w:color w:val="000000"/>
          <w:sz w:val="24"/>
          <w:szCs w:val="24"/>
          <w:vertAlign w:val="superscript"/>
        </w:rPr>
        <w:footnoteReference w:id="341"/>
      </w:r>
    </w:p>
    <w:p w14:paraId="00000189"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Fact Sheet #79D: Hours Worked Applicable to Domestic Service Employment Under the Fair Labor Standards Act (FLSA);</w:t>
      </w:r>
      <w:r>
        <w:rPr>
          <w:rFonts w:ascii="Times New Roman" w:eastAsia="Times New Roman" w:hAnsi="Times New Roman" w:cs="Times New Roman"/>
          <w:color w:val="000000"/>
          <w:sz w:val="24"/>
          <w:szCs w:val="24"/>
          <w:vertAlign w:val="superscript"/>
        </w:rPr>
        <w:footnoteReference w:id="342"/>
      </w:r>
    </w:p>
    <w:p w14:paraId="0000018A"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ab/>
        <w:t>Fact Sheet #79E: Joint Employment in Domestic Service Employment Under the Fair Labor Standards Act (FLSA);</w:t>
      </w:r>
      <w:r>
        <w:rPr>
          <w:rFonts w:ascii="Times New Roman" w:eastAsia="Times New Roman" w:hAnsi="Times New Roman" w:cs="Times New Roman"/>
          <w:color w:val="000000"/>
          <w:sz w:val="24"/>
          <w:szCs w:val="24"/>
          <w:vertAlign w:val="superscript"/>
        </w:rPr>
        <w:footnoteReference w:id="343"/>
      </w:r>
    </w:p>
    <w:p w14:paraId="0000018B"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Fact Sheet #79F: Paid Family or Household Members in Certain Medicaid-Funded and Certain Other Publicly Funded Programs Offering Home Care Services Under the Fair Labor Standards Act (FLSA);</w:t>
      </w:r>
      <w:r>
        <w:rPr>
          <w:rFonts w:ascii="Times New Roman" w:eastAsia="Times New Roman" w:hAnsi="Times New Roman" w:cs="Times New Roman"/>
          <w:color w:val="000000"/>
          <w:sz w:val="24"/>
          <w:szCs w:val="24"/>
          <w:vertAlign w:val="superscript"/>
        </w:rPr>
        <w:footnoteReference w:id="344"/>
      </w:r>
      <w:r>
        <w:rPr>
          <w:rFonts w:ascii="Times New Roman" w:eastAsia="Times New Roman" w:hAnsi="Times New Roman" w:cs="Times New Roman"/>
          <w:color w:val="000000"/>
          <w:sz w:val="24"/>
          <w:szCs w:val="24"/>
        </w:rPr>
        <w:t xml:space="preserve"> and</w:t>
      </w:r>
    </w:p>
    <w:p w14:paraId="0000018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Fact Sheet #79G: Application of the Fair Labor Standards Act to Shared Living Programs, including Adult Foster Care and Paid Roommate Situations.</w:t>
      </w:r>
      <w:r>
        <w:rPr>
          <w:rFonts w:ascii="Times New Roman" w:eastAsia="Times New Roman" w:hAnsi="Times New Roman" w:cs="Times New Roman"/>
          <w:color w:val="000000"/>
          <w:sz w:val="24"/>
          <w:szCs w:val="24"/>
          <w:vertAlign w:val="superscript"/>
        </w:rPr>
        <w:footnoteReference w:id="345"/>
      </w:r>
    </w:p>
    <w:p w14:paraId="0000018D" w14:textId="77777777" w:rsidR="00DC27AA" w:rsidRDefault="000F36B4">
      <w:pPr>
        <w:pBdr>
          <w:top w:val="nil"/>
          <w:left w:val="nil"/>
          <w:bottom w:val="nil"/>
          <w:right w:val="nil"/>
          <w:between w:val="nil"/>
        </w:pBdr>
        <w:spacing w:before="480" w:after="240" w:line="240"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IV. Section 213(</w:t>
      </w:r>
      <w:r>
        <w:rPr>
          <w:rFonts w:ascii="Times New Roman" w:eastAsia="Times New Roman" w:hAnsi="Times New Roman" w:cs="Times New Roman"/>
          <w:color w:val="000000"/>
          <w:sz w:val="24"/>
          <w:szCs w:val="24"/>
        </w:rPr>
        <w:t>b</w:t>
      </w:r>
      <w:r>
        <w:rPr>
          <w:rFonts w:ascii="Times New Roman" w:eastAsia="Times New Roman" w:hAnsi="Times New Roman" w:cs="Times New Roman"/>
          <w:smallCaps/>
          <w:color w:val="000000"/>
          <w:sz w:val="24"/>
          <w:szCs w:val="24"/>
        </w:rPr>
        <w:t>) Exemptions From the Overtime Requirements of the FLSA</w:t>
      </w:r>
    </w:p>
    <w:p w14:paraId="0000018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1938 version of the FLSA, there were only two Section 213(b) exemptions from the overtime requirements of the FLSA: for employees covered under the Motor Carrier Act (MCA), and for railroad employees.</w:t>
      </w:r>
      <w:r>
        <w:rPr>
          <w:rFonts w:ascii="Times New Roman" w:eastAsia="Times New Roman" w:hAnsi="Times New Roman" w:cs="Times New Roman"/>
          <w:color w:val="000000"/>
          <w:sz w:val="24"/>
          <w:szCs w:val="24"/>
          <w:vertAlign w:val="superscript"/>
        </w:rPr>
        <w:footnoteReference w:id="346"/>
      </w:r>
      <w:r>
        <w:rPr>
          <w:rFonts w:ascii="Times New Roman" w:eastAsia="Times New Roman" w:hAnsi="Times New Roman" w:cs="Times New Roman"/>
          <w:color w:val="000000"/>
          <w:sz w:val="24"/>
          <w:szCs w:val="24"/>
        </w:rPr>
        <w:t xml:space="preserve"> As the FLSA was amended over the years, more employees came within its coverage. As part of the amendment process, a Section 213(a) exemption (from both minimum wage and overtime provisions) sometimes became a Section 213(b) exemption (from overtime provisions only), and thereafter was phased out of existence or was limited in duration. Today, Section 213(b) sets forth a series of industry-specific exemptions from the overtime requirements,</w:t>
      </w:r>
      <w:r>
        <w:rPr>
          <w:rFonts w:ascii="Times New Roman" w:eastAsia="Times New Roman" w:hAnsi="Times New Roman" w:cs="Times New Roman"/>
          <w:color w:val="000000"/>
          <w:sz w:val="24"/>
          <w:szCs w:val="24"/>
          <w:vertAlign w:val="superscript"/>
        </w:rPr>
        <w:footnoteReference w:id="347"/>
      </w:r>
      <w:r>
        <w:rPr>
          <w:rFonts w:ascii="Times New Roman" w:eastAsia="Times New Roman" w:hAnsi="Times New Roman" w:cs="Times New Roman"/>
          <w:color w:val="000000"/>
          <w:sz w:val="24"/>
          <w:szCs w:val="24"/>
        </w:rPr>
        <w:t xml:space="preserve"> including</w:t>
      </w:r>
    </w:p>
    <w:p w14:paraId="0000018F"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of a motor carrier;</w:t>
      </w:r>
      <w:r>
        <w:rPr>
          <w:rFonts w:ascii="Times New Roman" w:eastAsia="Times New Roman" w:hAnsi="Times New Roman" w:cs="Times New Roman"/>
          <w:color w:val="000000"/>
          <w:sz w:val="24"/>
          <w:szCs w:val="24"/>
          <w:vertAlign w:val="superscript"/>
        </w:rPr>
        <w:footnoteReference w:id="348"/>
      </w:r>
    </w:p>
    <w:p w14:paraId="00000190"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railroad employees;</w:t>
      </w:r>
      <w:r>
        <w:rPr>
          <w:rFonts w:ascii="Times New Roman" w:eastAsia="Times New Roman" w:hAnsi="Times New Roman" w:cs="Times New Roman"/>
          <w:color w:val="000000"/>
          <w:sz w:val="24"/>
          <w:szCs w:val="24"/>
          <w:vertAlign w:val="superscript"/>
        </w:rPr>
        <w:footnoteReference w:id="349"/>
      </w:r>
    </w:p>
    <w:p w14:paraId="00000191"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air transportation employees;</w:t>
      </w:r>
      <w:r>
        <w:rPr>
          <w:rFonts w:ascii="Times New Roman" w:eastAsia="Times New Roman" w:hAnsi="Times New Roman" w:cs="Times New Roman"/>
          <w:color w:val="000000"/>
          <w:sz w:val="24"/>
          <w:szCs w:val="24"/>
          <w:vertAlign w:val="superscript"/>
        </w:rPr>
        <w:footnoteReference w:id="350"/>
      </w:r>
    </w:p>
    <w:p w14:paraId="00000192"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seaman;</w:t>
      </w:r>
      <w:r>
        <w:rPr>
          <w:rFonts w:ascii="Times New Roman" w:eastAsia="Times New Roman" w:hAnsi="Times New Roman" w:cs="Times New Roman"/>
          <w:color w:val="000000"/>
          <w:sz w:val="24"/>
          <w:szCs w:val="24"/>
          <w:vertAlign w:val="superscript"/>
        </w:rPr>
        <w:footnoteReference w:id="351"/>
      </w:r>
    </w:p>
    <w:p w14:paraId="00000193"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announcers, news editors, or chief engineers for radio or television stations;</w:t>
      </w:r>
      <w:r>
        <w:rPr>
          <w:rFonts w:ascii="Times New Roman" w:eastAsia="Times New Roman" w:hAnsi="Times New Roman" w:cs="Times New Roman"/>
          <w:color w:val="000000"/>
          <w:sz w:val="24"/>
          <w:szCs w:val="24"/>
          <w:vertAlign w:val="superscript"/>
        </w:rPr>
        <w:footnoteReference w:id="352"/>
      </w:r>
      <w:r>
        <w:rPr>
          <w:rFonts w:ascii="Times New Roman" w:eastAsia="Times New Roman" w:hAnsi="Times New Roman" w:cs="Times New Roman"/>
          <w:color w:val="000000"/>
          <w:sz w:val="24"/>
          <w:szCs w:val="24"/>
        </w:rPr>
        <w:t xml:space="preserve"> </w:t>
      </w:r>
    </w:p>
    <w:p w14:paraId="00000194"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who sell or service automobiles, trucks, or farm implements;</w:t>
      </w:r>
      <w:r>
        <w:rPr>
          <w:rFonts w:ascii="Times New Roman" w:eastAsia="Times New Roman" w:hAnsi="Times New Roman" w:cs="Times New Roman"/>
          <w:color w:val="000000"/>
          <w:sz w:val="24"/>
          <w:szCs w:val="24"/>
          <w:vertAlign w:val="superscript"/>
        </w:rPr>
        <w:footnoteReference w:id="353"/>
      </w:r>
    </w:p>
    <w:p w14:paraId="00000195"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ab/>
        <w:t>salespersons of trailers, boats, and aircraft;</w:t>
      </w:r>
      <w:r>
        <w:rPr>
          <w:rFonts w:ascii="Times New Roman" w:eastAsia="Times New Roman" w:hAnsi="Times New Roman" w:cs="Times New Roman"/>
          <w:color w:val="000000"/>
          <w:sz w:val="24"/>
          <w:szCs w:val="24"/>
          <w:vertAlign w:val="superscript"/>
        </w:rPr>
        <w:footnoteReference w:id="354"/>
      </w:r>
    </w:p>
    <w:p w14:paraId="00000196"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local delivery drivers;</w:t>
      </w:r>
      <w:r>
        <w:rPr>
          <w:rFonts w:ascii="Times New Roman" w:eastAsia="Times New Roman" w:hAnsi="Times New Roman" w:cs="Times New Roman"/>
          <w:color w:val="000000"/>
          <w:sz w:val="24"/>
          <w:szCs w:val="24"/>
          <w:vertAlign w:val="superscript"/>
        </w:rPr>
        <w:footnoteReference w:id="355"/>
      </w:r>
    </w:p>
    <w:p w14:paraId="00000197"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taxicab drivers;</w:t>
      </w:r>
      <w:r>
        <w:rPr>
          <w:rFonts w:ascii="Times New Roman" w:eastAsia="Times New Roman" w:hAnsi="Times New Roman" w:cs="Times New Roman"/>
          <w:color w:val="000000"/>
          <w:sz w:val="24"/>
          <w:szCs w:val="24"/>
          <w:vertAlign w:val="superscript"/>
        </w:rPr>
        <w:footnoteReference w:id="356"/>
      </w:r>
    </w:p>
    <w:p w14:paraId="00000198"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domestic servants;</w:t>
      </w:r>
      <w:r>
        <w:rPr>
          <w:rFonts w:ascii="Times New Roman" w:eastAsia="Times New Roman" w:hAnsi="Times New Roman" w:cs="Times New Roman"/>
          <w:color w:val="000000"/>
          <w:sz w:val="24"/>
          <w:szCs w:val="24"/>
          <w:vertAlign w:val="superscript"/>
        </w:rPr>
        <w:footnoteReference w:id="357"/>
      </w:r>
    </w:p>
    <w:p w14:paraId="00000199"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house parents;</w:t>
      </w:r>
      <w:r>
        <w:rPr>
          <w:rFonts w:ascii="Times New Roman" w:eastAsia="Times New Roman" w:hAnsi="Times New Roman" w:cs="Times New Roman"/>
          <w:color w:val="000000"/>
          <w:sz w:val="24"/>
          <w:szCs w:val="24"/>
          <w:vertAlign w:val="superscript"/>
        </w:rPr>
        <w:footnoteReference w:id="358"/>
      </w:r>
    </w:p>
    <w:p w14:paraId="0000019A"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motion picture theater employees;</w:t>
      </w:r>
      <w:r>
        <w:rPr>
          <w:rFonts w:ascii="Times New Roman" w:eastAsia="Times New Roman" w:hAnsi="Times New Roman" w:cs="Times New Roman"/>
          <w:color w:val="000000"/>
          <w:sz w:val="24"/>
          <w:szCs w:val="24"/>
          <w:vertAlign w:val="superscript"/>
        </w:rPr>
        <w:footnoteReference w:id="359"/>
      </w:r>
      <w:r>
        <w:rPr>
          <w:rFonts w:ascii="Times New Roman" w:eastAsia="Times New Roman" w:hAnsi="Times New Roman" w:cs="Times New Roman"/>
          <w:color w:val="000000"/>
          <w:sz w:val="24"/>
          <w:szCs w:val="24"/>
        </w:rPr>
        <w:t xml:space="preserve"> and</w:t>
      </w:r>
    </w:p>
    <w:p w14:paraId="0000019B"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of recreational establishments in national parks or forests.</w:t>
      </w:r>
      <w:r>
        <w:rPr>
          <w:rFonts w:ascii="Times New Roman" w:eastAsia="Times New Roman" w:hAnsi="Times New Roman" w:cs="Times New Roman"/>
          <w:color w:val="000000"/>
          <w:sz w:val="24"/>
          <w:szCs w:val="24"/>
          <w:vertAlign w:val="superscript"/>
        </w:rPr>
        <w:footnoteReference w:id="360"/>
      </w:r>
    </w:p>
    <w:p w14:paraId="0000019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Each specific exemption from the FLSA’s overtime provisions is subject to unique requirements, and entities covered by any one of the exemptions are still required to pay their employees no less than the applicable minimum wage.</w:t>
      </w:r>
      <w:r>
        <w:rPr>
          <w:rFonts w:ascii="Times New Roman" w:eastAsia="Times New Roman" w:hAnsi="Times New Roman" w:cs="Times New Roman"/>
          <w:color w:val="000000"/>
          <w:sz w:val="24"/>
          <w:szCs w:val="24"/>
          <w:vertAlign w:val="superscript"/>
        </w:rPr>
        <w:footnoteReference w:id="361"/>
      </w:r>
    </w:p>
    <w:p w14:paraId="0000019D"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ab/>
        <w:t>Employees Covered Under the Motor Carrier Act</w:t>
      </w:r>
    </w:p>
    <w:p w14:paraId="0000019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213(b)(1) of the FLSA provides an overtime exemption for any employee for whom the Secretary of Transportation has the authority to establish qualifications and maximum hours of service pursuant to Section 204 of the MCA of 1935.</w:t>
      </w:r>
      <w:r>
        <w:rPr>
          <w:rFonts w:ascii="Times New Roman" w:eastAsia="Times New Roman" w:hAnsi="Times New Roman" w:cs="Times New Roman"/>
          <w:color w:val="000000"/>
          <w:sz w:val="24"/>
          <w:szCs w:val="24"/>
          <w:vertAlign w:val="superscript"/>
        </w:rPr>
        <w:footnoteReference w:id="362"/>
      </w:r>
      <w:r>
        <w:rPr>
          <w:rFonts w:ascii="Times New Roman" w:eastAsia="Times New Roman" w:hAnsi="Times New Roman" w:cs="Times New Roman"/>
          <w:color w:val="000000"/>
          <w:sz w:val="24"/>
          <w:szCs w:val="24"/>
        </w:rPr>
        <w:t xml:space="preserve"> The Section 213(b)(1) overtime exemption applies to employees who are</w:t>
      </w:r>
    </w:p>
    <w:p w14:paraId="0000019F"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ab/>
        <w:t>Employed by a motor carrier or motor private carrier, as defined in 49 U.S.C. Section 13102;</w:t>
      </w:r>
    </w:p>
    <w:p w14:paraId="000001A0"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ab/>
        <w:t>Drivers, driver’s helpers, loaders, or mechanics whose duties affect the safety of operation of motor vehicles in transportation on public highways in interstate or foreign commerce; and</w:t>
      </w:r>
    </w:p>
    <w:p w14:paraId="000001A1"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ab/>
      </w:r>
      <w:r>
        <w:rPr>
          <w:rFonts w:ascii="Times New Roman" w:eastAsia="Times New Roman" w:hAnsi="Times New Roman" w:cs="Times New Roman"/>
          <w:i/>
          <w:color w:val="000000"/>
          <w:sz w:val="20"/>
          <w:szCs w:val="20"/>
        </w:rPr>
        <w:t>Not</w:t>
      </w:r>
      <w:r>
        <w:rPr>
          <w:rFonts w:ascii="Times New Roman" w:eastAsia="Times New Roman" w:hAnsi="Times New Roman" w:cs="Times New Roman"/>
          <w:color w:val="000000"/>
          <w:sz w:val="20"/>
          <w:szCs w:val="20"/>
        </w:rPr>
        <w:t> covered by the small vehicle exception.</w:t>
      </w:r>
      <w:r>
        <w:rPr>
          <w:rFonts w:ascii="Times New Roman" w:eastAsia="Times New Roman" w:hAnsi="Times New Roman" w:cs="Times New Roman"/>
          <w:color w:val="000000"/>
          <w:sz w:val="20"/>
          <w:szCs w:val="20"/>
          <w:vertAlign w:val="superscript"/>
        </w:rPr>
        <w:footnoteReference w:id="363"/>
      </w:r>
    </w:p>
    <w:p w14:paraId="000001A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application and effect of the Section 213(b)(1) exemption changed significantly in 2005 and 2008 by statutory amendments to the MCA, including technical correction of its interaction with the FLSA. An overview of the MCA and these amendments precede a </w:t>
      </w:r>
      <w:r>
        <w:rPr>
          <w:rFonts w:ascii="Times New Roman" w:eastAsia="Times New Roman" w:hAnsi="Times New Roman" w:cs="Times New Roman"/>
          <w:color w:val="000000"/>
          <w:sz w:val="24"/>
          <w:szCs w:val="24"/>
        </w:rPr>
        <w:lastRenderedPageBreak/>
        <w:t>discussion of the Section 213(b)(1) exemption as applied today,</w:t>
      </w:r>
      <w:r>
        <w:rPr>
          <w:rFonts w:ascii="Times New Roman" w:eastAsia="Times New Roman" w:hAnsi="Times New Roman" w:cs="Times New Roman"/>
          <w:color w:val="000000"/>
          <w:sz w:val="24"/>
          <w:szCs w:val="24"/>
          <w:vertAlign w:val="superscript"/>
        </w:rPr>
        <w:footnoteReference w:id="364"/>
      </w:r>
      <w:r>
        <w:rPr>
          <w:rFonts w:ascii="Times New Roman" w:eastAsia="Times New Roman" w:hAnsi="Times New Roman" w:cs="Times New Roman"/>
          <w:color w:val="000000"/>
          <w:sz w:val="24"/>
          <w:szCs w:val="24"/>
        </w:rPr>
        <w:t xml:space="preserve"> which turns on the weight and capacity of the vehicles at issue.</w:t>
      </w:r>
    </w:p>
    <w:p w14:paraId="000001A3"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w:t>
      </w:r>
      <w:r>
        <w:rPr>
          <w:rFonts w:ascii="Times New Roman" w:eastAsia="Times New Roman" w:hAnsi="Times New Roman" w:cs="Times New Roman"/>
          <w:b/>
          <w:i/>
          <w:color w:val="000000"/>
          <w:sz w:val="24"/>
          <w:szCs w:val="24"/>
        </w:rPr>
        <w:tab/>
        <w:t>Overview of the Motor Carrier Act</w:t>
      </w:r>
    </w:p>
    <w:p w14:paraId="000001A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Congress enacted the MCA in 1935 “to promote efficiency, economy, and safety in the motor transportation industry. Under the MCA, the Interstate Commerce Commission (‘ICC’) was granted regulatory power over the employees of motor carriers, and motor private carriers. In 1966, Congress transferred this regulatory power to the Department of Transportation (‘DOT’).”</w:t>
      </w:r>
      <w:r>
        <w:rPr>
          <w:rFonts w:ascii="Times New Roman" w:eastAsia="Times New Roman" w:hAnsi="Times New Roman" w:cs="Times New Roman"/>
          <w:color w:val="000000"/>
          <w:sz w:val="24"/>
          <w:szCs w:val="24"/>
          <w:vertAlign w:val="superscript"/>
        </w:rPr>
        <w:footnoteReference w:id="365"/>
      </w:r>
    </w:p>
    <w:p w14:paraId="000001A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From 1938 until 2005, Section 213(b)(1) applied to </w:t>
      </w:r>
      <w:r>
        <w:rPr>
          <w:rFonts w:ascii="Times New Roman" w:eastAsia="Times New Roman" w:hAnsi="Times New Roman" w:cs="Times New Roman"/>
          <w:i/>
          <w:color w:val="000000"/>
          <w:sz w:val="24"/>
          <w:szCs w:val="24"/>
        </w:rPr>
        <w:t xml:space="preserve">any </w:t>
      </w:r>
      <w:r>
        <w:rPr>
          <w:rFonts w:ascii="Times New Roman" w:eastAsia="Times New Roman" w:hAnsi="Times New Roman" w:cs="Times New Roman"/>
          <w:color w:val="000000"/>
          <w:sz w:val="24"/>
          <w:szCs w:val="24"/>
        </w:rPr>
        <w:t>employee with respect to whom the Secretary of Transportation had the power to establish qualifications and maximum hours of service rules pursuant to certain provisions of the MCA. The language of the exemption was carefully drafted to avoid conflicts between the DOL, which is responsible for enforcement of the FLSA, and the Secretary of Transportation, whose concerns include safety of the roads and who enforces the MCA.</w:t>
      </w:r>
      <w:r>
        <w:rPr>
          <w:rFonts w:ascii="Times New Roman" w:eastAsia="Times New Roman" w:hAnsi="Times New Roman" w:cs="Times New Roman"/>
          <w:color w:val="000000"/>
          <w:sz w:val="24"/>
          <w:szCs w:val="24"/>
          <w:vertAlign w:val="superscript"/>
        </w:rPr>
        <w:footnoteReference w:id="366"/>
      </w:r>
      <w:r>
        <w:rPr>
          <w:rFonts w:ascii="Times New Roman" w:eastAsia="Times New Roman" w:hAnsi="Times New Roman" w:cs="Times New Roman"/>
          <w:color w:val="000000"/>
          <w:sz w:val="24"/>
          <w:szCs w:val="24"/>
        </w:rPr>
        <w:t xml:space="preserve"> </w:t>
      </w:r>
    </w:p>
    <w:p w14:paraId="000001A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who qualified for the exemption included employees of a “motor carrier” and, under some circumstances, a “motor private carrier,” terms defined in 49 U.S.C. §13102 as follows:</w:t>
      </w:r>
    </w:p>
    <w:p w14:paraId="000001A7"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(14) Motor carrier.—The term “motor carrier” means a person providing motor vehicle transportation for compensation.</w:t>
      </w:r>
    </w:p>
    <w:p w14:paraId="000001A8"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(15) Motor private carrier.—The term “motor private carrier” means a person, other than a motor carrier, transporting property by motor vehicle when—</w:t>
      </w:r>
    </w:p>
    <w:p w14:paraId="000001A9"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(A) the transportation is as provided in section 13501 of this title;</w:t>
      </w:r>
    </w:p>
    <w:p w14:paraId="000001AA"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(B) the person is the owner, lessee, or bailee of the property being transported; and</w:t>
      </w:r>
    </w:p>
    <w:p w14:paraId="000001AB"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(C) the property is being transported for sale, lease, rent, or bailment or to further a commercial enterprise.</w:t>
      </w:r>
      <w:r>
        <w:rPr>
          <w:rFonts w:ascii="Times New Roman" w:eastAsia="Times New Roman" w:hAnsi="Times New Roman" w:cs="Times New Roman"/>
          <w:color w:val="000000"/>
          <w:sz w:val="20"/>
          <w:szCs w:val="20"/>
          <w:vertAlign w:val="superscript"/>
        </w:rPr>
        <w:footnoteReference w:id="367"/>
      </w:r>
    </w:p>
    <w:p w14:paraId="000001A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Thus, persons who served as drivers, driver’s helpers, loaders and mechanics employed by motor carriers or motor private carriers were subject to the Secretary of Transportation’s regulation, and thereby exempt from the overtime requirements of the FLSA.</w:t>
      </w:r>
    </w:p>
    <w:p w14:paraId="000001AD"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ab/>
        <w:t xml:space="preserve">Safe, Accountable, Flexible, Efficient Transportation Equity Act: A Legacy for </w:t>
      </w:r>
      <w:r>
        <w:rPr>
          <w:rFonts w:ascii="Times New Roman" w:eastAsia="Times New Roman" w:hAnsi="Times New Roman" w:cs="Times New Roman"/>
          <w:i/>
          <w:color w:val="000000"/>
          <w:sz w:val="24"/>
          <w:szCs w:val="24"/>
        </w:rPr>
        <w:tab/>
        <w:t>Users (SAFETEA-LU)</w:t>
      </w:r>
    </w:p>
    <w:p w14:paraId="000001A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On August 10, 2005, Congress enacted transportation reauthorization legislation titled the Safe, Accountable, Flexible, Efficient Transportation Equity Act: A Legacy for Users (SAFETEA-LU).</w:t>
      </w:r>
      <w:r>
        <w:rPr>
          <w:rFonts w:ascii="Times New Roman" w:eastAsia="Times New Roman" w:hAnsi="Times New Roman" w:cs="Times New Roman"/>
          <w:color w:val="000000"/>
          <w:sz w:val="24"/>
          <w:szCs w:val="24"/>
          <w:vertAlign w:val="superscript"/>
        </w:rPr>
        <w:footnoteReference w:id="368"/>
      </w:r>
      <w:r>
        <w:rPr>
          <w:rFonts w:ascii="Times New Roman" w:eastAsia="Times New Roman" w:hAnsi="Times New Roman" w:cs="Times New Roman"/>
          <w:color w:val="000000"/>
          <w:sz w:val="24"/>
          <w:szCs w:val="24"/>
        </w:rPr>
        <w:t xml:space="preserve"> Section 4142 of SAFETEA-LU aimed to streamline the process for vehicle inspection at U.S. borders by allowing vehicles not subject to safety regulations to forgo safety inspections when passing in and out of the country. To this end, Section 4142 amended the MCA’s definitions of a “motor carrier” and a “motor private carrier” to cover </w:t>
      </w:r>
      <w:r>
        <w:rPr>
          <w:rFonts w:ascii="Times New Roman" w:eastAsia="Times New Roman" w:hAnsi="Times New Roman" w:cs="Times New Roman"/>
          <w:i/>
          <w:color w:val="000000"/>
          <w:sz w:val="24"/>
          <w:szCs w:val="24"/>
        </w:rPr>
        <w:t>only</w:t>
      </w:r>
      <w:r>
        <w:rPr>
          <w:rFonts w:ascii="Times New Roman" w:eastAsia="Times New Roman" w:hAnsi="Times New Roman" w:cs="Times New Roman"/>
          <w:color w:val="000000"/>
          <w:sz w:val="24"/>
          <w:szCs w:val="24"/>
        </w:rPr>
        <w:t xml:space="preserve"> commercial motor vehicle transportation rather than motor vehicle transportation in general.</w:t>
      </w:r>
      <w:r>
        <w:rPr>
          <w:rFonts w:ascii="Times New Roman" w:eastAsia="Times New Roman" w:hAnsi="Times New Roman" w:cs="Times New Roman"/>
          <w:color w:val="000000"/>
          <w:sz w:val="24"/>
          <w:szCs w:val="24"/>
          <w:vertAlign w:val="superscript"/>
        </w:rPr>
        <w:footnoteReference w:id="369"/>
      </w:r>
    </w:p>
    <w:p w14:paraId="000001A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Amending the definitions of “motor carrier” and “motor private carrier” to include only commercial motor vehicle transportation had a significant effect on the classification of employees as exempt under the FLSA’s motor carrier exemption. Commercial motor vehicles are defined as follows:</w:t>
      </w:r>
    </w:p>
    <w:p w14:paraId="000001B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(1) “commercial motor vehicle” means a self-propelled or towed vehicle used on the highways in interstate commerce to transport passengers or property, if the vehicle—</w:t>
      </w:r>
    </w:p>
    <w:p w14:paraId="000001B1"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(A) has a gross vehicle weight rating or gross vehicle weight of at least 10,001 pounds, whichever is greater;</w:t>
      </w:r>
    </w:p>
    <w:p w14:paraId="000001B2"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(B) is designed or used to transport more than 8 passengers (including the driver) for compensation;</w:t>
      </w:r>
    </w:p>
    <w:p w14:paraId="000001B3"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(C) is designed or used to transport more than 15 passengers, including the driver, and is not used to transport passengers for compensation; or</w:t>
      </w:r>
    </w:p>
    <w:p w14:paraId="000001B4"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(D) is used in transporting material found by the Secretary of Transportation to be hazardous under section 5103 of this title and transported in a quantity requiring placarding under regulations prescribed by the Secretary under section 5103.</w:t>
      </w:r>
      <w:r>
        <w:rPr>
          <w:rFonts w:ascii="Times New Roman" w:eastAsia="Times New Roman" w:hAnsi="Times New Roman" w:cs="Times New Roman"/>
          <w:color w:val="000000"/>
          <w:sz w:val="20"/>
          <w:szCs w:val="20"/>
          <w:vertAlign w:val="superscript"/>
        </w:rPr>
        <w:footnoteReference w:id="370"/>
      </w:r>
    </w:p>
    <w:p w14:paraId="000001B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SAFETEA-LU, if a vehicle driven by a “motor carrier” or a “motor private carrier” did not meet the definition of a “commercial motor vehicle,” then the Secretary of Transportation lacked jurisdiction to prescribe qualifications or maximum hours of service for their drivers. A May 2007 DOL field assistance bulletin discussed the effect:</w:t>
      </w:r>
    </w:p>
    <w:p w14:paraId="000001B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lastRenderedPageBreak/>
        <w:t>As a result of SAFETEA-LU, employees engaged in transportation via vehicles such as most light pick-up trucks and automobiles, who historically had been covered by the FLSA § 13(b)(1) ­exemption from overtime, are no longer exempt. Effective August 10, 2005, the FLSA § 13(b)(1) exemption applies only to employees engaged in otherwise exempt transportation using vehicles that meet the above definition of a “commercial motor vehicle.”</w:t>
      </w:r>
      <w:r>
        <w:rPr>
          <w:rFonts w:ascii="Times New Roman" w:eastAsia="Times New Roman" w:hAnsi="Times New Roman" w:cs="Times New Roman"/>
          <w:color w:val="000000"/>
          <w:sz w:val="20"/>
          <w:szCs w:val="20"/>
          <w:vertAlign w:val="superscript"/>
        </w:rPr>
        <w:footnoteReference w:id="371"/>
      </w:r>
    </w:p>
    <w:p w14:paraId="000001B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Thus, the passage of SAFETEA-LU markedly decreased the scope of the Section 213(b)(1) exemption, which was addressed in part by the Technical Corrections Act three years later.</w:t>
      </w:r>
    </w:p>
    <w:p w14:paraId="000001B8"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w:t>
      </w:r>
      <w:r>
        <w:rPr>
          <w:rFonts w:ascii="Times New Roman" w:eastAsia="Times New Roman" w:hAnsi="Times New Roman" w:cs="Times New Roman"/>
          <w:i/>
          <w:color w:val="000000"/>
          <w:sz w:val="24"/>
          <w:szCs w:val="24"/>
        </w:rPr>
        <w:tab/>
        <w:t>SAFETEA-LU Technical Corrections Act</w:t>
      </w:r>
    </w:p>
    <w:p w14:paraId="000001B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Upon passage of SAFETEA-LU and the industry’s realization of its impact on the scope of the Section 213(b)(1) exemption, many transportation industry employers objected to the imposition of an increased overtime obligation. They argued that insertion of the word “commercial” in the definitions section of the MCA brought about an “unintended result” or was a “drafting error that was never negotiated or discussed.”</w:t>
      </w:r>
      <w:r>
        <w:rPr>
          <w:rFonts w:ascii="Times New Roman" w:eastAsia="Times New Roman" w:hAnsi="Times New Roman" w:cs="Times New Roman"/>
          <w:color w:val="000000"/>
          <w:sz w:val="24"/>
          <w:szCs w:val="24"/>
          <w:vertAlign w:val="superscript"/>
        </w:rPr>
        <w:footnoteReference w:id="372"/>
      </w:r>
      <w:r>
        <w:rPr>
          <w:rFonts w:ascii="Times New Roman" w:eastAsia="Times New Roman" w:hAnsi="Times New Roman" w:cs="Times New Roman"/>
          <w:color w:val="000000"/>
          <w:sz w:val="24"/>
          <w:szCs w:val="24"/>
        </w:rPr>
        <w:t xml:space="preserve"> But worker advocates sought to preserve the overtime protections workers gained under SAFETEA-LU.</w:t>
      </w:r>
      <w:r>
        <w:rPr>
          <w:rFonts w:ascii="Times New Roman" w:eastAsia="Times New Roman" w:hAnsi="Times New Roman" w:cs="Times New Roman"/>
          <w:color w:val="000000"/>
          <w:sz w:val="24"/>
          <w:szCs w:val="24"/>
          <w:vertAlign w:val="superscript"/>
        </w:rPr>
        <w:footnoteReference w:id="373"/>
      </w:r>
      <w:r>
        <w:rPr>
          <w:rFonts w:ascii="Times New Roman" w:eastAsia="Times New Roman" w:hAnsi="Times New Roman" w:cs="Times New Roman"/>
          <w:color w:val="000000"/>
          <w:sz w:val="24"/>
          <w:szCs w:val="24"/>
        </w:rPr>
        <w:t xml:space="preserve"> As a compromise, Congress enacted the SAFETEA-LU Technical Corrections Act (TCA), which went into effect on June 8, 2008.</w:t>
      </w:r>
      <w:r>
        <w:rPr>
          <w:rFonts w:ascii="Times New Roman" w:eastAsia="Times New Roman" w:hAnsi="Times New Roman" w:cs="Times New Roman"/>
          <w:color w:val="000000"/>
          <w:sz w:val="24"/>
          <w:szCs w:val="24"/>
          <w:vertAlign w:val="superscript"/>
        </w:rPr>
        <w:footnoteReference w:id="374"/>
      </w:r>
      <w:r>
        <w:rPr>
          <w:rFonts w:ascii="Times New Roman" w:eastAsia="Times New Roman" w:hAnsi="Times New Roman" w:cs="Times New Roman"/>
          <w:color w:val="000000"/>
          <w:sz w:val="24"/>
          <w:szCs w:val="24"/>
        </w:rPr>
        <w:t xml:space="preserve"> The TCA established that</w:t>
      </w:r>
    </w:p>
    <w:p w14:paraId="000001BA"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regardless of the language in Section 213(b)(1) of the FLSA, Section 207 requirements would apply to a “covered employee” as defined in Section 306(c) of the TCA;</w:t>
      </w:r>
    </w:p>
    <w:p w14:paraId="000001BB"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employers would not be liable for a violation of Section 207 of the FLSA with respect to a “covered employee” if the violation occurred in the one-year period beginning August 10, 2005, and the employer did not have actual knowledge of the impact of SAFETEA-LU; and</w:t>
      </w:r>
    </w:p>
    <w:p w14:paraId="000001BC"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the Secretary of Transportation’s jurisdiction over vehicles weighing 10,000 pounds or less was restored.</w:t>
      </w:r>
      <w:r>
        <w:rPr>
          <w:rFonts w:ascii="Times New Roman" w:eastAsia="Times New Roman" w:hAnsi="Times New Roman" w:cs="Times New Roman"/>
          <w:color w:val="000000"/>
          <w:sz w:val="24"/>
          <w:szCs w:val="24"/>
          <w:vertAlign w:val="superscript"/>
        </w:rPr>
        <w:footnoteReference w:id="375"/>
      </w:r>
    </w:p>
    <w:p w14:paraId="000001BD"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Section 306(c) provided </w:t>
      </w:r>
    </w:p>
    <w:p w14:paraId="000001BE"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ab/>
        <w:t xml:space="preserve">COVERED EMPLOYEE DEFINED.—In this section, the term “covered employee” means an individual— </w:t>
      </w:r>
    </w:p>
    <w:p w14:paraId="000001BF"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(1)</w:t>
      </w:r>
      <w:r>
        <w:rPr>
          <w:rFonts w:ascii="Times New Roman" w:eastAsia="Times New Roman" w:hAnsi="Times New Roman" w:cs="Times New Roman"/>
          <w:color w:val="000000"/>
          <w:sz w:val="21"/>
          <w:szCs w:val="21"/>
        </w:rPr>
        <w:tab/>
        <w:t xml:space="preserve">who is employed by a motor carrier or motor private carrier (as such terms are defined by section 13102 of title 49, United States Code, as amended by section 305); </w:t>
      </w:r>
    </w:p>
    <w:p w14:paraId="000001C0"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lastRenderedPageBreak/>
        <w:t>(2)</w:t>
      </w:r>
      <w:r>
        <w:rPr>
          <w:rFonts w:ascii="Times New Roman" w:eastAsia="Times New Roman" w:hAnsi="Times New Roman" w:cs="Times New Roman"/>
          <w:color w:val="000000"/>
          <w:sz w:val="21"/>
          <w:szCs w:val="21"/>
        </w:rPr>
        <w:tab/>
        <w:t xml:space="preserve">whose work, in whole or in part, is defined— </w:t>
      </w:r>
    </w:p>
    <w:p w14:paraId="000001C1" w14:textId="77777777" w:rsidR="00DC27AA" w:rsidRDefault="000F36B4">
      <w:pPr>
        <w:pBdr>
          <w:top w:val="nil"/>
          <w:left w:val="nil"/>
          <w:bottom w:val="nil"/>
          <w:right w:val="nil"/>
          <w:between w:val="nil"/>
        </w:pBdr>
        <w:spacing w:before="120" w:after="120" w:line="240" w:lineRule="auto"/>
        <w:ind w:left="180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z w:val="21"/>
          <w:szCs w:val="21"/>
        </w:rPr>
        <w:tab/>
        <w:t xml:space="preserve">as that of a driver, driver’s helper, loader, or mechanic; and </w:t>
      </w:r>
    </w:p>
    <w:p w14:paraId="000001C2" w14:textId="77777777" w:rsidR="00DC27AA" w:rsidRDefault="000F36B4">
      <w:pPr>
        <w:pBdr>
          <w:top w:val="nil"/>
          <w:left w:val="nil"/>
          <w:bottom w:val="nil"/>
          <w:right w:val="nil"/>
          <w:between w:val="nil"/>
        </w:pBdr>
        <w:spacing w:before="120" w:after="120" w:line="240" w:lineRule="auto"/>
        <w:ind w:left="180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(B)</w:t>
      </w:r>
      <w:r>
        <w:rPr>
          <w:rFonts w:ascii="Times New Roman" w:eastAsia="Times New Roman" w:hAnsi="Times New Roman" w:cs="Times New Roman"/>
          <w:color w:val="000000"/>
          <w:sz w:val="21"/>
          <w:szCs w:val="21"/>
        </w:rPr>
        <w:tab/>
        <w:t xml:space="preserve">as affecting the safety of operation of motor vehicles weighing 10,000 pounds or less in transportation on public highways in interstate or foreign commerce, except vehicles— </w:t>
      </w:r>
    </w:p>
    <w:p w14:paraId="000001C3" w14:textId="77777777" w:rsidR="00DC27AA" w:rsidRDefault="000F36B4">
      <w:pPr>
        <w:pBdr>
          <w:top w:val="nil"/>
          <w:left w:val="nil"/>
          <w:bottom w:val="nil"/>
          <w:right w:val="nil"/>
          <w:between w:val="nil"/>
        </w:pBdr>
        <w:spacing w:before="120" w:after="120" w:line="240" w:lineRule="auto"/>
        <w:ind w:left="216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(i)</w:t>
      </w:r>
      <w:r>
        <w:rPr>
          <w:rFonts w:ascii="Times New Roman" w:eastAsia="Times New Roman" w:hAnsi="Times New Roman" w:cs="Times New Roman"/>
          <w:color w:val="000000"/>
          <w:sz w:val="21"/>
          <w:szCs w:val="21"/>
        </w:rPr>
        <w:tab/>
        <w:t xml:space="preserve">designed or used to transport more than 8 passengers (including the driver) for compensation; </w:t>
      </w:r>
    </w:p>
    <w:p w14:paraId="000001C4" w14:textId="77777777" w:rsidR="00DC27AA" w:rsidRDefault="000F36B4">
      <w:pPr>
        <w:pBdr>
          <w:top w:val="nil"/>
          <w:left w:val="nil"/>
          <w:bottom w:val="nil"/>
          <w:right w:val="nil"/>
          <w:between w:val="nil"/>
        </w:pBdr>
        <w:spacing w:before="120" w:after="120" w:line="240" w:lineRule="auto"/>
        <w:ind w:left="216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(ii)</w:t>
      </w:r>
      <w:r>
        <w:rPr>
          <w:rFonts w:ascii="Times New Roman" w:eastAsia="Times New Roman" w:hAnsi="Times New Roman" w:cs="Times New Roman"/>
          <w:color w:val="000000"/>
          <w:sz w:val="21"/>
          <w:szCs w:val="21"/>
        </w:rPr>
        <w:tab/>
        <w:t xml:space="preserve">designed or used to transport more than 15 passengers (including the driver) and not used to transport passengers for compensation; or </w:t>
      </w:r>
    </w:p>
    <w:p w14:paraId="000001C5" w14:textId="77777777" w:rsidR="00DC27AA" w:rsidRDefault="000F36B4">
      <w:pPr>
        <w:pBdr>
          <w:top w:val="nil"/>
          <w:left w:val="nil"/>
          <w:bottom w:val="nil"/>
          <w:right w:val="nil"/>
          <w:between w:val="nil"/>
        </w:pBdr>
        <w:spacing w:before="120" w:after="120" w:line="240" w:lineRule="auto"/>
        <w:ind w:left="216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(iii)</w:t>
      </w:r>
      <w:r>
        <w:rPr>
          <w:rFonts w:ascii="Times New Roman" w:eastAsia="Times New Roman" w:hAnsi="Times New Roman" w:cs="Times New Roman"/>
          <w:color w:val="000000"/>
          <w:sz w:val="21"/>
          <w:szCs w:val="21"/>
        </w:rPr>
        <w:tab/>
        <w:t xml:space="preserve">used in transporting material found by the Secretary of Transportation to be hazardous under section 5103 of title 49, United States Code, and transported in a quantity requiring placarding under regulations prescribed by the Secretary under section 5103 of title 49, United States Code; and </w:t>
      </w:r>
    </w:p>
    <w:p w14:paraId="000001C6"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(3)</w:t>
      </w:r>
      <w:r>
        <w:rPr>
          <w:rFonts w:ascii="Times New Roman" w:eastAsia="Times New Roman" w:hAnsi="Times New Roman" w:cs="Times New Roman"/>
          <w:color w:val="000000"/>
          <w:sz w:val="21"/>
          <w:szCs w:val="21"/>
        </w:rPr>
        <w:tab/>
        <w:t>who performs duties on motor vehicles weighing 10,000 pounds or less.</w:t>
      </w:r>
      <w:r>
        <w:rPr>
          <w:rFonts w:ascii="Times New Roman" w:eastAsia="Times New Roman" w:hAnsi="Times New Roman" w:cs="Times New Roman"/>
          <w:color w:val="000000"/>
          <w:sz w:val="21"/>
          <w:szCs w:val="21"/>
          <w:vertAlign w:val="superscript"/>
        </w:rPr>
        <w:footnoteReference w:id="376"/>
      </w:r>
    </w:p>
    <w:p w14:paraId="000001C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Thus, the TCA restored jurisdiction to the Secretary of Transportation over </w:t>
      </w:r>
      <w:r>
        <w:rPr>
          <w:rFonts w:ascii="Times New Roman" w:eastAsia="Times New Roman" w:hAnsi="Times New Roman" w:cs="Times New Roman"/>
          <w:i/>
          <w:color w:val="000000"/>
          <w:sz w:val="24"/>
          <w:szCs w:val="24"/>
        </w:rPr>
        <w:t>vehicles</w:t>
      </w:r>
      <w:r>
        <w:rPr>
          <w:rFonts w:ascii="Times New Roman" w:eastAsia="Times New Roman" w:hAnsi="Times New Roman" w:cs="Times New Roman"/>
          <w:color w:val="000000"/>
          <w:sz w:val="24"/>
          <w:szCs w:val="24"/>
        </w:rPr>
        <w:t xml:space="preserve"> weighing 10,000 pounds or less, but it did not restore the overtime exemption for drivers, drivers’ helpers, loaders, or mechanics of vehicles weighing 10,000 pounds or less, except that vehicles used to transport more than 8 passengers for compensation (or 15 passengers without compensation), and vehicles transporting hazardous materials are still subject to Section 213(b)(1).</w:t>
      </w:r>
      <w:r>
        <w:rPr>
          <w:rFonts w:ascii="Times New Roman" w:eastAsia="Times New Roman" w:hAnsi="Times New Roman" w:cs="Times New Roman"/>
          <w:color w:val="000000"/>
          <w:sz w:val="24"/>
          <w:szCs w:val="24"/>
          <w:vertAlign w:val="superscript"/>
        </w:rPr>
        <w:footnoteReference w:id="377"/>
      </w:r>
    </w:p>
    <w:p w14:paraId="000001C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To illustrate, in </w:t>
      </w:r>
      <w:r>
        <w:rPr>
          <w:rFonts w:ascii="Times New Roman" w:eastAsia="Times New Roman" w:hAnsi="Times New Roman" w:cs="Times New Roman"/>
          <w:i/>
          <w:color w:val="000000"/>
          <w:sz w:val="24"/>
          <w:szCs w:val="24"/>
        </w:rPr>
        <w:t>Westberry v. William Joule Marine Transport,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378"/>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 xml:space="preserve">escort drivers who drove vehicles weighing less than 10,000 pounds followed and assisted oversized load trucks weighing more than 10,000 pounds. Although the Section 213(b)(1) exemption covered the drivers of the oversized load trucks, the court found that the escort drivers were not exempt from overtime under the TCA because they drove vehicles weighing less than 10,000 pounds. </w:t>
      </w:r>
    </w:p>
    <w:p w14:paraId="000001C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Given the centrality of a vehicle’s weight, capacity, and payload composition after the TCA, we turn to application of the exemption (1) to vehicles in excess of 10,000 pounds; (2) to small vehicles weighing 10,000 pounds or less; and (3) to motor carriers with mixed fleets of vehicles weighing both less than and more than 10,000 pounds.</w:t>
      </w:r>
    </w:p>
    <w:p w14:paraId="000001CA"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r>
        <w:rPr>
          <w:rFonts w:ascii="Times New Roman" w:eastAsia="Times New Roman" w:hAnsi="Times New Roman" w:cs="Times New Roman"/>
          <w:b/>
          <w:i/>
          <w:color w:val="000000"/>
          <w:sz w:val="24"/>
          <w:szCs w:val="24"/>
        </w:rPr>
        <w:tab/>
        <w:t xml:space="preserve">Application of the Exemption (for Vehicles in Excess of 10,000 Pounds) </w:t>
      </w:r>
    </w:p>
    <w:p w14:paraId="000001C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vehicles in excess of 10,000 pounds,</w:t>
      </w:r>
      <w:r>
        <w:rPr>
          <w:rFonts w:ascii="Times New Roman" w:eastAsia="Times New Roman" w:hAnsi="Times New Roman" w:cs="Times New Roman"/>
          <w:color w:val="000000"/>
          <w:sz w:val="24"/>
          <w:szCs w:val="24"/>
          <w:vertAlign w:val="superscript"/>
        </w:rPr>
        <w:footnoteReference w:id="379"/>
      </w:r>
      <w:r>
        <w:rPr>
          <w:rFonts w:ascii="Times New Roman" w:eastAsia="Times New Roman" w:hAnsi="Times New Roman" w:cs="Times New Roman"/>
          <w:color w:val="000000"/>
          <w:sz w:val="24"/>
          <w:szCs w:val="24"/>
        </w:rPr>
        <w:t xml:space="preserve"> the MCA exemption turns on a three-step analysis:</w:t>
      </w:r>
    </w:p>
    <w:p w14:paraId="000001CC"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(1)</w:t>
      </w:r>
      <w:r>
        <w:rPr>
          <w:rFonts w:ascii="Times New Roman" w:eastAsia="Times New Roman" w:hAnsi="Times New Roman" w:cs="Times New Roman"/>
          <w:color w:val="000000"/>
          <w:sz w:val="24"/>
          <w:szCs w:val="24"/>
        </w:rPr>
        <w:tab/>
        <w:t xml:space="preserve">Is the employee in question employed by a carrier that is </w:t>
      </w:r>
      <w:r>
        <w:rPr>
          <w:rFonts w:ascii="Times New Roman" w:eastAsia="Times New Roman" w:hAnsi="Times New Roman" w:cs="Times New Roman"/>
          <w:i/>
          <w:color w:val="000000"/>
          <w:sz w:val="24"/>
          <w:szCs w:val="24"/>
        </w:rPr>
        <w:t>subject to the power of the Secretary of Transportation</w:t>
      </w:r>
      <w:r>
        <w:rPr>
          <w:rFonts w:ascii="Times New Roman" w:eastAsia="Times New Roman" w:hAnsi="Times New Roman" w:cs="Times New Roman"/>
          <w:color w:val="000000"/>
          <w:sz w:val="24"/>
          <w:szCs w:val="24"/>
        </w:rPr>
        <w:t xml:space="preserve"> to establish qualifications and maximum hours of service for such employees under the MCA?</w:t>
      </w:r>
      <w:r>
        <w:rPr>
          <w:rFonts w:ascii="Times New Roman" w:eastAsia="Times New Roman" w:hAnsi="Times New Roman" w:cs="Times New Roman"/>
          <w:color w:val="000000"/>
          <w:sz w:val="24"/>
          <w:szCs w:val="24"/>
          <w:vertAlign w:val="superscript"/>
        </w:rPr>
        <w:footnoteReference w:id="380"/>
      </w:r>
    </w:p>
    <w:p w14:paraId="000001CD"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 xml:space="preserve">If the answer to (1) is yes, is the employee engaged in </w:t>
      </w:r>
      <w:r>
        <w:rPr>
          <w:rFonts w:ascii="Times New Roman" w:eastAsia="Times New Roman" w:hAnsi="Times New Roman" w:cs="Times New Roman"/>
          <w:i/>
          <w:color w:val="000000"/>
          <w:sz w:val="24"/>
          <w:szCs w:val="24"/>
        </w:rPr>
        <w:t>activities that directly affect the operational safety of commercial vehicles?</w:t>
      </w:r>
      <w:r>
        <w:rPr>
          <w:rFonts w:ascii="Times New Roman" w:eastAsia="Times New Roman" w:hAnsi="Times New Roman" w:cs="Times New Roman"/>
          <w:color w:val="000000"/>
          <w:sz w:val="24"/>
          <w:szCs w:val="24"/>
          <w:vertAlign w:val="superscript"/>
        </w:rPr>
        <w:footnoteReference w:id="381"/>
      </w:r>
      <w:r>
        <w:rPr>
          <w:rFonts w:ascii="Times New Roman" w:eastAsia="Times New Roman" w:hAnsi="Times New Roman" w:cs="Times New Roman"/>
          <w:color w:val="000000"/>
          <w:sz w:val="24"/>
          <w:szCs w:val="24"/>
        </w:rPr>
        <w:t xml:space="preserve"> </w:t>
      </w:r>
    </w:p>
    <w:p w14:paraId="000001CE"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 xml:space="preserve">If the answer to (2) is yes, do those vehicles transport passengers or property on public highways in </w:t>
      </w:r>
      <w:r>
        <w:rPr>
          <w:rFonts w:ascii="Times New Roman" w:eastAsia="Times New Roman" w:hAnsi="Times New Roman" w:cs="Times New Roman"/>
          <w:i/>
          <w:color w:val="000000"/>
          <w:sz w:val="24"/>
          <w:szCs w:val="24"/>
        </w:rPr>
        <w:t>interstate or foreign commerce?</w:t>
      </w:r>
      <w:r>
        <w:rPr>
          <w:rFonts w:ascii="Times New Roman" w:eastAsia="Times New Roman" w:hAnsi="Times New Roman" w:cs="Times New Roman"/>
          <w:color w:val="000000"/>
          <w:sz w:val="24"/>
          <w:szCs w:val="24"/>
          <w:vertAlign w:val="superscript"/>
        </w:rPr>
        <w:footnoteReference w:id="382"/>
      </w:r>
    </w:p>
    <w:p w14:paraId="000001CF"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ab/>
        <w:t>Carriers Subject to the Power of the Secretary of Transportation</w:t>
      </w:r>
    </w:p>
    <w:p w14:paraId="000001D0" w14:textId="354C1946"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The first step of the MCA exemption analysis begins with Section 13501 of the MCA, which authorizes the Secretary of Transportation to regulate transportation by motor carrier “between places in different states, between places in the same state if the transport passes through another state and between the United States and a foreign country to the extent that the transportation occurs in the United States.”</w:t>
      </w:r>
      <w:r>
        <w:rPr>
          <w:rFonts w:ascii="Times New Roman" w:eastAsia="Times New Roman" w:hAnsi="Times New Roman" w:cs="Times New Roman"/>
          <w:color w:val="000000"/>
          <w:sz w:val="24"/>
          <w:szCs w:val="24"/>
          <w:vertAlign w:val="superscript"/>
        </w:rPr>
        <w:footnoteReference w:id="383"/>
      </w:r>
      <w:r>
        <w:rPr>
          <w:rFonts w:ascii="Times New Roman" w:eastAsia="Times New Roman" w:hAnsi="Times New Roman" w:cs="Times New Roman"/>
          <w:color w:val="000000"/>
          <w:sz w:val="24"/>
          <w:szCs w:val="24"/>
        </w:rPr>
        <w:t xml:space="preserve"> Pursuant to 49 U.S.C. §31502(b), the Secretary may prescribe requirements for qualifications and maximum hours of service of employees of a motor carrier or a motor private carrier when needed to promote safety of operation.</w:t>
      </w:r>
      <w:r>
        <w:rPr>
          <w:rFonts w:ascii="Times New Roman" w:eastAsia="Times New Roman" w:hAnsi="Times New Roman" w:cs="Times New Roman"/>
          <w:color w:val="000000"/>
          <w:sz w:val="24"/>
          <w:szCs w:val="24"/>
          <w:vertAlign w:val="superscript"/>
        </w:rPr>
        <w:footnoteReference w:id="384"/>
      </w:r>
    </w:p>
    <w:p w14:paraId="000001D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Generally speaking, the Section 213(b)(1) exemption is limited to employees of motor carriers.</w:t>
      </w:r>
      <w:r>
        <w:rPr>
          <w:rFonts w:ascii="Times New Roman" w:eastAsia="Times New Roman" w:hAnsi="Times New Roman" w:cs="Times New Roman"/>
          <w:color w:val="000000"/>
          <w:sz w:val="24"/>
          <w:szCs w:val="24"/>
          <w:vertAlign w:val="superscript"/>
        </w:rPr>
        <w:footnoteReference w:id="385"/>
      </w:r>
      <w:r>
        <w:rPr>
          <w:rFonts w:ascii="Times New Roman" w:eastAsia="Times New Roman" w:hAnsi="Times New Roman" w:cs="Times New Roman"/>
          <w:color w:val="000000"/>
          <w:sz w:val="24"/>
          <w:szCs w:val="24"/>
        </w:rPr>
        <w:t xml:space="preserve"> However, the MCA gives the DOT “power to establish qualifications and maximum hours of service for drivers employed by non-carriers in situations where the non-carrier leases </w:t>
      </w:r>
      <w:r>
        <w:rPr>
          <w:rFonts w:ascii="Times New Roman" w:eastAsia="Times New Roman" w:hAnsi="Times New Roman" w:cs="Times New Roman"/>
          <w:color w:val="000000"/>
          <w:sz w:val="24"/>
          <w:szCs w:val="24"/>
        </w:rPr>
        <w:lastRenderedPageBreak/>
        <w:t>or rents motor vehicles with such drivers to motor carriers.”</w:t>
      </w:r>
      <w:r>
        <w:rPr>
          <w:rFonts w:ascii="Times New Roman" w:eastAsia="Times New Roman" w:hAnsi="Times New Roman" w:cs="Times New Roman"/>
          <w:color w:val="000000"/>
          <w:sz w:val="24"/>
          <w:szCs w:val="24"/>
          <w:vertAlign w:val="superscript"/>
        </w:rPr>
        <w:footnoteReference w:id="386"/>
      </w:r>
      <w:r>
        <w:rPr>
          <w:rFonts w:ascii="Times New Roman" w:eastAsia="Times New Roman" w:hAnsi="Times New Roman" w:cs="Times New Roman"/>
          <w:color w:val="000000"/>
          <w:sz w:val="24"/>
          <w:szCs w:val="24"/>
        </w:rPr>
        <w:t xml:space="preserve"> Provided that all other requirements for the exemption are satisfied, Section 213(b)(1) is applicable to these drivers while they are driving the motor vehicle leased or rented to motor carriers on the same basis as if they were actually employed by the carriers.</w:t>
      </w:r>
      <w:r>
        <w:rPr>
          <w:rFonts w:ascii="Times New Roman" w:eastAsia="Times New Roman" w:hAnsi="Times New Roman" w:cs="Times New Roman"/>
          <w:color w:val="000000"/>
          <w:sz w:val="24"/>
          <w:szCs w:val="24"/>
          <w:vertAlign w:val="superscript"/>
        </w:rPr>
        <w:footnoteReference w:id="387"/>
      </w:r>
      <w:r>
        <w:rPr>
          <w:rFonts w:ascii="Times New Roman" w:eastAsia="Times New Roman" w:hAnsi="Times New Roman" w:cs="Times New Roman"/>
          <w:color w:val="000000"/>
          <w:sz w:val="24"/>
          <w:szCs w:val="24"/>
        </w:rPr>
        <w:t xml:space="preserve"> But Section 213(b)(1) “does not extend to other safety-affecting employees of the leasing or renting establishment, such as mechanics,” unless the employer itself is a motor carrier.</w:t>
      </w:r>
      <w:r>
        <w:rPr>
          <w:rFonts w:ascii="Times New Roman" w:eastAsia="Times New Roman" w:hAnsi="Times New Roman" w:cs="Times New Roman"/>
          <w:color w:val="000000"/>
          <w:sz w:val="24"/>
          <w:szCs w:val="24"/>
          <w:vertAlign w:val="superscript"/>
        </w:rPr>
        <w:footnoteReference w:id="388"/>
      </w:r>
    </w:p>
    <w:p w14:paraId="000001D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Where an employer’s business is subject to DOT regulation, compliance with the regulations supports a conclusion that the employer falls under the Secretary of Transportation’s jurisdiction for purposes of the MCA. For example, a company could be licensed by the DOT, have the Federal Motor Carrier Safety Administration authorizations necessary to be an interstate motor carrier, or have been the subject of past DOT audits.</w:t>
      </w:r>
      <w:r>
        <w:rPr>
          <w:rFonts w:ascii="Times New Roman" w:eastAsia="Times New Roman" w:hAnsi="Times New Roman" w:cs="Times New Roman"/>
          <w:color w:val="000000"/>
          <w:sz w:val="24"/>
          <w:szCs w:val="24"/>
          <w:vertAlign w:val="superscript"/>
        </w:rPr>
        <w:footnoteReference w:id="389"/>
      </w:r>
      <w:r>
        <w:rPr>
          <w:rFonts w:ascii="Times New Roman" w:eastAsia="Times New Roman" w:hAnsi="Times New Roman" w:cs="Times New Roman"/>
          <w:color w:val="000000"/>
          <w:sz w:val="24"/>
          <w:szCs w:val="24"/>
        </w:rPr>
        <w:t xml:space="preserve"> Drivers could be required to pass an initial DOT drug test and be subject to random and reasonable cause DOT-required drug testing thereafter, pay a DOT-required medical examination every two years, pass a DOT-required road test, pass a DOT written examination, or maintain DOT-required logs.</w:t>
      </w:r>
      <w:r>
        <w:rPr>
          <w:rFonts w:ascii="Times New Roman" w:eastAsia="Times New Roman" w:hAnsi="Times New Roman" w:cs="Times New Roman"/>
          <w:color w:val="000000"/>
          <w:sz w:val="24"/>
          <w:szCs w:val="24"/>
          <w:vertAlign w:val="superscript"/>
        </w:rPr>
        <w:footnoteReference w:id="390"/>
      </w:r>
    </w:p>
    <w:p w14:paraId="000001D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However, the applicability of the exemption is determined by the </w:t>
      </w:r>
      <w:r>
        <w:rPr>
          <w:rFonts w:ascii="Times New Roman" w:eastAsia="Times New Roman" w:hAnsi="Times New Roman" w:cs="Times New Roman"/>
          <w:i/>
          <w:color w:val="000000"/>
          <w:sz w:val="24"/>
          <w:szCs w:val="24"/>
        </w:rPr>
        <w:t>existence</w:t>
      </w:r>
      <w:r>
        <w:rPr>
          <w:rFonts w:ascii="Times New Roman" w:eastAsia="Times New Roman" w:hAnsi="Times New Roman" w:cs="Times New Roman"/>
          <w:color w:val="000000"/>
          <w:sz w:val="24"/>
          <w:szCs w:val="24"/>
        </w:rPr>
        <w:t xml:space="preserve"> of the regulatory power of the Secretary of Transportation to establish qualifications and maximum hours of service.</w:t>
      </w:r>
      <w:r>
        <w:rPr>
          <w:rFonts w:ascii="Times New Roman" w:eastAsia="Times New Roman" w:hAnsi="Times New Roman" w:cs="Times New Roman"/>
          <w:color w:val="000000"/>
          <w:sz w:val="24"/>
          <w:szCs w:val="24"/>
          <w:vertAlign w:val="superscript"/>
        </w:rPr>
        <w:footnoteReference w:id="391"/>
      </w:r>
      <w:r>
        <w:rPr>
          <w:rFonts w:ascii="Times New Roman" w:eastAsia="Times New Roman" w:hAnsi="Times New Roman" w:cs="Times New Roman"/>
          <w:color w:val="000000"/>
          <w:sz w:val="24"/>
          <w:szCs w:val="24"/>
        </w:rPr>
        <w:t xml:space="preserve"> Whether the Secretary actually exerts authority is not determinative—instead, the key question is whether the Secretary has the authority to establish qualifications and maximum hours of service for the particular employees.</w:t>
      </w:r>
      <w:r>
        <w:rPr>
          <w:rFonts w:ascii="Times New Roman" w:eastAsia="Times New Roman" w:hAnsi="Times New Roman" w:cs="Times New Roman"/>
          <w:color w:val="000000"/>
          <w:sz w:val="24"/>
          <w:szCs w:val="24"/>
          <w:vertAlign w:val="superscript"/>
        </w:rPr>
        <w:footnoteReference w:id="392"/>
      </w:r>
      <w:r>
        <w:rPr>
          <w:rFonts w:ascii="Times New Roman" w:eastAsia="Times New Roman" w:hAnsi="Times New Roman" w:cs="Times New Roman"/>
          <w:color w:val="000000"/>
          <w:sz w:val="24"/>
          <w:szCs w:val="24"/>
        </w:rPr>
        <w:t xml:space="preserve"> Therefore, a decision of the Secretary </w:t>
      </w:r>
      <w:r>
        <w:rPr>
          <w:rFonts w:ascii="Times New Roman" w:eastAsia="Times New Roman" w:hAnsi="Times New Roman" w:cs="Times New Roman"/>
          <w:color w:val="000000"/>
          <w:sz w:val="24"/>
          <w:szCs w:val="24"/>
        </w:rPr>
        <w:lastRenderedPageBreak/>
        <w:t>of Transportation to refrain from exercising regulatory authority over a category of carriers alone does not exempt them from the Secretary’s authority.</w:t>
      </w:r>
      <w:r>
        <w:rPr>
          <w:rFonts w:ascii="Times New Roman" w:eastAsia="Times New Roman" w:hAnsi="Times New Roman" w:cs="Times New Roman"/>
          <w:color w:val="000000"/>
          <w:sz w:val="24"/>
          <w:szCs w:val="24"/>
          <w:vertAlign w:val="superscript"/>
        </w:rPr>
        <w:footnoteReference w:id="393"/>
      </w:r>
      <w:r>
        <w:rPr>
          <w:rFonts w:ascii="Times New Roman" w:eastAsia="Times New Roman" w:hAnsi="Times New Roman" w:cs="Times New Roman"/>
          <w:color w:val="000000"/>
          <w:sz w:val="24"/>
          <w:szCs w:val="24"/>
        </w:rPr>
        <w:t xml:space="preserve"> Similarly, an employer’s failure to adhere to DOT regulations will not invalidate application of the exemption.</w:t>
      </w:r>
      <w:r>
        <w:rPr>
          <w:rFonts w:ascii="Times New Roman" w:eastAsia="Times New Roman" w:hAnsi="Times New Roman" w:cs="Times New Roman"/>
          <w:color w:val="000000"/>
          <w:sz w:val="24"/>
          <w:szCs w:val="24"/>
          <w:vertAlign w:val="superscript"/>
        </w:rPr>
        <w:footnoteReference w:id="394"/>
      </w:r>
    </w:p>
    <w:p w14:paraId="000001D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The MCA has specifically exempted certain transportation from its jurisdiction.</w:t>
      </w:r>
      <w:r>
        <w:rPr>
          <w:rFonts w:ascii="Times New Roman" w:eastAsia="Times New Roman" w:hAnsi="Times New Roman" w:cs="Times New Roman"/>
          <w:color w:val="000000"/>
          <w:sz w:val="24"/>
          <w:szCs w:val="24"/>
          <w:vertAlign w:val="superscript"/>
        </w:rPr>
        <w:footnoteReference w:id="395"/>
      </w:r>
      <w:r>
        <w:rPr>
          <w:rFonts w:ascii="Times New Roman" w:eastAsia="Times New Roman" w:hAnsi="Times New Roman" w:cs="Times New Roman"/>
          <w:color w:val="000000"/>
          <w:sz w:val="24"/>
          <w:szCs w:val="24"/>
        </w:rPr>
        <w:t xml:space="preserve"> Some of these include motor vehicles providing taxicab service</w:t>
      </w:r>
      <w:r>
        <w:rPr>
          <w:rFonts w:ascii="Times New Roman" w:eastAsia="Times New Roman" w:hAnsi="Times New Roman" w:cs="Times New Roman"/>
          <w:color w:val="000000"/>
          <w:sz w:val="24"/>
          <w:szCs w:val="24"/>
          <w:vertAlign w:val="superscript"/>
        </w:rPr>
        <w:footnoteReference w:id="396"/>
      </w:r>
      <w:r>
        <w:rPr>
          <w:rFonts w:ascii="Times New Roman" w:eastAsia="Times New Roman" w:hAnsi="Times New Roman" w:cs="Times New Roman"/>
          <w:color w:val="000000"/>
          <w:sz w:val="24"/>
          <w:szCs w:val="24"/>
        </w:rPr>
        <w:t xml:space="preserve"> and school bus drivers.</w:t>
      </w:r>
      <w:r>
        <w:rPr>
          <w:rFonts w:ascii="Times New Roman" w:eastAsia="Times New Roman" w:hAnsi="Times New Roman" w:cs="Times New Roman"/>
          <w:color w:val="000000"/>
          <w:sz w:val="24"/>
          <w:szCs w:val="24"/>
          <w:vertAlign w:val="superscript"/>
        </w:rPr>
        <w:footnoteReference w:id="397"/>
      </w:r>
      <w:r>
        <w:rPr>
          <w:rFonts w:ascii="Times New Roman" w:eastAsia="Times New Roman" w:hAnsi="Times New Roman" w:cs="Times New Roman"/>
          <w:color w:val="000000"/>
          <w:sz w:val="24"/>
          <w:szCs w:val="24"/>
        </w:rPr>
        <w:t xml:space="preserve"> By regulation, the Secretary of Transportation has also disclaimed jurisdiction over specific categories of transportation including the transportation of human corpses, sick or injured persons, and fire trucks and rescue vehicles involved in emergency-related operations.</w:t>
      </w:r>
      <w:r>
        <w:rPr>
          <w:rFonts w:ascii="Times New Roman" w:eastAsia="Times New Roman" w:hAnsi="Times New Roman" w:cs="Times New Roman"/>
          <w:color w:val="000000"/>
          <w:sz w:val="24"/>
          <w:szCs w:val="24"/>
          <w:vertAlign w:val="superscript"/>
        </w:rPr>
        <w:footnoteReference w:id="398"/>
      </w:r>
    </w:p>
    <w:p w14:paraId="000001D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A company’s primary business need not be transportation for the exemption to apply. In </w:t>
      </w:r>
      <w:r>
        <w:rPr>
          <w:rFonts w:ascii="Times New Roman" w:eastAsia="Times New Roman" w:hAnsi="Times New Roman" w:cs="Times New Roman"/>
          <w:i/>
          <w:color w:val="000000"/>
          <w:sz w:val="24"/>
          <w:szCs w:val="24"/>
        </w:rPr>
        <w:t>McGuiggan v. CPC International,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399"/>
      </w:r>
      <w:r>
        <w:rPr>
          <w:rFonts w:ascii="Times New Roman" w:eastAsia="Times New Roman" w:hAnsi="Times New Roman" w:cs="Times New Roman"/>
          <w:color w:val="000000"/>
          <w:sz w:val="24"/>
          <w:szCs w:val="24"/>
        </w:rPr>
        <w:t xml:space="preserve"> a federal district court found the exemption for private motor carriers applicable where the employer’s primary business was baking and selling baked </w:t>
      </w:r>
      <w:r>
        <w:rPr>
          <w:rFonts w:ascii="Times New Roman" w:eastAsia="Times New Roman" w:hAnsi="Times New Roman" w:cs="Times New Roman"/>
          <w:color w:val="000000"/>
          <w:sz w:val="24"/>
          <w:szCs w:val="24"/>
        </w:rPr>
        <w:lastRenderedPageBreak/>
        <w:t>goods. Relying on cases from the Third and Ninth Circuits,</w:t>
      </w:r>
      <w:r>
        <w:rPr>
          <w:rFonts w:ascii="Times New Roman" w:eastAsia="Times New Roman" w:hAnsi="Times New Roman" w:cs="Times New Roman"/>
          <w:color w:val="000000"/>
          <w:sz w:val="24"/>
          <w:szCs w:val="24"/>
          <w:vertAlign w:val="superscript"/>
        </w:rPr>
        <w:footnoteReference w:id="400"/>
      </w:r>
      <w:r>
        <w:rPr>
          <w:rFonts w:ascii="Times New Roman" w:eastAsia="Times New Roman" w:hAnsi="Times New Roman" w:cs="Times New Roman"/>
          <w:color w:val="000000"/>
          <w:sz w:val="24"/>
          <w:szCs w:val="24"/>
        </w:rPr>
        <w:t xml:space="preserve"> the court applied the exemption to drivers of baked goods across state lines, noting that although coverage by the DOT is limited regarding non-transportation business, coverage continues with relation to working hours and safety of certain drivers.</w:t>
      </w:r>
      <w:r>
        <w:rPr>
          <w:rFonts w:ascii="Times New Roman" w:eastAsia="Times New Roman" w:hAnsi="Times New Roman" w:cs="Times New Roman"/>
          <w:color w:val="000000"/>
          <w:sz w:val="24"/>
          <w:szCs w:val="24"/>
          <w:vertAlign w:val="superscript"/>
        </w:rPr>
        <w:footnoteReference w:id="401"/>
      </w:r>
    </w:p>
    <w:p w14:paraId="000001D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respect to carriers of passengers, practical considerations are given to the Secretary’s authority over the operation of vehicles designed or used to transport more than 8 or 15 passengers (regardless of the vehicle’s weight).</w:t>
      </w:r>
      <w:r>
        <w:rPr>
          <w:rFonts w:ascii="Times New Roman" w:eastAsia="Times New Roman" w:hAnsi="Times New Roman" w:cs="Times New Roman"/>
          <w:color w:val="000000"/>
          <w:sz w:val="24"/>
          <w:szCs w:val="24"/>
          <w:vertAlign w:val="superscript"/>
        </w:rPr>
        <w:footnoteReference w:id="402"/>
      </w:r>
      <w:r>
        <w:rPr>
          <w:rFonts w:ascii="Times New Roman" w:eastAsia="Times New Roman" w:hAnsi="Times New Roman" w:cs="Times New Roman"/>
          <w:color w:val="000000"/>
          <w:sz w:val="24"/>
          <w:szCs w:val="24"/>
        </w:rPr>
        <w:t xml:space="preserve"> The Third Circuit distinguished the transportation of passengers from the transportation of goods in </w:t>
      </w:r>
      <w:r>
        <w:rPr>
          <w:rFonts w:ascii="Times New Roman" w:eastAsia="Times New Roman" w:hAnsi="Times New Roman" w:cs="Times New Roman"/>
          <w:i/>
          <w:color w:val="000000"/>
          <w:sz w:val="24"/>
          <w:szCs w:val="24"/>
        </w:rPr>
        <w:t>Packard v. Pittsburgh Transportation Co.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03"/>
      </w:r>
      <w:r>
        <w:rPr>
          <w:rFonts w:ascii="Times New Roman" w:eastAsia="Times New Roman" w:hAnsi="Times New Roman" w:cs="Times New Roman"/>
          <w:color w:val="000000"/>
          <w:sz w:val="24"/>
          <w:szCs w:val="24"/>
        </w:rPr>
        <w:t xml:space="preserve"> determining that the former did not fall within the Secretary of Transportation’s jurisdiction because it was not “in practical continuity with a larger interstate journey.”</w:t>
      </w:r>
      <w:r>
        <w:rPr>
          <w:rFonts w:ascii="Times New Roman" w:eastAsia="Times New Roman" w:hAnsi="Times New Roman" w:cs="Times New Roman"/>
          <w:color w:val="000000"/>
          <w:sz w:val="24"/>
          <w:szCs w:val="24"/>
          <w:vertAlign w:val="superscript"/>
        </w:rPr>
        <w:footnoteReference w:id="404"/>
      </w:r>
      <w:r>
        <w:rPr>
          <w:rFonts w:ascii="Times New Roman" w:eastAsia="Times New Roman" w:hAnsi="Times New Roman" w:cs="Times New Roman"/>
          <w:color w:val="000000"/>
          <w:sz w:val="24"/>
          <w:szCs w:val="24"/>
        </w:rPr>
        <w:t xml:space="preserve"> In assessing transportation provided to the elderly and disabled, including trips to train and bus stations and to the airport,</w:t>
      </w:r>
      <w:r>
        <w:rPr>
          <w:rFonts w:ascii="Times New Roman" w:eastAsia="Times New Roman" w:hAnsi="Times New Roman" w:cs="Times New Roman"/>
          <w:color w:val="000000"/>
          <w:sz w:val="24"/>
          <w:szCs w:val="24"/>
          <w:vertAlign w:val="superscript"/>
        </w:rPr>
        <w:footnoteReference w:id="405"/>
      </w:r>
      <w:r>
        <w:rPr>
          <w:rFonts w:ascii="Times New Roman" w:eastAsia="Times New Roman" w:hAnsi="Times New Roman" w:cs="Times New Roman"/>
          <w:color w:val="000000"/>
          <w:sz w:val="24"/>
          <w:szCs w:val="24"/>
        </w:rPr>
        <w:t xml:space="preserve"> the Third Circuit looked at cases that defined the interstate transportation of passengers in other contexts, including </w:t>
      </w:r>
      <w:r>
        <w:rPr>
          <w:rFonts w:ascii="Times New Roman" w:eastAsia="Times New Roman" w:hAnsi="Times New Roman" w:cs="Times New Roman"/>
          <w:i/>
          <w:color w:val="000000"/>
          <w:sz w:val="24"/>
          <w:szCs w:val="24"/>
        </w:rPr>
        <w:t>United States v. Yellow Cab Co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06"/>
      </w:r>
      <w:r>
        <w:rPr>
          <w:rFonts w:ascii="Times New Roman" w:eastAsia="Times New Roman" w:hAnsi="Times New Roman" w:cs="Times New Roman"/>
          <w:color w:val="000000"/>
          <w:sz w:val="24"/>
          <w:szCs w:val="24"/>
        </w:rPr>
        <w:t xml:space="preserve"> which similarly noted the distinction between property and passengers: </w:t>
      </w:r>
    </w:p>
    <w:p w14:paraId="000001D7"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[W]hat may fairly be said to be the limits of an interstate shipment of goods and chattel may not necessarily be the commonly accepted limits of an individual’s interstate journey. We must accordingly mark the beginning and end of a particular kind of interstate commerce by its own practical considerations.</w:t>
      </w:r>
      <w:r>
        <w:rPr>
          <w:rFonts w:ascii="Times New Roman" w:eastAsia="Times New Roman" w:hAnsi="Times New Roman" w:cs="Times New Roman"/>
          <w:color w:val="000000"/>
          <w:sz w:val="20"/>
          <w:szCs w:val="20"/>
          <w:vertAlign w:val="superscript"/>
        </w:rPr>
        <w:footnoteReference w:id="407"/>
      </w:r>
    </w:p>
    <w:p w14:paraId="000001D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Some courts evaluate the import of intrastate travel under the third prong of the MCA exemption analysis, which addresses the employee’s activity of transporting passengers or property on public highways in interstate or foreign commerce.</w:t>
      </w:r>
      <w:r>
        <w:rPr>
          <w:rFonts w:ascii="Times New Roman" w:eastAsia="Times New Roman" w:hAnsi="Times New Roman" w:cs="Times New Roman"/>
          <w:color w:val="000000"/>
          <w:sz w:val="24"/>
          <w:szCs w:val="24"/>
          <w:vertAlign w:val="superscript"/>
        </w:rPr>
        <w:footnoteReference w:id="408"/>
      </w:r>
      <w:r>
        <w:rPr>
          <w:rFonts w:ascii="Times New Roman" w:eastAsia="Times New Roman" w:hAnsi="Times New Roman" w:cs="Times New Roman"/>
          <w:color w:val="000000"/>
          <w:sz w:val="24"/>
          <w:szCs w:val="24"/>
        </w:rPr>
        <w:t xml:space="preserve"> Regardless of where the analysis occurs, purely intrastate travel requires some common arrangement with an interstate </w:t>
      </w:r>
      <w:r>
        <w:rPr>
          <w:rFonts w:ascii="Times New Roman" w:eastAsia="Times New Roman" w:hAnsi="Times New Roman" w:cs="Times New Roman"/>
          <w:color w:val="000000"/>
          <w:sz w:val="24"/>
          <w:szCs w:val="24"/>
        </w:rPr>
        <w:lastRenderedPageBreak/>
        <w:t>carrier—such as a joint fare, through-ticket, station-to-station travel, or prepackaged tour—for purposes of the MCA.</w:t>
      </w:r>
      <w:r>
        <w:rPr>
          <w:rFonts w:ascii="Times New Roman" w:eastAsia="Times New Roman" w:hAnsi="Times New Roman" w:cs="Times New Roman"/>
          <w:color w:val="000000"/>
          <w:sz w:val="24"/>
          <w:szCs w:val="24"/>
          <w:vertAlign w:val="superscript"/>
        </w:rPr>
        <w:footnoteReference w:id="409"/>
      </w:r>
      <w:r>
        <w:rPr>
          <w:rFonts w:ascii="Times New Roman" w:eastAsia="Times New Roman" w:hAnsi="Times New Roman" w:cs="Times New Roman"/>
          <w:color w:val="000000"/>
          <w:sz w:val="24"/>
          <w:szCs w:val="24"/>
        </w:rPr>
        <w:t xml:space="preserve"> </w:t>
      </w:r>
    </w:p>
    <w:p w14:paraId="000001D9"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w:t>
      </w:r>
      <w:r>
        <w:rPr>
          <w:rFonts w:ascii="Times New Roman" w:eastAsia="Times New Roman" w:hAnsi="Times New Roman" w:cs="Times New Roman"/>
          <w:i/>
          <w:color w:val="000000"/>
          <w:sz w:val="24"/>
          <w:szCs w:val="24"/>
        </w:rPr>
        <w:tab/>
        <w:t>Employees Engaged in Activities That Directly Affect Safety</w:t>
      </w:r>
    </w:p>
    <w:p w14:paraId="000001D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The second step of the MCA exemption analysis is that the employee’s duties must include the regular or periodic performance of safety-affecting activities on a motor vehicle used in transportation on public highways in interstate or foreign commerce.</w:t>
      </w:r>
      <w:r>
        <w:rPr>
          <w:rFonts w:ascii="Times New Roman" w:eastAsia="Times New Roman" w:hAnsi="Times New Roman" w:cs="Times New Roman"/>
          <w:color w:val="000000"/>
          <w:sz w:val="24"/>
          <w:szCs w:val="24"/>
          <w:vertAlign w:val="superscript"/>
        </w:rPr>
        <w:footnoteReference w:id="410"/>
      </w:r>
      <w:r>
        <w:rPr>
          <w:rFonts w:ascii="Times New Roman" w:eastAsia="Times New Roman" w:hAnsi="Times New Roman" w:cs="Times New Roman"/>
          <w:color w:val="000000"/>
          <w:sz w:val="24"/>
          <w:szCs w:val="24"/>
        </w:rPr>
        <w:t xml:space="preserve"> Employees must perform such duties as a driver, driver’s helper, loader, or mechanic.</w:t>
      </w:r>
      <w:r>
        <w:rPr>
          <w:rFonts w:ascii="Times New Roman" w:eastAsia="Times New Roman" w:hAnsi="Times New Roman" w:cs="Times New Roman"/>
          <w:color w:val="000000"/>
          <w:sz w:val="24"/>
          <w:szCs w:val="24"/>
          <w:vertAlign w:val="superscript"/>
        </w:rPr>
        <w:footnoteReference w:id="411"/>
      </w:r>
      <w:r>
        <w:rPr>
          <w:rFonts w:ascii="Times New Roman" w:eastAsia="Times New Roman" w:hAnsi="Times New Roman" w:cs="Times New Roman"/>
          <w:color w:val="000000"/>
          <w:sz w:val="24"/>
          <w:szCs w:val="24"/>
        </w:rPr>
        <w:t xml:space="preserve"> The Supreme Court has upheld as reasonable the Secretary of Transportation’s determination that these are the only categories of workers that potentially directly affect the safety of vehicles operating in interstate commerce.</w:t>
      </w:r>
      <w:r>
        <w:rPr>
          <w:rFonts w:ascii="Times New Roman" w:eastAsia="Times New Roman" w:hAnsi="Times New Roman" w:cs="Times New Roman"/>
          <w:color w:val="000000"/>
          <w:sz w:val="24"/>
          <w:szCs w:val="24"/>
          <w:vertAlign w:val="superscript"/>
        </w:rPr>
        <w:footnoteReference w:id="412"/>
      </w:r>
    </w:p>
    <w:p w14:paraId="000001D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Employees performing such duties meet the duties requirement of the exemption regardless of the proportion of “safety affecting activities” performed,</w:t>
      </w:r>
      <w:r>
        <w:rPr>
          <w:rFonts w:ascii="Times New Roman" w:eastAsia="Times New Roman" w:hAnsi="Times New Roman" w:cs="Times New Roman"/>
          <w:color w:val="000000"/>
          <w:sz w:val="24"/>
          <w:szCs w:val="24"/>
          <w:vertAlign w:val="superscript"/>
        </w:rPr>
        <w:footnoteReference w:id="413"/>
      </w:r>
      <w:r>
        <w:rPr>
          <w:rFonts w:ascii="Times New Roman" w:eastAsia="Times New Roman" w:hAnsi="Times New Roman" w:cs="Times New Roman"/>
          <w:color w:val="000000"/>
          <w:sz w:val="24"/>
          <w:szCs w:val="24"/>
        </w:rPr>
        <w:t xml:space="preserve"> except where the </w:t>
      </w:r>
      <w:r>
        <w:rPr>
          <w:rFonts w:ascii="Times New Roman" w:eastAsia="Times New Roman" w:hAnsi="Times New Roman" w:cs="Times New Roman"/>
          <w:color w:val="000000"/>
          <w:sz w:val="24"/>
          <w:szCs w:val="24"/>
        </w:rPr>
        <w:lastRenderedPageBreak/>
        <w:t>continuing duties have no substantial direct effect on “safety of operation,” or where such safety-affecting activities are so trivial, casual, and insignificant as to be de minimis (so long as there is no change in the duties).</w:t>
      </w:r>
      <w:r>
        <w:rPr>
          <w:rFonts w:ascii="Times New Roman" w:eastAsia="Times New Roman" w:hAnsi="Times New Roman" w:cs="Times New Roman"/>
          <w:color w:val="000000"/>
          <w:sz w:val="24"/>
          <w:szCs w:val="24"/>
          <w:vertAlign w:val="superscript"/>
        </w:rPr>
        <w:footnoteReference w:id="414"/>
      </w:r>
    </w:p>
    <w:p w14:paraId="000001DC"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z w:val="24"/>
          <w:szCs w:val="24"/>
        </w:rPr>
        <w:tab/>
        <w:t>Drivers</w:t>
      </w:r>
    </w:p>
    <w:p w14:paraId="000001D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“driver” is defined for MCA purposes as an individual who drives a motor vehicle in transportation in interstate or foreign commerce.</w:t>
      </w:r>
      <w:r>
        <w:rPr>
          <w:rFonts w:ascii="Times New Roman" w:eastAsia="Times New Roman" w:hAnsi="Times New Roman" w:cs="Times New Roman"/>
          <w:color w:val="000000"/>
          <w:sz w:val="24"/>
          <w:szCs w:val="24"/>
          <w:vertAlign w:val="superscript"/>
        </w:rPr>
        <w:footnoteReference w:id="415"/>
      </w:r>
      <w:r>
        <w:rPr>
          <w:rFonts w:ascii="Times New Roman" w:eastAsia="Times New Roman" w:hAnsi="Times New Roman" w:cs="Times New Roman"/>
          <w:color w:val="000000"/>
          <w:sz w:val="24"/>
          <w:szCs w:val="24"/>
        </w:rPr>
        <w:t xml:space="preserve"> DOL regulations recognize that the definition does not require that the individual be engaged in such work at all times</w:t>
      </w:r>
      <w:r>
        <w:rPr>
          <w:rFonts w:ascii="Times New Roman" w:eastAsia="Times New Roman" w:hAnsi="Times New Roman" w:cs="Times New Roman"/>
          <w:color w:val="000000"/>
          <w:sz w:val="20"/>
          <w:szCs w:val="20"/>
          <w:vertAlign w:val="superscript"/>
        </w:rPr>
        <w:footnoteReference w:id="416"/>
      </w:r>
      <w:r>
        <w:rPr>
          <w:rFonts w:ascii="Times New Roman" w:eastAsia="Times New Roman" w:hAnsi="Times New Roman" w:cs="Times New Roman"/>
          <w:color w:val="000000"/>
          <w:sz w:val="24"/>
          <w:szCs w:val="24"/>
        </w:rPr>
        <w:t>—even full-duty drivers devote some of their working time to activities other than driving.</w:t>
      </w:r>
      <w:r>
        <w:rPr>
          <w:rFonts w:ascii="Times New Roman" w:eastAsia="Times New Roman" w:hAnsi="Times New Roman" w:cs="Times New Roman"/>
          <w:color w:val="000000"/>
          <w:sz w:val="20"/>
          <w:szCs w:val="20"/>
          <w:vertAlign w:val="superscript"/>
        </w:rPr>
        <w:footnoteReference w:id="417"/>
      </w:r>
      <w:r>
        <w:rPr>
          <w:rFonts w:ascii="Times New Roman" w:eastAsia="Times New Roman" w:hAnsi="Times New Roman" w:cs="Times New Roman"/>
          <w:color w:val="000000"/>
          <w:sz w:val="24"/>
          <w:szCs w:val="24"/>
        </w:rPr>
        <w:t xml:space="preserve"> Thus, “drivers” includes partial-duty drivers who drive in interstate or foreign commerce as part of a job in which they also engage in other types of driving or non-driving work, such as, for example, the following: </w:t>
      </w:r>
    </w:p>
    <w:p w14:paraId="000001DE"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individuals whose driving duties concern transportation, partially in intrastate commerce and partially in interstate or foreign commerce;</w:t>
      </w:r>
    </w:p>
    <w:p w14:paraId="000001DF"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individuals who ride along and act as an assistant or relief driver of motor vehicles engaged in transportation in interstate or foreign commerce (in addition to helping with loading, unloading, and similar work); </w:t>
      </w:r>
    </w:p>
    <w:p w14:paraId="000001E0"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drivers of chartered buses or farm trucks who have many duties unrelated to driving or safety of operation of the vehicles in interstate transportation on the highways; and</w:t>
      </w:r>
    </w:p>
    <w:p w14:paraId="000001E1"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driver-salesmen who devote much of their time to selling goods rather than to activities affecting such safety of operation.</w:t>
      </w:r>
      <w:r>
        <w:rPr>
          <w:rFonts w:ascii="Times New Roman" w:eastAsia="Times New Roman" w:hAnsi="Times New Roman" w:cs="Times New Roman"/>
          <w:color w:val="000000"/>
          <w:sz w:val="24"/>
          <w:szCs w:val="24"/>
          <w:vertAlign w:val="superscript"/>
        </w:rPr>
        <w:footnoteReference w:id="418"/>
      </w:r>
      <w:r>
        <w:rPr>
          <w:rFonts w:ascii="Times New Roman" w:eastAsia="Times New Roman" w:hAnsi="Times New Roman" w:cs="Times New Roman"/>
          <w:color w:val="000000"/>
          <w:sz w:val="24"/>
          <w:szCs w:val="24"/>
        </w:rPr>
        <w:t xml:space="preserve"> </w:t>
      </w:r>
    </w:p>
    <w:p w14:paraId="000001E2"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In contrast, “yard drivers” who move vehicles within a jobsite and on public roads intrastate may not be regarded as “drivers” under the MCA.</w:t>
      </w:r>
      <w:r>
        <w:rPr>
          <w:rFonts w:ascii="Times New Roman" w:eastAsia="Times New Roman" w:hAnsi="Times New Roman" w:cs="Times New Roman"/>
          <w:color w:val="000000"/>
          <w:sz w:val="20"/>
          <w:szCs w:val="20"/>
          <w:vertAlign w:val="superscript"/>
        </w:rPr>
        <w:footnoteReference w:id="419"/>
      </w:r>
    </w:p>
    <w:p w14:paraId="000001E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Whether full- or partial-duty, a driver directly affects “safety of operation” whenever he or she drives a motor vehicle in interstate or foreign commerce within the meaning of the MCA. Additional activities of a character affecting safety may include requirements that drivers complete DOT logs regarding the time spent driving, pass DOT written and driving tests, complete various DOT forms, and pass a DOT physical and drug test.</w:t>
      </w:r>
      <w:r>
        <w:rPr>
          <w:rFonts w:ascii="Times New Roman" w:eastAsia="Times New Roman" w:hAnsi="Times New Roman" w:cs="Times New Roman"/>
          <w:color w:val="000000"/>
          <w:sz w:val="24"/>
          <w:szCs w:val="24"/>
          <w:vertAlign w:val="superscript"/>
        </w:rPr>
        <w:footnoteReference w:id="420"/>
      </w:r>
    </w:p>
    <w:p w14:paraId="000001E4"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w:t>
      </w:r>
      <w:r>
        <w:rPr>
          <w:rFonts w:ascii="Times New Roman" w:eastAsia="Times New Roman" w:hAnsi="Times New Roman" w:cs="Times New Roman"/>
          <w:i/>
          <w:color w:val="000000"/>
          <w:sz w:val="24"/>
          <w:szCs w:val="24"/>
        </w:rPr>
        <w:tab/>
        <w:t>Drivers’ Helpers</w:t>
      </w:r>
    </w:p>
    <w:p w14:paraId="000001E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 “driver’s helper” is defined for MCA purposes as an employee, other than a driver, required to ride on a motor vehicle when it is being operated in interstate or foreign commerce and whose job duties include work that directly relates to the safety of operations.</w:t>
      </w:r>
      <w:r>
        <w:rPr>
          <w:rFonts w:ascii="Times New Roman" w:eastAsia="Times New Roman" w:hAnsi="Times New Roman" w:cs="Times New Roman"/>
          <w:color w:val="000000"/>
          <w:sz w:val="24"/>
          <w:szCs w:val="24"/>
          <w:vertAlign w:val="superscript"/>
        </w:rPr>
        <w:footnoteReference w:id="421"/>
      </w:r>
      <w:r>
        <w:rPr>
          <w:rFonts w:ascii="Times New Roman" w:eastAsia="Times New Roman" w:hAnsi="Times New Roman" w:cs="Times New Roman"/>
          <w:color w:val="000000"/>
          <w:sz w:val="24"/>
          <w:szCs w:val="24"/>
        </w:rPr>
        <w:t xml:space="preserve"> Included within the helper category are armed guards on armored trucks, conductors on buses, and individuals who flag trucks across railroad tracks.</w:t>
      </w:r>
      <w:r>
        <w:rPr>
          <w:rFonts w:ascii="Times New Roman" w:eastAsia="Times New Roman" w:hAnsi="Times New Roman" w:cs="Times New Roman"/>
          <w:color w:val="000000"/>
          <w:sz w:val="24"/>
          <w:szCs w:val="24"/>
          <w:vertAlign w:val="superscript"/>
        </w:rPr>
        <w:footnoteReference w:id="422"/>
      </w:r>
      <w:r>
        <w:rPr>
          <w:rFonts w:ascii="Times New Roman" w:eastAsia="Times New Roman" w:hAnsi="Times New Roman" w:cs="Times New Roman"/>
          <w:color w:val="000000"/>
          <w:sz w:val="24"/>
          <w:szCs w:val="24"/>
        </w:rPr>
        <w:t xml:space="preserve"> The category does not include employees who ride on the vehicle and act as assistants or relief drivers.</w:t>
      </w:r>
      <w:r>
        <w:rPr>
          <w:rFonts w:ascii="Times New Roman" w:eastAsia="Times New Roman" w:hAnsi="Times New Roman" w:cs="Times New Roman"/>
          <w:color w:val="000000"/>
          <w:sz w:val="24"/>
          <w:szCs w:val="24"/>
          <w:vertAlign w:val="superscript"/>
        </w:rPr>
        <w:footnoteReference w:id="423"/>
      </w:r>
    </w:p>
    <w:p w14:paraId="000001E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Employees engaged in the work of drivers’ helpers are considered to be performing safety-related tasks if doing so for only a part of the time during their workweek.</w:t>
      </w:r>
      <w:r>
        <w:rPr>
          <w:rFonts w:ascii="Times New Roman" w:eastAsia="Times New Roman" w:hAnsi="Times New Roman" w:cs="Times New Roman"/>
          <w:color w:val="000000"/>
          <w:sz w:val="24"/>
          <w:szCs w:val="24"/>
          <w:vertAlign w:val="superscript"/>
        </w:rPr>
        <w:footnoteReference w:id="424"/>
      </w:r>
      <w:r>
        <w:rPr>
          <w:rFonts w:ascii="Times New Roman" w:eastAsia="Times New Roman" w:hAnsi="Times New Roman" w:cs="Times New Roman"/>
          <w:color w:val="000000"/>
          <w:sz w:val="24"/>
          <w:szCs w:val="24"/>
        </w:rPr>
        <w:t xml:space="preserve"> But a helper </w:t>
      </w:r>
      <w:r>
        <w:rPr>
          <w:rFonts w:ascii="Times New Roman" w:eastAsia="Times New Roman" w:hAnsi="Times New Roman" w:cs="Times New Roman"/>
          <w:color w:val="000000"/>
          <w:sz w:val="24"/>
          <w:szCs w:val="24"/>
        </w:rPr>
        <w:lastRenderedPageBreak/>
        <w:t>must be “required” to ride along with the driver as part of his or her job duties in order to be exempt.</w:t>
      </w:r>
      <w:r>
        <w:rPr>
          <w:rFonts w:ascii="Times New Roman" w:eastAsia="Times New Roman" w:hAnsi="Times New Roman" w:cs="Times New Roman"/>
          <w:color w:val="000000"/>
          <w:sz w:val="24"/>
          <w:szCs w:val="24"/>
          <w:vertAlign w:val="superscript"/>
        </w:rPr>
        <w:footnoteReference w:id="425"/>
      </w:r>
      <w:r>
        <w:rPr>
          <w:rFonts w:ascii="Times New Roman" w:eastAsia="Times New Roman" w:hAnsi="Times New Roman" w:cs="Times New Roman"/>
          <w:color w:val="000000"/>
          <w:sz w:val="24"/>
          <w:szCs w:val="24"/>
        </w:rPr>
        <w:t xml:space="preserve"> For example, “hostesses” on interstate buses responsible for “looking after the comfort of the passengers, keeping the aisles clean and clear, and assisting the driver and passengers in case of [an] accident” are considered “helpers” because “their duties are considered to affect the safety of operation of the vehicle.”</w:t>
      </w:r>
      <w:r>
        <w:rPr>
          <w:rFonts w:ascii="Times New Roman" w:eastAsia="Times New Roman" w:hAnsi="Times New Roman" w:cs="Times New Roman"/>
          <w:color w:val="000000"/>
          <w:sz w:val="24"/>
          <w:szCs w:val="24"/>
          <w:vertAlign w:val="superscript"/>
        </w:rPr>
        <w:footnoteReference w:id="426"/>
      </w:r>
      <w:r>
        <w:rPr>
          <w:rFonts w:ascii="Times New Roman" w:eastAsia="Times New Roman" w:hAnsi="Times New Roman" w:cs="Times New Roman"/>
          <w:color w:val="000000"/>
          <w:sz w:val="24"/>
          <w:szCs w:val="24"/>
        </w:rPr>
        <w:t xml:space="preserve"> However, an employee whose responsibilities are unrelated to safety is not considered a helper for purposes of the exemption, even if he or she rides in the vehicle with the driver.</w:t>
      </w:r>
      <w:r>
        <w:rPr>
          <w:rFonts w:ascii="Times New Roman" w:eastAsia="Times New Roman" w:hAnsi="Times New Roman" w:cs="Times New Roman"/>
          <w:color w:val="000000"/>
          <w:sz w:val="24"/>
          <w:szCs w:val="24"/>
          <w:vertAlign w:val="superscript"/>
        </w:rPr>
        <w:footnoteReference w:id="427"/>
      </w:r>
      <w:r>
        <w:rPr>
          <w:rFonts w:ascii="Times New Roman" w:eastAsia="Times New Roman" w:hAnsi="Times New Roman" w:cs="Times New Roman"/>
          <w:color w:val="000000"/>
          <w:sz w:val="24"/>
          <w:szCs w:val="24"/>
        </w:rPr>
        <w:t xml:space="preserve"> Also, if the employee rides with the driver only as a matter of convenience, he or she cannot be considered a helper subject to exemption.</w:t>
      </w:r>
      <w:r>
        <w:rPr>
          <w:rFonts w:ascii="Times New Roman" w:eastAsia="Times New Roman" w:hAnsi="Times New Roman" w:cs="Times New Roman"/>
          <w:color w:val="000000"/>
          <w:sz w:val="24"/>
          <w:szCs w:val="24"/>
          <w:vertAlign w:val="superscript"/>
        </w:rPr>
        <w:footnoteReference w:id="428"/>
      </w:r>
    </w:p>
    <w:p w14:paraId="000001E7"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(iii.) Loaders</w:t>
      </w:r>
    </w:p>
    <w:p w14:paraId="000001E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 “loader” is defined for MCA purposes as an employee (other than a driver or driver’s helper) whose duties include the proper loading of the employer’s motor vehicles so they may be safely operated on the highways of the country.</w:t>
      </w:r>
      <w:r>
        <w:rPr>
          <w:rFonts w:ascii="Times New Roman" w:eastAsia="Times New Roman" w:hAnsi="Times New Roman" w:cs="Times New Roman"/>
          <w:color w:val="000000"/>
          <w:sz w:val="24"/>
          <w:szCs w:val="24"/>
          <w:vertAlign w:val="superscript"/>
        </w:rPr>
        <w:footnoteReference w:id="429"/>
      </w:r>
      <w:r>
        <w:rPr>
          <w:rFonts w:ascii="Times New Roman" w:eastAsia="Times New Roman" w:hAnsi="Times New Roman" w:cs="Times New Roman"/>
          <w:color w:val="000000"/>
          <w:sz w:val="24"/>
          <w:szCs w:val="24"/>
        </w:rPr>
        <w:t xml:space="preserve"> A loader may be called a “dockman,” “stacker,” or “helper,” and his or her duties will usually include unloading and the transfer of freight between the vehicles and the warehouse.</w:t>
      </w:r>
      <w:r>
        <w:rPr>
          <w:rFonts w:ascii="Times New Roman" w:eastAsia="Times New Roman" w:hAnsi="Times New Roman" w:cs="Times New Roman"/>
          <w:color w:val="000000"/>
          <w:sz w:val="24"/>
          <w:szCs w:val="24"/>
          <w:vertAlign w:val="superscript"/>
        </w:rPr>
        <w:footnoteReference w:id="430"/>
      </w:r>
    </w:p>
    <w:p w14:paraId="000001E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loader engages in work directly affecting “safety of operation” so long as he or she has responsibility, when such motor vehicles are being loaded, for exercising judgment and discretion in planning and building a balanced load or in placing, distributing, or securing the pieces of freight in such a manner that the safe operation of the vehicles on the highways in interstate or foreign commerce will not be jeopardized.</w:t>
      </w:r>
      <w:r>
        <w:rPr>
          <w:rFonts w:ascii="Times New Roman" w:eastAsia="Times New Roman" w:hAnsi="Times New Roman" w:cs="Times New Roman"/>
          <w:color w:val="000000"/>
          <w:sz w:val="24"/>
          <w:szCs w:val="24"/>
          <w:vertAlign w:val="superscript"/>
        </w:rPr>
        <w:footnoteReference w:id="431"/>
      </w:r>
      <w:r>
        <w:rPr>
          <w:rFonts w:ascii="Times New Roman" w:eastAsia="Times New Roman" w:hAnsi="Times New Roman" w:cs="Times New Roman"/>
          <w:color w:val="000000"/>
          <w:sz w:val="24"/>
          <w:szCs w:val="24"/>
        </w:rPr>
        <w:t xml:space="preserve"> Individuals who supervise the loading </w:t>
      </w:r>
      <w:r>
        <w:rPr>
          <w:rFonts w:ascii="Times New Roman" w:eastAsia="Times New Roman" w:hAnsi="Times New Roman" w:cs="Times New Roman"/>
          <w:color w:val="000000"/>
          <w:sz w:val="24"/>
          <w:szCs w:val="24"/>
        </w:rPr>
        <w:lastRenderedPageBreak/>
        <w:t>of vehicles that operate in interstate commerce may also be exempt if their activities likewise affect vehicle safety.</w:t>
      </w:r>
      <w:r>
        <w:rPr>
          <w:rFonts w:ascii="Times New Roman" w:eastAsia="Times New Roman" w:hAnsi="Times New Roman" w:cs="Times New Roman"/>
          <w:color w:val="000000"/>
          <w:sz w:val="24"/>
          <w:szCs w:val="24"/>
          <w:vertAlign w:val="superscript"/>
        </w:rPr>
        <w:footnoteReference w:id="432"/>
      </w:r>
      <w:r>
        <w:rPr>
          <w:rFonts w:ascii="Times New Roman" w:eastAsia="Times New Roman" w:hAnsi="Times New Roman" w:cs="Times New Roman"/>
          <w:color w:val="000000"/>
          <w:sz w:val="24"/>
          <w:szCs w:val="24"/>
        </w:rPr>
        <w:t xml:space="preserve"> </w:t>
      </w:r>
    </w:p>
    <w:p w14:paraId="000001E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Employees who do not perform actual loading or have no discretion with respect to the method and means of loading a vehicle are not covered by the exemption.</w:t>
      </w:r>
      <w:r>
        <w:rPr>
          <w:rFonts w:ascii="Times New Roman" w:eastAsia="Times New Roman" w:hAnsi="Times New Roman" w:cs="Times New Roman"/>
          <w:color w:val="000000"/>
          <w:sz w:val="24"/>
          <w:szCs w:val="24"/>
          <w:vertAlign w:val="superscript"/>
        </w:rPr>
        <w:footnoteReference w:id="433"/>
      </w:r>
      <w:r>
        <w:rPr>
          <w:rFonts w:ascii="Times New Roman" w:eastAsia="Times New Roman" w:hAnsi="Times New Roman" w:cs="Times New Roman"/>
          <w:color w:val="000000"/>
          <w:sz w:val="24"/>
          <w:szCs w:val="24"/>
        </w:rPr>
        <w:t xml:space="preserve"> Unloading freight, </w:t>
      </w:r>
      <w:r>
        <w:rPr>
          <w:rFonts w:ascii="Times New Roman" w:eastAsia="Times New Roman" w:hAnsi="Times New Roman" w:cs="Times New Roman"/>
          <w:color w:val="000000"/>
          <w:sz w:val="24"/>
          <w:szCs w:val="24"/>
        </w:rPr>
        <w:lastRenderedPageBreak/>
        <w:t>moving freight around in a warehouse, and checking bills of lading also do not constitute activities that affect the safety of vehicles operating in interstate commerce.</w:t>
      </w:r>
      <w:r>
        <w:rPr>
          <w:rFonts w:ascii="Times New Roman" w:eastAsia="Times New Roman" w:hAnsi="Times New Roman" w:cs="Times New Roman"/>
          <w:color w:val="000000"/>
          <w:sz w:val="24"/>
          <w:szCs w:val="24"/>
          <w:vertAlign w:val="superscript"/>
        </w:rPr>
        <w:footnoteReference w:id="434"/>
      </w:r>
      <w:r>
        <w:rPr>
          <w:rFonts w:ascii="Times New Roman" w:eastAsia="Times New Roman" w:hAnsi="Times New Roman" w:cs="Times New Roman"/>
          <w:color w:val="000000"/>
          <w:sz w:val="24"/>
          <w:szCs w:val="24"/>
        </w:rPr>
        <w:t xml:space="preserve"> Furthermore, the exemption does not apply where the activities affecting highway safety are trivial, casual, occasional, and insubstantial,</w:t>
      </w:r>
      <w:r>
        <w:rPr>
          <w:rFonts w:ascii="Times New Roman" w:eastAsia="Times New Roman" w:hAnsi="Times New Roman" w:cs="Times New Roman"/>
          <w:color w:val="000000"/>
          <w:sz w:val="24"/>
          <w:szCs w:val="24"/>
          <w:vertAlign w:val="superscript"/>
        </w:rPr>
        <w:footnoteReference w:id="435"/>
      </w:r>
      <w:r>
        <w:rPr>
          <w:rFonts w:ascii="Times New Roman" w:eastAsia="Times New Roman" w:hAnsi="Times New Roman" w:cs="Times New Roman"/>
          <w:color w:val="000000"/>
          <w:sz w:val="24"/>
          <w:szCs w:val="24"/>
        </w:rPr>
        <w:t xml:space="preserve"> or where the employee merely furnishes physical assistance when necessary.</w:t>
      </w:r>
      <w:r>
        <w:rPr>
          <w:rFonts w:ascii="Times New Roman" w:eastAsia="Times New Roman" w:hAnsi="Times New Roman" w:cs="Times New Roman"/>
          <w:color w:val="000000"/>
          <w:sz w:val="24"/>
          <w:szCs w:val="24"/>
          <w:vertAlign w:val="superscript"/>
        </w:rPr>
        <w:footnoteReference w:id="436"/>
      </w:r>
    </w:p>
    <w:p w14:paraId="000001E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The DOL addressed the applicability of Section 213(b)(1) to “team loaders” in an opinion letter considering the exempt treatment of workers who loaded a racing automobile and parts onto a trailer for transportation.</w:t>
      </w:r>
      <w:r>
        <w:rPr>
          <w:rFonts w:ascii="Times New Roman" w:eastAsia="Times New Roman" w:hAnsi="Times New Roman" w:cs="Times New Roman"/>
          <w:color w:val="000000"/>
          <w:sz w:val="24"/>
          <w:szCs w:val="24"/>
          <w:vertAlign w:val="superscript"/>
        </w:rPr>
        <w:footnoteReference w:id="437"/>
      </w:r>
      <w:r>
        <w:rPr>
          <w:rFonts w:ascii="Times New Roman" w:eastAsia="Times New Roman" w:hAnsi="Times New Roman" w:cs="Times New Roman"/>
          <w:color w:val="000000"/>
          <w:sz w:val="24"/>
          <w:szCs w:val="24"/>
        </w:rPr>
        <w:t xml:space="preserve"> There, the WHD Administrator pointed out that an employee “is not a loader ‘merely because he furnishes physical assistance when necessary in loading heavy pieces of freight, or because he deposits pieces of freight in the vehicle for someone else to distribute and secure in place.’”</w:t>
      </w:r>
      <w:r>
        <w:rPr>
          <w:rFonts w:ascii="Times New Roman" w:eastAsia="Times New Roman" w:hAnsi="Times New Roman" w:cs="Times New Roman"/>
          <w:color w:val="000000"/>
          <w:sz w:val="24"/>
          <w:szCs w:val="24"/>
          <w:vertAlign w:val="superscript"/>
        </w:rPr>
        <w:footnoteReference w:id="438"/>
      </w:r>
      <w:r>
        <w:rPr>
          <w:rFonts w:ascii="Times New Roman" w:eastAsia="Times New Roman" w:hAnsi="Times New Roman" w:cs="Times New Roman"/>
          <w:color w:val="000000"/>
          <w:sz w:val="24"/>
          <w:szCs w:val="24"/>
        </w:rPr>
        <w:t xml:space="preserve"> It concluded that “only those of the ‘team loaders’ who </w:t>
      </w:r>
      <w:r>
        <w:rPr>
          <w:rFonts w:ascii="Times New Roman" w:eastAsia="Times New Roman" w:hAnsi="Times New Roman" w:cs="Times New Roman"/>
          <w:color w:val="000000"/>
          <w:sz w:val="24"/>
          <w:szCs w:val="24"/>
        </w:rPr>
        <w:lastRenderedPageBreak/>
        <w:t>exercise the judgment and discretion necessary to determine that the automobile and parts have been loaded safely on the trailer would qualify for the exemption.”</w:t>
      </w:r>
      <w:r>
        <w:rPr>
          <w:rFonts w:ascii="Times New Roman" w:eastAsia="Times New Roman" w:hAnsi="Times New Roman" w:cs="Times New Roman"/>
          <w:color w:val="000000"/>
          <w:sz w:val="24"/>
          <w:szCs w:val="24"/>
          <w:vertAlign w:val="superscript"/>
        </w:rPr>
        <w:footnoteReference w:id="439"/>
      </w:r>
    </w:p>
    <w:p w14:paraId="000001EC"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(iv.)</w:t>
      </w:r>
      <w:r>
        <w:rPr>
          <w:rFonts w:ascii="Times New Roman" w:eastAsia="Times New Roman" w:hAnsi="Times New Roman" w:cs="Times New Roman"/>
          <w:i/>
          <w:color w:val="000000"/>
          <w:sz w:val="24"/>
          <w:szCs w:val="24"/>
        </w:rPr>
        <w:tab/>
        <w:t>Mechanics</w:t>
      </w:r>
    </w:p>
    <w:p w14:paraId="000001E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“mechanic” is defined for MCA purposes as an employee whose duty is to keep motor vehicles operated in interstate or foreign commerce by his or her employer in a good and safe working condition.</w:t>
      </w:r>
      <w:r>
        <w:rPr>
          <w:rFonts w:ascii="Times New Roman" w:eastAsia="Times New Roman" w:hAnsi="Times New Roman" w:cs="Times New Roman"/>
          <w:color w:val="000000"/>
          <w:sz w:val="24"/>
          <w:szCs w:val="24"/>
          <w:vertAlign w:val="superscript"/>
        </w:rPr>
        <w:footnoteReference w:id="440"/>
      </w:r>
      <w:r>
        <w:rPr>
          <w:rFonts w:ascii="Times New Roman" w:eastAsia="Times New Roman" w:hAnsi="Times New Roman" w:cs="Times New Roman"/>
          <w:color w:val="000000"/>
          <w:sz w:val="24"/>
          <w:szCs w:val="24"/>
        </w:rPr>
        <w:t xml:space="preserve"> Courts have held that the definition encompasses employees who do inspection, adjustment, repair, or maintenance work on the motor vehicles themselves (including trucks, tractors and trailers, and buses) and are, when so engaged, directly responsible for creating or maintaining physical conditions essential to the safety of the vehicles on the highways through the correction or prevention of defects that have a direct causal connection with the safe operation of the unit as a whole.</w:t>
      </w:r>
      <w:r>
        <w:rPr>
          <w:rFonts w:ascii="Times New Roman" w:eastAsia="Times New Roman" w:hAnsi="Times New Roman" w:cs="Times New Roman"/>
          <w:color w:val="000000"/>
          <w:sz w:val="24"/>
          <w:szCs w:val="24"/>
          <w:vertAlign w:val="superscript"/>
        </w:rPr>
        <w:footnoteReference w:id="441"/>
      </w:r>
      <w:r>
        <w:rPr>
          <w:rFonts w:ascii="Times New Roman" w:eastAsia="Times New Roman" w:hAnsi="Times New Roman" w:cs="Times New Roman"/>
          <w:color w:val="000000"/>
          <w:sz w:val="24"/>
          <w:szCs w:val="24"/>
        </w:rPr>
        <w:t xml:space="preserve"> </w:t>
      </w:r>
    </w:p>
    <w:p w14:paraId="000001E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Activities that fall within this category include the maintenance and repair of brakes, lights, horns, windshield wipers, wheels and axles, bushings, transmissions, differentials, motors, starters and ignitions, carburetors, fifth wheels, springs and spring hangers, frames, gasoline tanks, and tires.</w:t>
      </w:r>
      <w:r>
        <w:rPr>
          <w:rFonts w:ascii="Times New Roman" w:eastAsia="Times New Roman" w:hAnsi="Times New Roman" w:cs="Times New Roman"/>
          <w:color w:val="000000"/>
          <w:sz w:val="24"/>
          <w:szCs w:val="24"/>
          <w:vertAlign w:val="superscript"/>
        </w:rPr>
        <w:footnoteReference w:id="442"/>
      </w:r>
      <w:r>
        <w:rPr>
          <w:rFonts w:ascii="Times New Roman" w:eastAsia="Times New Roman" w:hAnsi="Times New Roman" w:cs="Times New Roman"/>
          <w:color w:val="000000"/>
          <w:sz w:val="24"/>
          <w:szCs w:val="24"/>
        </w:rPr>
        <w:t xml:space="preserve"> Hooking up tractors and trailers, including light and brake connections, are also included.</w:t>
      </w:r>
      <w:r>
        <w:rPr>
          <w:rFonts w:ascii="Times New Roman" w:eastAsia="Times New Roman" w:hAnsi="Times New Roman" w:cs="Times New Roman"/>
          <w:color w:val="000000"/>
          <w:sz w:val="24"/>
          <w:szCs w:val="24"/>
          <w:vertAlign w:val="superscript"/>
        </w:rPr>
        <w:footnoteReference w:id="443"/>
      </w:r>
      <w:r>
        <w:rPr>
          <w:rFonts w:ascii="Times New Roman" w:eastAsia="Times New Roman" w:hAnsi="Times New Roman" w:cs="Times New Roman"/>
          <w:color w:val="000000"/>
          <w:sz w:val="24"/>
          <w:szCs w:val="24"/>
        </w:rPr>
        <w:t xml:space="preserve"> Similarly, the “installation, inspection, repair, and maintenance of refrigeration equipment on motor vehicles operated in interstate commerce constitute safety-affecting activities.”</w:t>
      </w:r>
      <w:r>
        <w:rPr>
          <w:rFonts w:ascii="Times New Roman" w:eastAsia="Times New Roman" w:hAnsi="Times New Roman" w:cs="Times New Roman"/>
          <w:color w:val="000000"/>
          <w:sz w:val="24"/>
          <w:szCs w:val="24"/>
          <w:vertAlign w:val="superscript"/>
        </w:rPr>
        <w:footnoteReference w:id="444"/>
      </w:r>
    </w:p>
    <w:p w14:paraId="000001E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Supervisory employees who direct such work are also covered by the exemption.</w:t>
      </w:r>
      <w:r>
        <w:rPr>
          <w:rFonts w:ascii="Times New Roman" w:eastAsia="Times New Roman" w:hAnsi="Times New Roman" w:cs="Times New Roman"/>
          <w:color w:val="000000"/>
          <w:sz w:val="24"/>
          <w:szCs w:val="24"/>
          <w:vertAlign w:val="superscript"/>
        </w:rPr>
        <w:footnoteReference w:id="445"/>
      </w:r>
      <w:r>
        <w:rPr>
          <w:rFonts w:ascii="Times New Roman" w:eastAsia="Times New Roman" w:hAnsi="Times New Roman" w:cs="Times New Roman"/>
          <w:color w:val="000000"/>
          <w:sz w:val="24"/>
          <w:szCs w:val="24"/>
        </w:rPr>
        <w:t xml:space="preserve"> The supervision or approval by a foreman does not withdraw the otherwise available exemption from the mechanic if the mechanic maintains discretion or responsibility over the proper mechanical repair.</w:t>
      </w:r>
      <w:r>
        <w:rPr>
          <w:rFonts w:ascii="Times New Roman" w:eastAsia="Times New Roman" w:hAnsi="Times New Roman" w:cs="Times New Roman"/>
          <w:color w:val="000000"/>
          <w:sz w:val="24"/>
          <w:szCs w:val="24"/>
          <w:vertAlign w:val="superscript"/>
        </w:rPr>
        <w:footnoteReference w:id="446"/>
      </w:r>
    </w:p>
    <w:p w14:paraId="000001F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An employee is not an exempt mechanic where the activities performed do not directly affect the safe operation of a motor vehicle in interstate commerce. For example, vehicle painters and service technicians who only change oil, gas, or grease, or wash motor vehicles are not considered to be “mechanics” under the FLSA.</w:t>
      </w:r>
      <w:r>
        <w:rPr>
          <w:rFonts w:ascii="Times New Roman" w:eastAsia="Times New Roman" w:hAnsi="Times New Roman" w:cs="Times New Roman"/>
          <w:color w:val="000000"/>
          <w:sz w:val="24"/>
          <w:szCs w:val="24"/>
          <w:vertAlign w:val="superscript"/>
        </w:rPr>
        <w:footnoteReference w:id="447"/>
      </w:r>
      <w:r>
        <w:rPr>
          <w:rFonts w:ascii="Times New Roman" w:eastAsia="Times New Roman" w:hAnsi="Times New Roman" w:cs="Times New Roman"/>
          <w:color w:val="000000"/>
          <w:sz w:val="24"/>
          <w:szCs w:val="24"/>
        </w:rPr>
        <w:t xml:space="preserve"> Such tasks are considered unrelated to safety and therefore are outside the scope of the exemption. Also beyond the reach of the exemption are individuals whose mechanical work is performed exclusively away from the vehicle, such as those who rebuild parts or repair tires but do not install them on vehicles.</w:t>
      </w:r>
      <w:r>
        <w:rPr>
          <w:rFonts w:ascii="Times New Roman" w:eastAsia="Times New Roman" w:hAnsi="Times New Roman" w:cs="Times New Roman"/>
          <w:color w:val="000000"/>
          <w:sz w:val="24"/>
          <w:szCs w:val="24"/>
          <w:vertAlign w:val="superscript"/>
        </w:rPr>
        <w:footnoteReference w:id="448"/>
      </w:r>
    </w:p>
    <w:p w14:paraId="000001F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has taken the position that dispatchers do not perform safety-sensitive functions.</w:t>
      </w:r>
      <w:r>
        <w:rPr>
          <w:rFonts w:ascii="Times New Roman" w:eastAsia="Times New Roman" w:hAnsi="Times New Roman" w:cs="Times New Roman"/>
          <w:color w:val="000000"/>
          <w:sz w:val="24"/>
          <w:szCs w:val="24"/>
          <w:vertAlign w:val="superscript"/>
        </w:rPr>
        <w:footnoteReference w:id="449"/>
      </w:r>
      <w:r>
        <w:rPr>
          <w:rFonts w:ascii="Times New Roman" w:eastAsia="Times New Roman" w:hAnsi="Times New Roman" w:cs="Times New Roman"/>
          <w:color w:val="000000"/>
          <w:sz w:val="24"/>
          <w:szCs w:val="24"/>
        </w:rPr>
        <w:t xml:space="preserve"> However, in </w:t>
      </w:r>
      <w:r>
        <w:rPr>
          <w:rFonts w:ascii="Times New Roman" w:eastAsia="Times New Roman" w:hAnsi="Times New Roman" w:cs="Times New Roman"/>
          <w:i/>
          <w:color w:val="000000"/>
          <w:sz w:val="24"/>
          <w:szCs w:val="24"/>
        </w:rPr>
        <w:t>McIntyre v. FLX of Miami,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50"/>
      </w:r>
      <w:r>
        <w:rPr>
          <w:rFonts w:ascii="Times New Roman" w:eastAsia="Times New Roman" w:hAnsi="Times New Roman" w:cs="Times New Roman"/>
          <w:color w:val="000000"/>
          <w:sz w:val="24"/>
          <w:szCs w:val="24"/>
        </w:rPr>
        <w:t xml:space="preserve"> a Florida district court held that a truck dispatcher whose duties included calling mechanics for stranded truckers and verifying that vehicles were in safe operating condition affected the safety and operation of motor vehicles so as to come within the scope of the MCA exemption.</w:t>
      </w:r>
    </w:p>
    <w:p w14:paraId="000001F2"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w:t>
      </w:r>
      <w:r>
        <w:rPr>
          <w:rFonts w:ascii="Times New Roman" w:eastAsia="Times New Roman" w:hAnsi="Times New Roman" w:cs="Times New Roman"/>
          <w:i/>
          <w:color w:val="000000"/>
          <w:sz w:val="24"/>
          <w:szCs w:val="24"/>
        </w:rPr>
        <w:tab/>
        <w:t>Transportation in Interstate Commerce</w:t>
      </w:r>
    </w:p>
    <w:p w14:paraId="000001F3"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z w:val="24"/>
          <w:szCs w:val="24"/>
        </w:rPr>
        <w:tab/>
        <w:t>Definition of “Interstate Commerce” Under the Motor Carrier Act</w:t>
      </w:r>
    </w:p>
    <w:p w14:paraId="000001F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third step of the MCA exemption analysis, the activities of a driver, driver’s helper, loader, or mechanic must directly affect the safe operation of commercial motor vehicles in transportation in interstate or foreign commerce, within the meaning of the MCA.</w:t>
      </w:r>
      <w:r>
        <w:rPr>
          <w:rFonts w:ascii="Times New Roman" w:eastAsia="Times New Roman" w:hAnsi="Times New Roman" w:cs="Times New Roman"/>
          <w:color w:val="000000"/>
          <w:sz w:val="24"/>
          <w:szCs w:val="24"/>
          <w:vertAlign w:val="superscript"/>
        </w:rPr>
        <w:footnoteReference w:id="451"/>
      </w:r>
      <w:r>
        <w:rPr>
          <w:rFonts w:ascii="Times New Roman" w:eastAsia="Times New Roman" w:hAnsi="Times New Roman" w:cs="Times New Roman"/>
          <w:color w:val="000000"/>
          <w:sz w:val="24"/>
          <w:szCs w:val="24"/>
        </w:rPr>
        <w:t xml:space="preserve"> What constitutes transportation sufficient to bring employees within the regulatory power of the Secretary of Transportation under Section 204 of the MCA is determined by </w:t>
      </w:r>
      <w:r>
        <w:rPr>
          <w:rFonts w:ascii="Times New Roman" w:eastAsia="Times New Roman" w:hAnsi="Times New Roman" w:cs="Times New Roman"/>
          <w:i/>
          <w:color w:val="000000"/>
          <w:sz w:val="24"/>
          <w:szCs w:val="24"/>
        </w:rPr>
        <w:t xml:space="preserve">definitions </w:t>
      </w:r>
      <w:r>
        <w:rPr>
          <w:rFonts w:ascii="Times New Roman" w:eastAsia="Times New Roman" w:hAnsi="Times New Roman" w:cs="Times New Roman"/>
          <w:color w:val="000000"/>
          <w:sz w:val="24"/>
          <w:szCs w:val="24"/>
        </w:rPr>
        <w:t>contained in the MCA.</w:t>
      </w:r>
      <w:r>
        <w:rPr>
          <w:rFonts w:ascii="Times New Roman" w:eastAsia="Times New Roman" w:hAnsi="Times New Roman" w:cs="Times New Roman"/>
          <w:color w:val="000000"/>
          <w:sz w:val="24"/>
          <w:szCs w:val="24"/>
          <w:vertAlign w:val="superscript"/>
        </w:rPr>
        <w:footnoteReference w:id="452"/>
      </w:r>
      <w:r>
        <w:rPr>
          <w:rFonts w:ascii="Times New Roman" w:eastAsia="Times New Roman" w:hAnsi="Times New Roman" w:cs="Times New Roman"/>
          <w:color w:val="000000"/>
          <w:sz w:val="24"/>
          <w:szCs w:val="24"/>
        </w:rPr>
        <w:t xml:space="preserve"> However, these definitions are not identical to the definitions in the </w:t>
      </w:r>
      <w:r>
        <w:rPr>
          <w:rFonts w:ascii="Times New Roman" w:eastAsia="Times New Roman" w:hAnsi="Times New Roman" w:cs="Times New Roman"/>
          <w:color w:val="000000"/>
          <w:sz w:val="24"/>
          <w:szCs w:val="24"/>
        </w:rPr>
        <w:lastRenderedPageBreak/>
        <w:t>FLSA that determine whether an employee is “engaged in (interstate or foreign) commerce.”</w:t>
      </w:r>
      <w:r>
        <w:rPr>
          <w:rFonts w:ascii="Times New Roman" w:eastAsia="Times New Roman" w:hAnsi="Times New Roman" w:cs="Times New Roman"/>
          <w:color w:val="000000"/>
          <w:sz w:val="24"/>
          <w:szCs w:val="24"/>
          <w:vertAlign w:val="superscript"/>
        </w:rPr>
        <w:footnoteReference w:id="453"/>
      </w:r>
      <w:r>
        <w:rPr>
          <w:rFonts w:ascii="Times New Roman" w:eastAsia="Times New Roman" w:hAnsi="Times New Roman" w:cs="Times New Roman"/>
          <w:color w:val="000000"/>
          <w:sz w:val="24"/>
          <w:szCs w:val="24"/>
        </w:rPr>
        <w:t xml:space="preserve"> For this reason, the interstate commerce requirements of the Section 213(b)(1) exemption are not necessarily met by establishing that an employee is “engaged in commerce” within the meaning of the FLSA when performing activities as a driver, driver’s helper, loader, or mechanic.</w:t>
      </w:r>
      <w:r>
        <w:rPr>
          <w:rFonts w:ascii="Times New Roman" w:eastAsia="Times New Roman" w:hAnsi="Times New Roman" w:cs="Times New Roman"/>
          <w:color w:val="000000"/>
          <w:sz w:val="24"/>
          <w:szCs w:val="24"/>
          <w:vertAlign w:val="superscript"/>
        </w:rPr>
        <w:footnoteReference w:id="454"/>
      </w:r>
      <w:r>
        <w:rPr>
          <w:rFonts w:ascii="Times New Roman" w:eastAsia="Times New Roman" w:hAnsi="Times New Roman" w:cs="Times New Roman"/>
          <w:color w:val="000000"/>
          <w:sz w:val="24"/>
          <w:szCs w:val="24"/>
        </w:rPr>
        <w:t xml:space="preserve"> For example, </w:t>
      </w:r>
    </w:p>
    <w:p w14:paraId="000001F5"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employees of construction contractors are, within the meaning of the Fair Labor Standards Act, engaged in commerce where they operate or repair motor vehicles used in the maintenance, repair, or reconstruction of instrumentalities of interstate commerce (for example, highways over which goods and persons regularly move in interstate commerce). Employees so engaged are not, however, brought within the [Section 13(b)(1)] exemption merely by reason of that fact. In order for the exemption to apply, their activities, so far as interstate commerce [under the MCA] is concerned, must relate directly to the transportation of materials moving in interstate or foreign commerce within the meaning of the Motor Carrier Act.</w:t>
      </w:r>
      <w:r>
        <w:rPr>
          <w:rFonts w:ascii="Times New Roman" w:eastAsia="Times New Roman" w:hAnsi="Times New Roman" w:cs="Times New Roman"/>
          <w:color w:val="000000"/>
          <w:sz w:val="20"/>
          <w:szCs w:val="20"/>
          <w:vertAlign w:val="superscript"/>
        </w:rPr>
        <w:footnoteReference w:id="455"/>
      </w:r>
    </w:p>
    <w:p w14:paraId="000001F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Consequently, transportation by motor vehicle that is in “interstate commerce” under the FLSA may not constitute transportation over which the DOT has the power to exercise control and upon which the Section 213(b)(1) exemption is based.</w:t>
      </w:r>
      <w:r>
        <w:rPr>
          <w:rFonts w:ascii="Times New Roman" w:eastAsia="Times New Roman" w:hAnsi="Times New Roman" w:cs="Times New Roman"/>
          <w:color w:val="000000"/>
          <w:sz w:val="24"/>
          <w:szCs w:val="24"/>
          <w:vertAlign w:val="superscript"/>
        </w:rPr>
        <w:footnoteReference w:id="456"/>
      </w:r>
      <w:r>
        <w:rPr>
          <w:rFonts w:ascii="Times New Roman" w:eastAsia="Times New Roman" w:hAnsi="Times New Roman" w:cs="Times New Roman"/>
          <w:color w:val="000000"/>
          <w:sz w:val="24"/>
          <w:szCs w:val="24"/>
        </w:rPr>
        <w:t xml:space="preserve"> However, as an enforcement policy, the DOL takes the position that a movement in interstate commerce under the FLSA shall also be considered interstate commerce under the MCA, except in those situations where the ICC has held, or the Secretary of Transportation or the courts hold, otherwise.</w:t>
      </w:r>
      <w:r>
        <w:rPr>
          <w:rFonts w:ascii="Times New Roman" w:eastAsia="Times New Roman" w:hAnsi="Times New Roman" w:cs="Times New Roman"/>
          <w:color w:val="000000"/>
          <w:sz w:val="24"/>
          <w:szCs w:val="24"/>
          <w:vertAlign w:val="superscript"/>
        </w:rPr>
        <w:footnoteReference w:id="457"/>
      </w:r>
    </w:p>
    <w:p w14:paraId="000001F7"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w:t>
      </w:r>
      <w:r>
        <w:rPr>
          <w:rFonts w:ascii="Times New Roman" w:eastAsia="Times New Roman" w:hAnsi="Times New Roman" w:cs="Times New Roman"/>
          <w:i/>
          <w:color w:val="000000"/>
          <w:sz w:val="24"/>
          <w:szCs w:val="24"/>
        </w:rPr>
        <w:tab/>
        <w:t>Highway Transportation From One State to Another</w:t>
      </w:r>
    </w:p>
    <w:p w14:paraId="000001F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Generally, highway transportation by commercial vehicle from one state to another, in the course of which the vehicle crosses the state line, constitutes interstate commerce under both the FLSA and the MCA.</w:t>
      </w:r>
      <w:r>
        <w:rPr>
          <w:rFonts w:ascii="Times New Roman" w:eastAsia="Times New Roman" w:hAnsi="Times New Roman" w:cs="Times New Roman"/>
          <w:color w:val="000000"/>
          <w:sz w:val="24"/>
          <w:szCs w:val="24"/>
          <w:vertAlign w:val="superscript"/>
        </w:rPr>
        <w:footnoteReference w:id="458"/>
      </w:r>
      <w:r>
        <w:rPr>
          <w:rFonts w:ascii="Times New Roman" w:eastAsia="Times New Roman" w:hAnsi="Times New Roman" w:cs="Times New Roman"/>
          <w:color w:val="000000"/>
          <w:sz w:val="24"/>
          <w:szCs w:val="24"/>
        </w:rPr>
        <w:t xml:space="preserve"> Even employees who drive commercial vehicles in interstate commerce on an “as needed” basis may be exempt under the MCA, provided they do not drive non-commercial vehicles during the same workweek.</w:t>
      </w:r>
      <w:r>
        <w:rPr>
          <w:rFonts w:ascii="Times New Roman" w:eastAsia="Times New Roman" w:hAnsi="Times New Roman" w:cs="Times New Roman"/>
          <w:color w:val="000000"/>
          <w:sz w:val="24"/>
          <w:szCs w:val="24"/>
          <w:vertAlign w:val="superscript"/>
        </w:rPr>
        <w:footnoteReference w:id="459"/>
      </w:r>
      <w:r>
        <w:rPr>
          <w:rFonts w:ascii="Times New Roman" w:eastAsia="Times New Roman" w:hAnsi="Times New Roman" w:cs="Times New Roman"/>
          <w:color w:val="000000"/>
          <w:sz w:val="24"/>
          <w:szCs w:val="24"/>
        </w:rPr>
        <w:t xml:space="preserve"> </w:t>
      </w:r>
    </w:p>
    <w:p w14:paraId="000001F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The exemption applies in all weeks in which an employee may be called on to drive commercial vehicles in interstate commerce under the authority of the Secretary of Transportation.</w:t>
      </w:r>
      <w:r>
        <w:rPr>
          <w:rFonts w:ascii="Times New Roman" w:eastAsia="Times New Roman" w:hAnsi="Times New Roman" w:cs="Times New Roman"/>
          <w:color w:val="000000"/>
          <w:sz w:val="24"/>
          <w:szCs w:val="24"/>
          <w:vertAlign w:val="superscript"/>
        </w:rPr>
        <w:footnoteReference w:id="460"/>
      </w:r>
      <w:r>
        <w:rPr>
          <w:rFonts w:ascii="Times New Roman" w:eastAsia="Times New Roman" w:hAnsi="Times New Roman" w:cs="Times New Roman"/>
          <w:color w:val="000000"/>
          <w:sz w:val="24"/>
          <w:szCs w:val="24"/>
        </w:rPr>
        <w:t xml:space="preserve"> In determining whether interstate transportation exists, courts have held that it is not the proportion of time devoted to the covered activity but the character of the activity that governs.</w:t>
      </w:r>
      <w:r>
        <w:rPr>
          <w:rFonts w:ascii="Times New Roman" w:eastAsia="Times New Roman" w:hAnsi="Times New Roman" w:cs="Times New Roman"/>
          <w:color w:val="000000"/>
          <w:sz w:val="24"/>
          <w:szCs w:val="24"/>
          <w:vertAlign w:val="superscript"/>
        </w:rPr>
        <w:footnoteReference w:id="461"/>
      </w:r>
    </w:p>
    <w:p w14:paraId="000001FA"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(iii.) Intrastate Transportation</w:t>
      </w:r>
    </w:p>
    <w:p w14:paraId="000001FB" w14:textId="43726334"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Transportation within a single state from a storage terminal of commodities that have had a prior movement by rail, pipeline, motor, or water from an origin in a different state is not in interstate or foreign commerce if the shipper has no “fixed and persisting transportation intent” beyond the terminal storage point at the time of shipment.</w:t>
      </w:r>
      <w:r>
        <w:rPr>
          <w:rFonts w:ascii="Times New Roman" w:eastAsia="Times New Roman" w:hAnsi="Times New Roman" w:cs="Times New Roman"/>
          <w:color w:val="000000"/>
          <w:sz w:val="24"/>
          <w:szCs w:val="24"/>
          <w:vertAlign w:val="superscript"/>
        </w:rPr>
        <w:footnoteReference w:id="462"/>
      </w:r>
      <w:r>
        <w:rPr>
          <w:rFonts w:ascii="Times New Roman" w:eastAsia="Times New Roman" w:hAnsi="Times New Roman" w:cs="Times New Roman"/>
          <w:color w:val="000000"/>
          <w:sz w:val="24"/>
          <w:szCs w:val="24"/>
        </w:rPr>
        <w:t xml:space="preserve"> In 1992, the DOT issued a Policy Statement regarding the term “fixed and persisting intent,”</w:t>
      </w:r>
      <w:r>
        <w:rPr>
          <w:rFonts w:ascii="Times New Roman" w:eastAsia="Times New Roman" w:hAnsi="Times New Roman" w:cs="Times New Roman"/>
          <w:color w:val="000000"/>
          <w:sz w:val="24"/>
          <w:szCs w:val="24"/>
          <w:vertAlign w:val="superscript"/>
        </w:rPr>
        <w:footnoteReference w:id="463"/>
      </w:r>
      <w:r>
        <w:rPr>
          <w:rFonts w:ascii="Times New Roman" w:eastAsia="Times New Roman" w:hAnsi="Times New Roman" w:cs="Times New Roman"/>
          <w:color w:val="000000"/>
          <w:sz w:val="24"/>
          <w:szCs w:val="24"/>
        </w:rPr>
        <w:t xml:space="preserve"> and it laid out the following indicators to determine if a trip from a warehouse to an end user constitutes the final leg of an interstate journey:</w:t>
      </w:r>
    </w:p>
    <w:p w14:paraId="000001F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Even if a shipper does not know the ultimate destination of specific shipments, it bases its determination on the total volume to be shipped through the warehouse on projections of customer demand that have some factual basis, rather than a mere plan to solicit future sales within the State. This may include, but is not limited to, historical sales in the State, actual present orders, and relevant market surveys of need.</w:t>
      </w:r>
    </w:p>
    <w:p w14:paraId="000001FD"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2. </w:t>
      </w:r>
      <w:r>
        <w:rPr>
          <w:rFonts w:ascii="Times New Roman" w:eastAsia="Times New Roman" w:hAnsi="Times New Roman" w:cs="Times New Roman"/>
          <w:color w:val="000000"/>
          <w:sz w:val="24"/>
          <w:szCs w:val="24"/>
        </w:rPr>
        <w:tab/>
        <w:t>No processing or substantial product modification of substance occurs at the warehouse or distribution center. However, repackaging or reconfiguring (secondary packaging) may be performed.</w:t>
      </w:r>
    </w:p>
    <w:p w14:paraId="000001FE"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While in the warehouse, the merchandise is subject to the shipper’s control and direction to the subsequent transportation.</w:t>
      </w:r>
    </w:p>
    <w:p w14:paraId="000001FF"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Modern tracking systems allow tracking and documentation of most, if not all, of the shipments coming in and going out of the warehouse or distribution center.</w:t>
      </w:r>
    </w:p>
    <w:p w14:paraId="00000200"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The shipper or consignee must bear the ultimate payment for transportation charges even if the warehouse or distribution center directly pays the transportation charges to the carrier.</w:t>
      </w:r>
    </w:p>
    <w:p w14:paraId="00000201"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The warehouse utilized is owned by the shipper.</w:t>
      </w:r>
    </w:p>
    <w:p w14:paraId="00000202"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7.</w:t>
      </w:r>
      <w:r>
        <w:rPr>
          <w:rFonts w:ascii="Times New Roman" w:eastAsia="Times New Roman" w:hAnsi="Times New Roman" w:cs="Times New Roman"/>
          <w:color w:val="000000"/>
          <w:sz w:val="24"/>
          <w:szCs w:val="24"/>
        </w:rPr>
        <w:tab/>
        <w:t>The shipments move through the warehouse pursuant to a storage in transit provision.</w:t>
      </w:r>
      <w:r>
        <w:rPr>
          <w:rFonts w:ascii="Times New Roman" w:eastAsia="Times New Roman" w:hAnsi="Times New Roman" w:cs="Times New Roman"/>
          <w:color w:val="000000"/>
          <w:sz w:val="24"/>
          <w:szCs w:val="24"/>
          <w:vertAlign w:val="superscript"/>
        </w:rPr>
        <w:footnoteReference w:id="464"/>
      </w:r>
    </w:p>
    <w:p w14:paraId="0000020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DOT, the presence of one or more of the following factors is not sufficient to establish a break in the continuity that would change the interstate character of the subsequent transportation:</w:t>
      </w:r>
    </w:p>
    <w:p w14:paraId="00000204"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the shipper’s lack of knowledge of the specific, ultimate destination or consignee at the time the shipment leaves its out-of-state origin;</w:t>
      </w:r>
    </w:p>
    <w:p w14:paraId="00000205"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separate bills of lading for the inbound and outbound movements instead of through bills of lading;</w:t>
      </w:r>
    </w:p>
    <w:p w14:paraId="00000206"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t>storage-in-transit tariff provisions;</w:t>
      </w:r>
    </w:p>
    <w:p w14:paraId="00000207"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ab/>
        <w:t>storage receipts issued by the warehouse distribution center;</w:t>
      </w:r>
    </w:p>
    <w:p w14:paraId="00000208"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Pr>
          <w:rFonts w:ascii="Times New Roman" w:eastAsia="Times New Roman" w:hAnsi="Times New Roman" w:cs="Times New Roman"/>
          <w:color w:val="000000"/>
          <w:sz w:val="24"/>
          <w:szCs w:val="24"/>
        </w:rPr>
        <w:tab/>
        <w:t>time limitations on storage;</w:t>
      </w:r>
    </w:p>
    <w:p w14:paraId="00000209"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tab/>
        <w:t>payment of transportation charges by the warehouse or distribution center, when the shipper or consignee is ultimately billed for these charges;</w:t>
      </w:r>
    </w:p>
    <w:p w14:paraId="0000020A"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(7)</w:t>
      </w:r>
      <w:r>
        <w:rPr>
          <w:rFonts w:ascii="Times New Roman" w:eastAsia="Times New Roman" w:hAnsi="Times New Roman" w:cs="Times New Roman"/>
          <w:color w:val="000000"/>
          <w:sz w:val="24"/>
          <w:szCs w:val="24"/>
        </w:rPr>
        <w:tab/>
        <w:t>routing of the outbound shipments by the warehouse or distribution center;</w:t>
      </w:r>
    </w:p>
    <w:p w14:paraId="0000020B"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ab/>
        <w:t>a change in carriers or transportation modes at a distribution facility;</w:t>
      </w:r>
    </w:p>
    <w:p w14:paraId="0000020C"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r>
        <w:rPr>
          <w:rFonts w:ascii="Times New Roman" w:eastAsia="Times New Roman" w:hAnsi="Times New Roman" w:cs="Times New Roman"/>
          <w:color w:val="000000"/>
          <w:sz w:val="24"/>
          <w:szCs w:val="24"/>
        </w:rPr>
        <w:tab/>
        <w:t>use of brokers retained by the shipper; and</w:t>
      </w:r>
    </w:p>
    <w:p w14:paraId="0000020D"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(10) </w:t>
      </w:r>
      <w:r>
        <w:rPr>
          <w:rFonts w:ascii="Times New Roman" w:eastAsia="Times New Roman" w:hAnsi="Times New Roman" w:cs="Times New Roman"/>
          <w:color w:val="000000"/>
          <w:sz w:val="24"/>
          <w:szCs w:val="24"/>
        </w:rPr>
        <w:tab/>
        <w:t>use of a warehouse not owned by the shipper.</w:t>
      </w:r>
      <w:r>
        <w:rPr>
          <w:rFonts w:ascii="Times New Roman" w:eastAsia="Times New Roman" w:hAnsi="Times New Roman" w:cs="Times New Roman"/>
          <w:color w:val="000000"/>
          <w:sz w:val="24"/>
          <w:szCs w:val="24"/>
          <w:vertAlign w:val="superscript"/>
        </w:rPr>
        <w:footnoteReference w:id="465"/>
      </w:r>
    </w:p>
    <w:p w14:paraId="0000020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2005 opinion letter,</w:t>
      </w:r>
      <w:r>
        <w:rPr>
          <w:rFonts w:ascii="Times New Roman" w:eastAsia="Times New Roman" w:hAnsi="Times New Roman" w:cs="Times New Roman"/>
          <w:color w:val="000000"/>
          <w:sz w:val="24"/>
          <w:szCs w:val="24"/>
          <w:vertAlign w:val="superscript"/>
        </w:rPr>
        <w:footnoteReference w:id="466"/>
      </w:r>
      <w:r>
        <w:rPr>
          <w:rFonts w:ascii="Times New Roman" w:eastAsia="Times New Roman" w:hAnsi="Times New Roman" w:cs="Times New Roman"/>
          <w:color w:val="000000"/>
          <w:sz w:val="24"/>
          <w:szCs w:val="24"/>
        </w:rPr>
        <w:t xml:space="preserve"> the DOL acknowledged the DOT’s administrative authority for the MCA, stating “its interpretation of its jurisdiction is controlling”</w:t>
      </w:r>
      <w:r>
        <w:rPr>
          <w:rFonts w:ascii="Times New Roman" w:eastAsia="Times New Roman" w:hAnsi="Times New Roman" w:cs="Times New Roman"/>
          <w:color w:val="000000"/>
          <w:sz w:val="24"/>
          <w:szCs w:val="24"/>
          <w:vertAlign w:val="superscript"/>
        </w:rPr>
        <w:footnoteReference w:id="467"/>
      </w:r>
      <w:r>
        <w:rPr>
          <w:rFonts w:ascii="Times New Roman" w:eastAsia="Times New Roman" w:hAnsi="Times New Roman" w:cs="Times New Roman"/>
          <w:color w:val="000000"/>
          <w:sz w:val="24"/>
          <w:szCs w:val="24"/>
        </w:rPr>
        <w:t xml:space="preserve"> and noting that</w:t>
      </w:r>
    </w:p>
    <w:p w14:paraId="0000020F"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[t]he determination of interstate commerce for the final leg of shipments not sent to a named recipient, but held in storage between legs of the trip, has traditionally been governed by a more specific provision at 29 C.F.R. 782.7(b)(2). This regulation is based on rulings of the Interstate Commerce Commission as to its jurisdiction in this particular situation, and is one of the exceptions from the application of the general FLSA definition of interstate commerce described in section 782.7(b)(1).</w:t>
      </w:r>
      <w:r>
        <w:rPr>
          <w:rFonts w:ascii="Times New Roman" w:eastAsia="Times New Roman" w:hAnsi="Times New Roman" w:cs="Times New Roman"/>
          <w:color w:val="000000"/>
          <w:sz w:val="20"/>
          <w:szCs w:val="20"/>
          <w:vertAlign w:val="superscript"/>
        </w:rPr>
        <w:footnoteReference w:id="468"/>
      </w:r>
    </w:p>
    <w:p w14:paraId="0000021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Courts have used a “totality of the circumstances” test that generally encapsulates the factors in the 1992 DOT Policy Statement to address the “fixed and persisting” intent of the shipper and determine whether goods traveling intrastate are considered to be in “interstate </w:t>
      </w:r>
      <w:r>
        <w:rPr>
          <w:rFonts w:ascii="Times New Roman" w:eastAsia="Times New Roman" w:hAnsi="Times New Roman" w:cs="Times New Roman"/>
          <w:color w:val="000000"/>
          <w:sz w:val="24"/>
          <w:szCs w:val="24"/>
        </w:rPr>
        <w:lastRenderedPageBreak/>
        <w:t>commerce.”</w:t>
      </w:r>
      <w:r>
        <w:rPr>
          <w:rFonts w:ascii="Times New Roman" w:eastAsia="Times New Roman" w:hAnsi="Times New Roman" w:cs="Times New Roman"/>
          <w:color w:val="000000"/>
          <w:sz w:val="24"/>
          <w:szCs w:val="24"/>
          <w:vertAlign w:val="superscript"/>
        </w:rPr>
        <w:footnoteReference w:id="469"/>
      </w:r>
      <w:r>
        <w:rPr>
          <w:rFonts w:ascii="Times New Roman" w:eastAsia="Times New Roman" w:hAnsi="Times New Roman" w:cs="Times New Roman"/>
          <w:color w:val="000000"/>
          <w:sz w:val="24"/>
          <w:szCs w:val="24"/>
        </w:rPr>
        <w:t xml:space="preserve"> Although use of the factors has not been without criticism,</w:t>
      </w:r>
      <w:r>
        <w:rPr>
          <w:rFonts w:ascii="Times New Roman" w:eastAsia="Times New Roman" w:hAnsi="Times New Roman" w:cs="Times New Roman"/>
          <w:color w:val="000000"/>
          <w:sz w:val="24"/>
          <w:szCs w:val="24"/>
          <w:vertAlign w:val="superscript"/>
        </w:rPr>
        <w:footnoteReference w:id="470"/>
      </w:r>
      <w:r>
        <w:rPr>
          <w:rFonts w:ascii="Times New Roman" w:eastAsia="Times New Roman" w:hAnsi="Times New Roman" w:cs="Times New Roman"/>
          <w:color w:val="000000"/>
          <w:sz w:val="24"/>
          <w:szCs w:val="24"/>
        </w:rPr>
        <w:t xml:space="preserve"> most courts have held that the factors set out by the DOT should be used in determining whether a shipper has a “fixed and persisting intent” to engage in interstate commerce.</w:t>
      </w:r>
      <w:r>
        <w:rPr>
          <w:rFonts w:ascii="Times New Roman" w:eastAsia="Times New Roman" w:hAnsi="Times New Roman" w:cs="Times New Roman"/>
          <w:color w:val="000000"/>
          <w:sz w:val="24"/>
          <w:szCs w:val="24"/>
          <w:vertAlign w:val="superscript"/>
        </w:rPr>
        <w:footnoteReference w:id="471"/>
      </w:r>
    </w:p>
    <w:p w14:paraId="0000021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Additionally, “[t]ransportation within a single State is in interstate commerce within the meaning of the Fair Labor Standards Act where it forms a part of a ‘practical continuity of movement’ across State lines from the point of origin to the point of destination.”</w:t>
      </w:r>
      <w:r>
        <w:rPr>
          <w:rFonts w:ascii="Times New Roman" w:eastAsia="Times New Roman" w:hAnsi="Times New Roman" w:cs="Times New Roman"/>
          <w:color w:val="000000"/>
          <w:sz w:val="24"/>
          <w:szCs w:val="24"/>
          <w:vertAlign w:val="superscript"/>
        </w:rPr>
        <w:footnoteReference w:id="472"/>
      </w:r>
      <w:r>
        <w:rPr>
          <w:rFonts w:ascii="Times New Roman" w:eastAsia="Times New Roman" w:hAnsi="Times New Roman" w:cs="Times New Roman"/>
          <w:color w:val="000000"/>
          <w:sz w:val="24"/>
          <w:szCs w:val="24"/>
        </w:rPr>
        <w:t xml:space="preserve"> For </w:t>
      </w:r>
      <w:r>
        <w:rPr>
          <w:rFonts w:ascii="Times New Roman" w:eastAsia="Times New Roman" w:hAnsi="Times New Roman" w:cs="Times New Roman"/>
          <w:color w:val="000000"/>
          <w:sz w:val="24"/>
          <w:szCs w:val="24"/>
        </w:rPr>
        <w:lastRenderedPageBreak/>
        <w:t>example, several courts have held that the regular pickup of empty containers, destined for out of state, places employees in interstate commerce and within the scope of the Section 213(b)(1) exemption, provided the other requirements are met.</w:t>
      </w:r>
      <w:r>
        <w:rPr>
          <w:rFonts w:ascii="Times New Roman" w:eastAsia="Times New Roman" w:hAnsi="Times New Roman" w:cs="Times New Roman"/>
          <w:color w:val="000000"/>
          <w:sz w:val="24"/>
          <w:szCs w:val="24"/>
          <w:vertAlign w:val="superscript"/>
        </w:rPr>
        <w:footnoteReference w:id="473"/>
      </w:r>
    </w:p>
    <w:p w14:paraId="0000021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Also, the transportation of passengers within a single State will constitute interstate commerce if there is “a practical continuity of movement between the intrastate segment and the overall interstate … flow” such that it is part of a “continuous stream of interstate travel.”</w:t>
      </w:r>
      <w:r>
        <w:rPr>
          <w:rFonts w:ascii="Times New Roman" w:eastAsia="Times New Roman" w:hAnsi="Times New Roman" w:cs="Times New Roman"/>
          <w:color w:val="000000"/>
          <w:sz w:val="24"/>
          <w:szCs w:val="24"/>
          <w:vertAlign w:val="superscript"/>
        </w:rPr>
        <w:footnoteReference w:id="474"/>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Walters v. American Coach Lines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75"/>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Eleventh Circuit held that employees providing ground transportation within the state of Florida for cruise passengers shuttling between the Miami and Fort Lauderdale airports and the cruise ship ports constituted a continuous stream of interstate travel as part of their cruise vacation.</w:t>
      </w:r>
      <w:r>
        <w:rPr>
          <w:rFonts w:ascii="Times New Roman" w:eastAsia="Times New Roman" w:hAnsi="Times New Roman" w:cs="Times New Roman"/>
          <w:color w:val="000000"/>
          <w:sz w:val="24"/>
          <w:szCs w:val="24"/>
          <w:vertAlign w:val="superscript"/>
        </w:rPr>
        <w:footnoteReference w:id="476"/>
      </w:r>
      <w:r>
        <w:rPr>
          <w:rFonts w:ascii="Times New Roman" w:eastAsia="Times New Roman" w:hAnsi="Times New Roman" w:cs="Times New Roman"/>
          <w:color w:val="000000"/>
          <w:sz w:val="24"/>
          <w:szCs w:val="24"/>
        </w:rPr>
        <w:t xml:space="preserve"> The fee for the shuttle service was either bundled as part of the vacation package or included on the bill for the shipboard account.</w:t>
      </w:r>
      <w:r>
        <w:rPr>
          <w:rFonts w:ascii="Times New Roman" w:eastAsia="Times New Roman" w:hAnsi="Times New Roman" w:cs="Times New Roman"/>
          <w:color w:val="000000"/>
          <w:sz w:val="24"/>
          <w:szCs w:val="24"/>
          <w:vertAlign w:val="superscript"/>
        </w:rPr>
        <w:footnoteReference w:id="477"/>
      </w:r>
      <w:r>
        <w:rPr>
          <w:rFonts w:ascii="Times New Roman" w:eastAsia="Times New Roman" w:hAnsi="Times New Roman" w:cs="Times New Roman"/>
          <w:color w:val="000000"/>
          <w:sz w:val="24"/>
          <w:szCs w:val="24"/>
        </w:rPr>
        <w:t xml:space="preserve"> </w:t>
      </w:r>
    </w:p>
    <w:p w14:paraId="00000213"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w:t>
      </w:r>
      <w:r>
        <w:rPr>
          <w:rFonts w:ascii="Times New Roman" w:eastAsia="Times New Roman" w:hAnsi="Times New Roman" w:cs="Times New Roman"/>
          <w:b/>
          <w:i/>
          <w:color w:val="000000"/>
          <w:sz w:val="24"/>
          <w:szCs w:val="24"/>
        </w:rPr>
        <w:tab/>
        <w:t>Small Vehicle Exception (for Vehicles of 10,000 Pounds or Less)</w:t>
      </w:r>
    </w:p>
    <w:p w14:paraId="0000021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TCA established that, notwithstanding Section 213(b)(1) of the FLSA, Section 207 of the FLSA would apply to a “covered employee” as defined in Section 306(c) of the TCA. Section 306(c) of the TCA defines a covered employee as an individual— </w:t>
      </w:r>
    </w:p>
    <w:p w14:paraId="00000215"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ab/>
        <w:t xml:space="preserve">who is employed by a motor carrier or motor private carrier (as such terms are defined by section 13102 of title 49, United States Code, as amended by section 305); </w:t>
      </w:r>
    </w:p>
    <w:p w14:paraId="00000216"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ab/>
        <w:t xml:space="preserve">whose work, in whole or in part, is defined— </w:t>
      </w:r>
    </w:p>
    <w:p w14:paraId="00000217"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(A)</w:t>
      </w:r>
      <w:r>
        <w:rPr>
          <w:rFonts w:ascii="Times New Roman" w:eastAsia="Times New Roman" w:hAnsi="Times New Roman" w:cs="Times New Roman"/>
          <w:color w:val="000000"/>
          <w:sz w:val="21"/>
          <w:szCs w:val="21"/>
        </w:rPr>
        <w:tab/>
        <w:t xml:space="preserve">as that of a driver, driver’s helper, loader, or mechanic; and </w:t>
      </w:r>
    </w:p>
    <w:p w14:paraId="00000218"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(B)</w:t>
      </w:r>
      <w:r>
        <w:rPr>
          <w:rFonts w:ascii="Times New Roman" w:eastAsia="Times New Roman" w:hAnsi="Times New Roman" w:cs="Times New Roman"/>
          <w:color w:val="000000"/>
          <w:sz w:val="21"/>
          <w:szCs w:val="21"/>
        </w:rPr>
        <w:tab/>
        <w:t xml:space="preserve">as affecting the safety of operation of motor vehicles weighing 10,000 pounds or less in transportation on public highways in interstate or foreign commerce, except vehicles— </w:t>
      </w:r>
    </w:p>
    <w:p w14:paraId="00000219" w14:textId="77777777" w:rsidR="00DC27AA" w:rsidRDefault="000F36B4">
      <w:pPr>
        <w:pBdr>
          <w:top w:val="nil"/>
          <w:left w:val="nil"/>
          <w:bottom w:val="nil"/>
          <w:right w:val="nil"/>
          <w:between w:val="nil"/>
        </w:pBdr>
        <w:spacing w:before="120" w:after="120" w:line="240" w:lineRule="auto"/>
        <w:ind w:left="180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(i)</w:t>
      </w:r>
      <w:r>
        <w:rPr>
          <w:rFonts w:ascii="Times New Roman" w:eastAsia="Times New Roman" w:hAnsi="Times New Roman" w:cs="Times New Roman"/>
          <w:color w:val="000000"/>
          <w:sz w:val="21"/>
          <w:szCs w:val="21"/>
        </w:rPr>
        <w:tab/>
        <w:t xml:space="preserve">designed or used to transport more than 8 passengers (including the driver) for compensation; </w:t>
      </w:r>
    </w:p>
    <w:p w14:paraId="0000021A" w14:textId="77777777" w:rsidR="00DC27AA" w:rsidRDefault="000F36B4">
      <w:pPr>
        <w:pBdr>
          <w:top w:val="nil"/>
          <w:left w:val="nil"/>
          <w:bottom w:val="nil"/>
          <w:right w:val="nil"/>
          <w:between w:val="nil"/>
        </w:pBdr>
        <w:spacing w:before="120" w:after="120" w:line="240" w:lineRule="auto"/>
        <w:ind w:left="180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(ii)</w:t>
      </w:r>
      <w:r>
        <w:rPr>
          <w:rFonts w:ascii="Times New Roman" w:eastAsia="Times New Roman" w:hAnsi="Times New Roman" w:cs="Times New Roman"/>
          <w:color w:val="000000"/>
          <w:sz w:val="21"/>
          <w:szCs w:val="21"/>
        </w:rPr>
        <w:tab/>
        <w:t xml:space="preserve">designed or used to transport more than 15 passengers (including the driver) and not used to transport passengers for compensation; or </w:t>
      </w:r>
    </w:p>
    <w:p w14:paraId="0000021B" w14:textId="77777777" w:rsidR="00DC27AA" w:rsidRDefault="000F36B4">
      <w:pPr>
        <w:pBdr>
          <w:top w:val="nil"/>
          <w:left w:val="nil"/>
          <w:bottom w:val="nil"/>
          <w:right w:val="nil"/>
          <w:between w:val="nil"/>
        </w:pBdr>
        <w:spacing w:before="120" w:after="120" w:line="240" w:lineRule="auto"/>
        <w:ind w:left="180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1"/>
          <w:szCs w:val="21"/>
        </w:rPr>
        <w:t>(iii)</w:t>
      </w:r>
      <w:r>
        <w:rPr>
          <w:rFonts w:ascii="Times New Roman" w:eastAsia="Times New Roman" w:hAnsi="Times New Roman" w:cs="Times New Roman"/>
          <w:color w:val="000000"/>
          <w:sz w:val="21"/>
          <w:szCs w:val="21"/>
        </w:rPr>
        <w:tab/>
        <w:t xml:space="preserve">used in transporting material found by the Secretary of Transportation to be hazardous under section 5103 of title 49, United States Code, and transported in a quantity requiring </w:t>
      </w:r>
      <w:r>
        <w:rPr>
          <w:rFonts w:ascii="Times New Roman" w:eastAsia="Times New Roman" w:hAnsi="Times New Roman" w:cs="Times New Roman"/>
          <w:color w:val="000000"/>
          <w:sz w:val="21"/>
          <w:szCs w:val="21"/>
        </w:rPr>
        <w:lastRenderedPageBreak/>
        <w:t xml:space="preserve">placarding under regulations prescribed by the Secretary under section 5103 of title 49, United States Code; and </w:t>
      </w:r>
    </w:p>
    <w:p w14:paraId="0000021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ab/>
        <w:t>who performs duties on motor vehicles weighing 10,000 pounds or less.</w:t>
      </w:r>
      <w:r>
        <w:rPr>
          <w:rFonts w:ascii="Times New Roman" w:eastAsia="Times New Roman" w:hAnsi="Times New Roman" w:cs="Times New Roman"/>
          <w:color w:val="000000"/>
          <w:sz w:val="20"/>
          <w:szCs w:val="20"/>
          <w:vertAlign w:val="superscript"/>
        </w:rPr>
        <w:footnoteReference w:id="478"/>
      </w:r>
    </w:p>
    <w:p w14:paraId="0000021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By maintaining the availability of overtime pay under the FLSA for covered employees affecting the safe operation of certain vehicles depending on their weight or capacity, the exception created for small vehicles by the TCA has the effect of continuing the exemption for employees driving vehicles weighing at least 10,001 pounds and those that can transport more than 8 passengers for compensation (or 15 without compensation) regardless of weight. But the MCA exemption </w:t>
      </w:r>
      <w:r>
        <w:rPr>
          <w:rFonts w:ascii="Times New Roman" w:eastAsia="Times New Roman" w:hAnsi="Times New Roman" w:cs="Times New Roman"/>
          <w:i/>
          <w:color w:val="000000"/>
          <w:sz w:val="24"/>
          <w:szCs w:val="24"/>
        </w:rPr>
        <w:t>does not</w:t>
      </w:r>
      <w:r>
        <w:rPr>
          <w:rFonts w:ascii="Times New Roman" w:eastAsia="Times New Roman" w:hAnsi="Times New Roman" w:cs="Times New Roman"/>
          <w:color w:val="000000"/>
          <w:sz w:val="24"/>
          <w:szCs w:val="24"/>
        </w:rPr>
        <w:t xml:space="preserve"> apply to employees of smaller vehicles weighing 10,000 pounds or less.</w:t>
      </w:r>
      <w:r>
        <w:rPr>
          <w:rFonts w:ascii="Times New Roman" w:eastAsia="Times New Roman" w:hAnsi="Times New Roman" w:cs="Times New Roman"/>
          <w:color w:val="000000"/>
          <w:sz w:val="24"/>
          <w:szCs w:val="24"/>
          <w:vertAlign w:val="superscript"/>
        </w:rPr>
        <w:footnoteReference w:id="479"/>
      </w:r>
      <w:r>
        <w:rPr>
          <w:rFonts w:ascii="Times New Roman" w:eastAsia="Times New Roman" w:hAnsi="Times New Roman" w:cs="Times New Roman"/>
          <w:color w:val="000000"/>
          <w:sz w:val="24"/>
          <w:szCs w:val="24"/>
        </w:rPr>
        <w:t xml:space="preserve"> Thus, as some courts have noted, if an employee drives vehicles carrying at least eight passengers, regardless of gross weight, the driver is exempt from overtime pay.</w:t>
      </w:r>
      <w:r>
        <w:rPr>
          <w:rFonts w:ascii="Times New Roman" w:eastAsia="Times New Roman" w:hAnsi="Times New Roman" w:cs="Times New Roman"/>
          <w:color w:val="000000"/>
          <w:sz w:val="24"/>
          <w:szCs w:val="24"/>
          <w:vertAlign w:val="superscript"/>
        </w:rPr>
        <w:footnoteReference w:id="480"/>
      </w:r>
    </w:p>
    <w:p w14:paraId="0000021E"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ab/>
        <w:t>Determining Vehicle Weight</w:t>
      </w:r>
    </w:p>
    <w:p w14:paraId="0000021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Two recurring questions under the TCA concern (1) the burden of proof regarding the weight of the motor vehicles at issue, and (2) whether “weight” refers to the gross vehicle weight rating (GVWR) or some other measure. The Fifth Circuit, in </w:t>
      </w:r>
      <w:r>
        <w:rPr>
          <w:rFonts w:ascii="Times New Roman" w:eastAsia="Times New Roman" w:hAnsi="Times New Roman" w:cs="Times New Roman"/>
          <w:i/>
          <w:color w:val="000000"/>
          <w:sz w:val="24"/>
          <w:szCs w:val="24"/>
        </w:rPr>
        <w:t>Carley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Crest Pumping Technologies, LLC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81"/>
      </w:r>
      <w:r>
        <w:rPr>
          <w:rFonts w:ascii="Times New Roman" w:eastAsia="Times New Roman" w:hAnsi="Times New Roman" w:cs="Times New Roman"/>
          <w:color w:val="000000"/>
          <w:sz w:val="24"/>
          <w:szCs w:val="24"/>
        </w:rPr>
        <w:t xml:space="preserve"> held that the burden of proving the weight of the vehicles rested with the plaintiffs, because the TCA was not codified as an exemption from Section 207(a) but rather sets forth eligibility conditions for overtime compensation notwithstanding the MCA.</w:t>
      </w:r>
      <w:r>
        <w:rPr>
          <w:rFonts w:ascii="Times New Roman" w:eastAsia="Times New Roman" w:hAnsi="Times New Roman" w:cs="Times New Roman"/>
          <w:color w:val="000000"/>
          <w:sz w:val="24"/>
          <w:szCs w:val="24"/>
          <w:vertAlign w:val="superscript"/>
        </w:rPr>
        <w:footnoteReference w:id="482"/>
      </w:r>
      <w:r>
        <w:rPr>
          <w:rFonts w:ascii="Times New Roman" w:eastAsia="Times New Roman" w:hAnsi="Times New Roman" w:cs="Times New Roman"/>
          <w:color w:val="000000"/>
          <w:sz w:val="24"/>
          <w:szCs w:val="24"/>
        </w:rPr>
        <w:t xml:space="preserve"> With respect to vehicle weight, the Fifth Circuit held that the GVWR is the proper measure of weight,</w:t>
      </w:r>
      <w:r>
        <w:rPr>
          <w:rFonts w:ascii="Times New Roman" w:eastAsia="Times New Roman" w:hAnsi="Times New Roman" w:cs="Times New Roman"/>
          <w:color w:val="000000"/>
          <w:sz w:val="24"/>
          <w:szCs w:val="24"/>
          <w:vertAlign w:val="superscript"/>
        </w:rPr>
        <w:footnoteReference w:id="483"/>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agreeing with the Eighth Circuit on this point,</w:t>
      </w:r>
      <w:r>
        <w:rPr>
          <w:rFonts w:ascii="Times New Roman" w:eastAsia="Times New Roman" w:hAnsi="Times New Roman" w:cs="Times New Roman"/>
          <w:color w:val="000000"/>
          <w:sz w:val="24"/>
          <w:szCs w:val="24"/>
          <w:vertAlign w:val="superscript"/>
        </w:rPr>
        <w:footnoteReference w:id="484"/>
      </w:r>
      <w:r>
        <w:rPr>
          <w:rFonts w:ascii="Times New Roman" w:eastAsia="Times New Roman" w:hAnsi="Times New Roman" w:cs="Times New Roman"/>
          <w:color w:val="000000"/>
          <w:sz w:val="24"/>
          <w:szCs w:val="24"/>
        </w:rPr>
        <w:t xml:space="preserve"> and applying </w:t>
      </w:r>
      <w:r>
        <w:rPr>
          <w:rFonts w:ascii="Times New Roman" w:eastAsia="Times New Roman" w:hAnsi="Times New Roman" w:cs="Times New Roman"/>
          <w:i/>
          <w:color w:val="000000"/>
          <w:sz w:val="24"/>
          <w:szCs w:val="24"/>
        </w:rPr>
        <w:t>Skidmore </w:t>
      </w:r>
      <w:r>
        <w:rPr>
          <w:rFonts w:ascii="Times New Roman" w:eastAsia="Times New Roman" w:hAnsi="Times New Roman" w:cs="Times New Roman"/>
          <w:color w:val="000000"/>
          <w:sz w:val="24"/>
          <w:szCs w:val="24"/>
          <w:vertAlign w:val="superscript"/>
        </w:rPr>
        <w:footnoteReference w:id="485"/>
      </w:r>
      <w:r>
        <w:rPr>
          <w:rFonts w:ascii="Times New Roman" w:eastAsia="Times New Roman" w:hAnsi="Times New Roman" w:cs="Times New Roman"/>
          <w:color w:val="000000"/>
          <w:sz w:val="24"/>
          <w:szCs w:val="24"/>
        </w:rPr>
        <w:t xml:space="preserve"> deference to a 2010 DOL field assistance bulletin, which provides:</w:t>
      </w:r>
    </w:p>
    <w:p w14:paraId="0000022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“Weighing 10,000 pounds”—WHD will continue to use the gross vehicle weight rating (GVWR) or gross combined vehicle weight rating in the event that the vehicle is pulling a trailer. The GVWR is found on the vehicle, usually on a plate on the door jamb.</w:t>
      </w:r>
      <w:r>
        <w:rPr>
          <w:rFonts w:ascii="Times New Roman" w:eastAsia="Times New Roman" w:hAnsi="Times New Roman" w:cs="Times New Roman"/>
          <w:color w:val="000000"/>
          <w:sz w:val="20"/>
          <w:szCs w:val="20"/>
          <w:vertAlign w:val="superscript"/>
        </w:rPr>
        <w:footnoteReference w:id="486"/>
      </w:r>
    </w:p>
    <w:p w14:paraId="00000221" w14:textId="77777777" w:rsidR="00DC27AA" w:rsidRDefault="000F36B4">
      <w:pPr>
        <w:pBdr>
          <w:top w:val="nil"/>
          <w:left w:val="nil"/>
          <w:bottom w:val="nil"/>
          <w:right w:val="nil"/>
          <w:between w:val="nil"/>
        </w:pBdr>
        <w:spacing w:before="360" w:after="240" w:line="240" w:lineRule="auto"/>
        <w:rPr>
          <w:rFonts w:ascii="Times New Roman" w:eastAsia="Times New Roman" w:hAnsi="Times New Roman" w:cs="Times New Roman"/>
          <w:i/>
          <w:color w:val="000000"/>
          <w:sz w:val="24"/>
          <w:szCs w:val="24"/>
        </w:rPr>
      </w:pPr>
      <w:r w:rsidRPr="002A5EB4">
        <w:rPr>
          <w:rFonts w:ascii="Times New Roman" w:eastAsia="Times New Roman" w:hAnsi="Times New Roman" w:cs="Times New Roman"/>
          <w:iCs/>
          <w:color w:val="000000"/>
          <w:sz w:val="24"/>
          <w:szCs w:val="24"/>
        </w:rPr>
        <w:t>In</w:t>
      </w:r>
      <w:r>
        <w:rPr>
          <w:rFonts w:ascii="Times New Roman" w:eastAsia="Times New Roman" w:hAnsi="Times New Roman" w:cs="Times New Roman"/>
          <w:i/>
          <w:color w:val="000000"/>
          <w:sz w:val="24"/>
          <w:szCs w:val="24"/>
        </w:rPr>
        <w:t xml:space="preserve"> Albanil v. Coast 2 Coast, Inc.,</w:t>
      </w:r>
      <w:r>
        <w:rPr>
          <w:rFonts w:ascii="Times New Roman" w:eastAsia="Times New Roman" w:hAnsi="Times New Roman" w:cs="Times New Roman"/>
          <w:color w:val="000000"/>
          <w:sz w:val="20"/>
          <w:szCs w:val="20"/>
          <w:vertAlign w:val="superscript"/>
        </w:rPr>
        <w:footnoteReference w:id="487"/>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Fifth Circuit also held that, in determining whether a motor vehicle’s weight is greater than 10,000 pounds, the weight of the truck includes the weight of a towed unit such as a trailer.</w:t>
      </w:r>
      <w:r>
        <w:rPr>
          <w:rFonts w:ascii="Times New Roman" w:eastAsia="Times New Roman" w:hAnsi="Times New Roman" w:cs="Times New Roman"/>
          <w:color w:val="000000"/>
          <w:sz w:val="20"/>
          <w:szCs w:val="20"/>
          <w:vertAlign w:val="superscript"/>
        </w:rPr>
        <w:footnoteReference w:id="488"/>
      </w:r>
    </w:p>
    <w:p w14:paraId="00000222"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w:t>
      </w:r>
      <w:r>
        <w:rPr>
          <w:rFonts w:ascii="Times New Roman" w:eastAsia="Times New Roman" w:hAnsi="Times New Roman" w:cs="Times New Roman"/>
          <w:i/>
          <w:color w:val="000000"/>
          <w:sz w:val="24"/>
          <w:szCs w:val="24"/>
        </w:rPr>
        <w:tab/>
        <w:t xml:space="preserve">Vehicle Modifications </w:t>
      </w:r>
    </w:p>
    <w:p w14:paraId="0000022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issue that has arisen under the TCA concerns the effective result of vehicle modifications in weight and/or capacity implicating TCA coverage. With regard to modifications affecting passenger capacity, the 2010 DOL field assistance bulletin provides:</w:t>
      </w:r>
    </w:p>
    <w:p w14:paraId="0000022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“Designed or used to transport more than 8” (or more than 15)—WHD will determine this information based on the vehicle’s current design and the vehicle capacity as found on the door jamb plate. Where a vehicle’s seating capacity has been reduced, for example by removing seats to accommodate a wheelchair, we will count the resulting seating capacity plus add 1 for each wheelchair placement. Where a vehicle’s capacity has been increased, for example by bolting a bench seat into a cargo area, we will not count the added capacity unless the vehicle has been recertified by DOT for that purpose.</w:t>
      </w:r>
      <w:r>
        <w:rPr>
          <w:rFonts w:ascii="Times New Roman" w:eastAsia="Times New Roman" w:hAnsi="Times New Roman" w:cs="Times New Roman"/>
          <w:color w:val="000000"/>
          <w:sz w:val="20"/>
          <w:szCs w:val="20"/>
          <w:vertAlign w:val="superscript"/>
        </w:rPr>
        <w:footnoteReference w:id="489"/>
      </w:r>
    </w:p>
    <w:p w14:paraId="0000022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Lacurtis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Express Medical Transporters,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90"/>
      </w:r>
      <w:r>
        <w:rPr>
          <w:rFonts w:ascii="Times New Roman" w:eastAsia="Times New Roman" w:hAnsi="Times New Roman" w:cs="Times New Roman"/>
          <w:color w:val="000000"/>
          <w:sz w:val="24"/>
          <w:szCs w:val="24"/>
        </w:rPr>
        <w:t xml:space="preserve"> the Eighth Circuit held that the exemption did not apply to drivers of vans with a gross vehicle weight of less than 10,000 pounds originally designed and manufactured to carry up to 12 and 15 passengers, respectively, but converted into paralift vans by permanently removing some seats to allow for access by two wheelchairs, resulting in a maximum seating capacity of 5 and 6 passengers plus up to 2 passengers in wheelchairs. Given the “comprehensive redesign and conversion process” the paralift vans underwent before being placed into service, the court concluded that they were not “designed” to transport more than 8 passengers.</w:t>
      </w:r>
      <w:r>
        <w:rPr>
          <w:rFonts w:ascii="Times New Roman" w:eastAsia="Times New Roman" w:hAnsi="Times New Roman" w:cs="Times New Roman"/>
          <w:color w:val="000000"/>
          <w:sz w:val="24"/>
          <w:szCs w:val="24"/>
          <w:vertAlign w:val="superscript"/>
        </w:rPr>
        <w:footnoteReference w:id="491"/>
      </w:r>
    </w:p>
    <w:p w14:paraId="00000226"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4.</w:t>
      </w:r>
      <w:r>
        <w:rPr>
          <w:rFonts w:ascii="Times New Roman" w:eastAsia="Times New Roman" w:hAnsi="Times New Roman" w:cs="Times New Roman"/>
          <w:b/>
          <w:i/>
          <w:color w:val="000000"/>
          <w:sz w:val="24"/>
          <w:szCs w:val="24"/>
        </w:rPr>
        <w:tab/>
        <w:t>Mixed Fleets</w:t>
      </w:r>
    </w:p>
    <w:p w14:paraId="0000022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Neither the language of the FLSA nor the MCA indicates how to categorize carriers that operate both commercial motor vehicles and noncommercial motor vehicles</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in a fleet.</w:t>
      </w:r>
      <w:r>
        <w:rPr>
          <w:rFonts w:ascii="Times New Roman" w:eastAsia="Times New Roman" w:hAnsi="Times New Roman" w:cs="Times New Roman"/>
          <w:color w:val="000000"/>
          <w:sz w:val="24"/>
          <w:szCs w:val="24"/>
          <w:vertAlign w:val="superscript"/>
        </w:rPr>
        <w:footnoteReference w:id="492"/>
      </w:r>
      <w:r>
        <w:rPr>
          <w:rFonts w:ascii="Times New Roman" w:eastAsia="Times New Roman" w:hAnsi="Times New Roman" w:cs="Times New Roman"/>
          <w:color w:val="000000"/>
          <w:sz w:val="24"/>
          <w:szCs w:val="24"/>
        </w:rPr>
        <w:t xml:space="preserve"> As a result, courts have struggled with the question of whether employees of a “hybrid” employer—a motor carrier that has a mixed fleet of vehicles weighing both less than and more than 10,000 pounds—are covered by the Section 213(b)(1) exemption.</w:t>
      </w:r>
    </w:p>
    <w:p w14:paraId="0000022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noted earlier, Section 306(c) of the TCA defines a covered employee as an individual </w:t>
      </w:r>
    </w:p>
    <w:p w14:paraId="00000229"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ab/>
        <w:t xml:space="preserve">whose work, in whole or in part, is defined— </w:t>
      </w:r>
    </w:p>
    <w:p w14:paraId="0000022A"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ab/>
        <w:t xml:space="preserve">as that of a driver, driver’s helper, loader, or mechanic; and </w:t>
      </w:r>
    </w:p>
    <w:p w14:paraId="0000022B"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ab/>
        <w:t>as affecting the safety of operation of motor vehicles weighing 10,000 pounds or less in transportation on public highways in interstate or foreign commerce, [exceptions not included].</w:t>
      </w:r>
      <w:r>
        <w:rPr>
          <w:rFonts w:ascii="Times New Roman" w:eastAsia="Times New Roman" w:hAnsi="Times New Roman" w:cs="Times New Roman"/>
          <w:color w:val="000000"/>
          <w:sz w:val="20"/>
          <w:szCs w:val="20"/>
          <w:vertAlign w:val="superscript"/>
        </w:rPr>
        <w:footnoteReference w:id="493"/>
      </w:r>
      <w:r>
        <w:rPr>
          <w:rFonts w:ascii="Times New Roman" w:eastAsia="Times New Roman" w:hAnsi="Times New Roman" w:cs="Times New Roman"/>
          <w:color w:val="000000"/>
          <w:sz w:val="20"/>
          <w:szCs w:val="20"/>
        </w:rPr>
        <w:t xml:space="preserve"> </w:t>
      </w:r>
    </w:p>
    <w:p w14:paraId="0000022C"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Shortly after the passage of the TCA, a 2010 DOL field assistance bulletin defined the term “in whole or in part” as follows:</w:t>
      </w:r>
    </w:p>
    <w:p w14:paraId="0000022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The phrase “in whole or in part” included in the statute means an employee who performs such duties involving small vehicles for the entire week or part of the week must receive overtime pay for hours worked over 40 in that workweek. The changes made by TCA thus extend FLSA overtime protection to some employees even when such employees are also subject to the authority of the Secretary of Transportation to set maximum hours of service.</w:t>
      </w:r>
      <w:r>
        <w:rPr>
          <w:rFonts w:ascii="Times New Roman" w:eastAsia="Times New Roman" w:hAnsi="Times New Roman" w:cs="Times New Roman"/>
          <w:color w:val="000000"/>
          <w:sz w:val="20"/>
          <w:szCs w:val="20"/>
          <w:vertAlign w:val="superscript"/>
        </w:rPr>
        <w:footnoteReference w:id="494"/>
      </w:r>
    </w:p>
    <w:p w14:paraId="0000022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Based on the “in whole or in part” language contained in Section 306(c), many courts have held that if an employee’s work on noncommercial vehicles is more than de minimis, then the employee is considered a covered employee under the TCA.</w:t>
      </w:r>
      <w:r>
        <w:rPr>
          <w:rFonts w:ascii="Times New Roman" w:eastAsia="Times New Roman" w:hAnsi="Times New Roman" w:cs="Times New Roman"/>
          <w:color w:val="000000"/>
          <w:sz w:val="24"/>
          <w:szCs w:val="24"/>
          <w:vertAlign w:val="superscript"/>
        </w:rPr>
        <w:footnoteReference w:id="495"/>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McMaster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Eastern Armored Services,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496"/>
      </w:r>
      <w:r>
        <w:rPr>
          <w:rFonts w:ascii="Times New Roman" w:eastAsia="Times New Roman" w:hAnsi="Times New Roman" w:cs="Times New Roman"/>
          <w:color w:val="000000"/>
          <w:sz w:val="24"/>
          <w:szCs w:val="24"/>
        </w:rPr>
        <w:t xml:space="preserve"> the plaintiff was a driver and guard of a commercial armored vehicle, and approximately half her trips were in vehicles lighter than 10,000 pounds. Her daily routes included interstate trips on public roadways, and the employer was admittedly a motor carrier. The Third Circuit focused on the TCA’s pronouncement that “Section 7 of the Fair Labor Standards Act of 1938 … shall apply to a covered employee notwithstanding section 13(b)(1) of </w:t>
      </w:r>
      <w:r>
        <w:rPr>
          <w:rFonts w:ascii="Times New Roman" w:eastAsia="Times New Roman" w:hAnsi="Times New Roman" w:cs="Times New Roman"/>
          <w:color w:val="000000"/>
          <w:sz w:val="24"/>
          <w:szCs w:val="24"/>
        </w:rPr>
        <w:lastRenderedPageBreak/>
        <w:t>that Act,”</w:t>
      </w:r>
      <w:r>
        <w:rPr>
          <w:rFonts w:ascii="Times New Roman" w:eastAsia="Times New Roman" w:hAnsi="Times New Roman" w:cs="Times New Roman"/>
          <w:color w:val="000000"/>
          <w:sz w:val="24"/>
          <w:szCs w:val="24"/>
          <w:vertAlign w:val="superscript"/>
        </w:rPr>
        <w:footnoteReference w:id="497"/>
      </w:r>
      <w:r>
        <w:rPr>
          <w:rFonts w:ascii="Times New Roman" w:eastAsia="Times New Roman" w:hAnsi="Times New Roman" w:cs="Times New Roman"/>
          <w:color w:val="000000"/>
          <w:sz w:val="24"/>
          <w:szCs w:val="24"/>
        </w:rPr>
        <w:t xml:space="preserve"> and concluded that the plaintiff in whole or in part met the TCA’s definition of a “covered employee.”</w:t>
      </w:r>
      <w:r>
        <w:rPr>
          <w:rFonts w:ascii="Times New Roman" w:eastAsia="Times New Roman" w:hAnsi="Times New Roman" w:cs="Times New Roman"/>
          <w:color w:val="000000"/>
          <w:sz w:val="24"/>
          <w:szCs w:val="24"/>
          <w:vertAlign w:val="superscript"/>
        </w:rPr>
        <w:footnoteReference w:id="498"/>
      </w:r>
    </w:p>
    <w:p w14:paraId="0000022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As support for this conclusion, the Third Circuit pointed to decisions of the Fifth and Eighth Circuits (albeit in different contexts).</w:t>
      </w:r>
      <w:r>
        <w:rPr>
          <w:rFonts w:ascii="Times New Roman" w:eastAsia="Times New Roman" w:hAnsi="Times New Roman" w:cs="Times New Roman"/>
          <w:color w:val="000000"/>
          <w:sz w:val="24"/>
          <w:szCs w:val="24"/>
          <w:vertAlign w:val="superscript"/>
        </w:rPr>
        <w:footnoteReference w:id="499"/>
      </w:r>
      <w:r>
        <w:rPr>
          <w:rFonts w:ascii="Times New Roman" w:eastAsia="Times New Roman" w:hAnsi="Times New Roman" w:cs="Times New Roman"/>
          <w:color w:val="000000"/>
          <w:sz w:val="24"/>
          <w:szCs w:val="24"/>
        </w:rPr>
        <w:t xml:space="preserve"> Rejecting criticism by the Seventh Circuit in</w:t>
      </w:r>
      <w:r>
        <w:rPr>
          <w:rFonts w:ascii="Times New Roman" w:eastAsia="Times New Roman" w:hAnsi="Times New Roman" w:cs="Times New Roman"/>
          <w:i/>
          <w:color w:val="000000"/>
          <w:sz w:val="24"/>
          <w:szCs w:val="24"/>
        </w:rPr>
        <w:t> Collins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Heritage Wine Cellars, Ltd</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00"/>
      </w:r>
      <w:r>
        <w:rPr>
          <w:rFonts w:ascii="Times New Roman" w:eastAsia="Times New Roman" w:hAnsi="Times New Roman" w:cs="Times New Roman"/>
          <w:color w:val="000000"/>
          <w:sz w:val="24"/>
          <w:szCs w:val="24"/>
        </w:rPr>
        <w:t xml:space="preserve"> that “[d]ividing jurisdiction over the same drivers, with the result that their employer would be regulated under the Motor Carrier Act when they were driving the big trucks and under the Fair Labor Standards Act when they were driving trucks that might weigh only a pound less, would require burdensome record-keeping, create confusion, and give rise to mistakes and disputes,”</w:t>
      </w:r>
      <w:r>
        <w:rPr>
          <w:rFonts w:ascii="Times New Roman" w:eastAsia="Times New Roman" w:hAnsi="Times New Roman" w:cs="Times New Roman"/>
          <w:color w:val="000000"/>
          <w:sz w:val="24"/>
          <w:szCs w:val="24"/>
          <w:vertAlign w:val="superscript"/>
        </w:rPr>
        <w:footnoteReference w:id="501"/>
      </w:r>
      <w:r>
        <w:rPr>
          <w:rFonts w:ascii="Times New Roman" w:eastAsia="Times New Roman" w:hAnsi="Times New Roman" w:cs="Times New Roman"/>
          <w:color w:val="000000"/>
          <w:sz w:val="24"/>
          <w:szCs w:val="24"/>
        </w:rPr>
        <w:t xml:space="preserve"> the Third Circuit observed that “[n]either history nor policy … can overcome an express change to the statutory scheme.”</w:t>
      </w:r>
      <w:r>
        <w:rPr>
          <w:rFonts w:ascii="Times New Roman" w:eastAsia="Times New Roman" w:hAnsi="Times New Roman" w:cs="Times New Roman"/>
          <w:color w:val="000000"/>
          <w:sz w:val="24"/>
          <w:szCs w:val="24"/>
          <w:vertAlign w:val="superscript"/>
        </w:rPr>
        <w:footnoteReference w:id="502"/>
      </w:r>
    </w:p>
    <w:p w14:paraId="0000023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Despite </w:t>
      </w:r>
      <w:r>
        <w:rPr>
          <w:rFonts w:ascii="Times New Roman" w:eastAsia="Times New Roman" w:hAnsi="Times New Roman" w:cs="Times New Roman"/>
          <w:i/>
          <w:color w:val="000000"/>
          <w:sz w:val="24"/>
          <w:szCs w:val="24"/>
        </w:rPr>
        <w:t>McMaster</w:t>
      </w:r>
      <w:r>
        <w:rPr>
          <w:rFonts w:ascii="Times New Roman" w:eastAsia="Times New Roman" w:hAnsi="Times New Roman" w:cs="Times New Roman"/>
          <w:color w:val="000000"/>
          <w:sz w:val="24"/>
          <w:szCs w:val="24"/>
        </w:rPr>
        <w:t>, some courts have suggested that there is a minimum threshold of the type or amount of work employees must perform on vehicles weighing 10,000 pounds or less before the TCA affords them FLSA overtime coverage.</w:t>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Allen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Coil Tubing Services, LLC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03"/>
      </w:r>
      <w:r>
        <w:rPr>
          <w:rFonts w:ascii="Times New Roman" w:eastAsia="Times New Roman" w:hAnsi="Times New Roman" w:cs="Times New Roman"/>
          <w:color w:val="000000"/>
          <w:sz w:val="24"/>
          <w:szCs w:val="24"/>
        </w:rPr>
        <w:t xml:space="preserve"> the Fifth Circuit held that to be covered by the TCA, the employee “must perform </w:t>
      </w:r>
      <w:r>
        <w:rPr>
          <w:rFonts w:ascii="Times New Roman" w:eastAsia="Times New Roman" w:hAnsi="Times New Roman" w:cs="Times New Roman"/>
          <w:i/>
          <w:color w:val="000000"/>
          <w:sz w:val="24"/>
          <w:szCs w:val="24"/>
        </w:rPr>
        <w:t>some meaningful work for more than an insubstantial time</w:t>
      </w:r>
      <w:r>
        <w:rPr>
          <w:rFonts w:ascii="Times New Roman" w:eastAsia="Times New Roman" w:hAnsi="Times New Roman" w:cs="Times New Roman"/>
          <w:color w:val="000000"/>
          <w:sz w:val="24"/>
          <w:szCs w:val="24"/>
        </w:rPr>
        <w:t xml:space="preserve"> with the vehicles weighing 10,000 pounds or less.”</w:t>
      </w:r>
      <w:r>
        <w:rPr>
          <w:rFonts w:ascii="Times New Roman" w:eastAsia="Times New Roman" w:hAnsi="Times New Roman" w:cs="Times New Roman"/>
          <w:color w:val="000000"/>
          <w:sz w:val="24"/>
          <w:szCs w:val="24"/>
          <w:vertAlign w:val="superscript"/>
        </w:rPr>
        <w:footnoteReference w:id="504"/>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Oddo v. Bimbo Bakeries U.S.A.,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vertAlign w:val="superscript"/>
        </w:rPr>
        <w:footnoteReference w:id="505"/>
      </w:r>
      <w:r>
        <w:rPr>
          <w:rFonts w:ascii="Times New Roman" w:eastAsia="Times New Roman" w:hAnsi="Times New Roman" w:cs="Times New Roman"/>
          <w:color w:val="000000"/>
          <w:sz w:val="24"/>
          <w:szCs w:val="24"/>
        </w:rPr>
        <w:t xml:space="preserve"> a district court held that drivers of small vehicles satisfied the threshold under the TCA when they drove 1 percent or more of the total trips completed by each during the statutory period.</w:t>
      </w:r>
      <w:r>
        <w:rPr>
          <w:rFonts w:ascii="Times New Roman" w:eastAsia="Times New Roman" w:hAnsi="Times New Roman" w:cs="Times New Roman"/>
          <w:color w:val="000000"/>
          <w:sz w:val="20"/>
          <w:szCs w:val="20"/>
          <w:vertAlign w:val="superscript"/>
        </w:rPr>
        <w:footnoteReference w:id="506"/>
      </w:r>
      <w:r>
        <w:rPr>
          <w:rFonts w:ascii="Times New Roman" w:eastAsia="Times New Roman" w:hAnsi="Times New Roman" w:cs="Times New Roman"/>
          <w:color w:val="000000"/>
          <w:sz w:val="24"/>
          <w:szCs w:val="24"/>
        </w:rPr>
        <w:t xml:space="preserve"> Other courts have rejected or cabined a “meaningful work” requirement in the TCA.</w:t>
      </w:r>
      <w:r>
        <w:rPr>
          <w:rFonts w:ascii="Times New Roman" w:eastAsia="Times New Roman" w:hAnsi="Times New Roman" w:cs="Times New Roman"/>
          <w:color w:val="000000"/>
          <w:sz w:val="24"/>
          <w:szCs w:val="24"/>
          <w:vertAlign w:val="superscript"/>
        </w:rPr>
        <w:footnoteReference w:id="507"/>
      </w:r>
    </w:p>
    <w:p w14:paraId="00000231"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lastRenderedPageBreak/>
        <w:t>B.</w:t>
      </w:r>
      <w:r>
        <w:rPr>
          <w:rFonts w:ascii="Times New Roman" w:eastAsia="Times New Roman" w:hAnsi="Times New Roman" w:cs="Times New Roman"/>
          <w:b/>
          <w:color w:val="000000"/>
          <w:sz w:val="24"/>
          <w:szCs w:val="24"/>
        </w:rPr>
        <w:tab/>
        <w:t>Railroad Employees</w:t>
      </w:r>
    </w:p>
    <w:p w14:paraId="0000023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Section 213(b)(2) exempts from the overtime requirements of the FLSA “any employee of an employer engaged in the operation of a rail carrier subject to part A of subtitle IV of title 49.”</w:t>
      </w:r>
      <w:r>
        <w:rPr>
          <w:rFonts w:ascii="Times New Roman" w:eastAsia="Times New Roman" w:hAnsi="Times New Roman" w:cs="Times New Roman"/>
          <w:color w:val="000000"/>
          <w:sz w:val="24"/>
          <w:szCs w:val="24"/>
          <w:vertAlign w:val="superscript"/>
        </w:rPr>
        <w:footnoteReference w:id="508"/>
      </w:r>
      <w:r>
        <w:rPr>
          <w:rFonts w:ascii="Times New Roman" w:eastAsia="Times New Roman" w:hAnsi="Times New Roman" w:cs="Times New Roman"/>
          <w:color w:val="000000"/>
          <w:sz w:val="24"/>
          <w:szCs w:val="24"/>
        </w:rPr>
        <w:t xml:space="preserve"> When the FLSA was enacted in 1938, Section 213(b)(2) (the rail carrier exemption) applied to employees of an employer subjected to the provisions of Part I of the Interstate Commerce Act (ICA), which, at that time, regulated railroad operations.</w:t>
      </w:r>
      <w:r>
        <w:rPr>
          <w:rFonts w:ascii="Times New Roman" w:eastAsia="Times New Roman" w:hAnsi="Times New Roman" w:cs="Times New Roman"/>
          <w:color w:val="000000"/>
          <w:sz w:val="24"/>
          <w:szCs w:val="24"/>
          <w:vertAlign w:val="superscript"/>
        </w:rPr>
        <w:footnoteReference w:id="509"/>
      </w:r>
    </w:p>
    <w:p w14:paraId="0000023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Early cases addressing the scope of the rail carrier exemption “adhered to the intent of Congress that the exemption be limited to employees of employers subject to regulation by the Interstate Commerce Commission [ICC].”</w:t>
      </w:r>
      <w:r>
        <w:rPr>
          <w:rFonts w:ascii="Times New Roman" w:eastAsia="Times New Roman" w:hAnsi="Times New Roman" w:cs="Times New Roman"/>
          <w:color w:val="000000"/>
          <w:sz w:val="24"/>
          <w:szCs w:val="24"/>
          <w:vertAlign w:val="superscript"/>
        </w:rPr>
        <w:footnoteReference w:id="510"/>
      </w:r>
      <w:r>
        <w:rPr>
          <w:rFonts w:ascii="Times New Roman" w:eastAsia="Times New Roman" w:hAnsi="Times New Roman" w:cs="Times New Roman"/>
          <w:color w:val="000000"/>
          <w:sz w:val="24"/>
          <w:szCs w:val="24"/>
        </w:rPr>
        <w:t xml:space="preserve"> As noted in </w:t>
      </w:r>
      <w:r>
        <w:rPr>
          <w:rFonts w:ascii="Times New Roman" w:eastAsia="Times New Roman" w:hAnsi="Times New Roman" w:cs="Times New Roman"/>
          <w:i/>
          <w:color w:val="000000"/>
          <w:sz w:val="24"/>
          <w:szCs w:val="24"/>
        </w:rPr>
        <w:t>Walling v. Rockton &amp; Rion Railroad,</w:t>
      </w:r>
      <w:r>
        <w:rPr>
          <w:rFonts w:ascii="Times New Roman" w:eastAsia="Times New Roman" w:hAnsi="Times New Roman" w:cs="Times New Roman"/>
          <w:color w:val="000000"/>
          <w:sz w:val="24"/>
          <w:szCs w:val="24"/>
          <w:vertAlign w:val="superscript"/>
        </w:rPr>
        <w:footnoteReference w:id="511"/>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language of Section 13(b)(2), as well as its legislative history, shows that the exemption was inserted into the FLSA to avoid duplication of Federal regulatory authority over the hours of employment of railroad workers.”</w:t>
      </w:r>
      <w:r>
        <w:rPr>
          <w:rFonts w:ascii="Times New Roman" w:eastAsia="Times New Roman" w:hAnsi="Times New Roman" w:cs="Times New Roman"/>
          <w:color w:val="000000"/>
          <w:sz w:val="24"/>
          <w:szCs w:val="24"/>
          <w:vertAlign w:val="superscript"/>
        </w:rPr>
        <w:footnoteReference w:id="512"/>
      </w:r>
    </w:p>
    <w:p w14:paraId="0000023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The provisions of Part I of the ICA applied only to common carriers engaged in interstate commerce transporting passengers or property either (1) exclusively by rail; or (2) partly by rail and partly by water when both were under common control, management, or arrangement</w:t>
      </w:r>
      <w:r>
        <w:rPr>
          <w:rFonts w:ascii="Times New Roman" w:eastAsia="Times New Roman" w:hAnsi="Times New Roman" w:cs="Times New Roman"/>
          <w:color w:val="000000"/>
          <w:sz w:val="24"/>
          <w:szCs w:val="24"/>
          <w:vertAlign w:val="superscript"/>
        </w:rPr>
        <w:footnoteReference w:id="513"/>
      </w:r>
      <w:r>
        <w:rPr>
          <w:rFonts w:ascii="Times New Roman" w:eastAsia="Times New Roman" w:hAnsi="Times New Roman" w:cs="Times New Roman"/>
          <w:color w:val="000000"/>
          <w:sz w:val="24"/>
          <w:szCs w:val="24"/>
        </w:rPr>
        <w:t xml:space="preserve"> for a continuous carriage or shipment.</w:t>
      </w:r>
      <w:r>
        <w:rPr>
          <w:rFonts w:ascii="Times New Roman" w:eastAsia="Times New Roman" w:hAnsi="Times New Roman" w:cs="Times New Roman"/>
          <w:color w:val="000000"/>
          <w:sz w:val="24"/>
          <w:szCs w:val="24"/>
          <w:vertAlign w:val="superscript"/>
        </w:rPr>
        <w:footnoteReference w:id="514"/>
      </w:r>
      <w:r>
        <w:rPr>
          <w:rFonts w:ascii="Times New Roman" w:eastAsia="Times New Roman" w:hAnsi="Times New Roman" w:cs="Times New Roman"/>
          <w:color w:val="000000"/>
          <w:sz w:val="24"/>
          <w:szCs w:val="24"/>
        </w:rPr>
        <w:t xml:space="preserve"> Employers in this category included railroad carriers, express companies, sleeping car companies, and refrigerator car companies.</w:t>
      </w:r>
      <w:r>
        <w:rPr>
          <w:rFonts w:ascii="Times New Roman" w:eastAsia="Times New Roman" w:hAnsi="Times New Roman" w:cs="Times New Roman"/>
          <w:color w:val="000000"/>
          <w:sz w:val="24"/>
          <w:szCs w:val="24"/>
          <w:vertAlign w:val="superscript"/>
        </w:rPr>
        <w:footnoteReference w:id="515"/>
      </w:r>
    </w:p>
    <w:p w14:paraId="0000023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The exemption continues to apply only to those employees who perform activities subjecting their employer to Part I of the ICA.</w:t>
      </w:r>
      <w:r>
        <w:rPr>
          <w:rFonts w:ascii="Times New Roman" w:eastAsia="Times New Roman" w:hAnsi="Times New Roman" w:cs="Times New Roman"/>
          <w:color w:val="000000"/>
          <w:sz w:val="24"/>
          <w:szCs w:val="24"/>
          <w:vertAlign w:val="superscript"/>
        </w:rPr>
        <w:footnoteReference w:id="516"/>
      </w:r>
      <w:r>
        <w:rPr>
          <w:rFonts w:ascii="Times New Roman" w:eastAsia="Times New Roman" w:hAnsi="Times New Roman" w:cs="Times New Roman"/>
          <w:color w:val="000000"/>
          <w:sz w:val="24"/>
          <w:szCs w:val="24"/>
        </w:rPr>
        <w:t xml:space="preserve"> The term “employer” as used in the exemption </w:t>
      </w:r>
      <w:r>
        <w:rPr>
          <w:rFonts w:ascii="Times New Roman" w:eastAsia="Times New Roman" w:hAnsi="Times New Roman" w:cs="Times New Roman"/>
          <w:color w:val="000000"/>
          <w:sz w:val="24"/>
          <w:szCs w:val="24"/>
        </w:rPr>
        <w:lastRenderedPageBreak/>
        <w:t>refers to the person or persons who would be legally obligated to pay overtime in the absence of this exemption.</w:t>
      </w:r>
      <w:r>
        <w:rPr>
          <w:rFonts w:ascii="Times New Roman" w:eastAsia="Times New Roman" w:hAnsi="Times New Roman" w:cs="Times New Roman"/>
          <w:color w:val="000000"/>
          <w:sz w:val="24"/>
          <w:szCs w:val="24"/>
          <w:vertAlign w:val="superscript"/>
        </w:rPr>
        <w:footnoteReference w:id="517"/>
      </w:r>
      <w:r>
        <w:rPr>
          <w:rFonts w:ascii="Times New Roman" w:eastAsia="Times New Roman" w:hAnsi="Times New Roman" w:cs="Times New Roman"/>
          <w:color w:val="000000"/>
          <w:sz w:val="24"/>
          <w:szCs w:val="24"/>
        </w:rPr>
        <w:t xml:space="preserve"> For example, employees of an employer who leases refrigerator and tank cars to railroads and shippers for the interstate transportation of goods are exempt from overtime under Section 213(b)(2).</w:t>
      </w:r>
      <w:r>
        <w:rPr>
          <w:rFonts w:ascii="Times New Roman" w:eastAsia="Times New Roman" w:hAnsi="Times New Roman" w:cs="Times New Roman"/>
          <w:color w:val="000000"/>
          <w:sz w:val="24"/>
          <w:szCs w:val="24"/>
          <w:vertAlign w:val="superscript"/>
        </w:rPr>
        <w:footnoteReference w:id="518"/>
      </w:r>
      <w:r>
        <w:rPr>
          <w:rFonts w:ascii="Times New Roman" w:eastAsia="Times New Roman" w:hAnsi="Times New Roman" w:cs="Times New Roman"/>
          <w:color w:val="000000"/>
          <w:sz w:val="24"/>
          <w:szCs w:val="24"/>
        </w:rPr>
        <w:t xml:space="preserve"> However, employees of a railroad contractor engaged in maintaining and servicing air-conditioned and car-lighting equipment sold to railroads are not within the purview of Section 213(b)(2) because the contractor is neither a common carrier nor engaged in transportation in interstate commerce.</w:t>
      </w:r>
      <w:r>
        <w:rPr>
          <w:rFonts w:ascii="Times New Roman" w:eastAsia="Times New Roman" w:hAnsi="Times New Roman" w:cs="Times New Roman"/>
          <w:color w:val="000000"/>
          <w:sz w:val="24"/>
          <w:szCs w:val="24"/>
          <w:vertAlign w:val="superscript"/>
        </w:rPr>
        <w:footnoteReference w:id="519"/>
      </w:r>
    </w:p>
    <w:p w14:paraId="0000023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delineates several operations encompassed by the Section 213(b)(2) exemption, including</w:t>
      </w:r>
    </w:p>
    <w:p w14:paraId="00000237"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manufacturing ice (where ice is used solely for the railroad);</w:t>
      </w:r>
      <w:r>
        <w:rPr>
          <w:rFonts w:ascii="Times New Roman" w:eastAsia="Times New Roman" w:hAnsi="Times New Roman" w:cs="Times New Roman"/>
          <w:color w:val="000000"/>
          <w:sz w:val="24"/>
          <w:szCs w:val="24"/>
          <w:vertAlign w:val="superscript"/>
        </w:rPr>
        <w:footnoteReference w:id="520"/>
      </w:r>
      <w:r>
        <w:rPr>
          <w:rFonts w:ascii="Times New Roman" w:eastAsia="Times New Roman" w:hAnsi="Times New Roman" w:cs="Times New Roman"/>
          <w:color w:val="000000"/>
          <w:sz w:val="24"/>
          <w:szCs w:val="24"/>
        </w:rPr>
        <w:t xml:space="preserve"> and</w:t>
      </w:r>
    </w:p>
    <w:p w14:paraId="00000238"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loading and unloading livestock by employees of a public stockyard onto and from railroad cars (but not other stockyard activities such as yarding, feeding, watering, and handling livestock before or after loading and unloading).</w:t>
      </w:r>
      <w:r>
        <w:rPr>
          <w:rFonts w:ascii="Times New Roman" w:eastAsia="Times New Roman" w:hAnsi="Times New Roman" w:cs="Times New Roman"/>
          <w:color w:val="000000"/>
          <w:sz w:val="24"/>
          <w:szCs w:val="24"/>
          <w:vertAlign w:val="superscript"/>
        </w:rPr>
        <w:footnoteReference w:id="521"/>
      </w:r>
    </w:p>
    <w:p w14:paraId="0000023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further provides that the Section 213(b)(2) exemption does not apply to the following:</w:t>
      </w:r>
    </w:p>
    <w:p w14:paraId="0000023A"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of a warehouse if the warehouse stores goods that have not been carried over the lines of the railroad that owns the warehouse and the storage of such goods constitutes a substantial portion of the warehouse’s business;</w:t>
      </w:r>
      <w:r>
        <w:rPr>
          <w:rFonts w:ascii="Times New Roman" w:eastAsia="Times New Roman" w:hAnsi="Times New Roman" w:cs="Times New Roman"/>
          <w:color w:val="000000"/>
          <w:sz w:val="24"/>
          <w:szCs w:val="24"/>
          <w:vertAlign w:val="superscript"/>
        </w:rPr>
        <w:footnoteReference w:id="522"/>
      </w:r>
    </w:p>
    <w:p w14:paraId="0000023B"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of an employer exclusively engaged in a pick-up and delivery service under contract with a railroad express agency;</w:t>
      </w:r>
      <w:r>
        <w:rPr>
          <w:rFonts w:ascii="Times New Roman" w:eastAsia="Times New Roman" w:hAnsi="Times New Roman" w:cs="Times New Roman"/>
          <w:color w:val="000000"/>
          <w:sz w:val="24"/>
          <w:szCs w:val="24"/>
          <w:vertAlign w:val="superscript"/>
        </w:rPr>
        <w:footnoteReference w:id="523"/>
      </w:r>
    </w:p>
    <w:p w14:paraId="0000023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ab/>
        <w:t>employees of a trucking company, even if the trucking company is wholly owned and controlled by a railroad company;</w:t>
      </w:r>
      <w:r>
        <w:rPr>
          <w:rFonts w:ascii="Times New Roman" w:eastAsia="Times New Roman" w:hAnsi="Times New Roman" w:cs="Times New Roman"/>
          <w:color w:val="000000"/>
          <w:sz w:val="24"/>
          <w:szCs w:val="24"/>
          <w:vertAlign w:val="superscript"/>
        </w:rPr>
        <w:footnoteReference w:id="524"/>
      </w:r>
      <w:r>
        <w:rPr>
          <w:rFonts w:ascii="Times New Roman" w:eastAsia="Times New Roman" w:hAnsi="Times New Roman" w:cs="Times New Roman"/>
          <w:color w:val="000000"/>
          <w:sz w:val="24"/>
          <w:szCs w:val="24"/>
        </w:rPr>
        <w:t xml:space="preserve"> and</w:t>
      </w:r>
    </w:p>
    <w:p w14:paraId="0000023D"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of an establishment that ships livestock only for itself.</w:t>
      </w:r>
      <w:r>
        <w:rPr>
          <w:rFonts w:ascii="Times New Roman" w:eastAsia="Times New Roman" w:hAnsi="Times New Roman" w:cs="Times New Roman"/>
          <w:color w:val="000000"/>
          <w:sz w:val="24"/>
          <w:szCs w:val="24"/>
          <w:vertAlign w:val="superscript"/>
        </w:rPr>
        <w:footnoteReference w:id="525"/>
      </w:r>
    </w:p>
    <w:p w14:paraId="0000023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In sum, the Section 213(b)(2) exemption does not apply to employees who do not perform activities subjecting their employer to Part I of the ICA</w:t>
      </w:r>
      <w:r>
        <w:rPr>
          <w:rFonts w:ascii="Times New Roman" w:eastAsia="Times New Roman" w:hAnsi="Times New Roman" w:cs="Times New Roman"/>
          <w:color w:val="000000"/>
          <w:sz w:val="24"/>
          <w:szCs w:val="24"/>
          <w:vertAlign w:val="superscript"/>
        </w:rPr>
        <w:footnoteReference w:id="526"/>
      </w:r>
      <w:r>
        <w:rPr>
          <w:rFonts w:ascii="Times New Roman" w:eastAsia="Times New Roman" w:hAnsi="Times New Roman" w:cs="Times New Roman"/>
          <w:color w:val="000000"/>
          <w:sz w:val="24"/>
          <w:szCs w:val="24"/>
        </w:rPr>
        <w:t xml:space="preserve"> and those engaged in nonexempt work for more than 20 percent of the total hours worked in a given week.</w:t>
      </w:r>
      <w:r>
        <w:rPr>
          <w:rFonts w:ascii="Times New Roman" w:eastAsia="Times New Roman" w:hAnsi="Times New Roman" w:cs="Times New Roman"/>
          <w:color w:val="000000"/>
          <w:sz w:val="24"/>
          <w:szCs w:val="24"/>
          <w:vertAlign w:val="superscript"/>
        </w:rPr>
        <w:footnoteReference w:id="527"/>
      </w:r>
    </w:p>
    <w:p w14:paraId="0000023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1995, as part of the Interstate Commerce Commission Termination Act, the ICC was abolished and its remaining functions were transferred to the Surface Transportation Board (STB).</w:t>
      </w:r>
      <w:r>
        <w:rPr>
          <w:rFonts w:ascii="Times New Roman" w:eastAsia="Times New Roman" w:hAnsi="Times New Roman" w:cs="Times New Roman"/>
          <w:color w:val="000000"/>
          <w:sz w:val="24"/>
          <w:szCs w:val="24"/>
          <w:vertAlign w:val="superscript"/>
        </w:rPr>
        <w:footnoteReference w:id="528"/>
      </w:r>
      <w:r>
        <w:rPr>
          <w:rFonts w:ascii="Times New Roman" w:eastAsia="Times New Roman" w:hAnsi="Times New Roman" w:cs="Times New Roman"/>
          <w:color w:val="000000"/>
          <w:sz w:val="24"/>
          <w:szCs w:val="24"/>
        </w:rPr>
        <w:t xml:space="preserve"> For the sake of conformity, the language of Section 213(b)(2) was modified to its current form, using the phrase “rail carrier” and inserting the words “subject to part A of subtitle IV of Title 49” to track the reorganization of the law referenced within the exemption.</w:t>
      </w:r>
      <w:r>
        <w:rPr>
          <w:rFonts w:ascii="Times New Roman" w:eastAsia="Times New Roman" w:hAnsi="Times New Roman" w:cs="Times New Roman"/>
          <w:color w:val="000000"/>
          <w:sz w:val="24"/>
          <w:szCs w:val="24"/>
          <w:vertAlign w:val="superscript"/>
        </w:rPr>
        <w:footnoteReference w:id="529"/>
      </w:r>
      <w:r>
        <w:rPr>
          <w:rFonts w:ascii="Times New Roman" w:eastAsia="Times New Roman" w:hAnsi="Times New Roman" w:cs="Times New Roman"/>
          <w:color w:val="000000"/>
          <w:sz w:val="24"/>
          <w:szCs w:val="24"/>
        </w:rPr>
        <w:t xml:space="preserve"> </w:t>
      </w:r>
    </w:p>
    <w:p w14:paraId="0000024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 company is subject to part A of subtitle IV of Title 49 in one of two ways: (1) if its activities constitute “transportation by rail carrier”;</w:t>
      </w:r>
      <w:r>
        <w:rPr>
          <w:rFonts w:ascii="Times New Roman" w:eastAsia="Times New Roman" w:hAnsi="Times New Roman" w:cs="Times New Roman"/>
          <w:color w:val="000000"/>
          <w:sz w:val="24"/>
          <w:szCs w:val="24"/>
          <w:vertAlign w:val="superscript"/>
        </w:rPr>
        <w:footnoteReference w:id="530"/>
      </w:r>
      <w:r>
        <w:rPr>
          <w:rFonts w:ascii="Times New Roman" w:eastAsia="Times New Roman" w:hAnsi="Times New Roman" w:cs="Times New Roman"/>
          <w:color w:val="000000"/>
          <w:sz w:val="24"/>
          <w:szCs w:val="24"/>
        </w:rPr>
        <w:t xml:space="preserve"> or (2) if its activities fall within the “terminal area” exception to jurisdiction under the MCA.</w:t>
      </w:r>
      <w:r>
        <w:rPr>
          <w:rFonts w:ascii="Times New Roman" w:eastAsia="Times New Roman" w:hAnsi="Times New Roman" w:cs="Times New Roman"/>
          <w:color w:val="000000"/>
          <w:sz w:val="24"/>
          <w:szCs w:val="24"/>
          <w:vertAlign w:val="superscript"/>
        </w:rPr>
        <w:footnoteReference w:id="531"/>
      </w:r>
    </w:p>
    <w:p w14:paraId="00000241"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w:t>
      </w:r>
      <w:r>
        <w:rPr>
          <w:rFonts w:ascii="Times New Roman" w:eastAsia="Times New Roman" w:hAnsi="Times New Roman" w:cs="Times New Roman"/>
          <w:b/>
          <w:i/>
          <w:color w:val="000000"/>
          <w:sz w:val="24"/>
          <w:szCs w:val="24"/>
        </w:rPr>
        <w:tab/>
        <w:t>Transportation by Rail Carrier</w:t>
      </w:r>
    </w:p>
    <w:p w14:paraId="0000024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establish that a company is subject to the STB’s jurisdiction, it “must show that both the activities at issue constitute ‘transportation’ and that such transportation is performed by, or under the auspices of a ‘rail carrier.’”</w:t>
      </w:r>
      <w:r>
        <w:rPr>
          <w:rFonts w:ascii="Times New Roman" w:eastAsia="Times New Roman" w:hAnsi="Times New Roman" w:cs="Times New Roman"/>
          <w:color w:val="000000"/>
          <w:sz w:val="24"/>
          <w:szCs w:val="24"/>
          <w:vertAlign w:val="superscript"/>
        </w:rPr>
        <w:footnoteReference w:id="532"/>
      </w:r>
      <w:r>
        <w:rPr>
          <w:rFonts w:ascii="Times New Roman" w:eastAsia="Times New Roman" w:hAnsi="Times New Roman" w:cs="Times New Roman"/>
          <w:color w:val="000000"/>
          <w:sz w:val="24"/>
          <w:szCs w:val="24"/>
        </w:rPr>
        <w:t xml:space="preserve"> “Transportation” is defined as</w:t>
      </w:r>
    </w:p>
    <w:p w14:paraId="00000243"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a locomotive, car, vehicle … or equipment of any kind related to the movement of passengers or property, or both, by rail, regardless of ownership or an agreement concerning use; and</w:t>
      </w:r>
    </w:p>
    <w:p w14:paraId="00000244"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(B) services related to that movement, including receipt, delivery, elevation, transfer in transit, refrigeration, icing, ventilation, storage, handling, and interchange of passengers or property.</w:t>
      </w:r>
      <w:r>
        <w:rPr>
          <w:rFonts w:ascii="Times New Roman" w:eastAsia="Times New Roman" w:hAnsi="Times New Roman" w:cs="Times New Roman"/>
          <w:color w:val="000000"/>
          <w:sz w:val="20"/>
          <w:szCs w:val="20"/>
          <w:vertAlign w:val="superscript"/>
        </w:rPr>
        <w:footnoteReference w:id="533"/>
      </w:r>
    </w:p>
    <w:p w14:paraId="00000245"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The phrase “rail carrier” is defined as “a person providing common carrier railroad transportation for compensation.”</w:t>
      </w:r>
      <w:r>
        <w:rPr>
          <w:rFonts w:ascii="Times New Roman" w:eastAsia="Times New Roman" w:hAnsi="Times New Roman" w:cs="Times New Roman"/>
          <w:color w:val="000000"/>
          <w:sz w:val="24"/>
          <w:szCs w:val="24"/>
          <w:vertAlign w:val="superscript"/>
        </w:rPr>
        <w:footnoteReference w:id="534"/>
      </w:r>
    </w:p>
    <w:p w14:paraId="0000024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 defined, the STB’s jurisdiction over “rail carriers” is limited to common carriers.</w:t>
      </w:r>
      <w:r>
        <w:rPr>
          <w:rFonts w:ascii="Times New Roman" w:eastAsia="Times New Roman" w:hAnsi="Times New Roman" w:cs="Times New Roman"/>
          <w:color w:val="000000"/>
          <w:sz w:val="24"/>
          <w:szCs w:val="24"/>
          <w:vertAlign w:val="superscript"/>
        </w:rPr>
        <w:footnoteReference w:id="535"/>
      </w:r>
      <w:r>
        <w:rPr>
          <w:rFonts w:ascii="Times New Roman" w:eastAsia="Times New Roman" w:hAnsi="Times New Roman" w:cs="Times New Roman"/>
          <w:color w:val="000000"/>
          <w:sz w:val="24"/>
          <w:szCs w:val="24"/>
        </w:rPr>
        <w:t xml:space="preserve"> “To be considered a rail carrier under the statute, there must be a holding out to the public to provide common carrier service.”</w:t>
      </w:r>
      <w:r>
        <w:rPr>
          <w:rFonts w:ascii="Times New Roman" w:eastAsia="Times New Roman" w:hAnsi="Times New Roman" w:cs="Times New Roman"/>
          <w:color w:val="000000"/>
          <w:sz w:val="24"/>
          <w:szCs w:val="24"/>
          <w:vertAlign w:val="superscript"/>
        </w:rPr>
        <w:footnoteReference w:id="536"/>
      </w:r>
      <w:r>
        <w:rPr>
          <w:rFonts w:ascii="Times New Roman" w:eastAsia="Times New Roman" w:hAnsi="Times New Roman" w:cs="Times New Roman"/>
          <w:color w:val="000000"/>
          <w:sz w:val="24"/>
          <w:szCs w:val="24"/>
        </w:rPr>
        <w:t xml:space="preserve"> As the court noted in </w:t>
      </w:r>
      <w:r>
        <w:rPr>
          <w:rFonts w:ascii="Times New Roman" w:eastAsia="Times New Roman" w:hAnsi="Times New Roman" w:cs="Times New Roman"/>
          <w:i/>
          <w:color w:val="000000"/>
          <w:sz w:val="24"/>
          <w:szCs w:val="24"/>
        </w:rPr>
        <w:t>Tews v. Renzenberger,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37"/>
      </w:r>
      <w:r>
        <w:rPr>
          <w:rFonts w:ascii="Times New Roman" w:eastAsia="Times New Roman" w:hAnsi="Times New Roman" w:cs="Times New Roman"/>
          <w:color w:val="000000"/>
          <w:sz w:val="24"/>
          <w:szCs w:val="24"/>
        </w:rPr>
        <w:t xml:space="preserve"> “whatever service the non-carrier is providing—no matter how ‘integral’ to the rail carrier or whether the rail carrier exerts control over the non-carrier’s operations—must be publicly available.”</w:t>
      </w:r>
      <w:r>
        <w:rPr>
          <w:rFonts w:ascii="Times New Roman" w:eastAsia="Times New Roman" w:hAnsi="Times New Roman" w:cs="Times New Roman"/>
          <w:color w:val="000000"/>
          <w:sz w:val="24"/>
          <w:szCs w:val="24"/>
          <w:vertAlign w:val="superscript"/>
        </w:rPr>
        <w:footnoteReference w:id="538"/>
      </w:r>
      <w:r>
        <w:rPr>
          <w:rFonts w:ascii="Times New Roman" w:eastAsia="Times New Roman" w:hAnsi="Times New Roman" w:cs="Times New Roman"/>
          <w:color w:val="000000"/>
          <w:sz w:val="24"/>
          <w:szCs w:val="24"/>
        </w:rPr>
        <w:t xml:space="preserve"> Also, as </w:t>
      </w:r>
      <w:r>
        <w:rPr>
          <w:rFonts w:ascii="Times New Roman" w:eastAsia="Times New Roman" w:hAnsi="Times New Roman" w:cs="Times New Roman"/>
          <w:i/>
          <w:color w:val="000000"/>
          <w:sz w:val="24"/>
          <w:szCs w:val="24"/>
        </w:rPr>
        <w:t xml:space="preserve">Tews </w:t>
      </w:r>
      <w:r>
        <w:rPr>
          <w:rFonts w:ascii="Times New Roman" w:eastAsia="Times New Roman" w:hAnsi="Times New Roman" w:cs="Times New Roman"/>
          <w:color w:val="000000"/>
          <w:sz w:val="24"/>
          <w:szCs w:val="24"/>
        </w:rPr>
        <w:t>stated,</w:t>
      </w:r>
    </w:p>
    <w:p w14:paraId="00000247"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it is not necessary that the entity directly offer its services to the public as long as “the questioned service is part of the total rail common carrier service that is publicly offered, then the agent providing it for the offering railroad, whether through common ownership or contract is deemed to hold itself out to the public.”</w:t>
      </w:r>
      <w:r>
        <w:rPr>
          <w:rFonts w:ascii="Times New Roman" w:eastAsia="Times New Roman" w:hAnsi="Times New Roman" w:cs="Times New Roman"/>
          <w:color w:val="000000"/>
          <w:sz w:val="20"/>
          <w:szCs w:val="20"/>
          <w:vertAlign w:val="superscript"/>
        </w:rPr>
        <w:footnoteReference w:id="539"/>
      </w:r>
    </w:p>
    <w:p w14:paraId="0000024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Tews</w:t>
      </w:r>
      <w:r>
        <w:rPr>
          <w:rFonts w:ascii="Times New Roman" w:eastAsia="Times New Roman" w:hAnsi="Times New Roman" w:cs="Times New Roman"/>
          <w:color w:val="000000"/>
          <w:sz w:val="24"/>
          <w:szCs w:val="24"/>
        </w:rPr>
        <w:t>, the defendant provided rail crew transportation services (by motor vehicle) exclusively to railroad industry clients, not the general public, and therefore was not a “rail carrier” for purposes of STB jurisdiction.</w:t>
      </w:r>
      <w:r>
        <w:rPr>
          <w:rFonts w:ascii="Times New Roman" w:eastAsia="Times New Roman" w:hAnsi="Times New Roman" w:cs="Times New Roman"/>
          <w:color w:val="000000"/>
          <w:sz w:val="24"/>
          <w:szCs w:val="24"/>
          <w:vertAlign w:val="superscript"/>
        </w:rPr>
        <w:footnoteReference w:id="540"/>
      </w:r>
    </w:p>
    <w:p w14:paraId="00000249"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r>
        <w:rPr>
          <w:rFonts w:ascii="Times New Roman" w:eastAsia="Times New Roman" w:hAnsi="Times New Roman" w:cs="Times New Roman"/>
          <w:b/>
          <w:i/>
          <w:color w:val="000000"/>
          <w:sz w:val="24"/>
          <w:szCs w:val="24"/>
        </w:rPr>
        <w:tab/>
        <w:t>Terminal Area Exception</w:t>
      </w:r>
    </w:p>
    <w:p w14:paraId="0000024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1940, the MCA was amended to provide that transportation by motor vehicle for a common carrier by railroad “in the performance within terminal areas of transfer, collection, or delivery service” was to be considered and regulated as “transportation by railroad … to which such services are incidental.”</w:t>
      </w:r>
      <w:r>
        <w:rPr>
          <w:rFonts w:ascii="Times New Roman" w:eastAsia="Times New Roman" w:hAnsi="Times New Roman" w:cs="Times New Roman"/>
          <w:color w:val="000000"/>
          <w:sz w:val="24"/>
          <w:szCs w:val="24"/>
          <w:vertAlign w:val="superscript"/>
        </w:rPr>
        <w:footnoteReference w:id="541"/>
      </w:r>
      <w:r>
        <w:rPr>
          <w:rFonts w:ascii="Times New Roman" w:eastAsia="Times New Roman" w:hAnsi="Times New Roman" w:cs="Times New Roman"/>
          <w:color w:val="000000"/>
          <w:sz w:val="24"/>
          <w:szCs w:val="24"/>
        </w:rPr>
        <w:t xml:space="preserve"> These services, known as “collection and delivery services,” were often performed by independent contractors who transported, via buses and trucks, railroad passengers and their baggage from depot to depot under contracts with the railroads. In </w:t>
      </w:r>
      <w:r>
        <w:rPr>
          <w:rFonts w:ascii="Times New Roman" w:eastAsia="Times New Roman" w:hAnsi="Times New Roman" w:cs="Times New Roman"/>
          <w:i/>
          <w:color w:val="000000"/>
          <w:sz w:val="24"/>
          <w:szCs w:val="24"/>
        </w:rPr>
        <w:t>Cederblade v. Parmelee Transportation Co.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42"/>
      </w:r>
      <w:r>
        <w:rPr>
          <w:rFonts w:ascii="Times New Roman" w:eastAsia="Times New Roman" w:hAnsi="Times New Roman" w:cs="Times New Roman"/>
          <w:color w:val="000000"/>
          <w:sz w:val="24"/>
          <w:szCs w:val="24"/>
        </w:rPr>
        <w:t xml:space="preserve"> the Seventh Circuit held that such “collection and delivery services” are exempt from overtime under Section 213(b)(2):</w:t>
      </w:r>
    </w:p>
    <w:p w14:paraId="0000024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When a [railway] carrier uses terminal facilities such as motor vehicles to carry passengers and property within the terminal area, … said motor vehicles formed part of a railroad engaged in commerce, although the motor vehicles used are not owned by the rail carrier but are contracted for with independent contractors.</w:t>
      </w:r>
      <w:r>
        <w:rPr>
          <w:rFonts w:ascii="Times New Roman" w:eastAsia="Times New Roman" w:hAnsi="Times New Roman" w:cs="Times New Roman"/>
          <w:color w:val="000000"/>
          <w:sz w:val="20"/>
          <w:szCs w:val="20"/>
          <w:vertAlign w:val="superscript"/>
        </w:rPr>
        <w:footnoteReference w:id="543"/>
      </w:r>
      <w:r>
        <w:rPr>
          <w:rFonts w:ascii="Times New Roman" w:eastAsia="Times New Roman" w:hAnsi="Times New Roman" w:cs="Times New Roman"/>
          <w:color w:val="000000"/>
          <w:sz w:val="20"/>
          <w:szCs w:val="20"/>
        </w:rPr>
        <w:t xml:space="preserve"> </w:t>
      </w:r>
    </w:p>
    <w:p w14:paraId="0000024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w:t>
      </w:r>
      <w:r>
        <w:rPr>
          <w:rFonts w:ascii="Times New Roman" w:eastAsia="Times New Roman" w:hAnsi="Times New Roman" w:cs="Times New Roman"/>
          <w:i/>
          <w:color w:val="000000"/>
          <w:sz w:val="24"/>
          <w:szCs w:val="24"/>
        </w:rPr>
        <w:t>Williams v. Alex’s Transportation,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44"/>
      </w:r>
      <w:r>
        <w:rPr>
          <w:rFonts w:ascii="Times New Roman" w:eastAsia="Times New Roman" w:hAnsi="Times New Roman" w:cs="Times New Roman"/>
          <w:color w:val="000000"/>
          <w:sz w:val="24"/>
          <w:szCs w:val="24"/>
        </w:rPr>
        <w:t xml:space="preserve"> the court accepted the reasoning of </w:t>
      </w:r>
      <w:r>
        <w:rPr>
          <w:rFonts w:ascii="Times New Roman" w:eastAsia="Times New Roman" w:hAnsi="Times New Roman" w:cs="Times New Roman"/>
          <w:i/>
          <w:color w:val="000000"/>
          <w:sz w:val="24"/>
          <w:szCs w:val="24"/>
        </w:rPr>
        <w:t>Cederblade</w:t>
      </w:r>
      <w:r>
        <w:rPr>
          <w:rFonts w:ascii="Times New Roman" w:eastAsia="Times New Roman" w:hAnsi="Times New Roman" w:cs="Times New Roman"/>
          <w:color w:val="000000"/>
          <w:sz w:val="24"/>
          <w:szCs w:val="24"/>
        </w:rPr>
        <w:t xml:space="preserve"> and suggested that “collection and delivery service” is incidental to a rail carrier and therefore within the rail carrier exemption, despite the drivers transporting railroad crews from hotels and rail yards to trains at various points along the rail lines outside of terminal areas.</w:t>
      </w:r>
      <w:r>
        <w:rPr>
          <w:rFonts w:ascii="Times New Roman" w:eastAsia="Times New Roman" w:hAnsi="Times New Roman" w:cs="Times New Roman"/>
          <w:color w:val="000000"/>
          <w:sz w:val="24"/>
          <w:szCs w:val="24"/>
          <w:vertAlign w:val="superscript"/>
        </w:rPr>
        <w:footnoteReference w:id="545"/>
      </w:r>
      <w:r>
        <w:rPr>
          <w:rFonts w:ascii="Times New Roman" w:eastAsia="Times New Roman" w:hAnsi="Times New Roman" w:cs="Times New Roman"/>
          <w:color w:val="000000"/>
          <w:sz w:val="24"/>
          <w:szCs w:val="24"/>
        </w:rPr>
        <w:t xml:space="preserve"> This prompted criticism in </w:t>
      </w:r>
      <w:r>
        <w:rPr>
          <w:rFonts w:ascii="Times New Roman" w:eastAsia="Times New Roman" w:hAnsi="Times New Roman" w:cs="Times New Roman"/>
          <w:i/>
          <w:color w:val="000000"/>
          <w:sz w:val="24"/>
          <w:szCs w:val="24"/>
        </w:rPr>
        <w:t>Tews v. Renzenberger,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46"/>
      </w:r>
      <w:r>
        <w:rPr>
          <w:rFonts w:ascii="Times New Roman" w:eastAsia="Times New Roman" w:hAnsi="Times New Roman" w:cs="Times New Roman"/>
          <w:color w:val="000000"/>
          <w:sz w:val="24"/>
          <w:szCs w:val="24"/>
        </w:rPr>
        <w:t xml:space="preserve"> where a district court held that “road drivers” responsible for transporting rail crews—primarily engineers and conductors—by motor vehicle to and from various destinations to “relieve” rail crews who had exhausted their federally mandated maximum hours of service and to replace those crews with “fresh” crews were not covered by the terminal area exception because they “are not confined to terminal areas in the performance of their jobs.”</w:t>
      </w:r>
      <w:r>
        <w:rPr>
          <w:rFonts w:ascii="Times New Roman" w:eastAsia="Times New Roman" w:hAnsi="Times New Roman" w:cs="Times New Roman"/>
          <w:color w:val="000000"/>
          <w:sz w:val="24"/>
          <w:szCs w:val="24"/>
          <w:vertAlign w:val="superscript"/>
        </w:rPr>
        <w:footnoteReference w:id="547"/>
      </w:r>
      <w:r>
        <w:rPr>
          <w:rFonts w:ascii="Times New Roman" w:eastAsia="Times New Roman" w:hAnsi="Times New Roman" w:cs="Times New Roman"/>
          <w:color w:val="000000"/>
          <w:sz w:val="24"/>
          <w:szCs w:val="24"/>
        </w:rPr>
        <w:t xml:space="preserve"> The court observed that </w:t>
      </w:r>
    </w:p>
    <w:p w14:paraId="0000024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the rail carrier exemption does not limit its application to services performed within terminal areas—it is limited to employees of employers who are regulated as rail carriers or who perform services (including transfer, collection and delivery services provided by motor vehicle within a terminal area) that fall under the jurisdiction of the Surface Transportation Board.</w:t>
      </w:r>
      <w:r>
        <w:rPr>
          <w:rFonts w:ascii="Times New Roman" w:eastAsia="Times New Roman" w:hAnsi="Times New Roman" w:cs="Times New Roman"/>
          <w:color w:val="000000"/>
          <w:sz w:val="20"/>
          <w:szCs w:val="20"/>
          <w:vertAlign w:val="superscript"/>
        </w:rPr>
        <w:footnoteReference w:id="548"/>
      </w:r>
    </w:p>
    <w:p w14:paraId="0000024E"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 xml:space="preserve">Tews </w:t>
      </w:r>
      <w:r>
        <w:rPr>
          <w:rFonts w:ascii="Times New Roman" w:eastAsia="Times New Roman" w:hAnsi="Times New Roman" w:cs="Times New Roman"/>
          <w:color w:val="000000"/>
          <w:sz w:val="24"/>
          <w:szCs w:val="24"/>
        </w:rPr>
        <w:t xml:space="preserve">court concluded that, on this basis, </w:t>
      </w:r>
      <w:r>
        <w:rPr>
          <w:rFonts w:ascii="Times New Roman" w:eastAsia="Times New Roman" w:hAnsi="Times New Roman" w:cs="Times New Roman"/>
          <w:i/>
          <w:color w:val="000000"/>
          <w:sz w:val="24"/>
          <w:szCs w:val="24"/>
        </w:rPr>
        <w:t>Alex’s Transportation</w:t>
      </w:r>
      <w:r>
        <w:rPr>
          <w:rFonts w:ascii="Times New Roman" w:eastAsia="Times New Roman" w:hAnsi="Times New Roman" w:cs="Times New Roman"/>
          <w:color w:val="000000"/>
          <w:sz w:val="24"/>
          <w:szCs w:val="24"/>
        </w:rPr>
        <w:t xml:space="preserve"> was unpersuasive because the district court did not consider </w:t>
      </w:r>
      <w:r>
        <w:rPr>
          <w:rFonts w:ascii="Times New Roman" w:eastAsia="Times New Roman" w:hAnsi="Times New Roman" w:cs="Times New Roman"/>
          <w:i/>
          <w:color w:val="000000"/>
          <w:sz w:val="24"/>
          <w:szCs w:val="24"/>
        </w:rPr>
        <w:t>Cederblade</w:t>
      </w:r>
      <w:r>
        <w:rPr>
          <w:rFonts w:ascii="Times New Roman" w:eastAsia="Times New Roman" w:hAnsi="Times New Roman" w:cs="Times New Roman"/>
          <w:color w:val="000000"/>
          <w:sz w:val="24"/>
          <w:szCs w:val="24"/>
        </w:rPr>
        <w:t>’s express reliance on the “terminal area” exception in determining that the plaintiffs fell within the rail carrier exemption.</w:t>
      </w:r>
      <w:r>
        <w:rPr>
          <w:rFonts w:ascii="Times New Roman" w:eastAsia="Times New Roman" w:hAnsi="Times New Roman" w:cs="Times New Roman"/>
          <w:color w:val="000000"/>
          <w:sz w:val="24"/>
          <w:szCs w:val="24"/>
          <w:vertAlign w:val="superscript"/>
        </w:rPr>
        <w:footnoteReference w:id="549"/>
      </w:r>
    </w:p>
    <w:p w14:paraId="0000024F"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w:t>
      </w:r>
      <w:r>
        <w:rPr>
          <w:rFonts w:ascii="Times New Roman" w:eastAsia="Times New Roman" w:hAnsi="Times New Roman" w:cs="Times New Roman"/>
          <w:b/>
          <w:i/>
          <w:color w:val="000000"/>
          <w:sz w:val="24"/>
          <w:szCs w:val="24"/>
        </w:rPr>
        <w:tab/>
        <w:t>The Effect of Deregulation of the Railroad Industry on Section 213(b)(2)</w:t>
      </w:r>
    </w:p>
    <w:p w14:paraId="0000025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For about 10 years prior to 1975, the capital shortfall in the railroad industry “culminated with a rash of bankruptcies.”</w:t>
      </w:r>
      <w:r>
        <w:rPr>
          <w:rFonts w:ascii="Times New Roman" w:eastAsia="Times New Roman" w:hAnsi="Times New Roman" w:cs="Times New Roman"/>
          <w:color w:val="000000"/>
          <w:sz w:val="24"/>
          <w:szCs w:val="24"/>
          <w:vertAlign w:val="superscript"/>
        </w:rPr>
        <w:footnoteReference w:id="550"/>
      </w:r>
      <w:r>
        <w:rPr>
          <w:rFonts w:ascii="Times New Roman" w:eastAsia="Times New Roman" w:hAnsi="Times New Roman" w:cs="Times New Roman"/>
          <w:color w:val="000000"/>
          <w:sz w:val="24"/>
          <w:szCs w:val="24"/>
        </w:rPr>
        <w:t xml:space="preserve"> When Congress first addressed this fiscal situation in 1975, eight major carriers in the Northeast and Midwest were in financial ruin.</w:t>
      </w:r>
      <w:r>
        <w:rPr>
          <w:rFonts w:ascii="Times New Roman" w:eastAsia="Times New Roman" w:hAnsi="Times New Roman" w:cs="Times New Roman"/>
          <w:color w:val="000000"/>
          <w:sz w:val="24"/>
          <w:szCs w:val="24"/>
          <w:vertAlign w:val="superscript"/>
        </w:rPr>
        <w:footnoteReference w:id="551"/>
      </w:r>
      <w:r>
        <w:rPr>
          <w:rFonts w:ascii="Times New Roman" w:eastAsia="Times New Roman" w:hAnsi="Times New Roman" w:cs="Times New Roman"/>
          <w:color w:val="000000"/>
          <w:sz w:val="24"/>
          <w:szCs w:val="24"/>
        </w:rPr>
        <w:t xml:space="preserve"> The first act that Congress passed seeking to deregulate the railroad industry was the Railroad Revitalization and Regulatory Reform Act of 1976 (4-R Act).</w:t>
      </w:r>
      <w:r>
        <w:rPr>
          <w:rFonts w:ascii="Times New Roman" w:eastAsia="Times New Roman" w:hAnsi="Times New Roman" w:cs="Times New Roman"/>
          <w:color w:val="000000"/>
          <w:sz w:val="24"/>
          <w:szCs w:val="24"/>
          <w:vertAlign w:val="superscript"/>
        </w:rPr>
        <w:footnoteReference w:id="552"/>
      </w:r>
      <w:r>
        <w:rPr>
          <w:rFonts w:ascii="Times New Roman" w:eastAsia="Times New Roman" w:hAnsi="Times New Roman" w:cs="Times New Roman"/>
          <w:color w:val="000000"/>
          <w:sz w:val="24"/>
          <w:szCs w:val="24"/>
        </w:rPr>
        <w:t xml:space="preserve"> However, because railroad reinvigoration was slow, Congress enacted the Staggers Rail Act of 1980. Getting an exemption from the ICA was “central to the implementation of both these initiatives.”</w:t>
      </w:r>
      <w:r>
        <w:rPr>
          <w:rFonts w:ascii="Times New Roman" w:eastAsia="Times New Roman" w:hAnsi="Times New Roman" w:cs="Times New Roman"/>
          <w:color w:val="000000"/>
          <w:sz w:val="24"/>
          <w:szCs w:val="24"/>
          <w:vertAlign w:val="superscript"/>
        </w:rPr>
        <w:footnoteReference w:id="553"/>
      </w:r>
      <w:r>
        <w:rPr>
          <w:rFonts w:ascii="Times New Roman" w:eastAsia="Times New Roman" w:hAnsi="Times New Roman" w:cs="Times New Roman"/>
          <w:color w:val="000000"/>
          <w:sz w:val="24"/>
          <w:szCs w:val="24"/>
        </w:rPr>
        <w:t xml:space="preserve"> It allowed the ICC to exempt railroads from ICA regulations so long as they were “not necessary to carry out the [national] transportation </w:t>
      </w:r>
      <w:r>
        <w:rPr>
          <w:rFonts w:ascii="Times New Roman" w:eastAsia="Times New Roman" w:hAnsi="Times New Roman" w:cs="Times New Roman"/>
          <w:color w:val="000000"/>
          <w:sz w:val="24"/>
          <w:szCs w:val="24"/>
        </w:rPr>
        <w:lastRenderedPageBreak/>
        <w:t>policy.”</w:t>
      </w:r>
      <w:r>
        <w:rPr>
          <w:rFonts w:ascii="Times New Roman" w:eastAsia="Times New Roman" w:hAnsi="Times New Roman" w:cs="Times New Roman"/>
          <w:color w:val="000000"/>
          <w:sz w:val="24"/>
          <w:szCs w:val="24"/>
          <w:vertAlign w:val="superscript"/>
        </w:rPr>
        <w:footnoteReference w:id="554"/>
      </w:r>
      <w:r>
        <w:rPr>
          <w:rFonts w:ascii="Times New Roman" w:eastAsia="Times New Roman" w:hAnsi="Times New Roman" w:cs="Times New Roman"/>
          <w:color w:val="000000"/>
          <w:sz w:val="24"/>
          <w:szCs w:val="24"/>
        </w:rPr>
        <w:t xml:space="preserve"> The exemption’s purpose was to facilitate competition by substituting market-based decisions for regulatory structures.</w:t>
      </w:r>
      <w:r>
        <w:rPr>
          <w:rFonts w:ascii="Times New Roman" w:eastAsia="Times New Roman" w:hAnsi="Times New Roman" w:cs="Times New Roman"/>
          <w:color w:val="000000"/>
          <w:sz w:val="24"/>
          <w:szCs w:val="24"/>
          <w:vertAlign w:val="superscript"/>
        </w:rPr>
        <w:footnoteReference w:id="555"/>
      </w:r>
    </w:p>
    <w:p w14:paraId="0000025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1982, Metro-North, a railroad operating commuter lines, sought an exemption from the ICA to avoid “duplicative regulatory control” as “Metro-North … [is] subject to extensive regulation by the Urban Mass Transportation Administration, as well as local governmental bodies, regarding fare and service changes, [as well as] operations and accounting procedures … .”</w:t>
      </w:r>
      <w:r>
        <w:rPr>
          <w:rFonts w:ascii="Times New Roman" w:eastAsia="Times New Roman" w:hAnsi="Times New Roman" w:cs="Times New Roman"/>
          <w:color w:val="000000"/>
          <w:sz w:val="24"/>
          <w:szCs w:val="24"/>
          <w:vertAlign w:val="superscript"/>
        </w:rPr>
        <w:footnoteReference w:id="556"/>
      </w:r>
      <w:r>
        <w:rPr>
          <w:rFonts w:ascii="Times New Roman" w:eastAsia="Times New Roman" w:hAnsi="Times New Roman" w:cs="Times New Roman"/>
          <w:color w:val="000000"/>
          <w:sz w:val="24"/>
          <w:szCs w:val="24"/>
        </w:rPr>
        <w:t xml:space="preserve"> At the time it sought the exemption, Metro-North was an employer engaged in the operation of a common carrier by rail, and subject to the provisions of Part I of the ICA.</w:t>
      </w:r>
      <w:r>
        <w:rPr>
          <w:rFonts w:ascii="Times New Roman" w:eastAsia="Times New Roman" w:hAnsi="Times New Roman" w:cs="Times New Roman"/>
          <w:color w:val="000000"/>
          <w:sz w:val="24"/>
          <w:szCs w:val="24"/>
          <w:vertAlign w:val="superscript"/>
        </w:rPr>
        <w:footnoteReference w:id="557"/>
      </w:r>
      <w:r>
        <w:rPr>
          <w:rFonts w:ascii="Times New Roman" w:eastAsia="Times New Roman" w:hAnsi="Times New Roman" w:cs="Times New Roman"/>
          <w:color w:val="000000"/>
          <w:sz w:val="24"/>
          <w:szCs w:val="24"/>
        </w:rPr>
        <w:t xml:space="preserve"> As a result, its employees were considered exempt from overtime under Section 213(b)(2) of the FLSA. </w:t>
      </w:r>
    </w:p>
    <w:p w14:paraId="0000025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At issue in </w:t>
      </w:r>
      <w:r>
        <w:rPr>
          <w:rFonts w:ascii="Times New Roman" w:eastAsia="Times New Roman" w:hAnsi="Times New Roman" w:cs="Times New Roman"/>
          <w:i/>
          <w:color w:val="000000"/>
          <w:sz w:val="24"/>
          <w:szCs w:val="24"/>
        </w:rPr>
        <w:t>Farley v. Metro-North Commuter Railroad</w:t>
      </w:r>
      <w:r>
        <w:rPr>
          <w:rFonts w:ascii="Times New Roman" w:eastAsia="Times New Roman" w:hAnsi="Times New Roman" w:cs="Times New Roman"/>
          <w:color w:val="000000"/>
          <w:sz w:val="24"/>
          <w:szCs w:val="24"/>
          <w:vertAlign w:val="superscript"/>
        </w:rPr>
        <w:footnoteReference w:id="558"/>
      </w:r>
      <w:r>
        <w:rPr>
          <w:rFonts w:ascii="Times New Roman" w:eastAsia="Times New Roman" w:hAnsi="Times New Roman" w:cs="Times New Roman"/>
          <w:color w:val="000000"/>
          <w:sz w:val="24"/>
          <w:szCs w:val="24"/>
        </w:rPr>
        <w:t xml:space="preserve"> was whether the exemption was lost when ICC granted Metro-North an exemption from the ICA regulations. The Second Circuit held that the exemption remained intact, as there was not “even a single passage of legislative history indicating that Congress considered subjecting an exempted railroad to the FLSA,” concluding that to hold otherwise would “alter 100 years of established Congressional policy without so much as a whisper from the nation’s law-makers. It is inconceivable that a statute designed to deregulate must be read to re-regulate a distressed industry in this fashion.”</w:t>
      </w:r>
      <w:r>
        <w:rPr>
          <w:rFonts w:ascii="Times New Roman" w:eastAsia="Times New Roman" w:hAnsi="Times New Roman" w:cs="Times New Roman"/>
          <w:color w:val="000000"/>
          <w:sz w:val="24"/>
          <w:szCs w:val="24"/>
          <w:vertAlign w:val="superscript"/>
        </w:rPr>
        <w:footnoteReference w:id="559"/>
      </w:r>
      <w:r>
        <w:rPr>
          <w:rFonts w:ascii="Times New Roman" w:eastAsia="Times New Roman" w:hAnsi="Times New Roman" w:cs="Times New Roman"/>
          <w:color w:val="000000"/>
          <w:sz w:val="24"/>
          <w:szCs w:val="24"/>
        </w:rPr>
        <w:t xml:space="preserve"> Moreover, the court noted, “the ICC is empowered to cancel the ICA exemption if it adversely impinges upon Metro-North employees.”</w:t>
      </w:r>
      <w:r>
        <w:rPr>
          <w:rFonts w:ascii="Times New Roman" w:eastAsia="Times New Roman" w:hAnsi="Times New Roman" w:cs="Times New Roman"/>
          <w:color w:val="000000"/>
          <w:sz w:val="24"/>
          <w:szCs w:val="24"/>
          <w:vertAlign w:val="superscript"/>
        </w:rPr>
        <w:footnoteReference w:id="560"/>
      </w:r>
    </w:p>
    <w:p w14:paraId="00000253"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ab/>
        <w:t>Air Transportation Employees</w:t>
      </w:r>
    </w:p>
    <w:p w14:paraId="0000025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Under Section 213(b)(3), the overtime requirements of the FLSA do not apply to “any employee of a carrier by air subject to the provisions of title II of the Railway Labor Act [RLA] [45 U.S.C.A. §§181, </w:t>
      </w:r>
      <w:r>
        <w:rPr>
          <w:rFonts w:ascii="Times New Roman" w:eastAsia="Times New Roman" w:hAnsi="Times New Roman" w:cs="Times New Roman"/>
          <w:i/>
          <w:color w:val="000000"/>
          <w:sz w:val="24"/>
          <w:szCs w:val="24"/>
        </w:rPr>
        <w:t>et seq.</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61"/>
      </w:r>
      <w:r>
        <w:rPr>
          <w:rFonts w:ascii="Times New Roman" w:eastAsia="Times New Roman" w:hAnsi="Times New Roman" w:cs="Times New Roman"/>
          <w:color w:val="000000"/>
          <w:sz w:val="24"/>
          <w:szCs w:val="24"/>
        </w:rPr>
        <w:t xml:space="preserve"> Like the Section 213(b)(2) exemption, with the exception of an enforcement regulation found in 29 C.F.R. §786.150, there is no DOL regulatory guidance on this exemption. However,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Section 24j addresses certain issues related to this exemption.</w:t>
      </w:r>
    </w:p>
    <w:p w14:paraId="0000025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notes that the Section 213(b)(3) exemption is not for the benefit of an industry or establishment but rather</w:t>
      </w:r>
    </w:p>
    <w:p w14:paraId="0000025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 xml:space="preserve">applies to individual employees of an air carrier when their activities bear a reasonably close relationship to the exempt type of transportation activities which bring the employer’s operation under Title II of the Railway Labor Act. Title II applies to “every common carrier by air engaged in interstate or foreign </w:t>
      </w:r>
      <w:r>
        <w:rPr>
          <w:rFonts w:ascii="Times New Roman" w:eastAsia="Times New Roman" w:hAnsi="Times New Roman" w:cs="Times New Roman"/>
          <w:color w:val="000000"/>
          <w:sz w:val="20"/>
          <w:szCs w:val="20"/>
        </w:rPr>
        <w:lastRenderedPageBreak/>
        <w:t>commerce, and every carrier by air transporting mail for or under contract with the United States Government, and every pilot or other person who performs any work as an employee or subordinate official of such carrier or carriers, subject to its or their continuing authority to supervise and direct the manner of rendition of his service.”</w:t>
      </w:r>
      <w:r>
        <w:rPr>
          <w:rFonts w:ascii="Times New Roman" w:eastAsia="Times New Roman" w:hAnsi="Times New Roman" w:cs="Times New Roman"/>
          <w:color w:val="000000"/>
          <w:sz w:val="20"/>
          <w:szCs w:val="20"/>
          <w:vertAlign w:val="superscript"/>
        </w:rPr>
        <w:footnoteReference w:id="562"/>
      </w:r>
    </w:p>
    <w:p w14:paraId="0000025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Commuter airline pilots and air taxi pilots employed by a carrier that has been issued an air taxi and commercial operations (ATCO) certificate or an ATCO letter of registration by the Federal Aviation Administration and is engaged in interstate operations may be subject to the Section 213(b)(3) exemption.</w:t>
      </w:r>
      <w:r>
        <w:rPr>
          <w:rFonts w:ascii="Times New Roman" w:eastAsia="Times New Roman" w:hAnsi="Times New Roman" w:cs="Times New Roman"/>
          <w:color w:val="000000"/>
          <w:sz w:val="24"/>
          <w:szCs w:val="24"/>
          <w:vertAlign w:val="superscript"/>
        </w:rPr>
        <w:footnoteReference w:id="563"/>
      </w:r>
      <w:r>
        <w:rPr>
          <w:rFonts w:ascii="Times New Roman" w:eastAsia="Times New Roman" w:hAnsi="Times New Roman" w:cs="Times New Roman"/>
          <w:color w:val="000000"/>
          <w:sz w:val="24"/>
          <w:szCs w:val="24"/>
        </w:rPr>
        <w:t xml:space="preserve"> The exemption also extends to air freight forwarders owned or controlled by, or under common control with, a company actually engaged in air transportation where the air forwarder is performing services connected with property transported by such other company.</w:t>
      </w:r>
      <w:r>
        <w:rPr>
          <w:rFonts w:ascii="Times New Roman" w:eastAsia="Times New Roman" w:hAnsi="Times New Roman" w:cs="Times New Roman"/>
          <w:color w:val="000000"/>
          <w:sz w:val="24"/>
          <w:szCs w:val="24"/>
          <w:vertAlign w:val="superscript"/>
        </w:rPr>
        <w:footnoteReference w:id="564"/>
      </w:r>
      <w:r>
        <w:rPr>
          <w:rFonts w:ascii="Times New Roman" w:eastAsia="Times New Roman" w:hAnsi="Times New Roman" w:cs="Times New Roman"/>
          <w:color w:val="000000"/>
          <w:sz w:val="24"/>
          <w:szCs w:val="24"/>
        </w:rPr>
        <w:t xml:space="preserve"> Employees of an air carrier supplying food and meal service equipment to airlines for use on the airplane are also exempt under Section 213(b)(3) because such employees are engaged in operating equipment and facilities and performing services in connection with transportation and handling of property transported by airlines.</w:t>
      </w:r>
      <w:r>
        <w:rPr>
          <w:rFonts w:ascii="Times New Roman" w:eastAsia="Times New Roman" w:hAnsi="Times New Roman" w:cs="Times New Roman"/>
          <w:color w:val="000000"/>
          <w:sz w:val="24"/>
          <w:szCs w:val="24"/>
          <w:vertAlign w:val="superscript"/>
        </w:rPr>
        <w:footnoteReference w:id="565"/>
      </w:r>
    </w:p>
    <w:p w14:paraId="0000025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Valdivieso v. Atlas Air,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66"/>
      </w:r>
      <w:r>
        <w:rPr>
          <w:rFonts w:ascii="Times New Roman" w:eastAsia="Times New Roman" w:hAnsi="Times New Roman" w:cs="Times New Roman"/>
          <w:color w:val="000000"/>
          <w:sz w:val="24"/>
          <w:szCs w:val="24"/>
        </w:rPr>
        <w:t xml:space="preserve"> the Eleventh Circuit held that a commercial air carrier that owned, operated, and maintained a fleet of freighter aircraft used to transport cargo was a “common carrier,” although it specialized in long-term outsourcing of its aircraft under “Aircraft, Crew, Maintenance, and Insurance” contracts,</w:t>
      </w:r>
      <w:r>
        <w:rPr>
          <w:rFonts w:ascii="Times New Roman" w:eastAsia="Times New Roman" w:hAnsi="Times New Roman" w:cs="Times New Roman"/>
          <w:color w:val="000000"/>
          <w:sz w:val="24"/>
          <w:szCs w:val="24"/>
          <w:vertAlign w:val="superscript"/>
        </w:rPr>
        <w:footnoteReference w:id="567"/>
      </w:r>
      <w:r>
        <w:rPr>
          <w:rFonts w:ascii="Times New Roman" w:eastAsia="Times New Roman" w:hAnsi="Times New Roman" w:cs="Times New Roman"/>
          <w:color w:val="000000"/>
          <w:sz w:val="24"/>
          <w:szCs w:val="24"/>
        </w:rPr>
        <w:t xml:space="preserve"> where the company offered its services to anyone willing to accept its terms and prices and was licensed by the DOT as a common carrier.</w:t>
      </w:r>
      <w:r>
        <w:rPr>
          <w:rFonts w:ascii="Times New Roman" w:eastAsia="Times New Roman" w:hAnsi="Times New Roman" w:cs="Times New Roman"/>
          <w:color w:val="000000"/>
          <w:sz w:val="24"/>
          <w:szCs w:val="24"/>
          <w:vertAlign w:val="superscript"/>
        </w:rPr>
        <w:footnoteReference w:id="568"/>
      </w:r>
      <w:r>
        <w:rPr>
          <w:rFonts w:ascii="Times New Roman" w:eastAsia="Times New Roman" w:hAnsi="Times New Roman" w:cs="Times New Roman"/>
          <w:color w:val="000000"/>
          <w:sz w:val="24"/>
          <w:szCs w:val="24"/>
        </w:rPr>
        <w:t xml:space="preserve"> Similarly, in </w:t>
      </w:r>
      <w:r>
        <w:rPr>
          <w:rFonts w:ascii="Times New Roman" w:eastAsia="Times New Roman" w:hAnsi="Times New Roman" w:cs="Times New Roman"/>
          <w:i/>
          <w:color w:val="000000"/>
          <w:sz w:val="24"/>
          <w:szCs w:val="24"/>
        </w:rPr>
        <w:t>Thibodeaux v. Executive Jet International,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69"/>
      </w:r>
      <w:r>
        <w:rPr>
          <w:rFonts w:ascii="Times New Roman" w:eastAsia="Times New Roman" w:hAnsi="Times New Roman" w:cs="Times New Roman"/>
          <w:color w:val="000000"/>
          <w:sz w:val="24"/>
          <w:szCs w:val="24"/>
        </w:rPr>
        <w:t xml:space="preserve"> the Fifth Circuit deemed the Section 213(b)(3) exemption applicable to a flight attendant employed by a company that operated aircraft in fractional ownership programs.</w:t>
      </w:r>
    </w:p>
    <w:p w14:paraId="0000025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Slavens v. Scenic Aviation,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70"/>
      </w:r>
      <w:r>
        <w:rPr>
          <w:rFonts w:ascii="Times New Roman" w:eastAsia="Times New Roman" w:hAnsi="Times New Roman" w:cs="Times New Roman"/>
          <w:color w:val="000000"/>
          <w:sz w:val="24"/>
          <w:szCs w:val="24"/>
        </w:rPr>
        <w:t xml:space="preserve"> the Tenth Circuit held that the Section 213(b)(3) exemption applied to an employee of an air ambulance and charter service where the employee’s activities—evaluating the medical background of potential medical staff, establishing medical protocols, establishing company policies and procedures, informing hospitals of the services </w:t>
      </w:r>
      <w:r>
        <w:rPr>
          <w:rFonts w:ascii="Times New Roman" w:eastAsia="Times New Roman" w:hAnsi="Times New Roman" w:cs="Times New Roman"/>
          <w:color w:val="000000"/>
          <w:sz w:val="24"/>
          <w:szCs w:val="24"/>
        </w:rPr>
        <w:lastRenderedPageBreak/>
        <w:t>available, and resolving personnel disputes—were “integral” to the employer’s air ambulance services.</w:t>
      </w:r>
      <w:r>
        <w:rPr>
          <w:rFonts w:ascii="Times New Roman" w:eastAsia="Times New Roman" w:hAnsi="Times New Roman" w:cs="Times New Roman"/>
          <w:color w:val="000000"/>
          <w:sz w:val="24"/>
          <w:szCs w:val="24"/>
          <w:vertAlign w:val="superscript"/>
        </w:rPr>
        <w:footnoteReference w:id="571"/>
      </w:r>
      <w:r>
        <w:rPr>
          <w:rFonts w:ascii="Times New Roman" w:eastAsia="Times New Roman" w:hAnsi="Times New Roman" w:cs="Times New Roman"/>
          <w:color w:val="000000"/>
          <w:sz w:val="24"/>
          <w:szCs w:val="24"/>
        </w:rPr>
        <w:t xml:space="preserve"> </w:t>
      </w:r>
    </w:p>
    <w:p w14:paraId="0000025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whether an employer and its employees are subject to the RLA when the employer itself is not engaged in the common carriage of passengers by air, the National Mediation Board (NMB)</w:t>
      </w:r>
      <w:r>
        <w:rPr>
          <w:rFonts w:ascii="Times New Roman" w:eastAsia="Times New Roman" w:hAnsi="Times New Roman" w:cs="Times New Roman"/>
          <w:color w:val="000000"/>
          <w:sz w:val="24"/>
          <w:szCs w:val="24"/>
          <w:vertAlign w:val="superscript"/>
        </w:rPr>
        <w:footnoteReference w:id="572"/>
      </w:r>
      <w:r>
        <w:rPr>
          <w:rFonts w:ascii="Times New Roman" w:eastAsia="Times New Roman" w:hAnsi="Times New Roman" w:cs="Times New Roman"/>
          <w:color w:val="000000"/>
          <w:sz w:val="24"/>
          <w:szCs w:val="24"/>
        </w:rPr>
        <w:t xml:space="preserve"> applies a two-part test:</w:t>
      </w:r>
    </w:p>
    <w:p w14:paraId="0000025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First, the NMB determines whether the nature of the work is that traditionally performed by employees of rail or air carriers—</w:t>
      </w:r>
      <w:r>
        <w:rPr>
          <w:rFonts w:ascii="Times New Roman" w:eastAsia="Times New Roman" w:hAnsi="Times New Roman" w:cs="Times New Roman"/>
          <w:i/>
          <w:color w:val="000000"/>
          <w:sz w:val="20"/>
          <w:szCs w:val="20"/>
        </w:rPr>
        <w:t>the function test</w:t>
      </w:r>
      <w:r>
        <w:rPr>
          <w:rFonts w:ascii="Times New Roman" w:eastAsia="Times New Roman" w:hAnsi="Times New Roman" w:cs="Times New Roman"/>
          <w:color w:val="000000"/>
          <w:sz w:val="20"/>
          <w:szCs w:val="20"/>
        </w:rPr>
        <w:t>. Second, the NMB determines whether the employer is directly or indirectly controlled by or under common control with, a carrier or carriers—</w:t>
      </w:r>
      <w:r>
        <w:rPr>
          <w:rFonts w:ascii="Times New Roman" w:eastAsia="Times New Roman" w:hAnsi="Times New Roman" w:cs="Times New Roman"/>
          <w:i/>
          <w:color w:val="000000"/>
          <w:sz w:val="20"/>
          <w:szCs w:val="20"/>
        </w:rPr>
        <w:t>the control test</w:t>
      </w: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vertAlign w:val="superscript"/>
        </w:rPr>
        <w:footnoteReference w:id="573"/>
      </w:r>
    </w:p>
    <w:p w14:paraId="0000025C"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“Both prongs must be satisfied in order for the RLA exemption to apply.”</w:t>
      </w:r>
      <w:r>
        <w:rPr>
          <w:rFonts w:ascii="Times New Roman" w:eastAsia="Times New Roman" w:hAnsi="Times New Roman" w:cs="Times New Roman"/>
          <w:color w:val="000000"/>
          <w:sz w:val="24"/>
          <w:szCs w:val="24"/>
          <w:vertAlign w:val="superscript"/>
        </w:rPr>
        <w:footnoteReference w:id="574"/>
      </w:r>
    </w:p>
    <w:p w14:paraId="0000025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the function test, “the controlling inquiry is ‘whether the nature of the work is that traditionally performed by employees of rail or air carriers.’”</w:t>
      </w:r>
      <w:r>
        <w:rPr>
          <w:rFonts w:ascii="Times New Roman" w:eastAsia="Times New Roman" w:hAnsi="Times New Roman" w:cs="Times New Roman"/>
          <w:color w:val="000000"/>
          <w:sz w:val="24"/>
          <w:szCs w:val="24"/>
          <w:vertAlign w:val="superscript"/>
        </w:rPr>
        <w:footnoteReference w:id="575"/>
      </w:r>
      <w:r>
        <w:rPr>
          <w:rFonts w:ascii="Times New Roman" w:eastAsia="Times New Roman" w:hAnsi="Times New Roman" w:cs="Times New Roman"/>
          <w:color w:val="000000"/>
          <w:sz w:val="24"/>
          <w:szCs w:val="24"/>
        </w:rPr>
        <w:t xml:space="preserve"> The analysis examines “whether the carrier affiliate’s services are sufficiently connected to the carrier’s commercial transportation operations [such] that a work stoppage at the carrier affiliate would impede those operations.”</w:t>
      </w:r>
      <w:r>
        <w:rPr>
          <w:rFonts w:ascii="Times New Roman" w:eastAsia="Times New Roman" w:hAnsi="Times New Roman" w:cs="Times New Roman"/>
          <w:color w:val="000000"/>
          <w:sz w:val="24"/>
          <w:szCs w:val="24"/>
          <w:vertAlign w:val="superscript"/>
        </w:rPr>
        <w:footnoteReference w:id="576"/>
      </w:r>
      <w:r>
        <w:rPr>
          <w:rFonts w:ascii="Times New Roman" w:eastAsia="Times New Roman" w:hAnsi="Times New Roman" w:cs="Times New Roman"/>
          <w:color w:val="000000"/>
          <w:sz w:val="24"/>
          <w:szCs w:val="24"/>
        </w:rPr>
        <w:t xml:space="preserve"> The function test also reviews whether the work is essential to a carrier’s air transportation services.</w:t>
      </w:r>
      <w:r>
        <w:rPr>
          <w:rFonts w:ascii="Times New Roman" w:eastAsia="Times New Roman" w:hAnsi="Times New Roman" w:cs="Times New Roman"/>
          <w:color w:val="000000"/>
          <w:sz w:val="24"/>
          <w:szCs w:val="24"/>
          <w:vertAlign w:val="superscript"/>
        </w:rPr>
        <w:footnoteReference w:id="577"/>
      </w:r>
      <w:r>
        <w:rPr>
          <w:rFonts w:ascii="Times New Roman" w:eastAsia="Times New Roman" w:hAnsi="Times New Roman" w:cs="Times New Roman"/>
          <w:color w:val="000000"/>
          <w:sz w:val="24"/>
          <w:szCs w:val="24"/>
        </w:rPr>
        <w:t xml:space="preserve"> </w:t>
      </w:r>
    </w:p>
    <w:p w14:paraId="0000025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NMB has found the following types of work to be traditionally performed by employees of air carriers: maintenance and janitorial work at an air carrier’s buildings;</w:t>
      </w:r>
      <w:r>
        <w:rPr>
          <w:rFonts w:ascii="Times New Roman" w:eastAsia="Times New Roman" w:hAnsi="Times New Roman" w:cs="Times New Roman"/>
          <w:color w:val="000000"/>
          <w:sz w:val="24"/>
          <w:szCs w:val="24"/>
          <w:vertAlign w:val="superscript"/>
        </w:rPr>
        <w:footnoteReference w:id="578"/>
      </w:r>
      <w:r>
        <w:rPr>
          <w:rFonts w:ascii="Times New Roman" w:eastAsia="Times New Roman" w:hAnsi="Times New Roman" w:cs="Times New Roman"/>
          <w:color w:val="000000"/>
          <w:sz w:val="24"/>
          <w:szCs w:val="24"/>
        </w:rPr>
        <w:t xml:space="preserve"> transportation services for aircraft crew members between airport and hotels;</w:t>
      </w:r>
      <w:r>
        <w:rPr>
          <w:rFonts w:ascii="Times New Roman" w:eastAsia="Times New Roman" w:hAnsi="Times New Roman" w:cs="Times New Roman"/>
          <w:color w:val="000000"/>
          <w:sz w:val="24"/>
          <w:szCs w:val="24"/>
          <w:vertAlign w:val="superscript"/>
        </w:rPr>
        <w:footnoteReference w:id="579"/>
      </w:r>
      <w:r>
        <w:rPr>
          <w:rFonts w:ascii="Times New Roman" w:eastAsia="Times New Roman" w:hAnsi="Times New Roman" w:cs="Times New Roman"/>
          <w:color w:val="000000"/>
          <w:sz w:val="24"/>
          <w:szCs w:val="24"/>
        </w:rPr>
        <w:t xml:space="preserve"> repair, servicing, and overhauling aircraft;</w:t>
      </w:r>
      <w:r>
        <w:rPr>
          <w:rFonts w:ascii="Times New Roman" w:eastAsia="Times New Roman" w:hAnsi="Times New Roman" w:cs="Times New Roman"/>
          <w:color w:val="000000"/>
          <w:sz w:val="24"/>
          <w:szCs w:val="24"/>
          <w:vertAlign w:val="superscript"/>
        </w:rPr>
        <w:footnoteReference w:id="580"/>
      </w:r>
      <w:r>
        <w:rPr>
          <w:rFonts w:ascii="Times New Roman" w:eastAsia="Times New Roman" w:hAnsi="Times New Roman" w:cs="Times New Roman"/>
          <w:color w:val="000000"/>
          <w:sz w:val="24"/>
          <w:szCs w:val="24"/>
        </w:rPr>
        <w:t xml:space="preserve"> and security services.</w:t>
      </w:r>
      <w:r>
        <w:rPr>
          <w:rFonts w:ascii="Times New Roman" w:eastAsia="Times New Roman" w:hAnsi="Times New Roman" w:cs="Times New Roman"/>
          <w:color w:val="000000"/>
          <w:sz w:val="24"/>
          <w:szCs w:val="24"/>
          <w:vertAlign w:val="superscript"/>
        </w:rPr>
        <w:footnoteReference w:id="581"/>
      </w:r>
      <w:r>
        <w:rPr>
          <w:rFonts w:ascii="Times New Roman" w:eastAsia="Times New Roman" w:hAnsi="Times New Roman" w:cs="Times New Roman"/>
          <w:color w:val="000000"/>
          <w:sz w:val="24"/>
          <w:szCs w:val="24"/>
        </w:rPr>
        <w:t xml:space="preserve"> Types of work performed by an affiliate </w:t>
      </w:r>
      <w:r>
        <w:rPr>
          <w:rFonts w:ascii="Times New Roman" w:eastAsia="Times New Roman" w:hAnsi="Times New Roman" w:cs="Times New Roman"/>
          <w:color w:val="000000"/>
          <w:sz w:val="24"/>
          <w:szCs w:val="24"/>
        </w:rPr>
        <w:lastRenderedPageBreak/>
        <w:t>carrier deemed essential to an air carrier’s transportation services include monitoring of computer operations critical to scheduling and related activities,</w:t>
      </w:r>
      <w:r>
        <w:rPr>
          <w:rFonts w:ascii="Times New Roman" w:eastAsia="Times New Roman" w:hAnsi="Times New Roman" w:cs="Times New Roman"/>
          <w:color w:val="000000"/>
          <w:sz w:val="24"/>
          <w:szCs w:val="24"/>
          <w:vertAlign w:val="superscript"/>
        </w:rPr>
        <w:footnoteReference w:id="582"/>
      </w:r>
      <w:r>
        <w:rPr>
          <w:rFonts w:ascii="Times New Roman" w:eastAsia="Times New Roman" w:hAnsi="Times New Roman" w:cs="Times New Roman"/>
          <w:color w:val="000000"/>
          <w:sz w:val="24"/>
          <w:szCs w:val="24"/>
        </w:rPr>
        <w:t xml:space="preserve"> and information technology services.</w:t>
      </w:r>
      <w:r>
        <w:rPr>
          <w:rFonts w:ascii="Times New Roman" w:eastAsia="Times New Roman" w:hAnsi="Times New Roman" w:cs="Times New Roman"/>
          <w:color w:val="000000"/>
          <w:sz w:val="24"/>
          <w:szCs w:val="24"/>
          <w:vertAlign w:val="superscript"/>
        </w:rPr>
        <w:footnoteReference w:id="583"/>
      </w:r>
      <w:r>
        <w:rPr>
          <w:rFonts w:ascii="Times New Roman" w:eastAsia="Times New Roman" w:hAnsi="Times New Roman" w:cs="Times New Roman"/>
          <w:color w:val="000000"/>
          <w:sz w:val="24"/>
          <w:szCs w:val="24"/>
        </w:rPr>
        <w:t xml:space="preserve"> The district court in </w:t>
      </w:r>
      <w:r>
        <w:rPr>
          <w:rFonts w:ascii="Times New Roman" w:eastAsia="Times New Roman" w:hAnsi="Times New Roman" w:cs="Times New Roman"/>
          <w:i/>
          <w:color w:val="000000"/>
          <w:sz w:val="24"/>
          <w:szCs w:val="24"/>
        </w:rPr>
        <w:t>Venegas v. Global Aircraft Service,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584"/>
      </w:r>
      <w:r>
        <w:rPr>
          <w:rFonts w:ascii="Times New Roman" w:eastAsia="Times New Roman" w:hAnsi="Times New Roman" w:cs="Times New Roman"/>
          <w:color w:val="000000"/>
          <w:sz w:val="24"/>
          <w:szCs w:val="24"/>
        </w:rPr>
        <w:t xml:space="preserve"> left it for a jury to decide whether metal workers engaged in a long-term restoration project to return an aircraft to airworthy condition were essential to the air carrier’s transportation services, where the aircraft had not flown for at least 10 years and the restoration project had been going on for 7 years. The court concluded that “a jury could reasonably find that the work at issue here is too far removed from regular transportation activities to be covered by the RLA.”</w:t>
      </w:r>
      <w:r>
        <w:rPr>
          <w:rFonts w:ascii="Times New Roman" w:eastAsia="Times New Roman" w:hAnsi="Times New Roman" w:cs="Times New Roman"/>
          <w:color w:val="000000"/>
          <w:sz w:val="24"/>
          <w:szCs w:val="24"/>
          <w:vertAlign w:val="superscript"/>
        </w:rPr>
        <w:footnoteReference w:id="585"/>
      </w:r>
      <w:r>
        <w:rPr>
          <w:rFonts w:ascii="Times New Roman" w:eastAsia="Times New Roman" w:hAnsi="Times New Roman" w:cs="Times New Roman"/>
          <w:color w:val="000000"/>
          <w:sz w:val="24"/>
          <w:szCs w:val="24"/>
        </w:rPr>
        <w:t> </w:t>
      </w:r>
    </w:p>
    <w:p w14:paraId="0000025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NMB’s control test looks at whether an affiliate carrier is directly or indirectly </w:t>
      </w:r>
      <w:r>
        <w:rPr>
          <w:rFonts w:ascii="Times New Roman" w:eastAsia="Times New Roman" w:hAnsi="Times New Roman" w:cs="Times New Roman"/>
          <w:i/>
          <w:color w:val="000000"/>
          <w:sz w:val="24"/>
          <w:szCs w:val="24"/>
        </w:rPr>
        <w:t>controlled by</w:t>
      </w:r>
      <w:r>
        <w:rPr>
          <w:rFonts w:ascii="Times New Roman" w:eastAsia="Times New Roman" w:hAnsi="Times New Roman" w:cs="Times New Roman"/>
          <w:color w:val="000000"/>
          <w:sz w:val="24"/>
          <w:szCs w:val="24"/>
        </w:rPr>
        <w:t xml:space="preserve"> or under common control with a carrier or carriers.</w:t>
      </w:r>
      <w:r>
        <w:rPr>
          <w:rFonts w:ascii="Times New Roman" w:eastAsia="Times New Roman" w:hAnsi="Times New Roman" w:cs="Times New Roman"/>
          <w:color w:val="000000"/>
          <w:sz w:val="24"/>
          <w:szCs w:val="24"/>
          <w:vertAlign w:val="superscript"/>
        </w:rPr>
        <w:footnoteReference w:id="586"/>
      </w:r>
      <w:r>
        <w:rPr>
          <w:rFonts w:ascii="Times New Roman" w:eastAsia="Times New Roman" w:hAnsi="Times New Roman" w:cs="Times New Roman"/>
          <w:color w:val="000000"/>
          <w:sz w:val="24"/>
          <w:szCs w:val="24"/>
        </w:rPr>
        <w:t xml:space="preserve"> In determining whether an entity is controlled by an air carrier, the NMB considers the following factors: </w:t>
      </w:r>
    </w:p>
    <w:p w14:paraId="00000260"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the extent of the carrier’s control over the manner in which the company conducts its business; </w:t>
      </w:r>
    </w:p>
    <w:p w14:paraId="00000261"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the carrier’s access to the company’s operations and records; </w:t>
      </w:r>
    </w:p>
    <w:p w14:paraId="00000262"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the carrier’s role in personnel decisions; </w:t>
      </w:r>
    </w:p>
    <w:p w14:paraId="00000263"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the carrier’s degree of supervision over the company’s employees; </w:t>
      </w:r>
    </w:p>
    <w:p w14:paraId="00000264"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the carrier’s control over employee training;</w:t>
      </w:r>
    </w:p>
    <w:p w14:paraId="00000265"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whether company employees are held out to the public as employees of the carrier; and</w:t>
      </w:r>
    </w:p>
    <w:p w14:paraId="00000266"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the carrier’s role in the company’s daily operations, the company’s employees’ performance of services for the carrier, and the degree to which the carrier affects other conditions of employment.</w:t>
      </w:r>
      <w:r>
        <w:rPr>
          <w:rFonts w:ascii="Times New Roman" w:eastAsia="Times New Roman" w:hAnsi="Times New Roman" w:cs="Times New Roman"/>
          <w:color w:val="000000"/>
          <w:sz w:val="24"/>
          <w:szCs w:val="24"/>
          <w:vertAlign w:val="superscript"/>
        </w:rPr>
        <w:footnoteReference w:id="587"/>
      </w:r>
    </w:p>
    <w:p w14:paraId="00000267"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Cunningham II</w:t>
      </w:r>
      <w:r>
        <w:rPr>
          <w:rFonts w:ascii="Times New Roman" w:eastAsia="Times New Roman" w:hAnsi="Times New Roman" w:cs="Times New Roman"/>
          <w:color w:val="000000"/>
          <w:sz w:val="24"/>
          <w:szCs w:val="24"/>
        </w:rPr>
        <w:t>, the district court observed that “though all of the NMB’s factors remain relevant to the analysis, day-to-day operational control and influence over personnel decisions do much to determine outcomes under the control prong.”</w:t>
      </w:r>
      <w:r>
        <w:rPr>
          <w:rFonts w:ascii="Times New Roman" w:eastAsia="Times New Roman" w:hAnsi="Times New Roman" w:cs="Times New Roman"/>
          <w:color w:val="000000"/>
          <w:sz w:val="24"/>
          <w:szCs w:val="24"/>
          <w:vertAlign w:val="superscript"/>
        </w:rPr>
        <w:footnoteReference w:id="588"/>
      </w:r>
      <w:r>
        <w:rPr>
          <w:rFonts w:ascii="Times New Roman" w:eastAsia="Times New Roman" w:hAnsi="Times New Roman" w:cs="Times New Roman"/>
          <w:color w:val="000000"/>
          <w:sz w:val="24"/>
          <w:szCs w:val="24"/>
        </w:rPr>
        <w:t xml:space="preserve"> </w:t>
      </w:r>
    </w:p>
    <w:p w14:paraId="0000026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The DOL’s enforcement regulation</w:t>
      </w:r>
      <w:r>
        <w:rPr>
          <w:rFonts w:ascii="Times New Roman" w:eastAsia="Times New Roman" w:hAnsi="Times New Roman" w:cs="Times New Roman"/>
          <w:color w:val="000000"/>
          <w:sz w:val="24"/>
          <w:szCs w:val="24"/>
          <w:vertAlign w:val="superscript"/>
        </w:rPr>
        <w:footnoteReference w:id="589"/>
      </w:r>
      <w:r>
        <w:rPr>
          <w:rFonts w:ascii="Times New Roman" w:eastAsia="Times New Roman" w:hAnsi="Times New Roman" w:cs="Times New Roman"/>
          <w:color w:val="000000"/>
          <w:sz w:val="24"/>
          <w:szCs w:val="24"/>
        </w:rPr>
        <w:t xml:space="preserve"> requires that eligible employees perform exempt work during a substantial part of their workweek. If an employee performs nonexempt work for more than 20 percent of the workweek, the employee will not qualify for the exemption.</w:t>
      </w:r>
      <w:r>
        <w:rPr>
          <w:rFonts w:ascii="Times New Roman" w:eastAsia="Times New Roman" w:hAnsi="Times New Roman" w:cs="Times New Roman"/>
          <w:color w:val="000000"/>
          <w:sz w:val="24"/>
          <w:szCs w:val="24"/>
          <w:vertAlign w:val="superscript"/>
        </w:rPr>
        <w:footnoteReference w:id="590"/>
      </w:r>
      <w:r>
        <w:rPr>
          <w:rFonts w:ascii="Times New Roman" w:eastAsia="Times New Roman" w:hAnsi="Times New Roman" w:cs="Times New Roman"/>
          <w:color w:val="000000"/>
          <w:sz w:val="24"/>
          <w:szCs w:val="24"/>
        </w:rPr>
        <w:t xml:space="preserve"> The exemption applies only when the employee’s activities bear a reasonably close relationship to the exempt type of transportation activities that bring the employer’s operation under Title II of the RLA.</w:t>
      </w:r>
      <w:r>
        <w:rPr>
          <w:rFonts w:ascii="Times New Roman" w:eastAsia="Times New Roman" w:hAnsi="Times New Roman" w:cs="Times New Roman"/>
          <w:color w:val="000000"/>
          <w:sz w:val="24"/>
          <w:szCs w:val="24"/>
          <w:vertAlign w:val="superscript"/>
        </w:rPr>
        <w:footnoteReference w:id="591"/>
      </w:r>
    </w:p>
    <w:p w14:paraId="00000269"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b/>
          <w:color w:val="000000"/>
          <w:sz w:val="24"/>
          <w:szCs w:val="24"/>
        </w:rPr>
        <w:tab/>
        <w:t xml:space="preserve">Employees Employed as Seamen </w:t>
      </w:r>
    </w:p>
    <w:p w14:paraId="0000026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Under Section 213(b)(6) the overtime requirements of the FLSA do not apply to “any employee employed as a seaman.”</w:t>
      </w:r>
      <w:r>
        <w:rPr>
          <w:rFonts w:ascii="Times New Roman" w:eastAsia="Times New Roman" w:hAnsi="Times New Roman" w:cs="Times New Roman"/>
          <w:color w:val="000000"/>
          <w:sz w:val="24"/>
          <w:szCs w:val="24"/>
          <w:vertAlign w:val="superscript"/>
        </w:rPr>
        <w:footnoteReference w:id="592"/>
      </w:r>
    </w:p>
    <w:p w14:paraId="0000026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In 1973,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issued guidelines on the Section 213(b)(6) and Section 213(a)(12) exemptions.</w:t>
      </w:r>
      <w:r>
        <w:rPr>
          <w:rFonts w:ascii="Times New Roman" w:eastAsia="Times New Roman" w:hAnsi="Times New Roman" w:cs="Times New Roman"/>
          <w:color w:val="000000"/>
          <w:sz w:val="24"/>
          <w:szCs w:val="24"/>
          <w:vertAlign w:val="superscript"/>
        </w:rPr>
        <w:footnoteReference w:id="593"/>
      </w:r>
      <w:r>
        <w:rPr>
          <w:rFonts w:ascii="Times New Roman" w:eastAsia="Times New Roman" w:hAnsi="Times New Roman" w:cs="Times New Roman"/>
          <w:color w:val="000000"/>
          <w:sz w:val="24"/>
          <w:szCs w:val="24"/>
        </w:rPr>
        <w:t xml:space="preserve"> In addition, the DOL issued regulations covering both exemptions.</w:t>
      </w:r>
      <w:r>
        <w:rPr>
          <w:rFonts w:ascii="Times New Roman" w:eastAsia="Times New Roman" w:hAnsi="Times New Roman" w:cs="Times New Roman"/>
          <w:color w:val="000000"/>
          <w:sz w:val="24"/>
          <w:szCs w:val="24"/>
          <w:vertAlign w:val="superscript"/>
        </w:rPr>
        <w:footnoteReference w:id="594"/>
      </w:r>
      <w:r>
        <w:rPr>
          <w:rFonts w:ascii="Times New Roman" w:eastAsia="Times New Roman" w:hAnsi="Times New Roman" w:cs="Times New Roman"/>
          <w:color w:val="000000"/>
          <w:sz w:val="24"/>
          <w:szCs w:val="24"/>
        </w:rPr>
        <w:t xml:space="preserve"> According to the regulations, the key words to understanding the meaning of both of these exemptions are “employed as a seaman” and “vessel.”</w:t>
      </w:r>
      <w:r>
        <w:rPr>
          <w:rFonts w:ascii="Times New Roman" w:eastAsia="Times New Roman" w:hAnsi="Times New Roman" w:cs="Times New Roman"/>
          <w:color w:val="000000"/>
          <w:sz w:val="24"/>
          <w:szCs w:val="24"/>
          <w:vertAlign w:val="superscript"/>
        </w:rPr>
        <w:footnoteReference w:id="595"/>
      </w:r>
      <w:r>
        <w:rPr>
          <w:rFonts w:ascii="Times New Roman" w:eastAsia="Times New Roman" w:hAnsi="Times New Roman" w:cs="Times New Roman"/>
          <w:color w:val="000000"/>
          <w:sz w:val="24"/>
          <w:szCs w:val="24"/>
        </w:rPr>
        <w:t xml:space="preserve"> The terms “seaman” and “vessel” have the same meaning for purposes of both Section 213(b)(6) and Section 213(a)(12).</w:t>
      </w:r>
      <w:r>
        <w:rPr>
          <w:rFonts w:ascii="Times New Roman" w:eastAsia="Times New Roman" w:hAnsi="Times New Roman" w:cs="Times New Roman"/>
          <w:color w:val="000000"/>
          <w:sz w:val="24"/>
          <w:szCs w:val="24"/>
          <w:vertAlign w:val="superscript"/>
        </w:rPr>
        <w:footnoteReference w:id="596"/>
      </w:r>
      <w:r>
        <w:rPr>
          <w:rFonts w:ascii="Times New Roman" w:eastAsia="Times New Roman" w:hAnsi="Times New Roman" w:cs="Times New Roman"/>
          <w:color w:val="000000"/>
          <w:sz w:val="24"/>
          <w:szCs w:val="24"/>
        </w:rPr>
        <w:t xml:space="preserve"> </w:t>
      </w:r>
    </w:p>
    <w:p w14:paraId="0000026C"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w:t>
      </w:r>
      <w:r>
        <w:rPr>
          <w:rFonts w:ascii="Times New Roman" w:eastAsia="Times New Roman" w:hAnsi="Times New Roman" w:cs="Times New Roman"/>
          <w:b/>
          <w:i/>
          <w:color w:val="000000"/>
          <w:sz w:val="24"/>
          <w:szCs w:val="24"/>
        </w:rPr>
        <w:tab/>
        <w:t>“Seaman”</w:t>
      </w:r>
    </w:p>
    <w:p w14:paraId="0000026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FLSA does not define the phrase “employed as a seaman.” However, the regulations set forth the following criteria for the exemption:</w:t>
      </w:r>
    </w:p>
    <w:p w14:paraId="0000026E"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 xml:space="preserve">An employee will ordinarily be regarded as “employed as a seaman” if he performs, as master or subject to authority, direction, and control of the master aboard a vessel, service which is rendered primarily as an aid in the operation of such vessel as a means of transportation, provided he performs no substantial amount of </w:t>
      </w:r>
      <w:r>
        <w:rPr>
          <w:rFonts w:ascii="Times New Roman" w:eastAsia="Times New Roman" w:hAnsi="Times New Roman" w:cs="Times New Roman"/>
          <w:color w:val="000000"/>
          <w:sz w:val="20"/>
          <w:szCs w:val="20"/>
        </w:rPr>
        <w:lastRenderedPageBreak/>
        <w:t>work of a different character. This is true with respect to vessels navigating inland waters as well as ocean going and coastal vessels.</w:t>
      </w:r>
      <w:r>
        <w:rPr>
          <w:rFonts w:ascii="Times New Roman" w:eastAsia="Times New Roman" w:hAnsi="Times New Roman" w:cs="Times New Roman"/>
          <w:color w:val="000000"/>
          <w:sz w:val="20"/>
          <w:szCs w:val="20"/>
          <w:vertAlign w:val="superscript"/>
        </w:rPr>
        <w:footnoteReference w:id="597"/>
      </w:r>
    </w:p>
    <w:p w14:paraId="0000026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regulations further provide:</w:t>
      </w:r>
    </w:p>
    <w:p w14:paraId="0000027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The term “seaman” includes members of the crew such as sailors, engineers, radio operators, firemen, pursers, surgeons, cooks, and stewards if, as is the usual case, their service is of the type described in §783.31. … However, an employee does not lose his status as a seaman simply because, as incident to such employment, he performs some work not connected with operation of the vessel as a means of transportation, such as assisting in the loading or unloading of freight at the beginning or end of a voyage, if the amount of such work is not substantial.</w:t>
      </w:r>
      <w:r>
        <w:rPr>
          <w:rFonts w:ascii="Times New Roman" w:eastAsia="Times New Roman" w:hAnsi="Times New Roman" w:cs="Times New Roman"/>
          <w:color w:val="000000"/>
          <w:sz w:val="20"/>
          <w:szCs w:val="20"/>
          <w:vertAlign w:val="superscript"/>
        </w:rPr>
        <w:footnoteReference w:id="598"/>
      </w:r>
    </w:p>
    <w:p w14:paraId="0000027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An employee does not qualify as a seaman merely by working on a vessel,</w:t>
      </w:r>
      <w:r>
        <w:rPr>
          <w:rFonts w:ascii="Times New Roman" w:eastAsia="Times New Roman" w:hAnsi="Times New Roman" w:cs="Times New Roman"/>
          <w:color w:val="000000"/>
          <w:sz w:val="24"/>
          <w:szCs w:val="24"/>
          <w:vertAlign w:val="superscript"/>
        </w:rPr>
        <w:footnoteReference w:id="599"/>
      </w:r>
      <w:r>
        <w:rPr>
          <w:rFonts w:ascii="Times New Roman" w:eastAsia="Times New Roman" w:hAnsi="Times New Roman" w:cs="Times New Roman"/>
          <w:color w:val="000000"/>
          <w:sz w:val="24"/>
          <w:szCs w:val="24"/>
        </w:rPr>
        <w:t xml:space="preserve"> performing a job titled “seaman,”</w:t>
      </w:r>
      <w:r>
        <w:rPr>
          <w:rFonts w:ascii="Times New Roman" w:eastAsia="Times New Roman" w:hAnsi="Times New Roman" w:cs="Times New Roman"/>
          <w:color w:val="000000"/>
          <w:sz w:val="24"/>
          <w:szCs w:val="24"/>
          <w:vertAlign w:val="superscript"/>
        </w:rPr>
        <w:footnoteReference w:id="600"/>
      </w:r>
      <w:r>
        <w:rPr>
          <w:rFonts w:ascii="Times New Roman" w:eastAsia="Times New Roman" w:hAnsi="Times New Roman" w:cs="Times New Roman"/>
          <w:color w:val="000000"/>
          <w:sz w:val="24"/>
          <w:szCs w:val="24"/>
        </w:rPr>
        <w:t xml:space="preserve"> being licensed as a “seaman,”</w:t>
      </w:r>
      <w:r>
        <w:rPr>
          <w:rFonts w:ascii="Times New Roman" w:eastAsia="Times New Roman" w:hAnsi="Times New Roman" w:cs="Times New Roman"/>
          <w:color w:val="000000"/>
          <w:sz w:val="24"/>
          <w:szCs w:val="24"/>
          <w:vertAlign w:val="superscript"/>
        </w:rPr>
        <w:footnoteReference w:id="601"/>
      </w:r>
      <w:r>
        <w:rPr>
          <w:rFonts w:ascii="Times New Roman" w:eastAsia="Times New Roman" w:hAnsi="Times New Roman" w:cs="Times New Roman"/>
          <w:color w:val="000000"/>
          <w:sz w:val="24"/>
          <w:szCs w:val="24"/>
        </w:rPr>
        <w:t xml:space="preserve"> or performing limited maritime duties.</w:t>
      </w:r>
      <w:r>
        <w:rPr>
          <w:rFonts w:ascii="Times New Roman" w:eastAsia="Times New Roman" w:hAnsi="Times New Roman" w:cs="Times New Roman"/>
          <w:color w:val="000000"/>
          <w:sz w:val="24"/>
          <w:szCs w:val="24"/>
          <w:vertAlign w:val="superscript"/>
        </w:rPr>
        <w:footnoteReference w:id="602"/>
      </w:r>
      <w:r>
        <w:rPr>
          <w:rFonts w:ascii="Times New Roman" w:eastAsia="Times New Roman" w:hAnsi="Times New Roman" w:cs="Times New Roman"/>
          <w:color w:val="000000"/>
          <w:sz w:val="24"/>
          <w:szCs w:val="24"/>
        </w:rPr>
        <w:t xml:space="preserve"> Rather, it is an employee’s primary duties that determine exempt status.</w:t>
      </w:r>
      <w:r>
        <w:rPr>
          <w:rFonts w:ascii="Times New Roman" w:eastAsia="Times New Roman" w:hAnsi="Times New Roman" w:cs="Times New Roman"/>
          <w:color w:val="000000"/>
          <w:sz w:val="24"/>
          <w:szCs w:val="24"/>
          <w:vertAlign w:val="superscript"/>
        </w:rPr>
        <w:footnoteReference w:id="603"/>
      </w:r>
      <w:r>
        <w:rPr>
          <w:rFonts w:ascii="Times New Roman" w:eastAsia="Times New Roman" w:hAnsi="Times New Roman" w:cs="Times New Roman"/>
          <w:color w:val="000000"/>
          <w:sz w:val="24"/>
          <w:szCs w:val="24"/>
        </w:rPr>
        <w:t xml:space="preserve"> Courts have been accustomed to applying the Jones Act’s</w:t>
      </w:r>
      <w:r>
        <w:rPr>
          <w:rFonts w:ascii="Times New Roman" w:eastAsia="Times New Roman" w:hAnsi="Times New Roman" w:cs="Times New Roman"/>
          <w:color w:val="000000"/>
          <w:sz w:val="24"/>
          <w:szCs w:val="24"/>
          <w:vertAlign w:val="superscript"/>
        </w:rPr>
        <w:footnoteReference w:id="604"/>
      </w:r>
      <w:r>
        <w:rPr>
          <w:rFonts w:ascii="Times New Roman" w:eastAsia="Times New Roman" w:hAnsi="Times New Roman" w:cs="Times New Roman"/>
          <w:color w:val="000000"/>
          <w:sz w:val="24"/>
          <w:szCs w:val="24"/>
        </w:rPr>
        <w:t xml:space="preserve"> expansive definition of the term “seaman” as applicable to claims brought by an injured seaman.</w:t>
      </w:r>
      <w:r>
        <w:rPr>
          <w:rFonts w:ascii="Times New Roman" w:eastAsia="Times New Roman" w:hAnsi="Times New Roman" w:cs="Times New Roman"/>
          <w:color w:val="000000"/>
          <w:sz w:val="24"/>
          <w:szCs w:val="24"/>
          <w:vertAlign w:val="superscript"/>
        </w:rPr>
        <w:footnoteReference w:id="605"/>
      </w:r>
      <w:r>
        <w:rPr>
          <w:rFonts w:ascii="Times New Roman" w:eastAsia="Times New Roman" w:hAnsi="Times New Roman" w:cs="Times New Roman"/>
          <w:color w:val="000000"/>
          <w:sz w:val="24"/>
          <w:szCs w:val="24"/>
        </w:rPr>
        <w:t xml:space="preserve"> “The definition of seaman under the Jones Act is limited to that Act and its remedial goals. In contrast, the remedial goals of the Fair Labor Standards Act lead us to read narrowly its exemptions, including the definition of ‘seaman.’”</w:t>
      </w:r>
      <w:r>
        <w:rPr>
          <w:rFonts w:ascii="Times New Roman" w:eastAsia="Times New Roman" w:hAnsi="Times New Roman" w:cs="Times New Roman"/>
          <w:color w:val="000000"/>
          <w:sz w:val="24"/>
          <w:szCs w:val="24"/>
          <w:vertAlign w:val="superscript"/>
        </w:rPr>
        <w:footnoteReference w:id="606"/>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For FLSA purposes, courts include under the definition of “seaman” only those workers employed primarily to assist in the operation of a vessel for transportation.</w:t>
      </w:r>
      <w:r>
        <w:rPr>
          <w:rFonts w:ascii="Times New Roman" w:eastAsia="Times New Roman" w:hAnsi="Times New Roman" w:cs="Times New Roman"/>
          <w:color w:val="000000"/>
          <w:sz w:val="24"/>
          <w:szCs w:val="24"/>
          <w:vertAlign w:val="superscript"/>
        </w:rPr>
        <w:footnoteReference w:id="607"/>
      </w:r>
    </w:p>
    <w:p w14:paraId="0000027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The character of the work an employee actually performs, not the employee’s job title, classification, or the place where the work is performed is key to the determination of exempt status.</w:t>
      </w:r>
      <w:r>
        <w:rPr>
          <w:rFonts w:ascii="Times New Roman" w:eastAsia="Times New Roman" w:hAnsi="Times New Roman" w:cs="Times New Roman"/>
          <w:color w:val="000000"/>
          <w:sz w:val="24"/>
          <w:szCs w:val="24"/>
          <w:vertAlign w:val="superscript"/>
        </w:rPr>
        <w:footnoteReference w:id="608"/>
      </w:r>
      <w:r>
        <w:rPr>
          <w:rFonts w:ascii="Times New Roman" w:eastAsia="Times New Roman" w:hAnsi="Times New Roman" w:cs="Times New Roman"/>
          <w:color w:val="000000"/>
          <w:sz w:val="24"/>
          <w:szCs w:val="24"/>
        </w:rPr>
        <w:t xml:space="preserve"> For example, an exempt seaman could be a pilot, navigator, sailor, captain, engineer, radio operator, firefighter, purser, surgeon, cook, steward, apprentice pilot, or deck hand, as long as the employee’s primary duties are to aid in vessel transportation operations.</w:t>
      </w:r>
      <w:r>
        <w:rPr>
          <w:rFonts w:ascii="Times New Roman" w:eastAsia="Times New Roman" w:hAnsi="Times New Roman" w:cs="Times New Roman"/>
          <w:color w:val="000000"/>
          <w:sz w:val="24"/>
          <w:szCs w:val="24"/>
          <w:vertAlign w:val="superscript"/>
        </w:rPr>
        <w:footnoteReference w:id="609"/>
      </w:r>
      <w:r>
        <w:rPr>
          <w:rFonts w:ascii="Times New Roman" w:eastAsia="Times New Roman" w:hAnsi="Times New Roman" w:cs="Times New Roman"/>
          <w:color w:val="000000"/>
          <w:sz w:val="24"/>
          <w:szCs w:val="24"/>
        </w:rPr>
        <w:t xml:space="preserve"> The term “seaman” also encompasses relief officers or engineers who exercise an absent master’s authority to maintain the ship in port in safe and operational condition or to maintain the vessel’s auxiliary machinery in operation and repair.</w:t>
      </w:r>
      <w:r>
        <w:rPr>
          <w:rFonts w:ascii="Times New Roman" w:eastAsia="Times New Roman" w:hAnsi="Times New Roman" w:cs="Times New Roman"/>
          <w:color w:val="000000"/>
          <w:sz w:val="24"/>
          <w:szCs w:val="24"/>
          <w:vertAlign w:val="superscript"/>
        </w:rPr>
        <w:footnoteReference w:id="610"/>
      </w:r>
      <w:r>
        <w:rPr>
          <w:rFonts w:ascii="Times New Roman" w:eastAsia="Times New Roman" w:hAnsi="Times New Roman" w:cs="Times New Roman"/>
          <w:color w:val="000000"/>
          <w:sz w:val="24"/>
          <w:szCs w:val="24"/>
        </w:rPr>
        <w:t xml:space="preserve"> Likewise, barge tenders and deck scow captains who attend to the lines and anchors, put out fenders, display running and mooring lights, supervise cargo placement for vessel stability, pump out bilge water, and perform other similar activities that are necessary and usual to barge and scow navigation qualify as seamen.</w:t>
      </w:r>
      <w:r>
        <w:rPr>
          <w:rFonts w:ascii="Times New Roman" w:eastAsia="Times New Roman" w:hAnsi="Times New Roman" w:cs="Times New Roman"/>
          <w:color w:val="000000"/>
          <w:sz w:val="24"/>
          <w:szCs w:val="24"/>
          <w:vertAlign w:val="superscript"/>
        </w:rPr>
        <w:footnoteReference w:id="611"/>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However, the seaman exemption generally does not apply to employees performing predominantly industrial work, such as dredging or mining, as opposed to work rendered primarily in aid of the operation of the vessel as a means of transportation.</w:t>
      </w:r>
      <w:r>
        <w:rPr>
          <w:rFonts w:ascii="Times New Roman" w:eastAsia="Times New Roman" w:hAnsi="Times New Roman" w:cs="Times New Roman"/>
          <w:color w:val="000000"/>
          <w:sz w:val="24"/>
          <w:szCs w:val="24"/>
          <w:vertAlign w:val="superscript"/>
        </w:rPr>
        <w:footnoteReference w:id="612"/>
      </w:r>
    </w:p>
    <w:p w14:paraId="0000027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exemption does not apply where “a person employed on a ship was engaged in activities that had no maritime tincture whatever; an example would be a waiter employed on a cruise ship to serve meals to the passengers at regular hours.”</w:t>
      </w:r>
      <w:r>
        <w:rPr>
          <w:rFonts w:ascii="Times New Roman" w:eastAsia="Times New Roman" w:hAnsi="Times New Roman" w:cs="Times New Roman"/>
          <w:color w:val="000000"/>
          <w:sz w:val="24"/>
          <w:szCs w:val="24"/>
          <w:vertAlign w:val="superscript"/>
        </w:rPr>
        <w:footnoteReference w:id="613"/>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Priyanto v. M/S Amsterdam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614"/>
      </w:r>
      <w:r>
        <w:rPr>
          <w:rFonts w:ascii="Times New Roman" w:eastAsia="Times New Roman" w:hAnsi="Times New Roman" w:cs="Times New Roman"/>
          <w:color w:val="000000"/>
          <w:sz w:val="24"/>
          <w:szCs w:val="24"/>
        </w:rPr>
        <w:t xml:space="preserve"> the court found that state room cleaners on a cruise ship were “like waiters, in that they do not perform a ‘service which is rendered primarily as an aid in the operation of the vessels upon which they work. Rather, they perform the same tasks that hotel housekeeping staff would perform in a land-based hotel.’”</w:t>
      </w:r>
      <w:r>
        <w:rPr>
          <w:rFonts w:ascii="Times New Roman" w:eastAsia="Times New Roman" w:hAnsi="Times New Roman" w:cs="Times New Roman"/>
          <w:color w:val="000000"/>
          <w:sz w:val="24"/>
          <w:szCs w:val="24"/>
          <w:vertAlign w:val="superscript"/>
        </w:rPr>
        <w:footnoteReference w:id="615"/>
      </w:r>
      <w:r>
        <w:rPr>
          <w:rFonts w:ascii="Times New Roman" w:eastAsia="Times New Roman" w:hAnsi="Times New Roman" w:cs="Times New Roman"/>
          <w:color w:val="000000"/>
          <w:sz w:val="24"/>
          <w:szCs w:val="24"/>
        </w:rPr>
        <w:t xml:space="preserve"> As such, they do not fall under the “seaman” exemption.</w:t>
      </w:r>
    </w:p>
    <w:p w14:paraId="0000027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Seamen generally do not become nonexempt merely because they perform some work unconnected with vessel transportation operations, such as pre- or post-voyage freight loading or unloading,</w:t>
      </w:r>
      <w:r>
        <w:rPr>
          <w:rFonts w:ascii="Times New Roman" w:eastAsia="Times New Roman" w:hAnsi="Times New Roman" w:cs="Times New Roman"/>
          <w:color w:val="000000"/>
          <w:sz w:val="24"/>
          <w:szCs w:val="24"/>
          <w:vertAlign w:val="superscript"/>
        </w:rPr>
        <w:footnoteReference w:id="616"/>
      </w:r>
      <w:r>
        <w:rPr>
          <w:rFonts w:ascii="Times New Roman" w:eastAsia="Times New Roman" w:hAnsi="Times New Roman" w:cs="Times New Roman"/>
          <w:color w:val="000000"/>
          <w:sz w:val="24"/>
          <w:szCs w:val="24"/>
        </w:rPr>
        <w:t xml:space="preserve"> watchman-related services during temporary port stays,</w:t>
      </w:r>
      <w:r>
        <w:rPr>
          <w:rFonts w:ascii="Times New Roman" w:eastAsia="Times New Roman" w:hAnsi="Times New Roman" w:cs="Times New Roman"/>
          <w:color w:val="000000"/>
          <w:sz w:val="24"/>
          <w:szCs w:val="24"/>
          <w:vertAlign w:val="superscript"/>
        </w:rPr>
        <w:footnoteReference w:id="617"/>
      </w:r>
      <w:r>
        <w:rPr>
          <w:rFonts w:ascii="Times New Roman" w:eastAsia="Times New Roman" w:hAnsi="Times New Roman" w:cs="Times New Roman"/>
          <w:color w:val="000000"/>
          <w:sz w:val="24"/>
          <w:szCs w:val="24"/>
        </w:rPr>
        <w:t xml:space="preserve"> or fishing duties.</w:t>
      </w:r>
      <w:r>
        <w:rPr>
          <w:rFonts w:ascii="Times New Roman" w:eastAsia="Times New Roman" w:hAnsi="Times New Roman" w:cs="Times New Roman"/>
          <w:color w:val="000000"/>
          <w:sz w:val="24"/>
          <w:szCs w:val="24"/>
          <w:vertAlign w:val="superscript"/>
        </w:rPr>
        <w:footnoteReference w:id="618"/>
      </w:r>
      <w:r>
        <w:rPr>
          <w:rFonts w:ascii="Times New Roman" w:eastAsia="Times New Roman" w:hAnsi="Times New Roman" w:cs="Times New Roman"/>
          <w:color w:val="000000"/>
          <w:sz w:val="24"/>
          <w:szCs w:val="24"/>
        </w:rPr>
        <w:t xml:space="preserve"> However, a worker loses exempt status if he or she performs a “substantial” amount of “nonseaman’s work” during any particular workweek.</w:t>
      </w:r>
      <w:r>
        <w:rPr>
          <w:rFonts w:ascii="Times New Roman" w:eastAsia="Times New Roman" w:hAnsi="Times New Roman" w:cs="Times New Roman"/>
          <w:color w:val="000000"/>
          <w:sz w:val="24"/>
          <w:szCs w:val="24"/>
          <w:vertAlign w:val="superscript"/>
        </w:rPr>
        <w:footnoteReference w:id="619"/>
      </w:r>
      <w:r>
        <w:rPr>
          <w:rFonts w:ascii="Times New Roman" w:eastAsia="Times New Roman" w:hAnsi="Times New Roman" w:cs="Times New Roman"/>
          <w:color w:val="000000"/>
          <w:sz w:val="24"/>
          <w:szCs w:val="24"/>
        </w:rPr>
        <w:t xml:space="preserve"> For the DOL’s enforcement purposes, </w:t>
      </w:r>
      <w:r>
        <w:rPr>
          <w:rFonts w:ascii="Times New Roman" w:eastAsia="Times New Roman" w:hAnsi="Times New Roman" w:cs="Times New Roman"/>
          <w:color w:val="000000"/>
          <w:sz w:val="24"/>
          <w:szCs w:val="24"/>
        </w:rPr>
        <w:lastRenderedPageBreak/>
        <w:t>“substantial” means more than 20 percent of a seaman’s services.</w:t>
      </w:r>
      <w:r>
        <w:rPr>
          <w:rFonts w:ascii="Times New Roman" w:eastAsia="Times New Roman" w:hAnsi="Times New Roman" w:cs="Times New Roman"/>
          <w:color w:val="000000"/>
          <w:sz w:val="24"/>
          <w:szCs w:val="24"/>
          <w:vertAlign w:val="superscript"/>
        </w:rPr>
        <w:footnoteReference w:id="620"/>
      </w:r>
      <w:r>
        <w:rPr>
          <w:rFonts w:ascii="Times New Roman" w:eastAsia="Times New Roman" w:hAnsi="Times New Roman" w:cs="Times New Roman"/>
          <w:color w:val="000000"/>
          <w:sz w:val="24"/>
          <w:szCs w:val="24"/>
        </w:rPr>
        <w:t xml:space="preserve"> Not all courts have applied this 20 percent rule. For example, the Seventh Circuit employs a presumption that a seaman under the Jones Act is a seaman under the FLSA.</w:t>
      </w:r>
      <w:r>
        <w:rPr>
          <w:rFonts w:ascii="Times New Roman" w:eastAsia="Times New Roman" w:hAnsi="Times New Roman" w:cs="Times New Roman"/>
          <w:color w:val="000000"/>
          <w:sz w:val="24"/>
          <w:szCs w:val="24"/>
          <w:vertAlign w:val="superscript"/>
        </w:rPr>
        <w:footnoteReference w:id="621"/>
      </w:r>
      <w:r>
        <w:rPr>
          <w:rFonts w:ascii="Times New Roman" w:eastAsia="Times New Roman" w:hAnsi="Times New Roman" w:cs="Times New Roman"/>
          <w:color w:val="000000"/>
          <w:sz w:val="24"/>
          <w:szCs w:val="24"/>
        </w:rPr>
        <w:t xml:space="preserve"> However, other courts have embraced the 20 percent rule but do not apply the rule in a strict, mechanical fashion.</w:t>
      </w:r>
      <w:r>
        <w:rPr>
          <w:rFonts w:ascii="Times New Roman" w:eastAsia="Times New Roman" w:hAnsi="Times New Roman" w:cs="Times New Roman"/>
          <w:color w:val="000000"/>
          <w:sz w:val="24"/>
          <w:szCs w:val="24"/>
          <w:vertAlign w:val="superscript"/>
        </w:rPr>
        <w:footnoteReference w:id="622"/>
      </w:r>
    </w:p>
    <w:p w14:paraId="0000027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According to the DOL, the seaman exemption is inapplicable to stevedores, longshoremen, and others employed primarily for loading and unloading, even if they travel on the vessel or barge and perform incidental maritime services.</w:t>
      </w:r>
      <w:r>
        <w:rPr>
          <w:rFonts w:ascii="Times New Roman" w:eastAsia="Times New Roman" w:hAnsi="Times New Roman" w:cs="Times New Roman"/>
          <w:color w:val="000000"/>
          <w:sz w:val="24"/>
          <w:szCs w:val="24"/>
          <w:vertAlign w:val="superscript"/>
        </w:rPr>
        <w:footnoteReference w:id="623"/>
      </w:r>
      <w:r>
        <w:rPr>
          <w:rFonts w:ascii="Times New Roman" w:eastAsia="Times New Roman" w:hAnsi="Times New Roman" w:cs="Times New Roman"/>
          <w:color w:val="000000"/>
          <w:sz w:val="24"/>
          <w:szCs w:val="24"/>
        </w:rPr>
        <w:t xml:space="preserve"> Employees who repair vessels between trips,</w:t>
      </w:r>
      <w:r>
        <w:rPr>
          <w:rFonts w:ascii="Times New Roman" w:eastAsia="Times New Roman" w:hAnsi="Times New Roman" w:cs="Times New Roman"/>
          <w:color w:val="000000"/>
          <w:sz w:val="24"/>
          <w:szCs w:val="24"/>
          <w:vertAlign w:val="superscript"/>
        </w:rPr>
        <w:footnoteReference w:id="624"/>
      </w:r>
      <w:r>
        <w:rPr>
          <w:rFonts w:ascii="Times New Roman" w:eastAsia="Times New Roman" w:hAnsi="Times New Roman" w:cs="Times New Roman"/>
          <w:color w:val="000000"/>
          <w:sz w:val="24"/>
          <w:szCs w:val="24"/>
        </w:rPr>
        <w:t xml:space="preserve"> render watchman services during lengthy port stays,</w:t>
      </w:r>
      <w:r>
        <w:rPr>
          <w:rFonts w:ascii="Times New Roman" w:eastAsia="Times New Roman" w:hAnsi="Times New Roman" w:cs="Times New Roman"/>
          <w:color w:val="000000"/>
          <w:sz w:val="24"/>
          <w:szCs w:val="24"/>
          <w:vertAlign w:val="superscript"/>
        </w:rPr>
        <w:footnoteReference w:id="625"/>
      </w:r>
      <w:r>
        <w:rPr>
          <w:rFonts w:ascii="Times New Roman" w:eastAsia="Times New Roman" w:hAnsi="Times New Roman" w:cs="Times New Roman"/>
          <w:color w:val="000000"/>
          <w:sz w:val="24"/>
          <w:szCs w:val="24"/>
        </w:rPr>
        <w:t xml:space="preserve"> or protect oil platforms from barge damage</w:t>
      </w:r>
      <w:r>
        <w:rPr>
          <w:rFonts w:ascii="Times New Roman" w:eastAsia="Times New Roman" w:hAnsi="Times New Roman" w:cs="Times New Roman"/>
          <w:color w:val="000000"/>
          <w:sz w:val="24"/>
          <w:szCs w:val="24"/>
          <w:vertAlign w:val="superscript"/>
        </w:rPr>
        <w:footnoteReference w:id="626"/>
      </w:r>
      <w:r>
        <w:rPr>
          <w:rFonts w:ascii="Times New Roman" w:eastAsia="Times New Roman" w:hAnsi="Times New Roman" w:cs="Times New Roman"/>
          <w:color w:val="000000"/>
          <w:sz w:val="24"/>
          <w:szCs w:val="24"/>
        </w:rPr>
        <w:t xml:space="preserve"> are also generally deemed not to qualify as seamen while performing such </w:t>
      </w:r>
      <w:r>
        <w:rPr>
          <w:rFonts w:ascii="Times New Roman" w:eastAsia="Times New Roman" w:hAnsi="Times New Roman" w:cs="Times New Roman"/>
          <w:color w:val="000000"/>
          <w:sz w:val="24"/>
          <w:szCs w:val="24"/>
        </w:rPr>
        <w:lastRenderedPageBreak/>
        <w:t>tasks. Likewise, courts have held that employees principally engaged in industrial work such as dredging;</w:t>
      </w:r>
      <w:r>
        <w:rPr>
          <w:rFonts w:ascii="Times New Roman" w:eastAsia="Times New Roman" w:hAnsi="Times New Roman" w:cs="Times New Roman"/>
          <w:color w:val="000000"/>
          <w:sz w:val="24"/>
          <w:szCs w:val="24"/>
          <w:vertAlign w:val="superscript"/>
        </w:rPr>
        <w:footnoteReference w:id="627"/>
      </w:r>
      <w:r>
        <w:rPr>
          <w:rFonts w:ascii="Times New Roman" w:eastAsia="Times New Roman" w:hAnsi="Times New Roman" w:cs="Times New Roman"/>
          <w:color w:val="000000"/>
          <w:sz w:val="24"/>
          <w:szCs w:val="24"/>
        </w:rPr>
        <w:t xml:space="preserve"> forestry or lumbering operations;</w:t>
      </w:r>
      <w:r>
        <w:rPr>
          <w:rFonts w:ascii="Times New Roman" w:eastAsia="Times New Roman" w:hAnsi="Times New Roman" w:cs="Times New Roman"/>
          <w:color w:val="000000"/>
          <w:sz w:val="24"/>
          <w:szCs w:val="24"/>
          <w:vertAlign w:val="superscript"/>
        </w:rPr>
        <w:footnoteReference w:id="628"/>
      </w:r>
      <w:r>
        <w:rPr>
          <w:rFonts w:ascii="Times New Roman" w:eastAsia="Times New Roman" w:hAnsi="Times New Roman" w:cs="Times New Roman"/>
          <w:color w:val="000000"/>
          <w:sz w:val="24"/>
          <w:szCs w:val="24"/>
        </w:rPr>
        <w:t xml:space="preserve"> or construction-related work such as dock, levee, or structure building</w:t>
      </w:r>
      <w:r>
        <w:rPr>
          <w:rFonts w:ascii="Times New Roman" w:eastAsia="Times New Roman" w:hAnsi="Times New Roman" w:cs="Times New Roman"/>
          <w:color w:val="000000"/>
          <w:sz w:val="24"/>
          <w:szCs w:val="24"/>
          <w:vertAlign w:val="superscript"/>
        </w:rPr>
        <w:footnoteReference w:id="629"/>
      </w:r>
      <w:r>
        <w:rPr>
          <w:rFonts w:ascii="Times New Roman" w:eastAsia="Times New Roman" w:hAnsi="Times New Roman" w:cs="Times New Roman"/>
          <w:color w:val="000000"/>
          <w:sz w:val="24"/>
          <w:szCs w:val="24"/>
        </w:rPr>
        <w:t xml:space="preserve"> do not qualify for the exemption. Other employees who perform substantial non-maritime work also do not meet the requirements for the exemption.</w:t>
      </w:r>
      <w:r>
        <w:rPr>
          <w:rFonts w:ascii="Times New Roman" w:eastAsia="Times New Roman" w:hAnsi="Times New Roman" w:cs="Times New Roman"/>
          <w:color w:val="000000"/>
          <w:sz w:val="24"/>
          <w:szCs w:val="24"/>
          <w:vertAlign w:val="superscript"/>
        </w:rPr>
        <w:footnoteReference w:id="630"/>
      </w:r>
      <w:r>
        <w:rPr>
          <w:rFonts w:ascii="Times New Roman" w:eastAsia="Times New Roman" w:hAnsi="Times New Roman" w:cs="Times New Roman"/>
          <w:color w:val="000000"/>
          <w:sz w:val="24"/>
          <w:szCs w:val="24"/>
        </w:rPr>
        <w:t xml:space="preserve"> Included in this category of nonexempt employees are concessionaires, as well as employees selling tickets, collecting payments, and issuing receipts from a structure attached to shore.</w:t>
      </w:r>
      <w:r>
        <w:rPr>
          <w:rFonts w:ascii="Times New Roman" w:eastAsia="Times New Roman" w:hAnsi="Times New Roman" w:cs="Times New Roman"/>
          <w:color w:val="000000"/>
          <w:sz w:val="24"/>
          <w:szCs w:val="24"/>
          <w:vertAlign w:val="superscript"/>
        </w:rPr>
        <w:footnoteReference w:id="631"/>
      </w:r>
    </w:p>
    <w:p w14:paraId="0000027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Halle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Galliano Marine Service, LLC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632"/>
      </w:r>
      <w:r>
        <w:rPr>
          <w:rFonts w:ascii="Times New Roman" w:eastAsia="Times New Roman" w:hAnsi="Times New Roman" w:cs="Times New Roman"/>
          <w:color w:val="000000"/>
          <w:sz w:val="24"/>
          <w:szCs w:val="24"/>
        </w:rPr>
        <w:t xml:space="preserve"> the Fifth Circuit observed that the seamen exemption applies where “(1) the employee is subject to the authority, direction, and control of the master; and (2) the employee’s service is primarily offered to aid the vessel as a means of transportation, provided that the employee does not perform a substantial amount of different work.”</w:t>
      </w:r>
      <w:r>
        <w:rPr>
          <w:rFonts w:ascii="Times New Roman" w:eastAsia="Times New Roman" w:hAnsi="Times New Roman" w:cs="Times New Roman"/>
          <w:color w:val="000000"/>
          <w:sz w:val="24"/>
          <w:szCs w:val="24"/>
          <w:vertAlign w:val="superscript"/>
        </w:rPr>
        <w:footnoteReference w:id="633"/>
      </w:r>
      <w:r>
        <w:rPr>
          <w:rFonts w:ascii="Times New Roman" w:eastAsia="Times New Roman" w:hAnsi="Times New Roman" w:cs="Times New Roman"/>
          <w:color w:val="000000"/>
          <w:sz w:val="24"/>
          <w:szCs w:val="24"/>
        </w:rPr>
        <w:t xml:space="preserve"> Applying this standard, the court reversed a district court’s grant of summary judgment because evidence showed that the remotely occupied vehicle (ROV) Technicians did not assist with any part of navigation: </w:t>
      </w:r>
    </w:p>
    <w:p w14:paraId="00000277"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ROV Technicians control ROVs remotely to provide “emergency backup for underwater drilling operations[,] … turn subsea valves, disconnect and realign underwater lines, inspect underwater structures, and place marking beacons on the sea floor.” They are also responsible for maintaining and servicing the ROVs themselves. Even assuming that it takes an ROV Technician several hours every few days to calculate coordinates and then a few additional minutes to communicate that information to the captain of the support vessel, this does not clearly account for 80% of the estimated eighty-four plus hours worked weekly by ROV Technicians.</w:t>
      </w:r>
      <w:r>
        <w:rPr>
          <w:rFonts w:ascii="Times New Roman" w:eastAsia="Times New Roman" w:hAnsi="Times New Roman" w:cs="Times New Roman"/>
          <w:color w:val="000000"/>
          <w:sz w:val="20"/>
          <w:szCs w:val="20"/>
          <w:vertAlign w:val="superscript"/>
        </w:rPr>
        <w:footnoteReference w:id="634"/>
      </w:r>
    </w:p>
    <w:p w14:paraId="00000278"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r>
        <w:rPr>
          <w:rFonts w:ascii="Times New Roman" w:eastAsia="Times New Roman" w:hAnsi="Times New Roman" w:cs="Times New Roman"/>
          <w:b/>
          <w:i/>
          <w:color w:val="000000"/>
          <w:sz w:val="24"/>
          <w:szCs w:val="24"/>
        </w:rPr>
        <w:tab/>
        <w:t>“Vessel”</w:t>
      </w:r>
    </w:p>
    <w:p w14:paraId="0000027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Although the FLSA does not define the term “vessel,” the DOL and the courts have read the term as encompassing “every description of watercraft or other artificial contrivance used, or </w:t>
      </w:r>
      <w:r>
        <w:rPr>
          <w:rFonts w:ascii="Times New Roman" w:eastAsia="Times New Roman" w:hAnsi="Times New Roman" w:cs="Times New Roman"/>
          <w:color w:val="000000"/>
          <w:sz w:val="24"/>
          <w:szCs w:val="24"/>
        </w:rPr>
        <w:lastRenderedPageBreak/>
        <w:t>capable of being used, as a means of transportation on water.”</w:t>
      </w:r>
      <w:r>
        <w:rPr>
          <w:rFonts w:ascii="Times New Roman" w:eastAsia="Times New Roman" w:hAnsi="Times New Roman" w:cs="Times New Roman"/>
          <w:color w:val="000000"/>
          <w:sz w:val="24"/>
          <w:szCs w:val="24"/>
          <w:vertAlign w:val="superscript"/>
        </w:rPr>
        <w:footnoteReference w:id="635"/>
      </w:r>
      <w:r>
        <w:rPr>
          <w:rFonts w:ascii="Times New Roman" w:eastAsia="Times New Roman" w:hAnsi="Times New Roman" w:cs="Times New Roman"/>
          <w:color w:val="000000"/>
          <w:sz w:val="24"/>
          <w:szCs w:val="24"/>
        </w:rPr>
        <w:t xml:space="preserve"> The definition excludes “seaplanes” and “aircraft.”</w:t>
      </w:r>
      <w:r>
        <w:rPr>
          <w:rFonts w:ascii="Times New Roman" w:eastAsia="Times New Roman" w:hAnsi="Times New Roman" w:cs="Times New Roman"/>
          <w:color w:val="000000"/>
          <w:sz w:val="24"/>
          <w:szCs w:val="24"/>
          <w:vertAlign w:val="superscript"/>
        </w:rPr>
        <w:footnoteReference w:id="636"/>
      </w:r>
      <w:r>
        <w:rPr>
          <w:rFonts w:ascii="Times New Roman" w:eastAsia="Times New Roman" w:hAnsi="Times New Roman" w:cs="Times New Roman"/>
          <w:color w:val="000000"/>
          <w:sz w:val="24"/>
          <w:szCs w:val="24"/>
        </w:rPr>
        <w:t xml:space="preserve"> A watercraft need not be operated with power or steering gear to qualify as a “vessel” under this exemption.</w:t>
      </w:r>
      <w:r>
        <w:rPr>
          <w:rFonts w:ascii="Times New Roman" w:eastAsia="Times New Roman" w:hAnsi="Times New Roman" w:cs="Times New Roman"/>
          <w:color w:val="000000"/>
          <w:sz w:val="24"/>
          <w:szCs w:val="24"/>
          <w:vertAlign w:val="superscript"/>
        </w:rPr>
        <w:footnoteReference w:id="637"/>
      </w:r>
      <w:r>
        <w:rPr>
          <w:rFonts w:ascii="Times New Roman" w:eastAsia="Times New Roman" w:hAnsi="Times New Roman" w:cs="Times New Roman"/>
          <w:color w:val="000000"/>
          <w:sz w:val="24"/>
          <w:szCs w:val="24"/>
        </w:rPr>
        <w:t xml:space="preserve"> Thus, the Seventh Circuit has held that gambling boats qualify as “vessels” under Section 213(b)(6).</w:t>
      </w:r>
      <w:r>
        <w:rPr>
          <w:rFonts w:ascii="Times New Roman" w:eastAsia="Times New Roman" w:hAnsi="Times New Roman" w:cs="Times New Roman"/>
          <w:color w:val="000000"/>
          <w:sz w:val="24"/>
          <w:szCs w:val="24"/>
          <w:vertAlign w:val="superscript"/>
        </w:rPr>
        <w:footnoteReference w:id="638"/>
      </w:r>
      <w:r>
        <w:rPr>
          <w:rFonts w:ascii="Times New Roman" w:eastAsia="Times New Roman" w:hAnsi="Times New Roman" w:cs="Times New Roman"/>
          <w:color w:val="000000"/>
          <w:sz w:val="24"/>
          <w:szCs w:val="24"/>
        </w:rPr>
        <w:t xml:space="preserve"> However, an employee primarily employed on a barge that is not self-propelled and used as a “stationary” auxiliary facility to off-shore drilling activities, rather than as a means of transportation, is not a seaman within Sections 213(a)(12) and 213(b)(6).</w:t>
      </w:r>
      <w:r>
        <w:rPr>
          <w:rFonts w:ascii="Times New Roman" w:eastAsia="Times New Roman" w:hAnsi="Times New Roman" w:cs="Times New Roman"/>
          <w:color w:val="000000"/>
          <w:sz w:val="24"/>
          <w:szCs w:val="24"/>
          <w:vertAlign w:val="superscript"/>
        </w:rPr>
        <w:footnoteReference w:id="639"/>
      </w:r>
    </w:p>
    <w:p w14:paraId="0000027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Section 213(a)(12) of the FLSA applies only to seamen who work on non-American vessels,</w:t>
      </w:r>
      <w:r>
        <w:rPr>
          <w:rFonts w:ascii="Times New Roman" w:eastAsia="Times New Roman" w:hAnsi="Times New Roman" w:cs="Times New Roman"/>
          <w:color w:val="000000"/>
          <w:sz w:val="24"/>
          <w:szCs w:val="24"/>
          <w:vertAlign w:val="superscript"/>
        </w:rPr>
        <w:footnoteReference w:id="640"/>
      </w:r>
      <w:r>
        <w:rPr>
          <w:rFonts w:ascii="Times New Roman" w:eastAsia="Times New Roman" w:hAnsi="Times New Roman" w:cs="Times New Roman"/>
          <w:color w:val="000000"/>
          <w:sz w:val="24"/>
          <w:szCs w:val="24"/>
        </w:rPr>
        <w:t xml:space="preserve"> whereas Section 213(b)(6) applies to seamen who work on American vessels—meaning any vessel documented or numbered under the laws of the United States.</w:t>
      </w:r>
      <w:r>
        <w:rPr>
          <w:rFonts w:ascii="Times New Roman" w:eastAsia="Times New Roman" w:hAnsi="Times New Roman" w:cs="Times New Roman"/>
          <w:color w:val="000000"/>
          <w:sz w:val="24"/>
          <w:szCs w:val="24"/>
          <w:vertAlign w:val="superscript"/>
        </w:rPr>
        <w:footnoteReference w:id="641"/>
      </w:r>
      <w:r>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i/>
          <w:color w:val="000000"/>
          <w:sz w:val="24"/>
          <w:szCs w:val="24"/>
        </w:rPr>
        <w:t>documented</w:t>
      </w:r>
      <w:r>
        <w:rPr>
          <w:rFonts w:ascii="Times New Roman" w:eastAsia="Times New Roman" w:hAnsi="Times New Roman" w:cs="Times New Roman"/>
          <w:color w:val="000000"/>
          <w:sz w:val="24"/>
          <w:szCs w:val="24"/>
        </w:rPr>
        <w:t xml:space="preserve"> vessel typically has been (1) registered, (2) enrolled and licensed, or (3) licensed by the Bureau of Customs under United States law.</w:t>
      </w:r>
      <w:r>
        <w:rPr>
          <w:rFonts w:ascii="Times New Roman" w:eastAsia="Times New Roman" w:hAnsi="Times New Roman" w:cs="Times New Roman"/>
          <w:color w:val="000000"/>
          <w:sz w:val="24"/>
          <w:szCs w:val="24"/>
          <w:vertAlign w:val="superscript"/>
        </w:rPr>
        <w:footnoteReference w:id="642"/>
      </w:r>
      <w:r>
        <w:rPr>
          <w:rFonts w:ascii="Times New Roman" w:eastAsia="Times New Roman" w:hAnsi="Times New Roman" w:cs="Times New Roman"/>
          <w:color w:val="000000"/>
          <w:sz w:val="24"/>
          <w:szCs w:val="24"/>
        </w:rPr>
        <w:t xml:space="preserve"> A </w:t>
      </w:r>
      <w:r>
        <w:rPr>
          <w:rFonts w:ascii="Times New Roman" w:eastAsia="Times New Roman" w:hAnsi="Times New Roman" w:cs="Times New Roman"/>
          <w:i/>
          <w:color w:val="000000"/>
          <w:sz w:val="24"/>
          <w:szCs w:val="24"/>
        </w:rPr>
        <w:t>numbered</w:t>
      </w:r>
      <w:r>
        <w:rPr>
          <w:rFonts w:ascii="Times New Roman" w:eastAsia="Times New Roman" w:hAnsi="Times New Roman" w:cs="Times New Roman"/>
          <w:color w:val="000000"/>
          <w:sz w:val="24"/>
          <w:szCs w:val="24"/>
        </w:rPr>
        <w:t xml:space="preserve"> vessel has been numbered pursuant to the provisions of federal law in accordance with the Federal Boating Act of 1958.</w:t>
      </w:r>
      <w:r>
        <w:rPr>
          <w:rFonts w:ascii="Times New Roman" w:eastAsia="Times New Roman" w:hAnsi="Times New Roman" w:cs="Times New Roman"/>
          <w:color w:val="000000"/>
          <w:sz w:val="24"/>
          <w:szCs w:val="24"/>
          <w:vertAlign w:val="superscript"/>
        </w:rPr>
        <w:footnoteReference w:id="643"/>
      </w:r>
      <w:r>
        <w:rPr>
          <w:rFonts w:ascii="Times New Roman" w:eastAsia="Times New Roman" w:hAnsi="Times New Roman" w:cs="Times New Roman"/>
          <w:color w:val="000000"/>
          <w:sz w:val="24"/>
          <w:szCs w:val="24"/>
        </w:rPr>
        <w:t xml:space="preserve"> Also included within the term “American vessel” are undocumented and unnumbered vessels plying the purely internal waters of a state that do not reach navigable waters of another state.</w:t>
      </w:r>
      <w:r>
        <w:rPr>
          <w:rFonts w:ascii="Times New Roman" w:eastAsia="Times New Roman" w:hAnsi="Times New Roman" w:cs="Times New Roman"/>
          <w:color w:val="000000"/>
          <w:sz w:val="24"/>
          <w:szCs w:val="24"/>
          <w:vertAlign w:val="superscript"/>
        </w:rPr>
        <w:footnoteReference w:id="644"/>
      </w:r>
      <w:r>
        <w:rPr>
          <w:rFonts w:ascii="Times New Roman" w:eastAsia="Times New Roman" w:hAnsi="Times New Roman" w:cs="Times New Roman"/>
          <w:color w:val="000000"/>
          <w:sz w:val="24"/>
          <w:szCs w:val="24"/>
        </w:rPr>
        <w:t xml:space="preserve"> On the other hand, a non-American vessel has been described as one that navigates outside the states’ purely internal waters and is neither documented nor numbered under U.S. law.</w:t>
      </w:r>
      <w:r>
        <w:rPr>
          <w:rFonts w:ascii="Times New Roman" w:eastAsia="Times New Roman" w:hAnsi="Times New Roman" w:cs="Times New Roman"/>
          <w:color w:val="000000"/>
          <w:sz w:val="24"/>
          <w:szCs w:val="24"/>
          <w:vertAlign w:val="superscript"/>
        </w:rPr>
        <w:footnoteReference w:id="645"/>
      </w:r>
    </w:p>
    <w:p w14:paraId="0000027B"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E.</w:t>
      </w:r>
      <w:r>
        <w:rPr>
          <w:rFonts w:ascii="Times New Roman" w:eastAsia="Times New Roman" w:hAnsi="Times New Roman" w:cs="Times New Roman"/>
          <w:b/>
          <w:color w:val="000000"/>
          <w:sz w:val="24"/>
          <w:szCs w:val="24"/>
        </w:rPr>
        <w:tab/>
        <w:t>Announcers, News Editors, or Chief Engineers of Certain Radio or Television Stations</w:t>
      </w:r>
    </w:p>
    <w:p w14:paraId="0000027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Section 213(b)(9) exempts announcers, news editors, or chief engineers of certain small market radio or television stations from the overtime provisions of the FLSA.</w:t>
      </w:r>
      <w:r>
        <w:rPr>
          <w:rFonts w:ascii="Times New Roman" w:eastAsia="Times New Roman" w:hAnsi="Times New Roman" w:cs="Times New Roman"/>
          <w:color w:val="000000"/>
          <w:sz w:val="24"/>
          <w:szCs w:val="24"/>
          <w:vertAlign w:val="superscript"/>
        </w:rPr>
        <w:footnoteReference w:id="646"/>
      </w:r>
      <w:r>
        <w:rPr>
          <w:rFonts w:ascii="Times New Roman" w:eastAsia="Times New Roman" w:hAnsi="Times New Roman" w:cs="Times New Roman"/>
          <w:color w:val="000000"/>
          <w:sz w:val="24"/>
          <w:szCs w:val="24"/>
        </w:rPr>
        <w:t xml:space="preserve"> The exemption has three requirements:</w:t>
      </w:r>
      <w:r>
        <w:rPr>
          <w:rFonts w:ascii="Times New Roman" w:eastAsia="Times New Roman" w:hAnsi="Times New Roman" w:cs="Times New Roman"/>
          <w:color w:val="000000"/>
          <w:sz w:val="24"/>
          <w:szCs w:val="24"/>
          <w:vertAlign w:val="superscript"/>
        </w:rPr>
        <w:footnoteReference w:id="647"/>
      </w:r>
    </w:p>
    <w:p w14:paraId="0000027D"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The employee must be primarily employed as an announcer, news editor, or chief engineer.</w:t>
      </w:r>
      <w:r>
        <w:rPr>
          <w:rFonts w:ascii="Times New Roman" w:eastAsia="Times New Roman" w:hAnsi="Times New Roman" w:cs="Times New Roman"/>
          <w:color w:val="000000"/>
          <w:sz w:val="24"/>
          <w:szCs w:val="24"/>
          <w:vertAlign w:val="superscript"/>
        </w:rPr>
        <w:footnoteReference w:id="648"/>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According to the regulations, an announcer reads news, introduces programs, presents commercials, and gives station identification and similar routine material.</w:t>
      </w:r>
      <w:r>
        <w:rPr>
          <w:rFonts w:ascii="Times New Roman" w:eastAsia="Times New Roman" w:hAnsi="Times New Roman" w:cs="Times New Roman"/>
          <w:color w:val="000000"/>
          <w:sz w:val="24"/>
          <w:szCs w:val="24"/>
          <w:vertAlign w:val="superscript"/>
        </w:rPr>
        <w:footnoteReference w:id="649"/>
      </w:r>
      <w:r>
        <w:rPr>
          <w:rFonts w:ascii="Times New Roman" w:eastAsia="Times New Roman" w:hAnsi="Times New Roman" w:cs="Times New Roman"/>
          <w:color w:val="000000"/>
          <w:sz w:val="24"/>
          <w:szCs w:val="24"/>
        </w:rPr>
        <w:t xml:space="preserve"> A news editor gathers, edits, and rewrites the news, and may select and prepare news items for broadcast and present the news on the air.</w:t>
      </w:r>
      <w:r>
        <w:rPr>
          <w:rFonts w:ascii="Times New Roman" w:eastAsia="Times New Roman" w:hAnsi="Times New Roman" w:cs="Times New Roman"/>
          <w:color w:val="000000"/>
          <w:sz w:val="24"/>
          <w:szCs w:val="24"/>
          <w:vertAlign w:val="superscript"/>
        </w:rPr>
        <w:footnoteReference w:id="650"/>
      </w:r>
      <w:r>
        <w:rPr>
          <w:rFonts w:ascii="Times New Roman" w:eastAsia="Times New Roman" w:hAnsi="Times New Roman" w:cs="Times New Roman"/>
          <w:color w:val="000000"/>
          <w:sz w:val="24"/>
          <w:szCs w:val="24"/>
        </w:rPr>
        <w:t xml:space="preserve"> A chief engineer primarily supervises the operations, maintenance, and repair of all electronic equipment in the studio and at the transmitter.</w:t>
      </w:r>
      <w:r>
        <w:rPr>
          <w:rFonts w:ascii="Times New Roman" w:eastAsia="Times New Roman" w:hAnsi="Times New Roman" w:cs="Times New Roman"/>
          <w:color w:val="000000"/>
          <w:sz w:val="24"/>
          <w:szCs w:val="24"/>
          <w:vertAlign w:val="superscript"/>
        </w:rPr>
        <w:footnoteReference w:id="651"/>
      </w:r>
      <w:r>
        <w:rPr>
          <w:rFonts w:ascii="Times New Roman" w:eastAsia="Times New Roman" w:hAnsi="Times New Roman" w:cs="Times New Roman"/>
          <w:color w:val="000000"/>
          <w:sz w:val="24"/>
          <w:szCs w:val="24"/>
        </w:rPr>
        <w:t xml:space="preserve"> For the exemption to apply, an employee generally must perform duties that are associated with the named occupations for more than 50 percent of the hours worked in a workweek.</w:t>
      </w:r>
      <w:r>
        <w:rPr>
          <w:rFonts w:ascii="Times New Roman" w:eastAsia="Times New Roman" w:hAnsi="Times New Roman" w:cs="Times New Roman"/>
          <w:color w:val="000000"/>
          <w:sz w:val="24"/>
          <w:szCs w:val="24"/>
          <w:vertAlign w:val="superscript"/>
        </w:rPr>
        <w:footnoteReference w:id="652"/>
      </w:r>
      <w:r>
        <w:rPr>
          <w:rFonts w:ascii="Times New Roman" w:eastAsia="Times New Roman" w:hAnsi="Times New Roman" w:cs="Times New Roman"/>
          <w:color w:val="000000"/>
          <w:sz w:val="24"/>
          <w:szCs w:val="24"/>
        </w:rPr>
        <w:t xml:space="preserve"> An employee is allowed to combine exempt duties within each of these classifications to meet the 50 percent threshold.</w:t>
      </w:r>
      <w:r>
        <w:rPr>
          <w:rFonts w:ascii="Times New Roman" w:eastAsia="Times New Roman" w:hAnsi="Times New Roman" w:cs="Times New Roman"/>
          <w:color w:val="000000"/>
          <w:sz w:val="24"/>
          <w:szCs w:val="24"/>
          <w:vertAlign w:val="superscript"/>
        </w:rPr>
        <w:footnoteReference w:id="653"/>
      </w:r>
    </w:p>
    <w:p w14:paraId="0000027E"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The employee must be employed by a radio or television station.</w:t>
      </w:r>
      <w:r>
        <w:rPr>
          <w:rFonts w:ascii="Times New Roman" w:eastAsia="Times New Roman" w:hAnsi="Times New Roman" w:cs="Times New Roman"/>
          <w:color w:val="000000"/>
          <w:sz w:val="24"/>
          <w:szCs w:val="24"/>
          <w:vertAlign w:val="superscript"/>
        </w:rPr>
        <w:footnoteReference w:id="654"/>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For purposes of the exemption, the DOL has adopted the Federal Communications Commission’s (FCC’s) designation of licensed stations.</w:t>
      </w:r>
      <w:r>
        <w:rPr>
          <w:rFonts w:ascii="Times New Roman" w:eastAsia="Times New Roman" w:hAnsi="Times New Roman" w:cs="Times New Roman"/>
          <w:color w:val="000000"/>
          <w:sz w:val="24"/>
          <w:szCs w:val="24"/>
          <w:vertAlign w:val="superscript"/>
        </w:rPr>
        <w:footnoteReference w:id="655"/>
      </w:r>
    </w:p>
    <w:p w14:paraId="0000027F"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ab/>
      </w:r>
      <w:r>
        <w:rPr>
          <w:rFonts w:ascii="Times New Roman" w:eastAsia="Times New Roman" w:hAnsi="Times New Roman" w:cs="Times New Roman"/>
          <w:i/>
          <w:color w:val="000000"/>
          <w:sz w:val="24"/>
          <w:szCs w:val="24"/>
        </w:rPr>
        <w:t>The major studio of such a radio or television station must be located in a city or town that meets the prescribed population and locality tests.</w:t>
      </w:r>
      <w:r>
        <w:rPr>
          <w:rFonts w:ascii="Times New Roman" w:eastAsia="Times New Roman" w:hAnsi="Times New Roman" w:cs="Times New Roman"/>
          <w:color w:val="000000"/>
          <w:sz w:val="24"/>
          <w:szCs w:val="24"/>
          <w:vertAlign w:val="superscript"/>
        </w:rPr>
        <w:footnoteReference w:id="656"/>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It is the location of the “major studio” of the station that controls for purposes of determining whether the small market requirement has been satisfied. To determine the location of the station’s major studio, the DOL relies on the designation of the main studio on the station’s FCC license. The exemption applies only if the location of that studio is in a city or town that is sufficiently small to meet the governing standards.</w:t>
      </w:r>
      <w:r>
        <w:rPr>
          <w:rFonts w:ascii="Times New Roman" w:eastAsia="Times New Roman" w:hAnsi="Times New Roman" w:cs="Times New Roman"/>
          <w:color w:val="000000"/>
          <w:sz w:val="24"/>
          <w:szCs w:val="24"/>
          <w:vertAlign w:val="superscript"/>
        </w:rPr>
        <w:footnoteReference w:id="657"/>
      </w:r>
    </w:p>
    <w:p w14:paraId="0000028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The exemption does not extend to a station whose major studio is in a city or town with a population of more than 100,000 people.</w:t>
      </w:r>
      <w:r>
        <w:rPr>
          <w:rFonts w:ascii="Times New Roman" w:eastAsia="Times New Roman" w:hAnsi="Times New Roman" w:cs="Times New Roman"/>
          <w:color w:val="000000"/>
          <w:sz w:val="24"/>
          <w:szCs w:val="24"/>
          <w:vertAlign w:val="superscript"/>
        </w:rPr>
        <w:footnoteReference w:id="658"/>
      </w:r>
      <w:r>
        <w:rPr>
          <w:rFonts w:ascii="Times New Roman" w:eastAsia="Times New Roman" w:hAnsi="Times New Roman" w:cs="Times New Roman"/>
          <w:color w:val="000000"/>
          <w:sz w:val="24"/>
          <w:szCs w:val="24"/>
        </w:rPr>
        <w:t xml:space="preserve"> Stations located in cities or towns with 100,000 or </w:t>
      </w:r>
      <w:r>
        <w:rPr>
          <w:rFonts w:ascii="Times New Roman" w:eastAsia="Times New Roman" w:hAnsi="Times New Roman" w:cs="Times New Roman"/>
          <w:color w:val="000000"/>
          <w:sz w:val="24"/>
          <w:szCs w:val="24"/>
        </w:rPr>
        <w:lastRenderedPageBreak/>
        <w:t>fewer people may qualify for the exemption as long as the station is not within a “standard metropolitan statistical area” that has a population of more than 100,000.</w:t>
      </w:r>
      <w:r>
        <w:rPr>
          <w:rFonts w:ascii="Times New Roman" w:eastAsia="Times New Roman" w:hAnsi="Times New Roman" w:cs="Times New Roman"/>
          <w:color w:val="000000"/>
          <w:sz w:val="24"/>
          <w:szCs w:val="24"/>
          <w:vertAlign w:val="superscript"/>
        </w:rPr>
        <w:footnoteReference w:id="659"/>
      </w:r>
      <w:r>
        <w:rPr>
          <w:rFonts w:ascii="Times New Roman" w:eastAsia="Times New Roman" w:hAnsi="Times New Roman" w:cs="Times New Roman"/>
          <w:color w:val="000000"/>
          <w:sz w:val="24"/>
          <w:szCs w:val="24"/>
        </w:rPr>
        <w:t xml:space="preserve"> A station in a city or town with a population of 25,000 or less may qualify for the exemption, even where the major studio is located within a standard metropolitan statistical area that has a population of more than 100,000, if the station is located in a city that is at least 40 airline miles from the principal city in the area.</w:t>
      </w:r>
      <w:r>
        <w:rPr>
          <w:rFonts w:ascii="Times New Roman" w:eastAsia="Times New Roman" w:hAnsi="Times New Roman" w:cs="Times New Roman"/>
          <w:color w:val="000000"/>
          <w:sz w:val="24"/>
          <w:szCs w:val="24"/>
          <w:vertAlign w:val="superscript"/>
        </w:rPr>
        <w:footnoteReference w:id="660"/>
      </w:r>
      <w:r>
        <w:rPr>
          <w:rFonts w:ascii="Times New Roman" w:eastAsia="Times New Roman" w:hAnsi="Times New Roman" w:cs="Times New Roman"/>
          <w:color w:val="000000"/>
          <w:sz w:val="24"/>
          <w:szCs w:val="24"/>
        </w:rPr>
        <w:t xml:space="preserve"> The regulations identify sources of information for determining both the standard metropolitan statistical areas and which cities are considered “principal cities” under the FLSA.</w:t>
      </w:r>
      <w:r>
        <w:rPr>
          <w:rFonts w:ascii="Times New Roman" w:eastAsia="Times New Roman" w:hAnsi="Times New Roman" w:cs="Times New Roman"/>
          <w:color w:val="000000"/>
          <w:sz w:val="24"/>
          <w:szCs w:val="24"/>
          <w:vertAlign w:val="superscript"/>
        </w:rPr>
        <w:footnoteReference w:id="661"/>
      </w:r>
      <w:r>
        <w:rPr>
          <w:rFonts w:ascii="Times New Roman" w:eastAsia="Times New Roman" w:hAnsi="Times New Roman" w:cs="Times New Roman"/>
          <w:color w:val="000000"/>
          <w:sz w:val="24"/>
          <w:szCs w:val="24"/>
        </w:rPr>
        <w:t xml:space="preserve"> The latest decennial census data are relied on for determining whether a city’s population is more than 100,000.</w:t>
      </w:r>
      <w:r>
        <w:rPr>
          <w:rFonts w:ascii="Times New Roman" w:eastAsia="Times New Roman" w:hAnsi="Times New Roman" w:cs="Times New Roman"/>
          <w:color w:val="000000"/>
          <w:sz w:val="24"/>
          <w:szCs w:val="24"/>
          <w:vertAlign w:val="superscript"/>
        </w:rPr>
        <w:footnoteReference w:id="662"/>
      </w:r>
    </w:p>
    <w:p w14:paraId="00000281"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w:t>
      </w:r>
      <w:r>
        <w:rPr>
          <w:rFonts w:ascii="Times New Roman" w:eastAsia="Times New Roman" w:hAnsi="Times New Roman" w:cs="Times New Roman"/>
          <w:b/>
          <w:color w:val="000000"/>
          <w:sz w:val="24"/>
          <w:szCs w:val="24"/>
        </w:rPr>
        <w:tab/>
        <w:t>Certain Employees of Automobile, Truck, or Farm Implement Dealers; Salespersons of Trailers, Boats, and Aircraft</w:t>
      </w:r>
    </w:p>
    <w:p w14:paraId="0000028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Section 213(b)(10), the overtime requirements of the FLSA do not apply to</w:t>
      </w:r>
    </w:p>
    <w:p w14:paraId="00000283"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ab/>
        <w:t>any salesman, partsman, or mechanic primarily engaged in selling or servicing automobiles, trucks, or farm implements, if he is employed by a nonmanufacturing establishment primarily engaged in the business of selling such vehicles or implements to ultimate purchasers; or</w:t>
      </w:r>
    </w:p>
    <w:p w14:paraId="00000284"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ab/>
        <w:t>any salesman primarily engaged in selling trailers, boats, or aircraft, if he is employed by a nonmanufacturing establishment primarily engaged in the business of selling trailers, boats, or aircraft to ultimate purchasers.</w:t>
      </w:r>
      <w:r>
        <w:rPr>
          <w:rFonts w:ascii="Times New Roman" w:eastAsia="Times New Roman" w:hAnsi="Times New Roman" w:cs="Times New Roman"/>
          <w:color w:val="000000"/>
          <w:sz w:val="20"/>
          <w:szCs w:val="20"/>
          <w:vertAlign w:val="superscript"/>
        </w:rPr>
        <w:footnoteReference w:id="663"/>
      </w:r>
    </w:p>
    <w:p w14:paraId="0000028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Most of the language in Part A of the exemption was added to the statute in 1966.</w:t>
      </w:r>
      <w:r>
        <w:rPr>
          <w:rFonts w:ascii="Times New Roman" w:eastAsia="Times New Roman" w:hAnsi="Times New Roman" w:cs="Times New Roman"/>
          <w:color w:val="000000"/>
          <w:sz w:val="24"/>
          <w:szCs w:val="24"/>
          <w:vertAlign w:val="superscript"/>
        </w:rPr>
        <w:footnoteReference w:id="664"/>
      </w:r>
      <w:r>
        <w:rPr>
          <w:rFonts w:ascii="Times New Roman" w:eastAsia="Times New Roman" w:hAnsi="Times New Roman" w:cs="Times New Roman"/>
          <w:color w:val="000000"/>
          <w:sz w:val="24"/>
          <w:szCs w:val="24"/>
        </w:rPr>
        <w:t xml:space="preserve"> Part B was added in 1974 to provide an exemption for “salesmen only” of trailers, boats, or aircraft.</w:t>
      </w:r>
      <w:r>
        <w:rPr>
          <w:rFonts w:ascii="Times New Roman" w:eastAsia="Times New Roman" w:hAnsi="Times New Roman" w:cs="Times New Roman"/>
          <w:color w:val="000000"/>
          <w:sz w:val="24"/>
          <w:szCs w:val="24"/>
          <w:vertAlign w:val="superscript"/>
        </w:rPr>
        <w:footnoteReference w:id="665"/>
      </w:r>
      <w:r>
        <w:rPr>
          <w:rFonts w:ascii="Times New Roman" w:eastAsia="Times New Roman" w:hAnsi="Times New Roman" w:cs="Times New Roman"/>
          <w:color w:val="000000"/>
          <w:sz w:val="24"/>
          <w:szCs w:val="24"/>
        </w:rPr>
        <w:t xml:space="preserve"> “The statute thus exempts certain employees engaged in servicing automobiles, trucks, or farm implements, but not similar employees engaged in servicing trailers, boats, or aircraft.”</w:t>
      </w:r>
      <w:r>
        <w:rPr>
          <w:rFonts w:ascii="Times New Roman" w:eastAsia="Times New Roman" w:hAnsi="Times New Roman" w:cs="Times New Roman"/>
          <w:color w:val="000000"/>
          <w:sz w:val="24"/>
          <w:szCs w:val="24"/>
          <w:vertAlign w:val="superscript"/>
        </w:rPr>
        <w:footnoteReference w:id="666"/>
      </w:r>
    </w:p>
    <w:p w14:paraId="0000028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April 1970, the DOL issued an interpretative bulletin entitled “The Fair Labor Standards Act as Applied to Retailers of Goods and Services.”</w:t>
      </w:r>
      <w:r>
        <w:rPr>
          <w:rFonts w:ascii="Times New Roman" w:eastAsia="Times New Roman" w:hAnsi="Times New Roman" w:cs="Times New Roman"/>
          <w:color w:val="000000"/>
          <w:sz w:val="24"/>
          <w:szCs w:val="24"/>
          <w:vertAlign w:val="superscript"/>
        </w:rPr>
        <w:footnoteReference w:id="667"/>
      </w:r>
      <w:r>
        <w:rPr>
          <w:rFonts w:ascii="Times New Roman" w:eastAsia="Times New Roman" w:hAnsi="Times New Roman" w:cs="Times New Roman"/>
          <w:color w:val="000000"/>
          <w:sz w:val="24"/>
          <w:szCs w:val="24"/>
        </w:rPr>
        <w:t xml:space="preserve"> Subpart D of that bulletin, “Exemptions for Certain Retail or Service Establishments,” exempted employees of “a retail or service establishment which is primarily engaged in the business of selling automobiles, trucks, or farm implements.”</w:t>
      </w:r>
      <w:r>
        <w:rPr>
          <w:rFonts w:ascii="Times New Roman" w:eastAsia="Times New Roman" w:hAnsi="Times New Roman" w:cs="Times New Roman"/>
          <w:color w:val="000000"/>
          <w:sz w:val="24"/>
          <w:szCs w:val="24"/>
          <w:vertAlign w:val="superscript"/>
        </w:rPr>
        <w:footnoteReference w:id="668"/>
      </w:r>
      <w:r>
        <w:rPr>
          <w:rFonts w:ascii="Times New Roman" w:eastAsia="Times New Roman" w:hAnsi="Times New Roman" w:cs="Times New Roman"/>
          <w:color w:val="000000"/>
          <w:sz w:val="24"/>
          <w:szCs w:val="24"/>
        </w:rPr>
        <w:t xml:space="preserve"> The regulations defined the terms “salesman,” “partsman,” “mechanic,” and “primarily engaged” as follows:</w:t>
      </w:r>
    </w:p>
    <w:p w14:paraId="00000287"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a salesman “is an employee who is employed for the purpose of and is primarily engaged in making sales or obtaining orders or contracts for sale of the automobiles, trucks, or farm implements [or the trailers, boats, or aircraft] that the establishment is primarily engaged in selling”;</w:t>
      </w:r>
      <w:r>
        <w:rPr>
          <w:rFonts w:ascii="Times New Roman" w:eastAsia="Times New Roman" w:hAnsi="Times New Roman" w:cs="Times New Roman"/>
          <w:color w:val="000000"/>
          <w:sz w:val="24"/>
          <w:szCs w:val="24"/>
          <w:vertAlign w:val="superscript"/>
        </w:rPr>
        <w:footnoteReference w:id="669"/>
      </w:r>
    </w:p>
    <w:p w14:paraId="00000288"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a partsman “is any employee employed for the purpose of and primarily engaged in requisitioning, stocking, and dispensing parts”;</w:t>
      </w:r>
      <w:r>
        <w:rPr>
          <w:rFonts w:ascii="Times New Roman" w:eastAsia="Times New Roman" w:hAnsi="Times New Roman" w:cs="Times New Roman"/>
          <w:color w:val="000000"/>
          <w:sz w:val="24"/>
          <w:szCs w:val="24"/>
          <w:vertAlign w:val="superscript"/>
        </w:rPr>
        <w:footnoteReference w:id="670"/>
      </w:r>
      <w:r>
        <w:rPr>
          <w:rFonts w:ascii="Times New Roman" w:eastAsia="Times New Roman" w:hAnsi="Times New Roman" w:cs="Times New Roman"/>
          <w:color w:val="000000"/>
          <w:sz w:val="24"/>
          <w:szCs w:val="24"/>
        </w:rPr>
        <w:t xml:space="preserve"> </w:t>
      </w:r>
    </w:p>
    <w:p w14:paraId="00000289"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a mechanic “is any employee primarily engaged in doing mechanical work … in the servicing of an automobile, truck or farm implement for its use and operation as such”;</w:t>
      </w:r>
      <w:r>
        <w:rPr>
          <w:rFonts w:ascii="Times New Roman" w:eastAsia="Times New Roman" w:hAnsi="Times New Roman" w:cs="Times New Roman"/>
          <w:color w:val="000000"/>
          <w:sz w:val="24"/>
          <w:szCs w:val="24"/>
          <w:vertAlign w:val="superscript"/>
        </w:rPr>
        <w:footnoteReference w:id="671"/>
      </w:r>
      <w:r>
        <w:rPr>
          <w:rFonts w:ascii="Times New Roman" w:eastAsia="Times New Roman" w:hAnsi="Times New Roman" w:cs="Times New Roman"/>
          <w:color w:val="000000"/>
          <w:sz w:val="24"/>
          <w:szCs w:val="24"/>
        </w:rPr>
        <w:t xml:space="preserve"> and</w:t>
      </w:r>
    </w:p>
    <w:p w14:paraId="0000028A"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“primarily engaged” means that “the major part or over 50 percent of the salesman’s, partsman’s, or mechanic’s time must be spent in selling or servicing the enumerated vehicles.”</w:t>
      </w:r>
      <w:r>
        <w:rPr>
          <w:rFonts w:ascii="Times New Roman" w:eastAsia="Times New Roman" w:hAnsi="Times New Roman" w:cs="Times New Roman"/>
          <w:color w:val="000000"/>
          <w:sz w:val="24"/>
          <w:szCs w:val="24"/>
          <w:vertAlign w:val="superscript"/>
        </w:rPr>
        <w:footnoteReference w:id="672"/>
      </w:r>
    </w:p>
    <w:p w14:paraId="0000028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The Section 213(b)(10) exemption does not apply to “employees of automobile parts and accessories wholesalers, retail auto parts stores, automotive repair garages,” or other establishments that do not sell the enumerated vehicles.</w:t>
      </w:r>
      <w:r>
        <w:rPr>
          <w:rFonts w:ascii="Times New Roman" w:eastAsia="Times New Roman" w:hAnsi="Times New Roman" w:cs="Times New Roman"/>
          <w:color w:val="000000"/>
          <w:sz w:val="24"/>
          <w:szCs w:val="24"/>
          <w:vertAlign w:val="superscript"/>
        </w:rPr>
        <w:footnoteReference w:id="673"/>
      </w:r>
      <w:r>
        <w:rPr>
          <w:rFonts w:ascii="Times New Roman" w:eastAsia="Times New Roman" w:hAnsi="Times New Roman" w:cs="Times New Roman"/>
          <w:color w:val="000000"/>
          <w:sz w:val="24"/>
          <w:szCs w:val="24"/>
        </w:rPr>
        <w:t xml:space="preserve"> The 1970 regulations also excluded “service advisors”</w:t>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from the exemption.</w:t>
      </w:r>
      <w:r>
        <w:rPr>
          <w:rFonts w:ascii="Times New Roman" w:eastAsia="Times New Roman" w:hAnsi="Times New Roman" w:cs="Times New Roman"/>
          <w:i/>
          <w:color w:val="000000"/>
          <w:sz w:val="24"/>
          <w:szCs w:val="24"/>
        </w:rPr>
        <w:t xml:space="preserve"> </w:t>
      </w:r>
    </w:p>
    <w:p w14:paraId="0000028C"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Employees variously described as service manager, service writer, service advisor, or service salesman … are not exempt under [the statute]. This is true despite the fact that such an employee’s principal function may be [diagnosing] the mechanical condition of vehicles brought in for repair, writing up work orders for repairs authorized by the customer, assigning the work to various employees and directing and checking on the work of mechanics.</w:t>
      </w:r>
      <w:r>
        <w:rPr>
          <w:rFonts w:ascii="Times New Roman" w:eastAsia="Times New Roman" w:hAnsi="Times New Roman" w:cs="Times New Roman"/>
          <w:color w:val="000000"/>
          <w:sz w:val="20"/>
          <w:szCs w:val="20"/>
          <w:vertAlign w:val="superscript"/>
        </w:rPr>
        <w:footnoteReference w:id="674"/>
      </w:r>
      <w:r>
        <w:rPr>
          <w:rFonts w:ascii="Times New Roman" w:eastAsia="Times New Roman" w:hAnsi="Times New Roman" w:cs="Times New Roman"/>
          <w:color w:val="000000"/>
          <w:sz w:val="20"/>
          <w:szCs w:val="20"/>
        </w:rPr>
        <w:t xml:space="preserve"> </w:t>
      </w:r>
    </w:p>
    <w:p w14:paraId="0000028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Three years after the issuance of the 1970 DOL regulations, the Fifth Circuit, and thereafter several district courts, rejected the DOL’s conclusion that service advisors were not covered by Section 213(b)(10).</w:t>
      </w:r>
      <w:r>
        <w:rPr>
          <w:rFonts w:ascii="Times New Roman" w:eastAsia="Times New Roman" w:hAnsi="Times New Roman" w:cs="Times New Roman"/>
          <w:color w:val="000000"/>
          <w:sz w:val="24"/>
          <w:szCs w:val="24"/>
          <w:vertAlign w:val="superscript"/>
        </w:rPr>
        <w:footnoteReference w:id="675"/>
      </w:r>
      <w:r>
        <w:rPr>
          <w:rFonts w:ascii="Times New Roman" w:eastAsia="Times New Roman" w:hAnsi="Times New Roman" w:cs="Times New Roman"/>
          <w:color w:val="000000"/>
          <w:sz w:val="24"/>
          <w:szCs w:val="24"/>
        </w:rPr>
        <w:t xml:space="preserve"> </w:t>
      </w:r>
    </w:p>
    <w:p w14:paraId="0000028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1978, the DOL issued an opinion letter consistent with this developing decisional law,</w:t>
      </w:r>
      <w:r>
        <w:rPr>
          <w:rFonts w:ascii="Times New Roman" w:eastAsia="Times New Roman" w:hAnsi="Times New Roman" w:cs="Times New Roman"/>
          <w:color w:val="000000"/>
          <w:sz w:val="24"/>
          <w:szCs w:val="24"/>
          <w:vertAlign w:val="superscript"/>
        </w:rPr>
        <w:footnoteReference w:id="676"/>
      </w:r>
      <w:r>
        <w:rPr>
          <w:rFonts w:ascii="Times New Roman" w:eastAsia="Times New Roman" w:hAnsi="Times New Roman" w:cs="Times New Roman"/>
          <w:color w:val="000000"/>
          <w:sz w:val="24"/>
          <w:szCs w:val="24"/>
        </w:rPr>
        <w:t xml:space="preserve"> agreeing that service advisors could be exempt under Section 213(b)(10)(A). The letter acknowledged that the Department’s pronouncement “represent[ed] a change from the position set forth in section 29 C.F.R. §779.372(c)(4)” of the 1970 regulation.</w:t>
      </w:r>
      <w:r>
        <w:rPr>
          <w:rFonts w:ascii="Times New Roman" w:eastAsia="Times New Roman" w:hAnsi="Times New Roman" w:cs="Times New Roman"/>
          <w:color w:val="000000"/>
          <w:sz w:val="24"/>
          <w:szCs w:val="24"/>
          <w:vertAlign w:val="superscript"/>
        </w:rPr>
        <w:footnoteReference w:id="677"/>
      </w:r>
      <w:r>
        <w:rPr>
          <w:rFonts w:ascii="Times New Roman" w:eastAsia="Times New Roman" w:hAnsi="Times New Roman" w:cs="Times New Roman"/>
          <w:color w:val="000000"/>
          <w:sz w:val="24"/>
          <w:szCs w:val="24"/>
        </w:rPr>
        <w:t xml:space="preserve"> </w:t>
      </w:r>
    </w:p>
    <w:p w14:paraId="0000028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1987, the DOL amended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to clarify that service advisors should be treated as exempt under Section 213(b)(10)(A).</w:t>
      </w:r>
      <w:r>
        <w:rPr>
          <w:rFonts w:ascii="Times New Roman" w:eastAsia="Times New Roman" w:hAnsi="Times New Roman" w:cs="Times New Roman"/>
          <w:color w:val="000000"/>
          <w:sz w:val="24"/>
          <w:szCs w:val="24"/>
          <w:vertAlign w:val="superscript"/>
        </w:rPr>
        <w:footnoteReference w:id="678"/>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entry observed that some courts had interpreted the statutory exemption to cover service advisors, and as a result of those decisions, it would “no longer deny the [overtime] exemption for such employees.”</w:t>
      </w:r>
      <w:r>
        <w:rPr>
          <w:rFonts w:ascii="Times New Roman" w:eastAsia="Times New Roman" w:hAnsi="Times New Roman" w:cs="Times New Roman"/>
          <w:color w:val="000000"/>
          <w:sz w:val="24"/>
          <w:szCs w:val="24"/>
          <w:vertAlign w:val="superscript"/>
        </w:rPr>
        <w:footnoteReference w:id="679"/>
      </w:r>
      <w:r>
        <w:rPr>
          <w:rFonts w:ascii="Times New Roman" w:eastAsia="Times New Roman" w:hAnsi="Times New Roman" w:cs="Times New Roman"/>
          <w:color w:val="000000"/>
          <w:sz w:val="24"/>
          <w:szCs w:val="24"/>
        </w:rPr>
        <w:t xml:space="preserve"> The DOL also made a commitment that its 1970 regulation would “be revised as soon as is practicable.”</w:t>
      </w:r>
      <w:r>
        <w:rPr>
          <w:rFonts w:ascii="Times New Roman" w:eastAsia="Times New Roman" w:hAnsi="Times New Roman" w:cs="Times New Roman"/>
          <w:color w:val="000000"/>
          <w:sz w:val="24"/>
          <w:szCs w:val="24"/>
          <w:vertAlign w:val="superscript"/>
        </w:rPr>
        <w:footnoteReference w:id="680"/>
      </w:r>
    </w:p>
    <w:p w14:paraId="0000029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However, it was not until 2008 that the DOL issued a notice of proposed rulemaking regarding its intentions to revise its regulations to bring them in line with existing court rulings by interpreting the exemption in Section 213(b)(10)(A) to cover service advisors.</w:t>
      </w:r>
      <w:r>
        <w:rPr>
          <w:rFonts w:ascii="Times New Roman" w:eastAsia="Times New Roman" w:hAnsi="Times New Roman" w:cs="Times New Roman"/>
          <w:color w:val="000000"/>
          <w:sz w:val="24"/>
          <w:szCs w:val="24"/>
          <w:vertAlign w:val="superscript"/>
        </w:rPr>
        <w:footnoteReference w:id="681"/>
      </w:r>
      <w:r>
        <w:rPr>
          <w:rFonts w:ascii="Times New Roman" w:eastAsia="Times New Roman" w:hAnsi="Times New Roman" w:cs="Times New Roman"/>
          <w:color w:val="000000"/>
          <w:sz w:val="24"/>
          <w:szCs w:val="24"/>
        </w:rPr>
        <w:t xml:space="preserve"> But, in 2011, the DOL announced that it was “not proceeding with the proposed rule.”</w:t>
      </w:r>
      <w:r>
        <w:rPr>
          <w:rFonts w:ascii="Times New Roman" w:eastAsia="Times New Roman" w:hAnsi="Times New Roman" w:cs="Times New Roman"/>
          <w:color w:val="000000"/>
          <w:sz w:val="24"/>
          <w:szCs w:val="24"/>
          <w:vertAlign w:val="superscript"/>
        </w:rPr>
        <w:footnoteReference w:id="682"/>
      </w:r>
      <w:r>
        <w:rPr>
          <w:rFonts w:ascii="Times New Roman" w:eastAsia="Times New Roman" w:hAnsi="Times New Roman" w:cs="Times New Roman"/>
          <w:color w:val="000000"/>
          <w:sz w:val="24"/>
          <w:szCs w:val="24"/>
        </w:rPr>
        <w:t xml:space="preserve"> Rather, the DOL issued a final rule that followed the language of the 1970 regulation and interpreted the statutory term “salesman” to mean only an employee who sells automobiles, trucks, or farm implements.</w:t>
      </w:r>
      <w:r>
        <w:rPr>
          <w:rFonts w:ascii="Times New Roman" w:eastAsia="Times New Roman" w:hAnsi="Times New Roman" w:cs="Times New Roman"/>
          <w:color w:val="000000"/>
          <w:sz w:val="24"/>
          <w:szCs w:val="24"/>
          <w:vertAlign w:val="superscript"/>
        </w:rPr>
        <w:footnoteReference w:id="683"/>
      </w:r>
      <w:r>
        <w:rPr>
          <w:rFonts w:ascii="Times New Roman" w:eastAsia="Times New Roman" w:hAnsi="Times New Roman" w:cs="Times New Roman"/>
          <w:color w:val="000000"/>
          <w:sz w:val="24"/>
          <w:szCs w:val="24"/>
        </w:rPr>
        <w:t xml:space="preserve"> In the preamble to final rule, the DOL said the following about why it was changing the practice that had been in effect for decades:</w:t>
      </w:r>
    </w:p>
    <w:p w14:paraId="00000291"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Department notes that current § 779.372(c)(1) is based on its reading of 13(b)(10)(A) as limiting the exemption to salesmen who sell vehicles and partsmen and mechanics who service vehicles. The Department believes that this interpretation is reasonable and disagrees with the Fourth Circuit’s conclusion in Walton v. Greenbrier Ford, Inc., 370 F.3d 446, 452 (4th Cir. 2004), that the regulation impermissibly narrows the statute.</w:t>
      </w:r>
      <w:r>
        <w:rPr>
          <w:rFonts w:ascii="Times New Roman" w:eastAsia="Times New Roman" w:hAnsi="Times New Roman" w:cs="Times New Roman"/>
          <w:color w:val="000000"/>
          <w:sz w:val="20"/>
          <w:szCs w:val="20"/>
          <w:vertAlign w:val="superscript"/>
        </w:rPr>
        <w:footnoteReference w:id="684"/>
      </w:r>
    </w:p>
    <w:p w14:paraId="0000029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Shortly after the DOL issued its final rule in 2011, five current and former service advisors working for a Mercedes-Benz automobile dealership in Los Angeles filed suit alleging </w:t>
      </w:r>
      <w:r>
        <w:rPr>
          <w:rFonts w:ascii="Times New Roman" w:eastAsia="Times New Roman" w:hAnsi="Times New Roman" w:cs="Times New Roman"/>
          <w:color w:val="000000"/>
          <w:sz w:val="24"/>
          <w:szCs w:val="24"/>
        </w:rPr>
        <w:lastRenderedPageBreak/>
        <w:t xml:space="preserve">overtime pay violations. In </w:t>
      </w:r>
      <w:r>
        <w:rPr>
          <w:rFonts w:ascii="Times New Roman" w:eastAsia="Times New Roman" w:hAnsi="Times New Roman" w:cs="Times New Roman"/>
          <w:i/>
          <w:color w:val="000000"/>
          <w:sz w:val="24"/>
          <w:szCs w:val="24"/>
        </w:rPr>
        <w:t>Encino Motorcars, LLC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Navarro </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Encino I</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685"/>
      </w:r>
      <w:r>
        <w:rPr>
          <w:rFonts w:ascii="Times New Roman" w:eastAsia="Times New Roman" w:hAnsi="Times New Roman" w:cs="Times New Roman"/>
          <w:color w:val="000000"/>
          <w:sz w:val="24"/>
          <w:szCs w:val="24"/>
        </w:rPr>
        <w:t xml:space="preserve"> the district court granted the dealership’s motion to dismiss on the ground that service advisors were covered by the Section 213(b)(10)(A) exemption. The Ninth Circuit reversed, siding with the DOL’s 2011 interpretation of the exemption while acknowledging contrary decisions issued by the Fourth Circuit, the Fifth Circuit, and the Montana Supreme Court.</w:t>
      </w:r>
      <w:r>
        <w:rPr>
          <w:rFonts w:ascii="Times New Roman" w:eastAsia="Times New Roman" w:hAnsi="Times New Roman" w:cs="Times New Roman"/>
          <w:color w:val="000000"/>
          <w:sz w:val="24"/>
          <w:szCs w:val="24"/>
          <w:vertAlign w:val="superscript"/>
        </w:rPr>
        <w:footnoteReference w:id="686"/>
      </w:r>
      <w:r>
        <w:rPr>
          <w:rFonts w:ascii="Times New Roman" w:eastAsia="Times New Roman" w:hAnsi="Times New Roman" w:cs="Times New Roman"/>
          <w:color w:val="000000"/>
          <w:sz w:val="24"/>
          <w:szCs w:val="24"/>
        </w:rPr>
        <w:t xml:space="preserve"> As the Ninth Circuit saw it, “[s]ervice advisors may be ‘salesmen’ in a generic sense, but they do not personally sell cars and they do not personally service cars. Accordingly, service advisors fall outside the statutory definition.”</w:t>
      </w:r>
      <w:r>
        <w:rPr>
          <w:rFonts w:ascii="Times New Roman" w:eastAsia="Times New Roman" w:hAnsi="Times New Roman" w:cs="Times New Roman"/>
          <w:color w:val="000000"/>
          <w:sz w:val="24"/>
          <w:szCs w:val="24"/>
          <w:vertAlign w:val="superscript"/>
        </w:rPr>
        <w:footnoteReference w:id="687"/>
      </w:r>
      <w:r>
        <w:rPr>
          <w:rFonts w:ascii="Times New Roman" w:eastAsia="Times New Roman" w:hAnsi="Times New Roman" w:cs="Times New Roman"/>
          <w:color w:val="000000"/>
          <w:sz w:val="24"/>
          <w:szCs w:val="24"/>
        </w:rPr>
        <w:t xml:space="preserve"> Citing </w:t>
      </w:r>
      <w:r>
        <w:rPr>
          <w:rFonts w:ascii="Times New Roman" w:eastAsia="Times New Roman" w:hAnsi="Times New Roman" w:cs="Times New Roman"/>
          <w:i/>
          <w:color w:val="000000"/>
          <w:sz w:val="24"/>
          <w:szCs w:val="24"/>
        </w:rPr>
        <w:t>Chevron</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688"/>
      </w:r>
      <w:r>
        <w:rPr>
          <w:rFonts w:ascii="Times New Roman" w:eastAsia="Times New Roman" w:hAnsi="Times New Roman" w:cs="Times New Roman"/>
          <w:color w:val="000000"/>
          <w:sz w:val="24"/>
          <w:szCs w:val="24"/>
        </w:rPr>
        <w:t xml:space="preserve"> the Ninth Circuit concluded that while “there are good arguments supporting both interpretations of the exemption, where there are two reasonable ways to read the statutory text, and the agency has chosen one interpretation, we must defer to that choice” and therefore held that “Plaintiffs are not exempt under 29 U.S.C. § 213(b)(10)(A).”</w:t>
      </w:r>
      <w:r>
        <w:rPr>
          <w:rFonts w:ascii="Times New Roman" w:eastAsia="Times New Roman" w:hAnsi="Times New Roman" w:cs="Times New Roman"/>
          <w:color w:val="000000"/>
          <w:sz w:val="24"/>
          <w:szCs w:val="24"/>
          <w:vertAlign w:val="superscript"/>
        </w:rPr>
        <w:footnoteReference w:id="689"/>
      </w:r>
    </w:p>
    <w:p w14:paraId="0000029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After granting certiorari, the Supreme Court vacated and remanded the case to the Ninth Circuit,</w:t>
      </w:r>
      <w:r>
        <w:rPr>
          <w:rFonts w:ascii="Times New Roman" w:eastAsia="Times New Roman" w:hAnsi="Times New Roman" w:cs="Times New Roman"/>
          <w:color w:val="000000"/>
          <w:sz w:val="24"/>
          <w:szCs w:val="24"/>
          <w:vertAlign w:val="superscript"/>
        </w:rPr>
        <w:footnoteReference w:id="690"/>
      </w:r>
      <w:r>
        <w:rPr>
          <w:rFonts w:ascii="Times New Roman" w:eastAsia="Times New Roman" w:hAnsi="Times New Roman" w:cs="Times New Roman"/>
          <w:color w:val="000000"/>
          <w:sz w:val="24"/>
          <w:szCs w:val="24"/>
        </w:rPr>
        <w:t xml:space="preserve"> explaining that because the DOL’s 2011 interpretation of Section </w:t>
      </w:r>
      <w:r>
        <w:rPr>
          <w:rFonts w:ascii="Times New Roman" w:eastAsia="Times New Roman" w:hAnsi="Times New Roman" w:cs="Times New Roman"/>
          <w:color w:val="000000"/>
          <w:sz w:val="24"/>
          <w:szCs w:val="24"/>
        </w:rPr>
        <w:br/>
        <w:t>213(b)(10)(A) “was issued without the reasoned explanation that was required in light of the DOL’s change in position and the significant reliance interests involved,” the statutory provision must be construed without placing controlling weight on DOL’s interpretation.</w:t>
      </w:r>
      <w:r>
        <w:rPr>
          <w:rFonts w:ascii="Times New Roman" w:eastAsia="Times New Roman" w:hAnsi="Times New Roman" w:cs="Times New Roman"/>
          <w:color w:val="000000"/>
          <w:sz w:val="24"/>
          <w:szCs w:val="24"/>
          <w:vertAlign w:val="superscript"/>
        </w:rPr>
        <w:footnoteReference w:id="691"/>
      </w:r>
    </w:p>
    <w:p w14:paraId="0000029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[W]here the agency has failed to provide even that minimal level of analysis, its action is arbitrary and capricious and so cannot carry the force of law. </w:t>
      </w:r>
    </w:p>
    <w:p w14:paraId="00000295"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Agencies are free to change their existing policies as long as they provide a reasoned explanation for the change. … But the agency must at least “display awareness that it is changing position” and “show that there are good reasons for the new policy.” In explaining its changed position, an agency must also be cognizant that longstanding policies may have “engendered serious reliance interests that must be taken into account.”</w:t>
      </w:r>
      <w:r>
        <w:rPr>
          <w:rFonts w:ascii="Times New Roman" w:eastAsia="Times New Roman" w:hAnsi="Times New Roman" w:cs="Times New Roman"/>
          <w:color w:val="000000"/>
          <w:sz w:val="20"/>
          <w:szCs w:val="20"/>
          <w:vertAlign w:val="superscript"/>
        </w:rPr>
        <w:footnoteReference w:id="692"/>
      </w:r>
    </w:p>
    <w:p w14:paraId="0000029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Court concluded that an “‘[u]nexplained inconsistency’ in agency policy is ‘a reason for holding an interpretation to be an arbitrary and capricious change from agency practice,’ … and an arbitrary and capricious regulation of this sort is itself unlawful and receives no </w:t>
      </w:r>
      <w:r>
        <w:rPr>
          <w:rFonts w:ascii="Times New Roman" w:eastAsia="Times New Roman" w:hAnsi="Times New Roman" w:cs="Times New Roman"/>
          <w:i/>
          <w:color w:val="000000"/>
          <w:sz w:val="24"/>
          <w:szCs w:val="24"/>
        </w:rPr>
        <w:t xml:space="preserve">Chevron </w:t>
      </w:r>
      <w:r>
        <w:rPr>
          <w:rFonts w:ascii="Times New Roman" w:eastAsia="Times New Roman" w:hAnsi="Times New Roman" w:cs="Times New Roman"/>
          <w:color w:val="000000"/>
          <w:sz w:val="24"/>
          <w:szCs w:val="24"/>
        </w:rPr>
        <w:t>deference.”</w:t>
      </w:r>
      <w:r>
        <w:rPr>
          <w:rFonts w:ascii="Times New Roman" w:eastAsia="Times New Roman" w:hAnsi="Times New Roman" w:cs="Times New Roman"/>
          <w:color w:val="000000"/>
          <w:sz w:val="24"/>
          <w:szCs w:val="24"/>
          <w:vertAlign w:val="superscript"/>
        </w:rPr>
        <w:footnoteReference w:id="693"/>
      </w:r>
    </w:p>
    <w:p w14:paraId="0000029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remand, the Ninth Circuit was asked to interpret the statute in the first instance, without according deference to the DOL’s interpretation. Even so, the Ninth Circuit, employing the distributive canon of statutory construction, matched “salesman” with “selling” and </w:t>
      </w:r>
      <w:r>
        <w:rPr>
          <w:rFonts w:ascii="Times New Roman" w:eastAsia="Times New Roman" w:hAnsi="Times New Roman" w:cs="Times New Roman"/>
          <w:color w:val="000000"/>
          <w:sz w:val="24"/>
          <w:szCs w:val="24"/>
        </w:rPr>
        <w:lastRenderedPageBreak/>
        <w:t>“partsman and mechanic” with servicing and again held that Section 213(b)(10)(A) did not exempt service advisors from the FLSA’s overtime pay requirements.</w:t>
      </w:r>
      <w:r>
        <w:rPr>
          <w:rFonts w:ascii="Times New Roman" w:eastAsia="Times New Roman" w:hAnsi="Times New Roman" w:cs="Times New Roman"/>
          <w:color w:val="000000"/>
          <w:sz w:val="24"/>
          <w:szCs w:val="24"/>
          <w:vertAlign w:val="superscript"/>
        </w:rPr>
        <w:footnoteReference w:id="694"/>
      </w:r>
      <w:r>
        <w:rPr>
          <w:rFonts w:ascii="Times New Roman" w:eastAsia="Times New Roman" w:hAnsi="Times New Roman" w:cs="Times New Roman"/>
          <w:color w:val="000000"/>
          <w:sz w:val="24"/>
          <w:szCs w:val="24"/>
        </w:rPr>
        <w:t xml:space="preserve"> </w:t>
      </w:r>
    </w:p>
    <w:p w14:paraId="0000029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Supreme Court again granted certiorari and reversed the Ninth Circuit.</w:t>
      </w:r>
      <w:r>
        <w:rPr>
          <w:rFonts w:ascii="Times New Roman" w:eastAsia="Times New Roman" w:hAnsi="Times New Roman" w:cs="Times New Roman"/>
          <w:color w:val="000000"/>
          <w:sz w:val="24"/>
          <w:szCs w:val="24"/>
          <w:vertAlign w:val="superscript"/>
        </w:rPr>
        <w:footnoteReference w:id="695"/>
      </w:r>
      <w:r>
        <w:rPr>
          <w:rFonts w:ascii="Times New Roman" w:eastAsia="Times New Roman" w:hAnsi="Times New Roman" w:cs="Times New Roman"/>
          <w:color w:val="000000"/>
          <w:sz w:val="24"/>
          <w:szCs w:val="24"/>
        </w:rPr>
        <w:t xml:space="preserve"> The Court began by noting that a service advisor is “obviously” a salesman. “The ordinary meaning of ‘salesman’ is someone who sells goods or services. … Service advisors do precisely that.”</w:t>
      </w:r>
      <w:r>
        <w:rPr>
          <w:rFonts w:ascii="Times New Roman" w:eastAsia="Times New Roman" w:hAnsi="Times New Roman" w:cs="Times New Roman"/>
          <w:color w:val="000000"/>
          <w:sz w:val="24"/>
          <w:szCs w:val="24"/>
          <w:vertAlign w:val="superscript"/>
        </w:rPr>
        <w:footnoteReference w:id="696"/>
      </w:r>
      <w:r>
        <w:rPr>
          <w:rFonts w:ascii="Times New Roman" w:eastAsia="Times New Roman" w:hAnsi="Times New Roman" w:cs="Times New Roman"/>
          <w:color w:val="000000"/>
          <w:sz w:val="24"/>
          <w:szCs w:val="24"/>
        </w:rPr>
        <w:t xml:space="preserve"> From there, the Court noted that service advisors were also “primarily engaged in … servicing automobiles,” citing to the Oxford English Dictionary definition of “servicing” and concluding “service advisors are integral to the servicing process.”</w:t>
      </w:r>
      <w:r>
        <w:rPr>
          <w:rFonts w:ascii="Times New Roman" w:eastAsia="Times New Roman" w:hAnsi="Times New Roman" w:cs="Times New Roman"/>
          <w:color w:val="000000"/>
          <w:sz w:val="24"/>
          <w:szCs w:val="24"/>
          <w:vertAlign w:val="superscript"/>
        </w:rPr>
        <w:footnoteReference w:id="697"/>
      </w:r>
    </w:p>
    <w:p w14:paraId="0000029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True, service advisors do not spend most of their time physically repairing automobiles. But the statutory language is not so constrained. … In other words, the phrase “primarily engaged in … servicing automobiles” must include some individuals who do not physically repair automobiles themselves but who are integrally involved in the servicing process. That description applies to partsmen and service advisors alike.</w:t>
      </w:r>
      <w:r>
        <w:rPr>
          <w:rFonts w:ascii="Times New Roman" w:eastAsia="Times New Roman" w:hAnsi="Times New Roman" w:cs="Times New Roman"/>
          <w:color w:val="000000"/>
          <w:sz w:val="20"/>
          <w:szCs w:val="20"/>
          <w:vertAlign w:val="superscript"/>
        </w:rPr>
        <w:footnoteReference w:id="698"/>
      </w:r>
    </w:p>
    <w:p w14:paraId="0000029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opinion summarily rejected the Ninth Circuit’s distributive canon analysis, reasoning that “the exemption uses the word ‘or’ to connect all of its nouns and gerunds, and ‘or’ is ‘almost always disjunctive.’ Thus, the use of ‘or’ to join ‘selling’ and ‘servicing’ suggests that the exemption covers a salesman primarily engaged in either activity.”</w:t>
      </w:r>
      <w:r>
        <w:rPr>
          <w:rFonts w:ascii="Times New Roman" w:eastAsia="Times New Roman" w:hAnsi="Times New Roman" w:cs="Times New Roman"/>
          <w:color w:val="000000"/>
          <w:sz w:val="24"/>
          <w:szCs w:val="24"/>
          <w:vertAlign w:val="superscript"/>
        </w:rPr>
        <w:footnoteReference w:id="699"/>
      </w:r>
      <w:r>
        <w:rPr>
          <w:rFonts w:ascii="Times New Roman" w:eastAsia="Times New Roman" w:hAnsi="Times New Roman" w:cs="Times New Roman"/>
          <w:color w:val="000000"/>
          <w:sz w:val="24"/>
          <w:szCs w:val="24"/>
        </w:rPr>
        <w:t xml:space="preserve"> The Court then denounced the Ninth Circuit’s “narrow construction” of the exemption. </w:t>
      </w:r>
    </w:p>
    <w:p w14:paraId="0000029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We reject this principle as a useful guidepost for interpreting the FLSA. Because the FLSA gives no “textual indication” that its exemptions should be construed narrowly, “there is no reason to give [them] anything other than a fair (rather than a ‘narrow’) interpretation.” The narrow-construction principle relies on the flawed premise that the FLSA “pursues” its remedial purpose “at all costs.” But the FLSA has over two dozen exemptions in § 213(b) alone, including the one at issue here. Those exemptions are as much a part of the FLSA’s purpose as the overtime-pay requirement. </w:t>
      </w:r>
    </w:p>
    <w:p w14:paraId="0000029C"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We thus have no license to give the exemption anything but a fair reading.</w:t>
      </w:r>
      <w:r>
        <w:rPr>
          <w:rFonts w:ascii="Times New Roman" w:eastAsia="Times New Roman" w:hAnsi="Times New Roman" w:cs="Times New Roman"/>
          <w:color w:val="000000"/>
          <w:sz w:val="20"/>
          <w:szCs w:val="20"/>
          <w:vertAlign w:val="superscript"/>
        </w:rPr>
        <w:footnoteReference w:id="700"/>
      </w:r>
    </w:p>
    <w:p w14:paraId="0000029D"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G.</w:t>
      </w:r>
      <w:r>
        <w:rPr>
          <w:rFonts w:ascii="Times New Roman" w:eastAsia="Times New Roman" w:hAnsi="Times New Roman" w:cs="Times New Roman"/>
          <w:b/>
          <w:color w:val="000000"/>
          <w:sz w:val="24"/>
          <w:szCs w:val="24"/>
        </w:rPr>
        <w:tab/>
        <w:t>Local Delivery Drivers</w:t>
      </w:r>
    </w:p>
    <w:p w14:paraId="0000029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Section 213(b)(11) exempts from overtime any driver or driver’s helper who makes local deliveries and is compensated on the basis of trip rates or some other delivery payment plan the </w:t>
      </w:r>
      <w:r>
        <w:rPr>
          <w:rFonts w:ascii="Times New Roman" w:eastAsia="Times New Roman" w:hAnsi="Times New Roman" w:cs="Times New Roman"/>
          <w:color w:val="000000"/>
          <w:sz w:val="24"/>
          <w:szCs w:val="24"/>
        </w:rPr>
        <w:lastRenderedPageBreak/>
        <w:t>Secretary of Labor finds has the general purpose and effect of reducing hours worked by such employees to or below the applicable maximum workweek.</w:t>
      </w:r>
      <w:r>
        <w:rPr>
          <w:rFonts w:ascii="Times New Roman" w:eastAsia="Times New Roman" w:hAnsi="Times New Roman" w:cs="Times New Roman"/>
          <w:color w:val="000000"/>
          <w:sz w:val="24"/>
          <w:szCs w:val="24"/>
          <w:vertAlign w:val="superscript"/>
        </w:rPr>
        <w:footnoteReference w:id="701"/>
      </w:r>
    </w:p>
    <w:p w14:paraId="0000029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DOL regulations describe the requirements and procedures for the submission of petitions to the WHD Administrator for approval of plans to operate under Section 213(b)(11).</w:t>
      </w:r>
      <w:r>
        <w:rPr>
          <w:rFonts w:ascii="Times New Roman" w:eastAsia="Times New Roman" w:hAnsi="Times New Roman" w:cs="Times New Roman"/>
          <w:color w:val="000000"/>
          <w:sz w:val="24"/>
          <w:szCs w:val="24"/>
          <w:vertAlign w:val="superscript"/>
        </w:rPr>
        <w:footnoteReference w:id="702"/>
      </w:r>
      <w:r>
        <w:rPr>
          <w:rFonts w:ascii="Times New Roman" w:eastAsia="Times New Roman" w:hAnsi="Times New Roman" w:cs="Times New Roman"/>
          <w:color w:val="000000"/>
          <w:sz w:val="24"/>
          <w:szCs w:val="24"/>
        </w:rPr>
        <w:t xml:space="preserve"> Recordkeeping regulations require certain records to be kept by employers operating under an approved plan.</w:t>
      </w:r>
      <w:r>
        <w:rPr>
          <w:rFonts w:ascii="Times New Roman" w:eastAsia="Times New Roman" w:hAnsi="Times New Roman" w:cs="Times New Roman"/>
          <w:color w:val="000000"/>
          <w:sz w:val="24"/>
          <w:szCs w:val="24"/>
          <w:vertAlign w:val="superscript"/>
        </w:rPr>
        <w:footnoteReference w:id="703"/>
      </w:r>
    </w:p>
    <w:p w14:paraId="000002A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phrase “making local deliveries” is defined by regulation as follows:</w:t>
      </w:r>
    </w:p>
    <w:p w14:paraId="000002A1"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Making local deliveries includes the activities customarily and regularly performed in the physical transfer, to customers of a business establishment situated within the rural or urban community or metropolitan area in which the establishment is located, of goods sold or otherwise disposed of to such local customers by such establishment. Included are activities performed by the driver or driver’s helpers as an incident to or in conjunction with making such deliveries, such as picking up and returning the delivery vehicle at the beginning and end of the workday, cleaning the vehicle, checking it to see that it is in operating condition, loading and unloading or assisting in loading or unloading the goods, and picking up empty containers or other goods from customers for return to the establishment.</w:t>
      </w:r>
      <w:r>
        <w:rPr>
          <w:rFonts w:ascii="Times New Roman" w:eastAsia="Times New Roman" w:hAnsi="Times New Roman" w:cs="Times New Roman"/>
          <w:color w:val="000000"/>
          <w:sz w:val="20"/>
          <w:szCs w:val="20"/>
          <w:vertAlign w:val="superscript"/>
        </w:rPr>
        <w:footnoteReference w:id="704"/>
      </w:r>
    </w:p>
    <w:p w14:paraId="000002A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following are excluded from the concept of “making local deliveries:” </w:t>
      </w:r>
    </w:p>
    <w:p w14:paraId="000002A3"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the carriage of passengers; the transportation of any load of goods that would normally require a round trip longer than a single workday for delivery and return to the starting point; any movement of goods which does not accomplish a transfer of possession from one person to another; [the] transportation of goods as a part of a process of production; and [the] transportation of goods within a local community or metropolitan area as an integral part of a carriage of such goods from a point outside such community or area to a destination within it, rather than as a part of the activities customarily performed in making local deliveries … in the same manner as deliveries of goods held locally for local disposition.</w:t>
      </w:r>
      <w:r>
        <w:rPr>
          <w:rFonts w:ascii="Times New Roman" w:eastAsia="Times New Roman" w:hAnsi="Times New Roman" w:cs="Times New Roman"/>
          <w:color w:val="000000"/>
          <w:sz w:val="20"/>
          <w:szCs w:val="20"/>
          <w:vertAlign w:val="superscript"/>
        </w:rPr>
        <w:footnoteReference w:id="705"/>
      </w:r>
    </w:p>
    <w:p w14:paraId="000002A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DOL regulations, a “plan of compensation on the basis of trip rates or other delivery payment plan” means</w:t>
      </w:r>
    </w:p>
    <w:p w14:paraId="000002A5"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any plan whereby employees employed as drivers or drivers’ helpers making local deliveries are compensated for their employment on a basis such that the amount of payment which they receive is governed in substantial part by a system of wage payments based on units of work measurement such as numbers of trips taken, miles driven, stops made, or units of goods delivered (but not including any plan based solely on the number of hours worked) so that there is a substantial inducement to employees to minimize the number of hours worked.</w:t>
      </w:r>
      <w:r>
        <w:rPr>
          <w:rFonts w:ascii="Times New Roman" w:eastAsia="Times New Roman" w:hAnsi="Times New Roman" w:cs="Times New Roman"/>
          <w:color w:val="000000"/>
          <w:sz w:val="20"/>
          <w:szCs w:val="20"/>
          <w:vertAlign w:val="superscript"/>
        </w:rPr>
        <w:footnoteReference w:id="706"/>
      </w:r>
    </w:p>
    <w:p w14:paraId="000002A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employer desiring to establish an exemption from overtime pay under Section 213(b)(11) may petition the WHD Administrator.</w:t>
      </w:r>
      <w:r>
        <w:rPr>
          <w:rFonts w:ascii="Times New Roman" w:eastAsia="Times New Roman" w:hAnsi="Times New Roman" w:cs="Times New Roman"/>
          <w:color w:val="000000"/>
          <w:sz w:val="24"/>
          <w:szCs w:val="24"/>
          <w:vertAlign w:val="superscript"/>
        </w:rPr>
        <w:footnoteReference w:id="707"/>
      </w:r>
      <w:r>
        <w:rPr>
          <w:rFonts w:ascii="Times New Roman" w:eastAsia="Times New Roman" w:hAnsi="Times New Roman" w:cs="Times New Roman"/>
          <w:color w:val="000000"/>
          <w:sz w:val="24"/>
          <w:szCs w:val="24"/>
        </w:rPr>
        <w:t xml:space="preserve"> Upon the filing of a petition,</w:t>
      </w:r>
      <w:r>
        <w:rPr>
          <w:rFonts w:ascii="Times New Roman" w:eastAsia="Times New Roman" w:hAnsi="Times New Roman" w:cs="Times New Roman"/>
          <w:color w:val="000000"/>
          <w:sz w:val="24"/>
          <w:szCs w:val="24"/>
          <w:vertAlign w:val="superscript"/>
        </w:rPr>
        <w:footnoteReference w:id="708"/>
      </w:r>
      <w:r>
        <w:rPr>
          <w:rFonts w:ascii="Times New Roman" w:eastAsia="Times New Roman" w:hAnsi="Times New Roman" w:cs="Times New Roman"/>
          <w:color w:val="000000"/>
          <w:sz w:val="24"/>
          <w:szCs w:val="24"/>
        </w:rPr>
        <w:t xml:space="preserve"> the </w:t>
      </w:r>
      <w:r>
        <w:rPr>
          <w:rFonts w:ascii="Times New Roman" w:eastAsia="Times New Roman" w:hAnsi="Times New Roman" w:cs="Times New Roman"/>
          <w:color w:val="000000"/>
          <w:sz w:val="24"/>
          <w:szCs w:val="24"/>
        </w:rPr>
        <w:lastRenderedPageBreak/>
        <w:t>Administrator will make further inquiry into the facts, and may require that notice of the petition be given to the affected employees so as to afford them an opportunity to submit facts or reasons supporting or opposing the employer’s request.</w:t>
      </w:r>
      <w:r>
        <w:rPr>
          <w:rFonts w:ascii="Times New Roman" w:eastAsia="Times New Roman" w:hAnsi="Times New Roman" w:cs="Times New Roman"/>
          <w:color w:val="000000"/>
          <w:sz w:val="24"/>
          <w:szCs w:val="24"/>
          <w:vertAlign w:val="superscript"/>
        </w:rPr>
        <w:footnoteReference w:id="709"/>
      </w:r>
      <w:r>
        <w:rPr>
          <w:rFonts w:ascii="Times New Roman" w:eastAsia="Times New Roman" w:hAnsi="Times New Roman" w:cs="Times New Roman"/>
          <w:color w:val="000000"/>
          <w:sz w:val="24"/>
          <w:szCs w:val="24"/>
        </w:rPr>
        <w:t xml:space="preserve"> If the Administrator determines that the petition fails to satisfy any of the requirements, then he or she shall deny the request for a finding or advise the petitioners that further consideration will be given to the submission if the deficiencies are remedied.</w:t>
      </w:r>
      <w:r>
        <w:rPr>
          <w:rFonts w:ascii="Times New Roman" w:eastAsia="Times New Roman" w:hAnsi="Times New Roman" w:cs="Times New Roman"/>
          <w:color w:val="000000"/>
          <w:sz w:val="24"/>
          <w:szCs w:val="24"/>
          <w:vertAlign w:val="superscript"/>
        </w:rPr>
        <w:footnoteReference w:id="710"/>
      </w:r>
      <w:r>
        <w:rPr>
          <w:rFonts w:ascii="Times New Roman" w:eastAsia="Times New Roman" w:hAnsi="Times New Roman" w:cs="Times New Roman"/>
          <w:color w:val="000000"/>
          <w:sz w:val="24"/>
          <w:szCs w:val="24"/>
        </w:rPr>
        <w:t xml:space="preserve"> However, if the Administrator determines that the factual situation as described in the petition is not one in which authority to make a finding is provided by Section 213(b)(11), no further consideration will be given.</w:t>
      </w:r>
      <w:r>
        <w:rPr>
          <w:rFonts w:ascii="Times New Roman" w:eastAsia="Times New Roman" w:hAnsi="Times New Roman" w:cs="Times New Roman"/>
          <w:color w:val="000000"/>
          <w:sz w:val="24"/>
          <w:szCs w:val="24"/>
          <w:vertAlign w:val="superscript"/>
        </w:rPr>
        <w:footnoteReference w:id="711"/>
      </w:r>
      <w:r>
        <w:rPr>
          <w:rFonts w:ascii="Times New Roman" w:eastAsia="Times New Roman" w:hAnsi="Times New Roman" w:cs="Times New Roman"/>
          <w:color w:val="000000"/>
          <w:sz w:val="24"/>
          <w:szCs w:val="24"/>
        </w:rPr>
        <w:t xml:space="preserve"> </w:t>
      </w:r>
    </w:p>
    <w:p w14:paraId="000002A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 Administrator determines that the petition meets all the requirements and is satisfied after considering all relevant facts and information available that the wage payment plan submitted has the general purpose and effect with respect to drivers or drivers’ helpers making local deliveries, of reducing the hours worked by such employees to, or below, the maximum workweek applicable under Section 207(a) of the FLSA, then the Administrator will make an appropriate finding to this effect, and notify the petitioner.</w:t>
      </w:r>
      <w:r>
        <w:rPr>
          <w:rFonts w:ascii="Times New Roman" w:eastAsia="Times New Roman" w:hAnsi="Times New Roman" w:cs="Times New Roman"/>
          <w:color w:val="000000"/>
          <w:sz w:val="24"/>
          <w:szCs w:val="24"/>
          <w:vertAlign w:val="superscript"/>
        </w:rPr>
        <w:footnoteReference w:id="712"/>
      </w:r>
    </w:p>
    <w:p w14:paraId="000002A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finding by the Administrator that a wage payment plan has the purpose and effect required for exemption under Section 213(b)(11) shall be effective in accordance with its terms on notification to the petitioners.</w:t>
      </w:r>
      <w:r>
        <w:rPr>
          <w:rFonts w:ascii="Times New Roman" w:eastAsia="Times New Roman" w:hAnsi="Times New Roman" w:cs="Times New Roman"/>
          <w:color w:val="000000"/>
          <w:sz w:val="24"/>
          <w:szCs w:val="24"/>
          <w:vertAlign w:val="superscript"/>
        </w:rPr>
        <w:footnoteReference w:id="713"/>
      </w:r>
      <w:r>
        <w:rPr>
          <w:rFonts w:ascii="Times New Roman" w:eastAsia="Times New Roman" w:hAnsi="Times New Roman" w:cs="Times New Roman"/>
          <w:color w:val="000000"/>
          <w:sz w:val="24"/>
          <w:szCs w:val="24"/>
        </w:rPr>
        <w:t xml:space="preserve"> A finding may be amended or revoked by the Administrator at any time on his or her own motion or on written request of any interested person setting forth reasonable grounds therefor. Before taking such action, the Administrator shall afford interested persons an opportunity to present their views, and give consideration to any relevant information presented.</w:t>
      </w:r>
      <w:r>
        <w:rPr>
          <w:rFonts w:ascii="Times New Roman" w:eastAsia="Times New Roman" w:hAnsi="Times New Roman" w:cs="Times New Roman"/>
          <w:color w:val="000000"/>
          <w:sz w:val="24"/>
          <w:szCs w:val="24"/>
          <w:vertAlign w:val="superscript"/>
        </w:rPr>
        <w:footnoteReference w:id="714"/>
      </w:r>
      <w:r>
        <w:rPr>
          <w:rFonts w:ascii="Times New Roman" w:eastAsia="Times New Roman" w:hAnsi="Times New Roman" w:cs="Times New Roman"/>
          <w:color w:val="000000"/>
          <w:sz w:val="24"/>
          <w:szCs w:val="24"/>
        </w:rPr>
        <w:t xml:space="preserve"> </w:t>
      </w:r>
    </w:p>
    <w:p w14:paraId="000002A9"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H.</w:t>
      </w:r>
      <w:r>
        <w:rPr>
          <w:rFonts w:ascii="Times New Roman" w:eastAsia="Times New Roman" w:hAnsi="Times New Roman" w:cs="Times New Roman"/>
          <w:b/>
          <w:color w:val="000000"/>
          <w:sz w:val="24"/>
          <w:szCs w:val="24"/>
        </w:rPr>
        <w:tab/>
        <w:t>Taxicab Drivers</w:t>
      </w:r>
    </w:p>
    <w:p w14:paraId="000002A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213(b)(17) of the FLSA provides an overtime exemption for “any driver employed by an employer engaged in the business of operating taxicabs.”</w:t>
      </w:r>
      <w:r>
        <w:rPr>
          <w:rFonts w:ascii="Times New Roman" w:eastAsia="Times New Roman" w:hAnsi="Times New Roman" w:cs="Times New Roman"/>
          <w:color w:val="000000"/>
          <w:sz w:val="24"/>
          <w:szCs w:val="24"/>
          <w:vertAlign w:val="superscript"/>
        </w:rPr>
        <w:footnoteReference w:id="715"/>
      </w:r>
      <w:r>
        <w:rPr>
          <w:rFonts w:ascii="Times New Roman" w:eastAsia="Times New Roman" w:hAnsi="Times New Roman" w:cs="Times New Roman"/>
          <w:color w:val="000000"/>
          <w:sz w:val="24"/>
          <w:szCs w:val="24"/>
        </w:rPr>
        <w:t xml:space="preserve"> According to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w:t>
      </w:r>
    </w:p>
    <w:p w14:paraId="000002A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The taxicab business consists normally of common carrier transportation in small motor vehicles of persons and such property as they may carry with them to any requested destination in the community. The business operates without fixed routes or contracts for recurrent transportation. It serves the miscellaneous and predominantly local transportation needs of the community.</w:t>
      </w:r>
      <w:r>
        <w:rPr>
          <w:rFonts w:ascii="Times New Roman" w:eastAsia="Times New Roman" w:hAnsi="Times New Roman" w:cs="Times New Roman"/>
          <w:color w:val="000000"/>
          <w:sz w:val="20"/>
          <w:szCs w:val="20"/>
          <w:vertAlign w:val="superscript"/>
        </w:rPr>
        <w:footnoteReference w:id="716"/>
      </w:r>
    </w:p>
    <w:p w14:paraId="000002AC"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exemption applies only to “drivers” employed by an employer engaged in the business of operating taxicabs.</w:t>
      </w:r>
      <w:r>
        <w:rPr>
          <w:rFonts w:ascii="Times New Roman" w:eastAsia="Times New Roman" w:hAnsi="Times New Roman" w:cs="Times New Roman"/>
          <w:color w:val="000000"/>
          <w:sz w:val="24"/>
          <w:szCs w:val="24"/>
          <w:vertAlign w:val="superscript"/>
        </w:rPr>
        <w:footnoteReference w:id="717"/>
      </w:r>
      <w:r>
        <w:rPr>
          <w:rFonts w:ascii="Times New Roman" w:eastAsia="Times New Roman" w:hAnsi="Times New Roman" w:cs="Times New Roman"/>
          <w:color w:val="000000"/>
          <w:sz w:val="24"/>
          <w:szCs w:val="24"/>
        </w:rPr>
        <w:t xml:space="preserve"> </w:t>
      </w:r>
    </w:p>
    <w:p w14:paraId="000002A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sets forth the following examples of “nonexempt work”: </w:t>
      </w:r>
    </w:p>
    <w:p w14:paraId="000002AE"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acting as a dispatcher; </w:t>
      </w:r>
    </w:p>
    <w:p w14:paraId="000002AF"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 xml:space="preserve">performing general clerical duties; </w:t>
      </w:r>
    </w:p>
    <w:p w14:paraId="000002B0"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performing general mechanical or repair services on vehicles; and</w:t>
      </w:r>
    </w:p>
    <w:p w14:paraId="000002B1"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performing work, including driving, in connection with other business operations of the employer, such as operation of an airport limousine service, a pick-up and delivery service, or a moving and storage service.</w:t>
      </w:r>
      <w:r>
        <w:rPr>
          <w:rFonts w:ascii="Times New Roman" w:eastAsia="Times New Roman" w:hAnsi="Times New Roman" w:cs="Times New Roman"/>
          <w:color w:val="000000"/>
          <w:sz w:val="24"/>
          <w:szCs w:val="24"/>
          <w:vertAlign w:val="superscript"/>
        </w:rPr>
        <w:footnoteReference w:id="718"/>
      </w:r>
      <w:r>
        <w:rPr>
          <w:rFonts w:ascii="Times New Roman" w:eastAsia="Times New Roman" w:hAnsi="Times New Roman" w:cs="Times New Roman"/>
          <w:color w:val="000000"/>
          <w:sz w:val="24"/>
          <w:szCs w:val="24"/>
        </w:rPr>
        <w:t xml:space="preserve"> </w:t>
      </w:r>
    </w:p>
    <w:p w14:paraId="000002B2"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Transferring baggage or freight not done in conjunction with transporting persons in the same vehicle is also considered non-exempt work.</w:t>
      </w:r>
      <w:r>
        <w:rPr>
          <w:rFonts w:ascii="Times New Roman" w:eastAsia="Times New Roman" w:hAnsi="Times New Roman" w:cs="Times New Roman"/>
          <w:color w:val="000000"/>
          <w:sz w:val="24"/>
          <w:szCs w:val="24"/>
          <w:vertAlign w:val="superscript"/>
        </w:rPr>
        <w:footnoteReference w:id="719"/>
      </w:r>
      <w:r>
        <w:rPr>
          <w:rFonts w:ascii="Times New Roman" w:eastAsia="Times New Roman" w:hAnsi="Times New Roman" w:cs="Times New Roman"/>
          <w:color w:val="000000"/>
          <w:sz w:val="24"/>
          <w:szCs w:val="24"/>
        </w:rPr>
        <w:t xml:space="preserve"> The exemption remains applicable provided that the amount of nonexempt work does not exceed 20 percent of the time worked by the driver during the workweek.</w:t>
      </w:r>
      <w:r>
        <w:rPr>
          <w:rFonts w:ascii="Times New Roman" w:eastAsia="Times New Roman" w:hAnsi="Times New Roman" w:cs="Times New Roman"/>
          <w:color w:val="000000"/>
          <w:sz w:val="24"/>
          <w:szCs w:val="24"/>
          <w:vertAlign w:val="superscript"/>
        </w:rPr>
        <w:footnoteReference w:id="720"/>
      </w:r>
    </w:p>
    <w:p w14:paraId="000002B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Courts have held that drivers of ambulette vehicles do not come within the taxicab exemption.</w:t>
      </w:r>
      <w:r>
        <w:rPr>
          <w:rFonts w:ascii="Times New Roman" w:eastAsia="Times New Roman" w:hAnsi="Times New Roman" w:cs="Times New Roman"/>
          <w:color w:val="000000"/>
          <w:sz w:val="24"/>
          <w:szCs w:val="24"/>
          <w:vertAlign w:val="superscript"/>
        </w:rPr>
        <w:footnoteReference w:id="721"/>
      </w:r>
      <w:r>
        <w:rPr>
          <w:rFonts w:ascii="Times New Roman" w:eastAsia="Times New Roman" w:hAnsi="Times New Roman" w:cs="Times New Roman"/>
          <w:color w:val="000000"/>
          <w:sz w:val="24"/>
          <w:szCs w:val="24"/>
        </w:rPr>
        <w:t xml:space="preserve"> Several courts have found that limousine drivers are not exempt under the taxicab exemption where services are furnished under a contract, trips are unmetered, vehicles do not have vacancy signs, and the drivers do not operate freely with initiative.</w:t>
      </w:r>
      <w:r>
        <w:rPr>
          <w:rFonts w:ascii="Times New Roman" w:eastAsia="Times New Roman" w:hAnsi="Times New Roman" w:cs="Times New Roman"/>
          <w:color w:val="000000"/>
          <w:sz w:val="24"/>
          <w:szCs w:val="24"/>
          <w:vertAlign w:val="superscript"/>
        </w:rPr>
        <w:footnoteReference w:id="722"/>
      </w:r>
      <w:r>
        <w:rPr>
          <w:rFonts w:ascii="Times New Roman" w:eastAsia="Times New Roman" w:hAnsi="Times New Roman" w:cs="Times New Roman"/>
          <w:color w:val="000000"/>
          <w:sz w:val="24"/>
          <w:szCs w:val="24"/>
        </w:rPr>
        <w:t xml:space="preserve"> However, in </w:t>
      </w:r>
      <w:r>
        <w:rPr>
          <w:rFonts w:ascii="Times New Roman" w:eastAsia="Times New Roman" w:hAnsi="Times New Roman" w:cs="Times New Roman"/>
          <w:i/>
          <w:color w:val="000000"/>
          <w:sz w:val="24"/>
          <w:szCs w:val="24"/>
        </w:rPr>
        <w:t>Munoz-Gonzalez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D.L.C</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Limousine Service,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723"/>
      </w:r>
      <w:r>
        <w:rPr>
          <w:rFonts w:ascii="Times New Roman" w:eastAsia="Times New Roman" w:hAnsi="Times New Roman" w:cs="Times New Roman"/>
          <w:color w:val="000000"/>
          <w:sz w:val="24"/>
          <w:szCs w:val="24"/>
        </w:rPr>
        <w:t xml:space="preserve"> the Second Circuit found that drivers employed by a suburban car service qualified for the taxicab exemption because (1) the company’s fleet consisted of chauffeured passenger vehicles; (2) the vehicles were available for hire by </w:t>
      </w:r>
      <w:r>
        <w:rPr>
          <w:rFonts w:ascii="Times New Roman" w:eastAsia="Times New Roman" w:hAnsi="Times New Roman" w:cs="Times New Roman"/>
          <w:color w:val="000000"/>
          <w:sz w:val="24"/>
          <w:szCs w:val="24"/>
        </w:rPr>
        <w:lastRenderedPageBreak/>
        <w:t>individual members of the general public; and (3) the vehicles took passengers wherever they wanted to go and did not cover fixed routes or adhere to fixed schedules or fixed termini.</w:t>
      </w:r>
      <w:r>
        <w:rPr>
          <w:rFonts w:ascii="Times New Roman" w:eastAsia="Times New Roman" w:hAnsi="Times New Roman" w:cs="Times New Roman"/>
          <w:color w:val="000000"/>
          <w:sz w:val="24"/>
          <w:szCs w:val="24"/>
          <w:vertAlign w:val="superscript"/>
        </w:rPr>
        <w:footnoteReference w:id="724"/>
      </w:r>
      <w:r>
        <w:rPr>
          <w:rFonts w:ascii="Times New Roman" w:eastAsia="Times New Roman" w:hAnsi="Times New Roman" w:cs="Times New Roman"/>
          <w:color w:val="000000"/>
          <w:sz w:val="24"/>
          <w:szCs w:val="24"/>
        </w:rPr>
        <w:t xml:space="preserve"> </w:t>
      </w:r>
    </w:p>
    <w:p w14:paraId="000002B4"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w:t>
      </w:r>
      <w:r>
        <w:rPr>
          <w:rFonts w:ascii="Times New Roman" w:eastAsia="Times New Roman" w:hAnsi="Times New Roman" w:cs="Times New Roman"/>
          <w:b/>
          <w:color w:val="000000"/>
          <w:sz w:val="24"/>
          <w:szCs w:val="24"/>
        </w:rPr>
        <w:tab/>
        <w:t>Domestic Servants Who Reside in a Household</w:t>
      </w:r>
    </w:p>
    <w:p w14:paraId="000002B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213(b)(21) of the FLSA provides an overtime exemption for “any employee who is employed in domestic service in a household and who resides in such household.”</w:t>
      </w:r>
      <w:r>
        <w:rPr>
          <w:rFonts w:ascii="Times New Roman" w:eastAsia="Times New Roman" w:hAnsi="Times New Roman" w:cs="Times New Roman"/>
          <w:color w:val="000000"/>
          <w:sz w:val="24"/>
          <w:szCs w:val="24"/>
          <w:vertAlign w:val="superscript"/>
        </w:rPr>
        <w:footnoteReference w:id="725"/>
      </w:r>
      <w:r>
        <w:rPr>
          <w:rFonts w:ascii="Times New Roman" w:eastAsia="Times New Roman" w:hAnsi="Times New Roman" w:cs="Times New Roman"/>
          <w:color w:val="000000"/>
          <w:sz w:val="24"/>
          <w:szCs w:val="24"/>
        </w:rPr>
        <w:t xml:space="preserve"> In 2013, the DOL made changes to several regulations concerning domestic service employment, including a change to the language of 29 C.F.R. §552.102(b), titled “Live-in Domestic Service Employees.” That regulation now reads:</w:t>
      </w:r>
    </w:p>
    <w:p w14:paraId="000002B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Domestic service employees who reside in the household where they are employed are entitled to the same minimum wage as domestic service employees who work by the day. However, section 13(b)(21) provides an exemption from the Act’s overtime requirements for domestic service employees who reside in the household where employed. But this exemption does not excuse the employer from paying the live-in worker at the applicable minimum wage rate for all hours worked. In determining the number of hours worked by a live-in worker, the employee and the employer may exclude, by agreement between themselves, the amount of sleeping time, meal time and other periods of complete freedom from all duties when the employee may either leave the premises or stay on the premises for purely personal pursuits. For periods of free time (other than those relating to meals and sleeping) to be excluded from hours worked, the periods must be of sufficient duration to enable the employee to make effective use of the time. If the sleeping time, meal periods or other periods of free time are interrupted by a call to duty, the interruption must be counted as hours worked. See regulations part 785, § 785.23.</w:t>
      </w:r>
    </w:p>
    <w:p w14:paraId="000002B7"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(b) If it is found by the parties that there is a significant deviation from the initial agreement, the parties should reach a new agreement that reflects the actual facts of the hours worked by the employee.</w:t>
      </w:r>
      <w:r>
        <w:rPr>
          <w:rFonts w:ascii="Times New Roman" w:eastAsia="Times New Roman" w:hAnsi="Times New Roman" w:cs="Times New Roman"/>
          <w:color w:val="000000"/>
          <w:sz w:val="20"/>
          <w:szCs w:val="20"/>
          <w:vertAlign w:val="superscript"/>
        </w:rPr>
        <w:footnoteReference w:id="726"/>
      </w:r>
    </w:p>
    <w:p w14:paraId="000002B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be considered a live-in domestic service employee, the employee must (1) meet the definition of domestic service employment under 29 C.F.R. §552.101 and (2) reside on the employer’s premises on a “permanent basis” or for “extended periods of time.”</w:t>
      </w:r>
      <w:r>
        <w:rPr>
          <w:rFonts w:ascii="Times New Roman" w:eastAsia="Times New Roman" w:hAnsi="Times New Roman" w:cs="Times New Roman"/>
          <w:color w:val="000000"/>
          <w:sz w:val="24"/>
          <w:szCs w:val="24"/>
          <w:vertAlign w:val="superscript"/>
        </w:rPr>
        <w:footnoteReference w:id="727"/>
      </w:r>
      <w:r>
        <w:rPr>
          <w:rFonts w:ascii="Times New Roman" w:eastAsia="Times New Roman" w:hAnsi="Times New Roman" w:cs="Times New Roman"/>
          <w:color w:val="000000"/>
          <w:sz w:val="24"/>
          <w:szCs w:val="24"/>
        </w:rPr>
        <w:t xml:space="preserve"> Employees who work and sleep on the employer’s premises seven days per week and therefore have no home of their own other than the one provided by the employer are considered to “permanently </w:t>
      </w:r>
      <w:r>
        <w:rPr>
          <w:rFonts w:ascii="Times New Roman" w:eastAsia="Times New Roman" w:hAnsi="Times New Roman" w:cs="Times New Roman"/>
          <w:color w:val="000000"/>
          <w:sz w:val="24"/>
          <w:szCs w:val="24"/>
        </w:rPr>
        <w:lastRenderedPageBreak/>
        <w:t>reside” on the employer’s premises.</w:t>
      </w:r>
      <w:r>
        <w:rPr>
          <w:rFonts w:ascii="Times New Roman" w:eastAsia="Times New Roman" w:hAnsi="Times New Roman" w:cs="Times New Roman"/>
          <w:color w:val="000000"/>
          <w:sz w:val="24"/>
          <w:szCs w:val="24"/>
          <w:vertAlign w:val="superscript"/>
        </w:rPr>
        <w:footnoteReference w:id="728"/>
      </w:r>
      <w:r>
        <w:rPr>
          <w:rFonts w:ascii="Times New Roman" w:eastAsia="Times New Roman" w:hAnsi="Times New Roman" w:cs="Times New Roman"/>
          <w:color w:val="000000"/>
          <w:sz w:val="24"/>
          <w:szCs w:val="24"/>
        </w:rPr>
        <w:t xml:space="preserve"> When the Final Rule on the Application of the FLSA to Domestic Service was first published, the DOL wrote: </w:t>
      </w:r>
    </w:p>
    <w:p w14:paraId="000002B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0"/>
          <w:szCs w:val="20"/>
        </w:rPr>
        <w:t xml:space="preserve">Further, in accordance with the Department’s existing policy, employees who work and sleep on the employer’s premises for five days a week (120 hours or more) are considered to reside on the employer’s premises for “extended periods of time.”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FOH §31b20. If less than 120 hours per week is spent working and sleeping on the employer’s premises, five consecutive days or nights would also qualify as residing on the premises for extended periods of time. … For example, employees who reside on the employer’s premises five consecutive days from 9:00 a.m. Monday until 5:00 p.m. Friday (sleeping four straight nights on the premises) would be considered to reside on the employer’s premises for an extended period of time. Similarly, employees who reside on an employer’s premises five consecutive nights from 9:00 p.m. Monday until 9:00 a.m. Saturday would also be considered to reside on their employer’s premises for an extended period of time.</w:t>
      </w:r>
      <w:r>
        <w:rPr>
          <w:rFonts w:ascii="Times New Roman" w:eastAsia="Times New Roman" w:hAnsi="Times New Roman" w:cs="Times New Roman"/>
          <w:color w:val="000000"/>
          <w:sz w:val="20"/>
          <w:szCs w:val="20"/>
          <w:vertAlign w:val="superscript"/>
        </w:rPr>
        <w:footnoteReference w:id="729"/>
      </w:r>
      <w:r>
        <w:rPr>
          <w:rFonts w:ascii="Times New Roman" w:eastAsia="Times New Roman" w:hAnsi="Times New Roman" w:cs="Times New Roman"/>
          <w:color w:val="000000"/>
          <w:sz w:val="20"/>
          <w:szCs w:val="20"/>
        </w:rPr>
        <w:t xml:space="preserve"> </w:t>
      </w:r>
    </w:p>
    <w:p w14:paraId="000002B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Employees who work only temporarily, for example, for only a short period of time such as two weeks, for the given household are not considered live-in domestic service workers, because residing on the premises of such household implies more than temporary activity. In addition, employees who work 24-hour shifts but are not residing on the employer’s premises “permanently” or for “extended periods of time” as defined above are not considered live-in domestic service workers and, thus, the employers are not entitled to the overtime exemption.</w:t>
      </w:r>
      <w:r>
        <w:rPr>
          <w:rFonts w:ascii="Times New Roman" w:eastAsia="Times New Roman" w:hAnsi="Times New Roman" w:cs="Times New Roman"/>
          <w:color w:val="000000"/>
          <w:sz w:val="24"/>
          <w:szCs w:val="24"/>
          <w:vertAlign w:val="superscript"/>
        </w:rPr>
        <w:footnoteReference w:id="730"/>
      </w:r>
      <w:r>
        <w:rPr>
          <w:rFonts w:ascii="Times New Roman" w:eastAsia="Times New Roman" w:hAnsi="Times New Roman" w:cs="Times New Roman"/>
          <w:color w:val="000000"/>
          <w:sz w:val="24"/>
          <w:szCs w:val="24"/>
        </w:rPr>
        <w:t xml:space="preserve"> The 2013 amendments to the “Live-in Domestic Service Employees” regulations established recordkeeping requirements for domestic servants who reside in households. Prior to October 1, 2013, there was no requirement to keep track of employees’ hours of work.</w:t>
      </w:r>
    </w:p>
    <w:p w14:paraId="000002BB"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w:t>
      </w:r>
      <w:r>
        <w:rPr>
          <w:rFonts w:ascii="Times New Roman" w:eastAsia="Times New Roman" w:hAnsi="Times New Roman" w:cs="Times New Roman"/>
          <w:b/>
          <w:i/>
          <w:color w:val="000000"/>
          <w:sz w:val="24"/>
          <w:szCs w:val="24"/>
        </w:rPr>
        <w:tab/>
        <w:t>Recordkeeping Requirements</w:t>
      </w:r>
    </w:p>
    <w:p w14:paraId="000002B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DOL regulations now require an employer to keep a copy of the agreement between the live-in domestic servant and the employer and make, keep, and preserve a record showing the exact number of hours worked by the live-in domestic service employee.</w:t>
      </w:r>
      <w:r>
        <w:rPr>
          <w:rFonts w:ascii="Times New Roman" w:eastAsia="Times New Roman" w:hAnsi="Times New Roman" w:cs="Times New Roman"/>
          <w:color w:val="000000"/>
          <w:sz w:val="24"/>
          <w:szCs w:val="24"/>
          <w:vertAlign w:val="superscript"/>
        </w:rPr>
        <w:footnoteReference w:id="731"/>
      </w:r>
    </w:p>
    <w:p w14:paraId="000002BD"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r>
        <w:rPr>
          <w:rFonts w:ascii="Times New Roman" w:eastAsia="Times New Roman" w:hAnsi="Times New Roman" w:cs="Times New Roman"/>
          <w:b/>
          <w:i/>
          <w:color w:val="000000"/>
          <w:sz w:val="24"/>
          <w:szCs w:val="24"/>
        </w:rPr>
        <w:tab/>
        <w:t>Third-Party Employment</w:t>
      </w:r>
    </w:p>
    <w:p w14:paraId="000002B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Third-party employers of employees engaged in live-in domestic service employment within the meaning of the DOL regulations, 29 C.F.R. §552.102, may not avail themselves of the overtime exemption provided by Section 213(b)(21) of the FLSA, even if the employee is jointly </w:t>
      </w:r>
      <w:r>
        <w:rPr>
          <w:rFonts w:ascii="Times New Roman" w:eastAsia="Times New Roman" w:hAnsi="Times New Roman" w:cs="Times New Roman"/>
          <w:color w:val="000000"/>
          <w:sz w:val="24"/>
          <w:szCs w:val="24"/>
        </w:rPr>
        <w:lastRenderedPageBreak/>
        <w:t>employed by the individual or member of the family or household using the services.</w:t>
      </w:r>
      <w:r>
        <w:rPr>
          <w:rFonts w:ascii="Times New Roman" w:eastAsia="Times New Roman" w:hAnsi="Times New Roman" w:cs="Times New Roman"/>
          <w:color w:val="000000"/>
          <w:sz w:val="24"/>
          <w:szCs w:val="24"/>
          <w:vertAlign w:val="superscript"/>
        </w:rPr>
        <w:footnoteReference w:id="732"/>
      </w:r>
      <w:r>
        <w:rPr>
          <w:rFonts w:ascii="Times New Roman" w:eastAsia="Times New Roman" w:hAnsi="Times New Roman" w:cs="Times New Roman"/>
          <w:color w:val="000000"/>
          <w:sz w:val="24"/>
          <w:szCs w:val="24"/>
        </w:rPr>
        <w:t xml:space="preserve"> However, the individual or member of the family or household, even if considered a joint employer, is still entitled to assert the exemption.</w:t>
      </w:r>
      <w:r>
        <w:rPr>
          <w:rFonts w:ascii="Times New Roman" w:eastAsia="Times New Roman" w:hAnsi="Times New Roman" w:cs="Times New Roman"/>
          <w:color w:val="000000"/>
          <w:sz w:val="24"/>
          <w:szCs w:val="24"/>
          <w:vertAlign w:val="superscript"/>
        </w:rPr>
        <w:footnoteReference w:id="733"/>
      </w:r>
    </w:p>
    <w:p w14:paraId="000002BF"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J.</w:t>
      </w:r>
      <w:r>
        <w:rPr>
          <w:rFonts w:ascii="Times New Roman" w:eastAsia="Times New Roman" w:hAnsi="Times New Roman" w:cs="Times New Roman"/>
          <w:b/>
          <w:color w:val="000000"/>
          <w:sz w:val="24"/>
          <w:szCs w:val="24"/>
        </w:rPr>
        <w:tab/>
        <w:t>Husbands and Wives Who Serve as House Parents</w:t>
      </w:r>
    </w:p>
    <w:p w14:paraId="000002C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Added to the FLSA in 1974, Section 213(b)(24) provides an overtime exemption for</w:t>
      </w:r>
    </w:p>
    <w:p w14:paraId="000002C1"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any employee who is employed with his spouse by a nonprofit educational institution to serve as the parents of children—</w:t>
      </w:r>
    </w:p>
    <w:p w14:paraId="000002C2"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who are orphans or one of whose natural parents is deceased, or</w:t>
      </w:r>
    </w:p>
    <w:p w14:paraId="000002C3"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 who are enrolled in such institution and reside in residential facilities of the institution, </w:t>
      </w:r>
    </w:p>
    <w:p w14:paraId="000002C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while such children are in residence at such institution, if such employee and his spouse reside in such facilities, receive, without cost, board and lodging from such institution, and are together compensated, on a cash basis, at an annual rate of not less than $10,000.</w:t>
      </w:r>
      <w:r>
        <w:rPr>
          <w:rFonts w:ascii="Times New Roman" w:eastAsia="Times New Roman" w:hAnsi="Times New Roman" w:cs="Times New Roman"/>
          <w:color w:val="000000"/>
          <w:sz w:val="20"/>
          <w:szCs w:val="20"/>
          <w:vertAlign w:val="superscript"/>
        </w:rPr>
        <w:footnoteReference w:id="734"/>
      </w:r>
    </w:p>
    <w:p w14:paraId="000002C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 xml:space="preserve">According to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any reasonable arrangement between the parties that takes into consideration all the pertinent facts, within the meaning of 29 C.F.R. §785.23, is permissible in determining hours worked by exempt house parents for minimum wage compliance purposes.</w:t>
      </w:r>
      <w:r>
        <w:rPr>
          <w:rFonts w:ascii="Times New Roman" w:eastAsia="Times New Roman" w:hAnsi="Times New Roman" w:cs="Times New Roman"/>
          <w:color w:val="000000"/>
          <w:sz w:val="24"/>
          <w:szCs w:val="24"/>
          <w:vertAlign w:val="superscript"/>
        </w:rPr>
        <w:footnoteReference w:id="735"/>
      </w:r>
      <w:r>
        <w:rPr>
          <w:rFonts w:ascii="Times New Roman" w:eastAsia="Times New Roman" w:hAnsi="Times New Roman" w:cs="Times New Roman"/>
          <w:color w:val="000000"/>
          <w:sz w:val="24"/>
          <w:szCs w:val="24"/>
        </w:rPr>
        <w:t xml:space="preserve"> The WHD has opined that Congress intended the Section 213(b)(4) exemption for house parents to only apply to married couples, not unmarried individuals.</w:t>
      </w:r>
      <w:r>
        <w:rPr>
          <w:rFonts w:ascii="Times New Roman" w:eastAsia="Times New Roman" w:hAnsi="Times New Roman" w:cs="Times New Roman"/>
          <w:color w:val="000000"/>
          <w:sz w:val="24"/>
          <w:szCs w:val="24"/>
          <w:vertAlign w:val="superscript"/>
        </w:rPr>
        <w:footnoteReference w:id="736"/>
      </w:r>
    </w:p>
    <w:p w14:paraId="000002C6"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w:t>
      </w:r>
      <w:r>
        <w:rPr>
          <w:rFonts w:ascii="Times New Roman" w:eastAsia="Times New Roman" w:hAnsi="Times New Roman" w:cs="Times New Roman"/>
          <w:b/>
          <w:color w:val="000000"/>
          <w:sz w:val="24"/>
          <w:szCs w:val="24"/>
        </w:rPr>
        <w:tab/>
        <w:t>Motion Picture Theater Employees</w:t>
      </w:r>
    </w:p>
    <w:p w14:paraId="000002C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Section 213(b)(27) of the FLSA provides an overtime exemption for “any employee employed by an establishment which is a motion picture theater.”</w:t>
      </w:r>
      <w:r>
        <w:rPr>
          <w:rFonts w:ascii="Times New Roman" w:eastAsia="Times New Roman" w:hAnsi="Times New Roman" w:cs="Times New Roman"/>
          <w:color w:val="000000"/>
          <w:sz w:val="24"/>
          <w:szCs w:val="24"/>
          <w:vertAlign w:val="superscript"/>
        </w:rPr>
        <w:footnoteReference w:id="737"/>
      </w:r>
    </w:p>
    <w:p w14:paraId="000002C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lastRenderedPageBreak/>
        <w:t>The regulations define “motion picture theater” as a commercially operated theater primarily engaged in the exhibition of motion pictures, with or without vaudeville presentations.</w:t>
      </w:r>
      <w:r>
        <w:rPr>
          <w:rFonts w:ascii="Times New Roman" w:eastAsia="Times New Roman" w:hAnsi="Times New Roman" w:cs="Times New Roman"/>
          <w:color w:val="000000"/>
          <w:sz w:val="24"/>
          <w:szCs w:val="24"/>
          <w:vertAlign w:val="superscript"/>
        </w:rPr>
        <w:footnoteReference w:id="738"/>
      </w:r>
      <w:r>
        <w:rPr>
          <w:rFonts w:ascii="Times New Roman" w:eastAsia="Times New Roman" w:hAnsi="Times New Roman" w:cs="Times New Roman"/>
          <w:color w:val="000000"/>
          <w:sz w:val="24"/>
          <w:szCs w:val="24"/>
        </w:rPr>
        <w:t xml:space="preserve"> The term includes drive-in motion picture theaters, but does not extend to “such incidental exhibition of motion pictures as those offered to passengers on aircraft.”</w:t>
      </w:r>
      <w:r>
        <w:rPr>
          <w:rFonts w:ascii="Times New Roman" w:eastAsia="Times New Roman" w:hAnsi="Times New Roman" w:cs="Times New Roman"/>
          <w:color w:val="000000"/>
          <w:sz w:val="24"/>
          <w:szCs w:val="24"/>
          <w:vertAlign w:val="superscript"/>
        </w:rPr>
        <w:footnoteReference w:id="739"/>
      </w:r>
      <w:r>
        <w:rPr>
          <w:rFonts w:ascii="Times New Roman" w:eastAsia="Times New Roman" w:hAnsi="Times New Roman" w:cs="Times New Roman"/>
          <w:color w:val="000000"/>
          <w:sz w:val="24"/>
          <w:szCs w:val="24"/>
        </w:rPr>
        <w:t xml:space="preserve"> Nor are “legitimate theaters” primarily engaged in exhibiting stage productions covered by the exemption.</w:t>
      </w:r>
      <w:r>
        <w:rPr>
          <w:rFonts w:ascii="Times New Roman" w:eastAsia="Times New Roman" w:hAnsi="Times New Roman" w:cs="Times New Roman"/>
          <w:color w:val="000000"/>
          <w:sz w:val="24"/>
          <w:szCs w:val="24"/>
          <w:vertAlign w:val="superscript"/>
        </w:rPr>
        <w:footnoteReference w:id="740"/>
      </w:r>
      <w:r>
        <w:rPr>
          <w:rFonts w:ascii="Times New Roman" w:eastAsia="Times New Roman" w:hAnsi="Times New Roman" w:cs="Times New Roman"/>
          <w:color w:val="000000"/>
          <w:sz w:val="24"/>
          <w:szCs w:val="24"/>
        </w:rPr>
        <w:t xml:space="preserve"> If an establishment meets the definition of a “motion picture theater,” the exemption will be applicable irrespective of the annual dollar volume of sales of such establishment or of the enterprise of which it is a part.</w:t>
      </w:r>
      <w:r>
        <w:rPr>
          <w:rFonts w:ascii="Times New Roman" w:eastAsia="Times New Roman" w:hAnsi="Times New Roman" w:cs="Times New Roman"/>
          <w:color w:val="000000"/>
          <w:sz w:val="24"/>
          <w:szCs w:val="24"/>
          <w:vertAlign w:val="superscript"/>
        </w:rPr>
        <w:footnoteReference w:id="741"/>
      </w:r>
    </w:p>
    <w:p w14:paraId="000002C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has stated that establishments meet the requirements of this exemption when they devote at least 50 percent of their available presentation time to motion pictures.</w:t>
      </w:r>
      <w:r>
        <w:rPr>
          <w:rFonts w:ascii="Times New Roman" w:eastAsia="Times New Roman" w:hAnsi="Times New Roman" w:cs="Times New Roman"/>
          <w:color w:val="000000"/>
          <w:sz w:val="24"/>
          <w:szCs w:val="24"/>
          <w:vertAlign w:val="superscript"/>
        </w:rPr>
        <w:footnoteReference w:id="742"/>
      </w:r>
      <w:r>
        <w:rPr>
          <w:rFonts w:ascii="Times New Roman" w:eastAsia="Times New Roman" w:hAnsi="Times New Roman" w:cs="Times New Roman"/>
          <w:color w:val="000000"/>
          <w:sz w:val="24"/>
          <w:szCs w:val="24"/>
        </w:rPr>
        <w:t xml:space="preserve"> As with other “establishment based” exemptions, it is the “nature of the employer’s business, not the work performed by a particular employee,” that determines whether the exemption applies.</w:t>
      </w:r>
      <w:r>
        <w:rPr>
          <w:rFonts w:ascii="Times New Roman" w:eastAsia="Times New Roman" w:hAnsi="Times New Roman" w:cs="Times New Roman"/>
          <w:color w:val="000000"/>
          <w:sz w:val="24"/>
          <w:szCs w:val="24"/>
          <w:vertAlign w:val="superscript"/>
        </w:rPr>
        <w:footnoteReference w:id="743"/>
      </w:r>
      <w:r>
        <w:rPr>
          <w:rFonts w:ascii="Times New Roman" w:eastAsia="Times New Roman" w:hAnsi="Times New Roman" w:cs="Times New Roman"/>
          <w:color w:val="000000"/>
          <w:sz w:val="24"/>
          <w:szCs w:val="24"/>
        </w:rPr>
        <w:t xml:space="preserve"> </w:t>
      </w:r>
    </w:p>
    <w:p w14:paraId="000002C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2018 opinion letter, the WHD Administrator addressed whether Section 213(b)(27) applied to the food service operations of a motion picture theater.</w:t>
      </w:r>
      <w:r>
        <w:rPr>
          <w:rFonts w:ascii="Times New Roman" w:eastAsia="Times New Roman" w:hAnsi="Times New Roman" w:cs="Times New Roman"/>
          <w:color w:val="000000"/>
          <w:sz w:val="24"/>
          <w:szCs w:val="24"/>
          <w:vertAlign w:val="superscript"/>
        </w:rPr>
        <w:footnoteReference w:id="744"/>
      </w:r>
      <w:r>
        <w:rPr>
          <w:rFonts w:ascii="Times New Roman" w:eastAsia="Times New Roman" w:hAnsi="Times New Roman" w:cs="Times New Roman"/>
          <w:color w:val="000000"/>
          <w:sz w:val="24"/>
          <w:szCs w:val="24"/>
        </w:rPr>
        <w:t xml:space="preserve"> The employer owned motion picture theaters that provided in-theater dining, including some with a full-service restaurant on-site. Movies were shown at all times during the hours of operation at each location. Restaurant patrons were required to purchase a movie ticket to eat in the on-site restaurant.</w:t>
      </w:r>
      <w:r>
        <w:rPr>
          <w:rFonts w:ascii="Times New Roman" w:eastAsia="Times New Roman" w:hAnsi="Times New Roman" w:cs="Times New Roman"/>
          <w:color w:val="000000"/>
          <w:sz w:val="24"/>
          <w:szCs w:val="24"/>
          <w:vertAlign w:val="superscript"/>
        </w:rPr>
        <w:footnoteReference w:id="745"/>
      </w:r>
      <w:r>
        <w:rPr>
          <w:rFonts w:ascii="Times New Roman" w:eastAsia="Times New Roman" w:hAnsi="Times New Roman" w:cs="Times New Roman"/>
          <w:color w:val="000000"/>
          <w:sz w:val="24"/>
          <w:szCs w:val="24"/>
        </w:rPr>
        <w:t xml:space="preserve"> The food service operations were not separately incorporated and did not operate in any way as separate entities. For example, the restaurants did not have “separate entrances, operate under different names, file separate taxes, maintain separate bank accounts, place orders separately, pay invoices separately, or use separate bank accounts.”</w:t>
      </w:r>
      <w:r>
        <w:rPr>
          <w:rFonts w:ascii="Times New Roman" w:eastAsia="Times New Roman" w:hAnsi="Times New Roman" w:cs="Times New Roman"/>
          <w:color w:val="000000"/>
          <w:sz w:val="24"/>
          <w:szCs w:val="24"/>
          <w:vertAlign w:val="superscript"/>
        </w:rPr>
        <w:footnoteReference w:id="746"/>
      </w:r>
      <w:r>
        <w:rPr>
          <w:rFonts w:ascii="Times New Roman" w:eastAsia="Times New Roman" w:hAnsi="Times New Roman" w:cs="Times New Roman"/>
          <w:color w:val="000000"/>
          <w:sz w:val="24"/>
          <w:szCs w:val="24"/>
        </w:rPr>
        <w:t xml:space="preserve"> The primary revenue source for each of the employer’s establishments was the sale of movie tickets. Based on these facts, the DOL concluded that the employer’s food services operations were functionally integrated with its theater operations such that they operated as a single establishment.</w:t>
      </w:r>
      <w:r>
        <w:rPr>
          <w:rFonts w:ascii="Times New Roman" w:eastAsia="Times New Roman" w:hAnsi="Times New Roman" w:cs="Times New Roman"/>
          <w:color w:val="000000"/>
          <w:sz w:val="24"/>
          <w:szCs w:val="24"/>
          <w:vertAlign w:val="superscript"/>
        </w:rPr>
        <w:footnoteReference w:id="747"/>
      </w:r>
      <w:r>
        <w:rPr>
          <w:rFonts w:ascii="Times New Roman" w:eastAsia="Times New Roman" w:hAnsi="Times New Roman" w:cs="Times New Roman"/>
          <w:color w:val="000000"/>
          <w:sz w:val="24"/>
          <w:szCs w:val="24"/>
        </w:rPr>
        <w:t xml:space="preserve"> The opinion letter went on to note that “even if the theaters and food service operations were not functionally integrated, they would still constitute a single establishment under 29 C.F.R. § 779.305 because of the ‘interchange of employees between the units.’”</w:t>
      </w:r>
      <w:r>
        <w:rPr>
          <w:rFonts w:ascii="Times New Roman" w:eastAsia="Times New Roman" w:hAnsi="Times New Roman" w:cs="Times New Roman"/>
          <w:color w:val="000000"/>
          <w:sz w:val="24"/>
          <w:szCs w:val="24"/>
          <w:vertAlign w:val="superscript"/>
        </w:rPr>
        <w:footnoteReference w:id="748"/>
      </w:r>
      <w:r>
        <w:rPr>
          <w:rFonts w:ascii="Times New Roman" w:eastAsia="Times New Roman" w:hAnsi="Times New Roman" w:cs="Times New Roman"/>
          <w:color w:val="000000"/>
          <w:sz w:val="24"/>
          <w:szCs w:val="24"/>
        </w:rPr>
        <w:t xml:space="preserve"> The opinion letter concluded that </w:t>
      </w:r>
      <w:r>
        <w:rPr>
          <w:rFonts w:ascii="Times New Roman" w:eastAsia="Times New Roman" w:hAnsi="Times New Roman" w:cs="Times New Roman"/>
          <w:color w:val="000000"/>
          <w:sz w:val="24"/>
          <w:szCs w:val="24"/>
        </w:rPr>
        <w:br/>
        <w:t xml:space="preserve">“[e]ach location shows motion pictures consistently throughout its hours of operation—well in </w:t>
      </w:r>
      <w:r>
        <w:rPr>
          <w:rFonts w:ascii="Times New Roman" w:eastAsia="Times New Roman" w:hAnsi="Times New Roman" w:cs="Times New Roman"/>
          <w:color w:val="000000"/>
          <w:sz w:val="24"/>
          <w:szCs w:val="24"/>
        </w:rPr>
        <w:lastRenderedPageBreak/>
        <w:t>excess of the 50 percent threshold necessary to qualify as a ‘motion picture theater’ under Section 213(b)(27).”</w:t>
      </w:r>
      <w:r>
        <w:rPr>
          <w:rFonts w:ascii="Times New Roman" w:eastAsia="Times New Roman" w:hAnsi="Times New Roman" w:cs="Times New Roman"/>
          <w:color w:val="000000"/>
          <w:sz w:val="24"/>
          <w:szCs w:val="24"/>
          <w:vertAlign w:val="superscript"/>
        </w:rPr>
        <w:footnoteReference w:id="749"/>
      </w:r>
    </w:p>
    <w:p w14:paraId="000002CB"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L.</w:t>
      </w:r>
      <w:r>
        <w:rPr>
          <w:rFonts w:ascii="Times New Roman" w:eastAsia="Times New Roman" w:hAnsi="Times New Roman" w:cs="Times New Roman"/>
          <w:b/>
          <w:color w:val="000000"/>
          <w:sz w:val="24"/>
          <w:szCs w:val="24"/>
        </w:rPr>
        <w:tab/>
        <w:t>Employees of Amusement or Recreational Establishments Located in a National Park, National Forest, or on Land in the National Wildlife Refuge System</w:t>
      </w:r>
    </w:p>
    <w:p w14:paraId="000002C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213(b)(29) provides an exemption from the overtime requirements of the FLSA for</w:t>
      </w:r>
    </w:p>
    <w:p w14:paraId="000002C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vertAlign w:val="superscript"/>
        </w:rPr>
      </w:pPr>
      <w:r>
        <w:rPr>
          <w:rFonts w:ascii="Times New Roman" w:eastAsia="Times New Roman" w:hAnsi="Times New Roman" w:cs="Times New Roman"/>
          <w:color w:val="000000"/>
          <w:sz w:val="20"/>
          <w:szCs w:val="20"/>
        </w:rPr>
        <w:t>any employee of an amusement or recreational establishment located in a national park or national forest or on land in the National Wildlife Refuge System if such employee (A) is an employee of a private entity engaged in providing services or facilities in a national park or national forest, or on land in the National Wildlife Refuge System, under a contract with the Secretary of the Interior or the Secretary of Agriculture, and (B) receives compensation for employment in excess of fifty-six hours in any workweek at a rate not less than one and one-half times the regular rate at which he is employed.</w:t>
      </w:r>
      <w:r>
        <w:rPr>
          <w:rFonts w:ascii="Times New Roman" w:eastAsia="Times New Roman" w:hAnsi="Times New Roman" w:cs="Times New Roman"/>
          <w:color w:val="000000"/>
          <w:sz w:val="20"/>
          <w:szCs w:val="20"/>
          <w:vertAlign w:val="superscript"/>
        </w:rPr>
        <w:footnoteReference w:id="750"/>
      </w:r>
    </w:p>
    <w:p w14:paraId="000002CE"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Both requirements must be met for the exemption to apply.</w:t>
      </w:r>
      <w:r>
        <w:rPr>
          <w:rFonts w:ascii="Times New Roman" w:eastAsia="Times New Roman" w:hAnsi="Times New Roman" w:cs="Times New Roman"/>
          <w:color w:val="000000"/>
          <w:sz w:val="24"/>
          <w:szCs w:val="24"/>
          <w:vertAlign w:val="superscript"/>
        </w:rPr>
        <w:footnoteReference w:id="751"/>
      </w:r>
      <w:r>
        <w:rPr>
          <w:rFonts w:ascii="Times New Roman" w:eastAsia="Times New Roman" w:hAnsi="Times New Roman" w:cs="Times New Roman"/>
          <w:color w:val="000000"/>
          <w:sz w:val="24"/>
          <w:szCs w:val="24"/>
        </w:rPr>
        <w:t xml:space="preserve"> Further, to meet the requirements of the Section 213(b)(29) exemption, the employer must be an “amusement or recreational establishment” as that term is defined under Section 213(a)(3).</w:t>
      </w:r>
      <w:r>
        <w:rPr>
          <w:rFonts w:ascii="Times New Roman" w:eastAsia="Times New Roman" w:hAnsi="Times New Roman" w:cs="Times New Roman"/>
          <w:color w:val="000000"/>
          <w:sz w:val="24"/>
          <w:szCs w:val="24"/>
          <w:vertAlign w:val="superscript"/>
        </w:rPr>
        <w:footnoteReference w:id="752"/>
      </w:r>
      <w:r>
        <w:rPr>
          <w:rFonts w:ascii="Times New Roman" w:eastAsia="Times New Roman" w:hAnsi="Times New Roman" w:cs="Times New Roman"/>
          <w:color w:val="000000"/>
          <w:sz w:val="24"/>
          <w:szCs w:val="24"/>
        </w:rPr>
        <w:t xml:space="preserve"> </w:t>
      </w:r>
    </w:p>
    <w:p w14:paraId="000002C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213(b)(29) is a limited exemption, in that exempt employees are still entitled to an overtime premium of one and a half times the regular rate for hours worked in excess of 56 in a workweek.</w:t>
      </w:r>
      <w:r>
        <w:rPr>
          <w:rFonts w:ascii="Times New Roman" w:eastAsia="Times New Roman" w:hAnsi="Times New Roman" w:cs="Times New Roman"/>
          <w:color w:val="000000"/>
          <w:sz w:val="24"/>
          <w:szCs w:val="24"/>
          <w:vertAlign w:val="superscript"/>
        </w:rPr>
        <w:footnoteReference w:id="753"/>
      </w:r>
      <w:r>
        <w:rPr>
          <w:rFonts w:ascii="Times New Roman" w:eastAsia="Times New Roman" w:hAnsi="Times New Roman" w:cs="Times New Roman"/>
          <w:color w:val="000000"/>
          <w:sz w:val="24"/>
          <w:szCs w:val="24"/>
        </w:rPr>
        <w:t xml:space="preserve"> The sparse legislative history confirms that Section 213(b)(29) requires “concessioners providing accommodations, food and other consumer goods in ‘national parks’” to “pay employees time-and-one-half their regular rate of pay for all hours over 56 in a week.”</w:t>
      </w:r>
      <w:r>
        <w:rPr>
          <w:rFonts w:ascii="Times New Roman" w:eastAsia="Times New Roman" w:hAnsi="Times New Roman" w:cs="Times New Roman"/>
          <w:color w:val="000000"/>
          <w:sz w:val="24"/>
          <w:szCs w:val="24"/>
          <w:vertAlign w:val="superscript"/>
        </w:rPr>
        <w:footnoteReference w:id="754"/>
      </w:r>
      <w:r>
        <w:rPr>
          <w:rFonts w:ascii="Times New Roman" w:eastAsia="Times New Roman" w:hAnsi="Times New Roman" w:cs="Times New Roman"/>
          <w:color w:val="000000"/>
          <w:sz w:val="24"/>
          <w:szCs w:val="24"/>
        </w:rPr>
        <w:t xml:space="preserve"> </w:t>
      </w:r>
    </w:p>
    <w:p w14:paraId="000002D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vertAlign w:val="superscript"/>
        </w:rPr>
      </w:pPr>
      <w:r>
        <w:rPr>
          <w:rFonts w:ascii="Times New Roman" w:eastAsia="Times New Roman" w:hAnsi="Times New Roman" w:cs="Times New Roman"/>
          <w:color w:val="000000"/>
          <w:sz w:val="24"/>
          <w:szCs w:val="24"/>
        </w:rPr>
        <w:t>In</w:t>
      </w:r>
      <w:r>
        <w:rPr>
          <w:rFonts w:ascii="Times New Roman" w:eastAsia="Times New Roman" w:hAnsi="Times New Roman" w:cs="Times New Roman"/>
          <w:i/>
          <w:color w:val="000000"/>
          <w:sz w:val="24"/>
          <w:szCs w:val="24"/>
        </w:rPr>
        <w:t xml:space="preserve"> Chessin v. Keystone Resort Management</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755"/>
      </w:r>
      <w:r>
        <w:rPr>
          <w:rFonts w:ascii="Times New Roman" w:eastAsia="Times New Roman" w:hAnsi="Times New Roman" w:cs="Times New Roman"/>
          <w:color w:val="000000"/>
          <w:sz w:val="24"/>
          <w:szCs w:val="24"/>
        </w:rPr>
        <w:t xml:space="preserve"> the Tenth Circuit found the Section 213(b)(29) exemption applicable to an operator of ski resorts on national forest land pursuant to a special use permit issued by the Department of Agriculture authorizing a “four season recreation resort” that included lodging, retail shops, restaurants, and other activities besides skiing, where on an annual basis, ski operations represented the operator’s largest revenue-</w:t>
      </w:r>
      <w:r>
        <w:rPr>
          <w:rFonts w:ascii="Times New Roman" w:eastAsia="Times New Roman" w:hAnsi="Times New Roman" w:cs="Times New Roman"/>
          <w:color w:val="000000"/>
          <w:sz w:val="24"/>
          <w:szCs w:val="24"/>
        </w:rPr>
        <w:br/>
      </w:r>
      <w:r>
        <w:rPr>
          <w:rFonts w:ascii="Times New Roman" w:eastAsia="Times New Roman" w:hAnsi="Times New Roman" w:cs="Times New Roman"/>
          <w:color w:val="000000"/>
          <w:sz w:val="24"/>
          <w:szCs w:val="24"/>
        </w:rPr>
        <w:lastRenderedPageBreak/>
        <w:t>producing function.</w:t>
      </w:r>
      <w:r>
        <w:rPr>
          <w:rFonts w:ascii="Times New Roman" w:eastAsia="Times New Roman" w:hAnsi="Times New Roman" w:cs="Times New Roman"/>
          <w:color w:val="000000"/>
          <w:sz w:val="24"/>
          <w:szCs w:val="24"/>
          <w:vertAlign w:val="superscript"/>
        </w:rPr>
        <w:footnoteReference w:id="756"/>
      </w:r>
      <w:r>
        <w:rPr>
          <w:rFonts w:ascii="Times New Roman" w:eastAsia="Times New Roman" w:hAnsi="Times New Roman" w:cs="Times New Roman"/>
          <w:color w:val="000000"/>
          <w:sz w:val="24"/>
          <w:szCs w:val="24"/>
        </w:rPr>
        <w:t xml:space="preserve"> However, the court strictly construed the exemption’s 56-hour proviso, holding that for any workweek in which an employee covered by the partial exemption worked more than 56 hours without receiving an overtime premium, that employee was entitled to time-and-one-half compensation for each hour over 40 in that week, and not, as defendants contended, merely for each hour over 56.</w:t>
      </w:r>
      <w:r>
        <w:rPr>
          <w:rFonts w:ascii="Times New Roman" w:eastAsia="Times New Roman" w:hAnsi="Times New Roman" w:cs="Times New Roman"/>
          <w:color w:val="000000"/>
          <w:sz w:val="24"/>
          <w:szCs w:val="24"/>
          <w:vertAlign w:val="superscript"/>
        </w:rPr>
        <w:footnoteReference w:id="757"/>
      </w:r>
    </w:p>
    <w:p w14:paraId="000002D1" w14:textId="77777777" w:rsidR="00DC27AA" w:rsidRDefault="000F36B4">
      <w:pPr>
        <w:pBdr>
          <w:top w:val="nil"/>
          <w:left w:val="nil"/>
          <w:bottom w:val="nil"/>
          <w:right w:val="nil"/>
          <w:between w:val="nil"/>
        </w:pBdr>
        <w:spacing w:before="480" w:after="240" w:line="240"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V. Section 207 Exceptions From the Overtime Requirements of the FLSA</w:t>
      </w:r>
    </w:p>
    <w:p w14:paraId="000002D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several subparts of Section 207, certain types of employees are excepted from the overtime requirements of the FLSA, including</w:t>
      </w:r>
    </w:p>
    <w:p w14:paraId="000002D3"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workers employed pursuant to a collective bargaining agreement (Section 207(b)(1) and (2));</w:t>
      </w:r>
    </w:p>
    <w:p w14:paraId="000002D4"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of independently owned and controlled local enterprises engaged in the distribution of petroleum products (Section 207(b)(3));</w:t>
      </w:r>
    </w:p>
    <w:p w14:paraId="000002D5"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commission salespersons in retail or service establishments (Section 207(i));</w:t>
      </w:r>
    </w:p>
    <w:p w14:paraId="000002D6"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in hospitals or establishments engaged in care of the sick, aged, or mentally ill (Section 207(j));</w:t>
      </w:r>
      <w:r>
        <w:rPr>
          <w:rFonts w:ascii="Times New Roman" w:eastAsia="Times New Roman" w:hAnsi="Times New Roman" w:cs="Times New Roman"/>
          <w:color w:val="000000"/>
          <w:sz w:val="24"/>
          <w:szCs w:val="24"/>
          <w:vertAlign w:val="superscript"/>
        </w:rPr>
        <w:footnoteReference w:id="758"/>
      </w:r>
    </w:p>
    <w:p w14:paraId="000002D7"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fire protection or law enforcement employees (Sections 207(k) and 207(p));</w:t>
      </w:r>
      <w:r>
        <w:rPr>
          <w:rFonts w:ascii="Times New Roman" w:eastAsia="Times New Roman" w:hAnsi="Times New Roman" w:cs="Times New Roman"/>
          <w:color w:val="000000"/>
          <w:sz w:val="24"/>
          <w:szCs w:val="24"/>
          <w:vertAlign w:val="superscript"/>
        </w:rPr>
        <w:footnoteReference w:id="759"/>
      </w:r>
    </w:p>
    <w:p w14:paraId="000002D8"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certain domestic service employees (Section 207(l));</w:t>
      </w:r>
      <w:r>
        <w:rPr>
          <w:rFonts w:ascii="Times New Roman" w:eastAsia="Times New Roman" w:hAnsi="Times New Roman" w:cs="Times New Roman"/>
          <w:color w:val="000000"/>
          <w:sz w:val="24"/>
          <w:szCs w:val="24"/>
          <w:vertAlign w:val="superscript"/>
        </w:rPr>
        <w:footnoteReference w:id="760"/>
      </w:r>
    </w:p>
    <w:p w14:paraId="000002D9"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in the tobacco industry (Section 207(m));</w:t>
      </w:r>
      <w:r>
        <w:rPr>
          <w:rFonts w:ascii="Times New Roman" w:eastAsia="Times New Roman" w:hAnsi="Times New Roman" w:cs="Times New Roman"/>
          <w:color w:val="000000"/>
          <w:sz w:val="24"/>
          <w:szCs w:val="24"/>
          <w:vertAlign w:val="superscript"/>
        </w:rPr>
        <w:footnoteReference w:id="761"/>
      </w:r>
    </w:p>
    <w:p w14:paraId="000002DA"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on a charter basis of an electric railway or local trolley or motorbus carrier (Section 207(n));</w:t>
      </w:r>
    </w:p>
    <w:p w14:paraId="000002DB"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t>
      </w:r>
      <w:r>
        <w:rPr>
          <w:rFonts w:ascii="Times New Roman" w:eastAsia="Times New Roman" w:hAnsi="Times New Roman" w:cs="Times New Roman"/>
          <w:color w:val="000000"/>
          <w:sz w:val="24"/>
          <w:szCs w:val="24"/>
        </w:rPr>
        <w:tab/>
        <w:t>employees of a public agency that is a state, a political subdivision of a state, or an interstate governmental agency (Section 207(o));</w:t>
      </w:r>
      <w:r>
        <w:rPr>
          <w:rFonts w:ascii="Times New Roman" w:eastAsia="Times New Roman" w:hAnsi="Times New Roman" w:cs="Times New Roman"/>
          <w:color w:val="000000"/>
          <w:sz w:val="24"/>
          <w:szCs w:val="24"/>
          <w:vertAlign w:val="superscript"/>
        </w:rPr>
        <w:footnoteReference w:id="762"/>
      </w:r>
      <w:r>
        <w:rPr>
          <w:rFonts w:ascii="Times New Roman" w:eastAsia="Times New Roman" w:hAnsi="Times New Roman" w:cs="Times New Roman"/>
          <w:color w:val="000000"/>
          <w:sz w:val="24"/>
          <w:szCs w:val="24"/>
        </w:rPr>
        <w:t xml:space="preserve"> </w:t>
      </w:r>
    </w:p>
    <w:p w14:paraId="000002DC"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employees receiving remedial education (Section 207(q));</w:t>
      </w:r>
      <w:r>
        <w:rPr>
          <w:rFonts w:ascii="Times New Roman" w:eastAsia="Times New Roman" w:hAnsi="Times New Roman" w:cs="Times New Roman"/>
          <w:color w:val="000000"/>
          <w:sz w:val="24"/>
          <w:szCs w:val="24"/>
          <w:vertAlign w:val="superscript"/>
        </w:rPr>
        <w:footnoteReference w:id="763"/>
      </w:r>
      <w:r>
        <w:rPr>
          <w:rFonts w:ascii="Times New Roman" w:eastAsia="Times New Roman" w:hAnsi="Times New Roman" w:cs="Times New Roman"/>
          <w:color w:val="000000"/>
          <w:sz w:val="24"/>
          <w:szCs w:val="24"/>
        </w:rPr>
        <w:t xml:space="preserve"> and</w:t>
      </w:r>
    </w:p>
    <w:p w14:paraId="000002DD"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insurance claims adjusters working on insurance claims arising from major disasters (Section 207(s)).</w:t>
      </w:r>
      <w:r>
        <w:rPr>
          <w:rFonts w:ascii="Times New Roman" w:eastAsia="Times New Roman" w:hAnsi="Times New Roman" w:cs="Times New Roman"/>
          <w:color w:val="000000"/>
          <w:sz w:val="24"/>
          <w:szCs w:val="24"/>
          <w:vertAlign w:val="superscript"/>
        </w:rPr>
        <w:footnoteReference w:id="764"/>
      </w:r>
    </w:p>
    <w:p w14:paraId="000002D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following sections discuss the exceptions that are not covered elsewhere in this treatise—Section 207(b)(1), (2), (3), and Section 207(i), (n), and (s).</w:t>
      </w:r>
    </w:p>
    <w:p w14:paraId="000002DF"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ab/>
        <w:t>Section 207(b) Exceptions</w:t>
      </w:r>
    </w:p>
    <w:p w14:paraId="000002E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207(b) provides three exceptions to the overtime requirements of the FLSA. The first two of these exceptions apply to employees covered by a collective bargaining agreement, and the third applies to employees of an independently owned and controlled local enterprise engaged in the wholesale or bulk distribution of petroleum products.</w:t>
      </w:r>
    </w:p>
    <w:p w14:paraId="000002E1"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1.</w:t>
      </w:r>
      <w:r>
        <w:rPr>
          <w:rFonts w:ascii="Times New Roman" w:eastAsia="Times New Roman" w:hAnsi="Times New Roman" w:cs="Times New Roman"/>
          <w:b/>
          <w:i/>
          <w:color w:val="000000"/>
          <w:sz w:val="24"/>
          <w:szCs w:val="24"/>
        </w:rPr>
        <w:tab/>
        <w:t xml:space="preserve">Section 207(b)(1) and (2): Employment Pursuant to a Collective Bargaining Agreement </w:t>
      </w:r>
    </w:p>
    <w:p w14:paraId="000002E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Sections 207(b)(1) and (2) of the FLSA provide that if an employee is employed pursuant to an agreement made as a result of collective bargaining by representatives of employees certified as bona fide by the National Labor Relations Board (NLRB), which provides that</w:t>
      </w:r>
    </w:p>
    <w:p w14:paraId="000002E3"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no employee shall be employed more than one thousand and forty hours during any period of twenty-six consecutive weeks; or</w:t>
      </w:r>
    </w:p>
    <w:p w14:paraId="000002E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during a specified period of fifty-two consecutive weeks the employee shall be employed not more than two thousand two hundred and forty hours and shall be guaranteed not less than one thousand eight hundred and forty hours (or not less than forty-six weeks at the normal number of hours worked per week, but not less than thirty hours per week) and not more than two thousand and eighty hours of employment for which he shall receive compensation for all hours guaranteed or worked at rates not less than those applicable under the agreement to the work performed and for all hours in excess of the guaranty which are also in excess of the maximum workweek applicable to such employee under subsection (a) [of this section] or two thousand and eighty in such period at rates not less than one and one-half times the regular rate at which he is employed; …</w:t>
      </w:r>
      <w:r>
        <w:rPr>
          <w:rFonts w:ascii="Times New Roman" w:eastAsia="Times New Roman" w:hAnsi="Times New Roman" w:cs="Times New Roman"/>
          <w:color w:val="000000"/>
          <w:sz w:val="20"/>
          <w:szCs w:val="20"/>
          <w:vertAlign w:val="superscript"/>
        </w:rPr>
        <w:t> </w:t>
      </w:r>
      <w:r>
        <w:rPr>
          <w:rFonts w:ascii="Times New Roman" w:eastAsia="Times New Roman" w:hAnsi="Times New Roman" w:cs="Times New Roman"/>
          <w:color w:val="000000"/>
          <w:sz w:val="20"/>
          <w:szCs w:val="20"/>
          <w:vertAlign w:val="superscript"/>
        </w:rPr>
        <w:footnoteReference w:id="765"/>
      </w:r>
      <w:r>
        <w:rPr>
          <w:rFonts w:ascii="Times New Roman" w:eastAsia="Times New Roman" w:hAnsi="Times New Roman" w:cs="Times New Roman"/>
          <w:color w:val="000000"/>
          <w:sz w:val="20"/>
          <w:szCs w:val="20"/>
        </w:rPr>
        <w:t xml:space="preserve"> </w:t>
      </w:r>
    </w:p>
    <w:p w14:paraId="000002E5"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then such employment does not violate Section 207(a) of the FLSA.</w:t>
      </w:r>
    </w:p>
    <w:p w14:paraId="000002E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FLSA does not have a daily overtime requirement. However, Section 207(b) provides certain partial exceptions from the general overtime provisions, each of which is conditioned on </w:t>
      </w:r>
    </w:p>
    <w:p w14:paraId="000002E7"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 xml:space="preserve">the payment to the employee of overtime compensation at a rate not less than one and one-half times his regular rate of pay for hours worked in the workweek </w:t>
      </w:r>
      <w:r>
        <w:rPr>
          <w:rFonts w:ascii="Times New Roman" w:eastAsia="Times New Roman" w:hAnsi="Times New Roman" w:cs="Times New Roman"/>
          <w:i/>
          <w:color w:val="000000"/>
          <w:sz w:val="20"/>
          <w:szCs w:val="20"/>
        </w:rPr>
        <w:t>in excess of daily, as well as weekly, standards specified in either subsection (b)(1) or (b)(2).</w:t>
      </w:r>
      <w:r>
        <w:rPr>
          <w:rFonts w:ascii="Times New Roman" w:eastAsia="Times New Roman" w:hAnsi="Times New Roman" w:cs="Times New Roman"/>
          <w:color w:val="000000"/>
          <w:sz w:val="20"/>
          <w:szCs w:val="20"/>
        </w:rPr>
        <w:t xml:space="preserve"> Under these provisions, when an employee works in excess of both the daily and weekly maximum hours standards in any workweek for which such an exception is claimed, he must be paid at such overtime rate for all hours worked in the workweek in excess of the applicable daily maximum or in excess of the applicable weekly maximum, whichever number of hours is greater.</w:t>
      </w:r>
      <w:r>
        <w:rPr>
          <w:rFonts w:ascii="Times New Roman" w:eastAsia="Times New Roman" w:hAnsi="Times New Roman" w:cs="Times New Roman"/>
          <w:color w:val="000000"/>
          <w:sz w:val="20"/>
          <w:szCs w:val="20"/>
          <w:vertAlign w:val="superscript"/>
        </w:rPr>
        <w:footnoteReference w:id="766"/>
      </w:r>
    </w:p>
    <w:p w14:paraId="000002E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partial exceptions provided by Section 207(b) apply to an employee under the conditions specified in clause (1) and (2) of the subsection “if such employee receives compensation for employment in excess of 12 hours in any workday, or for employment in excess of 56 hours in any workweek, as the case may be, at a rate not less than one and one-half times the regular rate at which he is employed.”</w:t>
      </w:r>
      <w:r>
        <w:rPr>
          <w:rFonts w:ascii="Times New Roman" w:eastAsia="Times New Roman" w:hAnsi="Times New Roman" w:cs="Times New Roman"/>
          <w:color w:val="000000"/>
          <w:sz w:val="24"/>
          <w:szCs w:val="24"/>
          <w:vertAlign w:val="superscript"/>
        </w:rPr>
        <w:footnoteReference w:id="767"/>
      </w:r>
      <w:r>
        <w:rPr>
          <w:rFonts w:ascii="Times New Roman" w:eastAsia="Times New Roman" w:hAnsi="Times New Roman" w:cs="Times New Roman"/>
          <w:color w:val="000000"/>
          <w:sz w:val="24"/>
          <w:szCs w:val="24"/>
        </w:rPr>
        <w:t xml:space="preserve"> As an example, an employee employed under the conditions specified for exception under Section 207(b) at an hourly rate of $10 works the following schedule:</w:t>
      </w:r>
    </w:p>
    <w:p w14:paraId="000002E9" w14:textId="77777777" w:rsidR="00DC27AA" w:rsidRDefault="00DC27AA">
      <w:pPr>
        <w:pBdr>
          <w:top w:val="nil"/>
          <w:left w:val="nil"/>
          <w:bottom w:val="nil"/>
          <w:right w:val="nil"/>
          <w:between w:val="nil"/>
        </w:pBdr>
        <w:tabs>
          <w:tab w:val="left" w:pos="1440"/>
          <w:tab w:val="left" w:pos="2160"/>
          <w:tab w:val="left" w:pos="2880"/>
          <w:tab w:val="left" w:pos="3600"/>
          <w:tab w:val="left" w:pos="4320"/>
          <w:tab w:val="left" w:pos="5040"/>
          <w:tab w:val="left" w:pos="5760"/>
        </w:tabs>
        <w:spacing w:after="0" w:line="240" w:lineRule="auto"/>
        <w:ind w:firstLine="720"/>
        <w:rPr>
          <w:color w:val="000000"/>
        </w:rPr>
      </w:pPr>
    </w:p>
    <w:tbl>
      <w:tblPr>
        <w:tblStyle w:val="a3"/>
        <w:tblW w:w="6468" w:type="dxa"/>
        <w:jc w:val="center"/>
        <w:tblLayout w:type="fixed"/>
        <w:tblLook w:val="0000" w:firstRow="0" w:lastRow="0" w:firstColumn="0" w:lastColumn="0" w:noHBand="0" w:noVBand="0"/>
      </w:tblPr>
      <w:tblGrid>
        <w:gridCol w:w="1188"/>
        <w:gridCol w:w="660"/>
        <w:gridCol w:w="660"/>
        <w:gridCol w:w="660"/>
        <w:gridCol w:w="660"/>
        <w:gridCol w:w="660"/>
        <w:gridCol w:w="660"/>
        <w:gridCol w:w="660"/>
        <w:gridCol w:w="660"/>
      </w:tblGrid>
      <w:tr w:rsidR="00DC27AA" w14:paraId="5A466EAE" w14:textId="77777777">
        <w:trPr>
          <w:trHeight w:val="332"/>
          <w:jc w:val="center"/>
        </w:trPr>
        <w:tc>
          <w:tcPr>
            <w:tcW w:w="1188" w:type="dxa"/>
            <w:vMerge w:val="restart"/>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center"/>
          </w:tcPr>
          <w:p w14:paraId="000002EA"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Hours</w:t>
            </w:r>
            <w:r>
              <w:rPr>
                <w:rFonts w:ascii="Times New Roman" w:eastAsia="Times New Roman" w:hAnsi="Times New Roman" w:cs="Times New Roman"/>
                <w:color w:val="000000"/>
                <w:sz w:val="24"/>
                <w:szCs w:val="24"/>
              </w:rPr>
              <w:br/>
              <w:t>Worked</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EB"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M</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EC"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T</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ED"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W</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EE"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T</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EF"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F</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0"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S</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1"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S</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2"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Total</w:t>
            </w:r>
          </w:p>
        </w:tc>
      </w:tr>
      <w:tr w:rsidR="00DC27AA" w14:paraId="5B110238" w14:textId="77777777">
        <w:trPr>
          <w:trHeight w:val="348"/>
          <w:jc w:val="center"/>
        </w:trPr>
        <w:tc>
          <w:tcPr>
            <w:tcW w:w="1188" w:type="dxa"/>
            <w:vMerge/>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center"/>
          </w:tcPr>
          <w:p w14:paraId="000002F3" w14:textId="77777777" w:rsidR="00DC27AA" w:rsidRDefault="00DC27AA">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4"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14</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5"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9</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6"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10</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7"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15</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8"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12</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9"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8</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A"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0</w:t>
            </w:r>
          </w:p>
        </w:tc>
        <w:tc>
          <w:tcPr>
            <w:tcW w:w="660" w:type="dxa"/>
            <w:tcBorders>
              <w:top w:val="single" w:sz="4" w:space="0" w:color="000000"/>
              <w:left w:val="single" w:sz="4" w:space="0" w:color="000000"/>
              <w:bottom w:val="single" w:sz="4" w:space="0" w:color="000000"/>
              <w:right w:val="single" w:sz="4" w:space="0" w:color="000000"/>
            </w:tcBorders>
            <w:tcMar>
              <w:top w:w="80" w:type="dxa"/>
              <w:left w:w="0" w:type="dxa"/>
              <w:bottom w:w="80" w:type="dxa"/>
              <w:right w:w="0" w:type="dxa"/>
            </w:tcMar>
            <w:vAlign w:val="bottom"/>
          </w:tcPr>
          <w:p w14:paraId="000002FB" w14:textId="77777777" w:rsidR="00DC27AA" w:rsidRDefault="000F36B4">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68</w:t>
            </w:r>
          </w:p>
        </w:tc>
      </w:tr>
    </w:tbl>
    <w:p w14:paraId="000002FC" w14:textId="77777777" w:rsidR="00DC27AA" w:rsidRDefault="00DC27AA">
      <w:pPr>
        <w:pBdr>
          <w:top w:val="nil"/>
          <w:left w:val="nil"/>
          <w:bottom w:val="nil"/>
          <w:right w:val="nil"/>
          <w:between w:val="nil"/>
        </w:pBdr>
        <w:tabs>
          <w:tab w:val="left" w:pos="1440"/>
          <w:tab w:val="left" w:pos="2160"/>
          <w:tab w:val="left" w:pos="2880"/>
          <w:tab w:val="left" w:pos="3600"/>
          <w:tab w:val="left" w:pos="4320"/>
          <w:tab w:val="left" w:pos="5040"/>
          <w:tab w:val="left" w:pos="5760"/>
        </w:tabs>
        <w:spacing w:after="0" w:line="240" w:lineRule="auto"/>
        <w:ind w:firstLine="720"/>
        <w:rPr>
          <w:color w:val="000000"/>
        </w:rPr>
      </w:pPr>
    </w:p>
    <w:p w14:paraId="000002FD" w14:textId="77777777" w:rsidR="00DC27AA" w:rsidRDefault="000F36B4">
      <w:pPr>
        <w:pBdr>
          <w:top w:val="nil"/>
          <w:left w:val="nil"/>
          <w:bottom w:val="nil"/>
          <w:right w:val="nil"/>
          <w:between w:val="nil"/>
        </w:pBdr>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Number of overtime hours: Daily, 5 (hours over 12); weekly, 12 (hours </w:t>
      </w:r>
      <w:r>
        <w:rPr>
          <w:rFonts w:ascii="Times New Roman" w:eastAsia="Times New Roman" w:hAnsi="Times New Roman" w:cs="Times New Roman"/>
          <w:color w:val="000000"/>
          <w:sz w:val="24"/>
          <w:szCs w:val="24"/>
        </w:rPr>
        <w:br/>
        <w:t>over 56)</w:t>
      </w:r>
      <w:r>
        <w:rPr>
          <w:rFonts w:ascii="Times New Roman" w:eastAsia="Times New Roman" w:hAnsi="Times New Roman" w:cs="Times New Roman"/>
          <w:color w:val="000000"/>
          <w:sz w:val="24"/>
          <w:szCs w:val="24"/>
          <w:vertAlign w:val="superscript"/>
        </w:rPr>
        <w:footnoteReference w:id="768"/>
      </w:r>
    </w:p>
    <w:p w14:paraId="000002FE" w14:textId="77777777" w:rsidR="00DC27AA" w:rsidRDefault="00DC27AA">
      <w:pPr>
        <w:pBdr>
          <w:top w:val="nil"/>
          <w:left w:val="nil"/>
          <w:bottom w:val="nil"/>
          <w:right w:val="nil"/>
          <w:between w:val="nil"/>
        </w:pBdr>
        <w:tabs>
          <w:tab w:val="left" w:pos="1440"/>
          <w:tab w:val="left" w:pos="2160"/>
          <w:tab w:val="left" w:pos="2880"/>
          <w:tab w:val="left" w:pos="3600"/>
          <w:tab w:val="left" w:pos="4320"/>
          <w:tab w:val="left" w:pos="5040"/>
          <w:tab w:val="left" w:pos="5760"/>
        </w:tabs>
        <w:spacing w:after="0" w:line="240" w:lineRule="auto"/>
        <w:ind w:firstLine="720"/>
        <w:rPr>
          <w:color w:val="000000"/>
        </w:rPr>
      </w:pPr>
    </w:p>
    <w:p w14:paraId="000002FF"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Since the weekly overtime hours are greater, the employee is entitled to pay for 12 hours at $15 an hour (1.5 times $10), a total of $180 for the overtime hours, and to pay at the regular rate for the remaining 56 hours (56 × $10) in the amount of $560 for a total of $740 for the week. If the employee had not worked the 8 hours on Saturday, the total hours worked in the week would have been 60, of which five were daily overtime hours, and four were weekly overtime hours. Since the daily overtime hours are greater, the employee is entitled to pay for 5 hours of daily overtime pay at time and one-half (5 × 1.5 x $10 = $75) plus pay at the regular rate of pay for the remaining 55 hours (55 × $10 = $550), making a total of $625 due for the week.</w:t>
      </w:r>
      <w:r>
        <w:rPr>
          <w:rFonts w:ascii="Times New Roman" w:eastAsia="Times New Roman" w:hAnsi="Times New Roman" w:cs="Times New Roman"/>
          <w:color w:val="000000"/>
          <w:sz w:val="24"/>
          <w:szCs w:val="24"/>
          <w:vertAlign w:val="superscript"/>
        </w:rPr>
        <w:footnoteReference w:id="769"/>
      </w:r>
      <w:r>
        <w:rPr>
          <w:rFonts w:ascii="Times New Roman" w:eastAsia="Times New Roman" w:hAnsi="Times New Roman" w:cs="Times New Roman"/>
          <w:color w:val="000000"/>
          <w:sz w:val="24"/>
          <w:szCs w:val="24"/>
        </w:rPr>
        <w:t xml:space="preserve"> </w:t>
      </w:r>
    </w:p>
    <w:p w14:paraId="0000030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Cabunac v. National Terminals Corp.</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770"/>
      </w:r>
      <w:r>
        <w:rPr>
          <w:rFonts w:ascii="Times New Roman" w:eastAsia="Times New Roman" w:hAnsi="Times New Roman" w:cs="Times New Roman"/>
          <w:color w:val="000000"/>
          <w:sz w:val="24"/>
          <w:szCs w:val="24"/>
        </w:rPr>
        <w:t xml:space="preserve"> the Seventh Circuit found the Section 207(b)(1) exception inapplicable where the collective bargaining agreement did not specify that overtime compensation would be paid for all hours worked over 12 in a workday or 56 in a workweek as required under Section 207(b)(1), and the contract only designated two periods of 26 weeks instead of “any period of 26 consecutive weeks.”</w:t>
      </w:r>
      <w:r>
        <w:rPr>
          <w:rFonts w:ascii="Times New Roman" w:eastAsia="Times New Roman" w:hAnsi="Times New Roman" w:cs="Times New Roman"/>
          <w:color w:val="000000"/>
          <w:sz w:val="24"/>
          <w:szCs w:val="24"/>
          <w:vertAlign w:val="superscript"/>
        </w:rPr>
        <w:footnoteReference w:id="771"/>
      </w:r>
    </w:p>
    <w:p w14:paraId="0000030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To qualify for the Section 207(b)(1) and (2) exceptions, the union must be “certified as bona fide by the National Labor Relations Board.”</w:t>
      </w:r>
      <w:r>
        <w:rPr>
          <w:rFonts w:ascii="Times New Roman" w:eastAsia="Times New Roman" w:hAnsi="Times New Roman" w:cs="Times New Roman"/>
          <w:color w:val="000000"/>
          <w:sz w:val="24"/>
          <w:szCs w:val="24"/>
          <w:vertAlign w:val="superscript"/>
        </w:rPr>
        <w:footnoteReference w:id="772"/>
      </w:r>
      <w:r>
        <w:rPr>
          <w:rFonts w:ascii="Times New Roman" w:eastAsia="Times New Roman" w:hAnsi="Times New Roman" w:cs="Times New Roman"/>
          <w:color w:val="000000"/>
          <w:sz w:val="24"/>
          <w:szCs w:val="24"/>
        </w:rPr>
        <w:t xml:space="preserve"> On the few occasions where the NLRB has received opposition to a certification, the opposition has been based on the ground that it lacks jurisdiction to issue a certification because the employer is in the public sector. The NLRB has dismissed these objections, concluding that </w:t>
      </w:r>
    </w:p>
    <w:p w14:paraId="00000302"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 has authority to process petitions from labor organizations of government employees seeking certification as bona fide for purposes of sections 7(b)(1) and (2) of the FLSA. Consequently, if the tests for exception under section 7(b)(1) and (2) are met and the union receives such certification by the NLRB, the government employees covered under the agreement may qualify for such [exception].</w:t>
      </w:r>
      <w:r>
        <w:rPr>
          <w:rFonts w:ascii="Times New Roman" w:eastAsia="Times New Roman" w:hAnsi="Times New Roman" w:cs="Times New Roman"/>
          <w:color w:val="000000"/>
          <w:sz w:val="20"/>
          <w:szCs w:val="20"/>
          <w:vertAlign w:val="superscript"/>
        </w:rPr>
        <w:footnoteReference w:id="773"/>
      </w:r>
    </w:p>
    <w:p w14:paraId="0000030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DOL opinion letter</w:t>
      </w:r>
      <w:r>
        <w:rPr>
          <w:rFonts w:ascii="Times New Roman" w:eastAsia="Times New Roman" w:hAnsi="Times New Roman" w:cs="Times New Roman"/>
          <w:color w:val="000000"/>
          <w:sz w:val="24"/>
          <w:szCs w:val="24"/>
          <w:vertAlign w:val="superscript"/>
        </w:rPr>
        <w:footnoteReference w:id="774"/>
      </w:r>
      <w:r>
        <w:rPr>
          <w:rFonts w:ascii="Times New Roman" w:eastAsia="Times New Roman" w:hAnsi="Times New Roman" w:cs="Times New Roman"/>
          <w:color w:val="000000"/>
          <w:sz w:val="24"/>
          <w:szCs w:val="24"/>
        </w:rPr>
        <w:t xml:space="preserve"> stated that Section 207(b) “requires certification of the collective bargaining representative by the NLRB.”</w:t>
      </w:r>
      <w:r>
        <w:rPr>
          <w:rFonts w:ascii="Times New Roman" w:eastAsia="Times New Roman" w:hAnsi="Times New Roman" w:cs="Times New Roman"/>
          <w:color w:val="000000"/>
          <w:sz w:val="24"/>
          <w:szCs w:val="24"/>
          <w:vertAlign w:val="superscript"/>
        </w:rPr>
        <w:footnoteReference w:id="775"/>
      </w:r>
      <w:r>
        <w:rPr>
          <w:rFonts w:ascii="Times New Roman" w:eastAsia="Times New Roman" w:hAnsi="Times New Roman" w:cs="Times New Roman"/>
          <w:color w:val="000000"/>
          <w:sz w:val="24"/>
          <w:szCs w:val="24"/>
        </w:rPr>
        <w:t xml:space="preserve"> However, it also noted that evidence that a bargaining agent is certified by an authority other than the NLRB—in this instance, the Nevada Employee-Management Relations Board—“might facilitate certification by the NLRB.”</w:t>
      </w:r>
      <w:r>
        <w:rPr>
          <w:rFonts w:ascii="Times New Roman" w:eastAsia="Times New Roman" w:hAnsi="Times New Roman" w:cs="Times New Roman"/>
          <w:color w:val="000000"/>
          <w:sz w:val="24"/>
          <w:szCs w:val="24"/>
          <w:vertAlign w:val="superscript"/>
        </w:rPr>
        <w:footnoteReference w:id="776"/>
      </w:r>
    </w:p>
    <w:p w14:paraId="0000030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Finally, an employer invoking the exceptions under Section 207(b)(1) and (2) must maintain a record naming each person employed pursuant to the collective bargaining agreement, the period each person is employed under the agreement, and the total hours each person has worked during any period of 26 consecutive weeks or during the specified period of 52 consecutive weeks, whichever exception is applicable.</w:t>
      </w:r>
      <w:r>
        <w:rPr>
          <w:rFonts w:ascii="Times New Roman" w:eastAsia="Times New Roman" w:hAnsi="Times New Roman" w:cs="Times New Roman"/>
          <w:color w:val="000000"/>
          <w:sz w:val="24"/>
          <w:szCs w:val="24"/>
          <w:vertAlign w:val="superscript"/>
        </w:rPr>
        <w:footnoteReference w:id="777"/>
      </w:r>
    </w:p>
    <w:p w14:paraId="00000305"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r>
        <w:rPr>
          <w:rFonts w:ascii="Times New Roman" w:eastAsia="Times New Roman" w:hAnsi="Times New Roman" w:cs="Times New Roman"/>
          <w:b/>
          <w:i/>
          <w:color w:val="000000"/>
          <w:sz w:val="24"/>
          <w:szCs w:val="24"/>
        </w:rPr>
        <w:tab/>
        <w:t>Section 207(b)(3): Employees of Petroleum Product Distributors</w:t>
      </w:r>
    </w:p>
    <w:p w14:paraId="0000030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Subject to certain specific conditions, Section 207(b)(3) provides a limited partial exception from the overtime requirements of the FLSA with respect to employees of an “independently owned and controlled local enterprise” engaged in the wholesale or bulk distribution of petroleum products.</w:t>
      </w:r>
      <w:r>
        <w:rPr>
          <w:rFonts w:ascii="Times New Roman" w:eastAsia="Times New Roman" w:hAnsi="Times New Roman" w:cs="Times New Roman"/>
          <w:color w:val="000000"/>
          <w:sz w:val="24"/>
          <w:szCs w:val="24"/>
          <w:vertAlign w:val="superscript"/>
        </w:rPr>
        <w:footnoteReference w:id="778"/>
      </w:r>
      <w:r>
        <w:rPr>
          <w:rFonts w:ascii="Times New Roman" w:eastAsia="Times New Roman" w:hAnsi="Times New Roman" w:cs="Times New Roman"/>
          <w:color w:val="000000"/>
          <w:sz w:val="24"/>
          <w:szCs w:val="24"/>
        </w:rPr>
        <w:t xml:space="preserve"> The exception was added to Section 207 in 1966 in conjunction with the repeal of a complete overtime exemption previously available to employees of such enterprises (formerly Section 213(b)(10)).</w:t>
      </w:r>
      <w:r>
        <w:rPr>
          <w:rFonts w:ascii="Times New Roman" w:eastAsia="Times New Roman" w:hAnsi="Times New Roman" w:cs="Times New Roman"/>
          <w:color w:val="000000"/>
          <w:sz w:val="24"/>
          <w:szCs w:val="24"/>
          <w:vertAlign w:val="superscript"/>
        </w:rPr>
        <w:footnoteReference w:id="779"/>
      </w:r>
    </w:p>
    <w:p w14:paraId="0000030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Three specific conditions must be met for this exception to apply:</w:t>
      </w:r>
    </w:p>
    <w:p w14:paraId="00000308"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w:t>
      </w:r>
      <w:r>
        <w:rPr>
          <w:rFonts w:ascii="Times New Roman" w:eastAsia="Times New Roman" w:hAnsi="Times New Roman" w:cs="Times New Roman"/>
          <w:color w:val="000000"/>
          <w:sz w:val="24"/>
          <w:szCs w:val="24"/>
        </w:rPr>
        <w:tab/>
        <w:t>the annual gross volume of sales of the enterprise must be less than $1 million exclusive of excise taxes,</w:t>
      </w:r>
    </w:p>
    <w:p w14:paraId="00000309"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ab/>
        <w:t xml:space="preserve">more than 75 percent of the enterprise’s annual dollar volume of sales must be made within the state in which the enterprise is located, and </w:t>
      </w:r>
    </w:p>
    <w:p w14:paraId="0000030A" w14:textId="77777777" w:rsidR="00DC27AA" w:rsidRDefault="000F36B4">
      <w:pPr>
        <w:pBdr>
          <w:top w:val="nil"/>
          <w:left w:val="nil"/>
          <w:bottom w:val="nil"/>
          <w:right w:val="nil"/>
          <w:between w:val="nil"/>
        </w:pBdr>
        <w:spacing w:before="120" w:after="120" w:line="240" w:lineRule="auto"/>
        <w:ind w:left="1267" w:hanging="547"/>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(3)</w:t>
      </w:r>
      <w:r>
        <w:rPr>
          <w:rFonts w:ascii="Times New Roman" w:eastAsia="Times New Roman" w:hAnsi="Times New Roman" w:cs="Times New Roman"/>
          <w:color w:val="000000"/>
          <w:sz w:val="24"/>
          <w:szCs w:val="24"/>
        </w:rPr>
        <w:tab/>
        <w:t>no more than 25 percent of the enterprise’s annual dollar volume of sales may be made to customers engaged in the bulk distribution of such products for resale.</w:t>
      </w:r>
      <w:r>
        <w:rPr>
          <w:rFonts w:ascii="Times New Roman" w:eastAsia="Times New Roman" w:hAnsi="Times New Roman" w:cs="Times New Roman"/>
          <w:color w:val="000000"/>
          <w:sz w:val="24"/>
          <w:szCs w:val="24"/>
          <w:vertAlign w:val="superscript"/>
        </w:rPr>
        <w:footnoteReference w:id="780"/>
      </w:r>
    </w:p>
    <w:p w14:paraId="0000030B"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If these conditions are met, then an employee working for such an enterprise can receive compensation for employment in excess of 40 hours in any workweek at a rate not less than one and one-half times the applicable minimum wage rate applicable to the employee, and if such employee receives compensation for employment in excess of 12 hours in any workday, or for employment in excess of 56 hours in any workweek, at a rate not less than one and one-half times the regular rate at which the employee is employed.</w:t>
      </w:r>
      <w:r>
        <w:rPr>
          <w:rFonts w:ascii="Times New Roman" w:eastAsia="Times New Roman" w:hAnsi="Times New Roman" w:cs="Times New Roman"/>
          <w:color w:val="000000"/>
          <w:sz w:val="24"/>
          <w:szCs w:val="24"/>
          <w:vertAlign w:val="superscript"/>
        </w:rPr>
        <w:footnoteReference w:id="781"/>
      </w:r>
    </w:p>
    <w:p w14:paraId="0000030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regulations, this limited exception is designed to relieve covered enterprises from the FLSA’s general overtime pay requirements when its employees are engaged in activities of distributing petroleum products, which activities are affected by climatic, seasonal, and other pertinent factors characteristic of such business operations.</w:t>
      </w:r>
      <w:r>
        <w:rPr>
          <w:rFonts w:ascii="Times New Roman" w:eastAsia="Times New Roman" w:hAnsi="Times New Roman" w:cs="Times New Roman"/>
          <w:color w:val="000000"/>
          <w:sz w:val="24"/>
          <w:szCs w:val="24"/>
          <w:vertAlign w:val="superscript"/>
        </w:rPr>
        <w:footnoteReference w:id="782"/>
      </w:r>
    </w:p>
    <w:p w14:paraId="0000030D"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ab/>
        <w:t>Scope of the Exception</w:t>
      </w:r>
    </w:p>
    <w:p w14:paraId="0000030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Per the regulations, the employee as well as the enterprise must be engaged in the wholesale or bulk distribution of petroleum products for the exception to apply: </w:t>
      </w:r>
    </w:p>
    <w:p w14:paraId="0000030F"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[W]henever an enterprise is so engaged, any of its employees will be considered to be “employed by an … enterprise … engaged in the wholesale or bulk distribution of petroleum products” if the duties of his employment require him to perform any operations or provide any services in carrying on such activities of his employer, and if the employee is not engaged in a substantial portion of his workweek in other activities which do not provide a basis for exception under Section 7(b)(3).</w:t>
      </w:r>
      <w:r>
        <w:rPr>
          <w:rFonts w:ascii="Times New Roman" w:eastAsia="Times New Roman" w:hAnsi="Times New Roman" w:cs="Times New Roman"/>
          <w:color w:val="000000"/>
          <w:sz w:val="20"/>
          <w:szCs w:val="20"/>
          <w:vertAlign w:val="superscript"/>
        </w:rPr>
        <w:footnoteReference w:id="783"/>
      </w:r>
      <w:r>
        <w:rPr>
          <w:rFonts w:ascii="Times New Roman" w:eastAsia="Times New Roman" w:hAnsi="Times New Roman" w:cs="Times New Roman"/>
          <w:color w:val="000000"/>
          <w:sz w:val="20"/>
          <w:szCs w:val="20"/>
        </w:rPr>
        <w:t xml:space="preserve"> </w:t>
      </w:r>
    </w:p>
    <w:p w14:paraId="00000310"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“Petroleum products” include gasoline, kerosene, diesel fuel, lubricating oils, fuel oils, greases, and liquefied petroleum gas.</w:t>
      </w:r>
      <w:r>
        <w:rPr>
          <w:rFonts w:ascii="Times New Roman" w:eastAsia="Times New Roman" w:hAnsi="Times New Roman" w:cs="Times New Roman"/>
          <w:color w:val="000000"/>
          <w:sz w:val="24"/>
          <w:szCs w:val="24"/>
          <w:vertAlign w:val="superscript"/>
        </w:rPr>
        <w:footnoteReference w:id="784"/>
      </w:r>
      <w:r>
        <w:rPr>
          <w:rFonts w:ascii="Times New Roman" w:eastAsia="Times New Roman" w:hAnsi="Times New Roman" w:cs="Times New Roman"/>
          <w:color w:val="000000"/>
          <w:sz w:val="24"/>
          <w:szCs w:val="24"/>
        </w:rPr>
        <w:t xml:space="preserve"> “Bulk” distribution includes deliveries from bulk storage facilities at the establishment to the tank truck of a customer (whether or not at “wholesale”), as well as deliveries made in series on a single trip on a delivery route to the storage tanks or facilities of a number of customers from a bulk supply of the product transported by tank truck, motor transport, or other motor carrier operated by the enterprise.</w:t>
      </w:r>
      <w:r>
        <w:rPr>
          <w:rFonts w:ascii="Times New Roman" w:eastAsia="Times New Roman" w:hAnsi="Times New Roman" w:cs="Times New Roman"/>
          <w:color w:val="000000"/>
          <w:sz w:val="24"/>
          <w:szCs w:val="24"/>
          <w:vertAlign w:val="superscript"/>
        </w:rPr>
        <w:footnoteReference w:id="785"/>
      </w:r>
    </w:p>
    <w:p w14:paraId="0000031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 enterprise need not be exclusively engaged in the wholesale or bulk distribution of petroleum products to qualify for the Section 207(b)(3) exception.</w:t>
      </w:r>
      <w:r>
        <w:rPr>
          <w:rFonts w:ascii="Times New Roman" w:eastAsia="Times New Roman" w:hAnsi="Times New Roman" w:cs="Times New Roman"/>
          <w:color w:val="000000"/>
          <w:sz w:val="24"/>
          <w:szCs w:val="24"/>
          <w:vertAlign w:val="superscript"/>
        </w:rPr>
        <w:footnoteReference w:id="786"/>
      </w:r>
      <w:r>
        <w:rPr>
          <w:rFonts w:ascii="Times New Roman" w:eastAsia="Times New Roman" w:hAnsi="Times New Roman" w:cs="Times New Roman"/>
          <w:color w:val="000000"/>
          <w:sz w:val="24"/>
          <w:szCs w:val="24"/>
        </w:rPr>
        <w:t xml:space="preserve"> According to the regulations, if engaging in such distribution is a regular and significant part of its business, an enterprise that meets the other tests for exception under Section 207(b)(3) will be relieved of overtime obligations with respect to those workers engaged in such distribution activities.</w:t>
      </w:r>
      <w:r>
        <w:rPr>
          <w:rFonts w:ascii="Times New Roman" w:eastAsia="Times New Roman" w:hAnsi="Times New Roman" w:cs="Times New Roman"/>
          <w:color w:val="000000"/>
          <w:sz w:val="24"/>
          <w:szCs w:val="24"/>
          <w:vertAlign w:val="superscript"/>
        </w:rPr>
        <w:footnoteReference w:id="787"/>
      </w:r>
      <w:r>
        <w:rPr>
          <w:rFonts w:ascii="Times New Roman" w:eastAsia="Times New Roman" w:hAnsi="Times New Roman" w:cs="Times New Roman"/>
          <w:color w:val="000000"/>
          <w:sz w:val="24"/>
          <w:szCs w:val="24"/>
        </w:rPr>
        <w:t xml:space="preserve"> The same will be true with respect to employees engaging in related activities customarily performed </w:t>
      </w:r>
      <w:r>
        <w:rPr>
          <w:rFonts w:ascii="Times New Roman" w:eastAsia="Times New Roman" w:hAnsi="Times New Roman" w:cs="Times New Roman"/>
          <w:color w:val="000000"/>
          <w:sz w:val="24"/>
          <w:szCs w:val="24"/>
        </w:rPr>
        <w:lastRenderedPageBreak/>
        <w:t>as an incident to or in conjunction with the wholesale or bulk distribution of petroleum products.</w:t>
      </w:r>
      <w:r>
        <w:rPr>
          <w:rFonts w:ascii="Times New Roman" w:eastAsia="Times New Roman" w:hAnsi="Times New Roman" w:cs="Times New Roman"/>
          <w:color w:val="000000"/>
          <w:sz w:val="24"/>
          <w:szCs w:val="24"/>
          <w:vertAlign w:val="superscript"/>
        </w:rPr>
        <w:footnoteReference w:id="788"/>
      </w:r>
      <w:r>
        <w:rPr>
          <w:rFonts w:ascii="Times New Roman" w:eastAsia="Times New Roman" w:hAnsi="Times New Roman" w:cs="Times New Roman"/>
          <w:color w:val="000000"/>
          <w:sz w:val="24"/>
          <w:szCs w:val="24"/>
        </w:rPr>
        <w:t xml:space="preserve"> </w:t>
      </w:r>
    </w:p>
    <w:p w14:paraId="0000031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regulations provide that the exception is applicable not only to employees such as drivers, helpers, loaders, dispatchers, and warehouse workers who engage in the bulk delivery and storage of petroleum products, but also to office, management, sales, maintenance, custodial, and protective personnel, along with any others who engage in related functions customarily carried on by such an enterprise in conjunction with the wholesale and bulk distribution of the petroleum products.</w:t>
      </w:r>
      <w:r>
        <w:rPr>
          <w:rFonts w:ascii="Times New Roman" w:eastAsia="Times New Roman" w:hAnsi="Times New Roman" w:cs="Times New Roman"/>
          <w:color w:val="000000"/>
          <w:sz w:val="24"/>
          <w:szCs w:val="24"/>
          <w:vertAlign w:val="superscript"/>
        </w:rPr>
        <w:footnoteReference w:id="789"/>
      </w:r>
    </w:p>
    <w:p w14:paraId="00000313"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b.</w:t>
      </w:r>
      <w:r>
        <w:rPr>
          <w:rFonts w:ascii="Times New Roman" w:eastAsia="Times New Roman" w:hAnsi="Times New Roman" w:cs="Times New Roman"/>
          <w:i/>
          <w:color w:val="000000"/>
          <w:sz w:val="24"/>
          <w:szCs w:val="24"/>
        </w:rPr>
        <w:tab/>
        <w:t xml:space="preserve">The “Enterprise” Requirement </w:t>
      </w:r>
    </w:p>
    <w:p w14:paraId="0000031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Section 207(b)(3) tests for exception from the overtime requirements of the FLSA are based on the dollar volume of sales of the enterprise.</w:t>
      </w:r>
      <w:r>
        <w:rPr>
          <w:rFonts w:ascii="Times New Roman" w:eastAsia="Times New Roman" w:hAnsi="Times New Roman" w:cs="Times New Roman"/>
          <w:color w:val="000000"/>
          <w:sz w:val="24"/>
          <w:szCs w:val="24"/>
          <w:vertAlign w:val="superscript"/>
        </w:rPr>
        <w:footnoteReference w:id="790"/>
      </w:r>
      <w:r>
        <w:rPr>
          <w:rFonts w:ascii="Times New Roman" w:eastAsia="Times New Roman" w:hAnsi="Times New Roman" w:cs="Times New Roman"/>
          <w:color w:val="000000"/>
          <w:sz w:val="24"/>
          <w:szCs w:val="24"/>
        </w:rPr>
        <w:t xml:space="preserve"> All “related activities” performed either through unified operation or common control by any person or persons for a common business purpose are included in the calculation of sales volume.</w:t>
      </w:r>
      <w:r>
        <w:rPr>
          <w:rFonts w:ascii="Times New Roman" w:eastAsia="Times New Roman" w:hAnsi="Times New Roman" w:cs="Times New Roman"/>
          <w:color w:val="000000"/>
          <w:sz w:val="24"/>
          <w:szCs w:val="24"/>
          <w:vertAlign w:val="superscript"/>
        </w:rPr>
        <w:footnoteReference w:id="791"/>
      </w:r>
    </w:p>
    <w:p w14:paraId="0000031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WHD, related activities may include the sale and distribution of tires, batteries, and automotive accessories when performed in conjunction with the wholesale or bulk distribution of petroleum products.</w:t>
      </w:r>
      <w:r>
        <w:rPr>
          <w:rFonts w:ascii="Times New Roman" w:eastAsia="Times New Roman" w:hAnsi="Times New Roman" w:cs="Times New Roman"/>
          <w:color w:val="000000"/>
          <w:sz w:val="24"/>
          <w:szCs w:val="24"/>
          <w:vertAlign w:val="superscript"/>
        </w:rPr>
        <w:footnoteReference w:id="792"/>
      </w:r>
      <w:r>
        <w:rPr>
          <w:rFonts w:ascii="Times New Roman" w:eastAsia="Times New Roman" w:hAnsi="Times New Roman" w:cs="Times New Roman"/>
          <w:color w:val="000000"/>
          <w:sz w:val="24"/>
          <w:szCs w:val="24"/>
        </w:rPr>
        <w:t xml:space="preserve"> Thus, provided all other requirements of Section 207(b)(3) are met, salespersons employed by the tire, battery, and accessory department of a qualifying enterprise are partially excepted from overtime requirements in any workweek in which they spend no more than 20 percent of their time in activities not related to the wholesale or bulk distribution of petroleum products.</w:t>
      </w:r>
      <w:r>
        <w:rPr>
          <w:rFonts w:ascii="Times New Roman" w:eastAsia="Times New Roman" w:hAnsi="Times New Roman" w:cs="Times New Roman"/>
          <w:color w:val="000000"/>
          <w:sz w:val="24"/>
          <w:szCs w:val="24"/>
          <w:vertAlign w:val="superscript"/>
        </w:rPr>
        <w:footnoteReference w:id="793"/>
      </w:r>
    </w:p>
    <w:p w14:paraId="0000031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Activities unrelated to the customary practices of the petroleum distribution industry are not within the scope of Section 207(b)(3).</w:t>
      </w:r>
      <w:r>
        <w:rPr>
          <w:rFonts w:ascii="Times New Roman" w:eastAsia="Times New Roman" w:hAnsi="Times New Roman" w:cs="Times New Roman"/>
          <w:color w:val="000000"/>
          <w:sz w:val="24"/>
          <w:szCs w:val="24"/>
          <w:vertAlign w:val="superscript"/>
        </w:rPr>
        <w:footnoteReference w:id="794"/>
      </w:r>
      <w:r>
        <w:rPr>
          <w:rFonts w:ascii="Times New Roman" w:eastAsia="Times New Roman" w:hAnsi="Times New Roman" w:cs="Times New Roman"/>
          <w:color w:val="000000"/>
          <w:sz w:val="24"/>
          <w:szCs w:val="24"/>
        </w:rPr>
        <w:t xml:space="preserve"> Examples include construction activities, operation of a sporting goods store, scrap paper and metal operations, and operation of a general repair garage. The WHD has also declined to deem the sale, installation, and servicing of air conditioners to be activities customarily performed as an incident to or in conjunction with the wholesale or bulk distribution of petroleum products.</w:t>
      </w:r>
      <w:r>
        <w:rPr>
          <w:rFonts w:ascii="Times New Roman" w:eastAsia="Times New Roman" w:hAnsi="Times New Roman" w:cs="Times New Roman"/>
          <w:color w:val="000000"/>
          <w:sz w:val="24"/>
          <w:szCs w:val="24"/>
          <w:vertAlign w:val="superscript"/>
        </w:rPr>
        <w:footnoteReference w:id="795"/>
      </w:r>
    </w:p>
    <w:p w14:paraId="0000031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defined in the FLSA, the term “enterprise” “is roughly descriptive of a business rather than of an establishment or of an employer, although on occasion the three may coincide. The enterprise, however, is not necessarily coextensive with the entire business activities of an </w:t>
      </w:r>
      <w:r>
        <w:rPr>
          <w:rFonts w:ascii="Times New Roman" w:eastAsia="Times New Roman" w:hAnsi="Times New Roman" w:cs="Times New Roman"/>
          <w:color w:val="000000"/>
          <w:sz w:val="24"/>
          <w:szCs w:val="24"/>
        </w:rPr>
        <w:lastRenderedPageBreak/>
        <w:t>employer.”</w:t>
      </w:r>
      <w:r>
        <w:rPr>
          <w:rFonts w:ascii="Times New Roman" w:eastAsia="Times New Roman" w:hAnsi="Times New Roman" w:cs="Times New Roman"/>
          <w:color w:val="000000"/>
          <w:sz w:val="24"/>
          <w:szCs w:val="24"/>
          <w:vertAlign w:val="superscript"/>
        </w:rPr>
        <w:footnoteReference w:id="796"/>
      </w:r>
      <w:r>
        <w:rPr>
          <w:rFonts w:ascii="Times New Roman" w:eastAsia="Times New Roman" w:hAnsi="Times New Roman" w:cs="Times New Roman"/>
          <w:color w:val="000000"/>
          <w:sz w:val="24"/>
          <w:szCs w:val="24"/>
        </w:rPr>
        <w:t xml:space="preserve"> The enterprise can be a single establishment operated by one or more employers, or multiple establishments operated by one or more employers. A single employer may operate more than one enterprise.</w:t>
      </w:r>
      <w:r>
        <w:rPr>
          <w:rFonts w:ascii="Times New Roman" w:eastAsia="Times New Roman" w:hAnsi="Times New Roman" w:cs="Times New Roman"/>
          <w:color w:val="000000"/>
          <w:sz w:val="24"/>
          <w:szCs w:val="24"/>
          <w:vertAlign w:val="superscript"/>
        </w:rPr>
        <w:footnoteReference w:id="797"/>
      </w:r>
    </w:p>
    <w:p w14:paraId="00000318"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w:t>
      </w:r>
      <w:r>
        <w:rPr>
          <w:rFonts w:ascii="Times New Roman" w:eastAsia="Times New Roman" w:hAnsi="Times New Roman" w:cs="Times New Roman"/>
          <w:i/>
          <w:color w:val="000000"/>
          <w:sz w:val="24"/>
          <w:szCs w:val="24"/>
        </w:rPr>
        <w:tab/>
        <w:t>“Independently Owned and Controlled Local Enterprise”</w:t>
      </w:r>
    </w:p>
    <w:p w14:paraId="0000031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phrase “independently owned and controlled local enterprise” appears in Section 207(b)(3) without further definition or explanation. According to the regulations, the term “local” is intended to embrace enterprises operated by merchants providing farmers, homeowners, country merchants, and others in its locality with petroleum products in bulk quantities or at wholesale.</w:t>
      </w:r>
      <w:r>
        <w:rPr>
          <w:rFonts w:ascii="Times New Roman" w:eastAsia="Times New Roman" w:hAnsi="Times New Roman" w:cs="Times New Roman"/>
          <w:color w:val="000000"/>
          <w:sz w:val="24"/>
          <w:szCs w:val="24"/>
          <w:vertAlign w:val="superscript"/>
        </w:rPr>
        <w:footnoteReference w:id="798"/>
      </w:r>
      <w:r>
        <w:rPr>
          <w:rFonts w:ascii="Times New Roman" w:eastAsia="Times New Roman" w:hAnsi="Times New Roman" w:cs="Times New Roman"/>
          <w:color w:val="000000"/>
          <w:sz w:val="24"/>
          <w:szCs w:val="24"/>
        </w:rPr>
        <w:t xml:space="preserve"> Referencing legislative history, the regulations suggest the term “independently owned and controlled” means an enterprise with its own office, bulk storage, and delivery facilities that pays its own personnel, and that in all respects conducts business independently and is not a subsidiary of nor controlled by a major oil company, although it may sell the branded products of such a company from a leased or owned service station.</w:t>
      </w:r>
      <w:r>
        <w:rPr>
          <w:rFonts w:ascii="Times New Roman" w:eastAsia="Times New Roman" w:hAnsi="Times New Roman" w:cs="Times New Roman"/>
          <w:color w:val="000000"/>
          <w:sz w:val="24"/>
          <w:szCs w:val="24"/>
          <w:vertAlign w:val="superscript"/>
        </w:rPr>
        <w:footnoteReference w:id="799"/>
      </w:r>
    </w:p>
    <w:p w14:paraId="0000031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Wirtz v. Lunsford</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00"/>
      </w:r>
      <w:r>
        <w:rPr>
          <w:rFonts w:ascii="Times New Roman" w:eastAsia="Times New Roman" w:hAnsi="Times New Roman" w:cs="Times New Roman"/>
          <w:color w:val="000000"/>
          <w:sz w:val="24"/>
          <w:szCs w:val="24"/>
        </w:rPr>
        <w:t xml:space="preserve"> the Sixth Circuit held that distributors of Gulf Oil products did not meet the “independent control” requirement of Section 207(b)(3) where the distributors paid a nominal monthly rental fee for use of the building and storage facilities owned by Gulf Oil under a lease that was to be valid only as long as the distributor continued to operate in compliance with an assignment agreement and wholesale prices were determined by the corporation’s invoice price.</w:t>
      </w:r>
      <w:r>
        <w:rPr>
          <w:rFonts w:ascii="Times New Roman" w:eastAsia="Times New Roman" w:hAnsi="Times New Roman" w:cs="Times New Roman"/>
          <w:color w:val="000000"/>
          <w:sz w:val="24"/>
          <w:szCs w:val="24"/>
          <w:vertAlign w:val="superscript"/>
        </w:rPr>
        <w:footnoteReference w:id="801"/>
      </w:r>
      <w:r>
        <w:rPr>
          <w:rFonts w:ascii="Times New Roman" w:eastAsia="Times New Roman" w:hAnsi="Times New Roman" w:cs="Times New Roman"/>
          <w:color w:val="000000"/>
          <w:sz w:val="24"/>
          <w:szCs w:val="24"/>
        </w:rPr>
        <w:t xml:space="preserve"> Because Gulf Oil retained the title to products pre-sale as well as proceeds of the sales and had the right to terminate all agreements at the end of any contract year, the court held that the distributor did not have “independent control” of the business even though it hired and oversaw its own employees.</w:t>
      </w:r>
      <w:r>
        <w:rPr>
          <w:rFonts w:ascii="Times New Roman" w:eastAsia="Times New Roman" w:hAnsi="Times New Roman" w:cs="Times New Roman"/>
          <w:color w:val="000000"/>
          <w:sz w:val="24"/>
          <w:szCs w:val="24"/>
          <w:vertAlign w:val="superscript"/>
        </w:rPr>
        <w:footnoteReference w:id="802"/>
      </w:r>
    </w:p>
    <w:p w14:paraId="0000031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Whether a distributor operating pursuant to a franchise or other contractual arrangement qualifies as “an independently owned and controlled … enterprise” depends on the terms of the agreements and arrangements between the parties.</w:t>
      </w:r>
      <w:r>
        <w:rPr>
          <w:rFonts w:ascii="Times New Roman" w:eastAsia="Times New Roman" w:hAnsi="Times New Roman" w:cs="Times New Roman"/>
          <w:color w:val="000000"/>
          <w:sz w:val="24"/>
          <w:szCs w:val="24"/>
          <w:vertAlign w:val="superscript"/>
        </w:rPr>
        <w:footnoteReference w:id="803"/>
      </w:r>
      <w:r>
        <w:rPr>
          <w:rFonts w:ascii="Times New Roman" w:eastAsia="Times New Roman" w:hAnsi="Times New Roman" w:cs="Times New Roman"/>
          <w:color w:val="000000"/>
          <w:sz w:val="24"/>
          <w:szCs w:val="24"/>
        </w:rPr>
        <w:t xml:space="preserve"> </w:t>
      </w:r>
    </w:p>
    <w:p w14:paraId="0000031C"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w:t>
      </w:r>
      <w:r>
        <w:rPr>
          <w:rFonts w:ascii="Times New Roman" w:eastAsia="Times New Roman" w:hAnsi="Times New Roman" w:cs="Times New Roman"/>
          <w:i/>
          <w:color w:val="000000"/>
          <w:sz w:val="24"/>
          <w:szCs w:val="24"/>
        </w:rPr>
        <w:tab/>
        <w:t>Sales Made Within the State</w:t>
      </w:r>
    </w:p>
    <w:p w14:paraId="0000031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requirement of the Section 207(b)(3) exception is that at least 75 percent of the sales of the enterprise be made “within the state in which such enterprise is located.”</w:t>
      </w:r>
      <w:r>
        <w:rPr>
          <w:rFonts w:ascii="Times New Roman" w:eastAsia="Times New Roman" w:hAnsi="Times New Roman" w:cs="Times New Roman"/>
          <w:color w:val="000000"/>
          <w:sz w:val="24"/>
          <w:szCs w:val="24"/>
          <w:vertAlign w:val="superscript"/>
        </w:rPr>
        <w:footnoteReference w:id="804"/>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lastRenderedPageBreak/>
        <w:t>Although, generally speaking, whether a sale of goods or services is made to an out-of-state customer is a question of fact,</w:t>
      </w:r>
      <w:r>
        <w:rPr>
          <w:rFonts w:ascii="Times New Roman" w:eastAsia="Times New Roman" w:hAnsi="Times New Roman" w:cs="Times New Roman"/>
          <w:color w:val="000000"/>
          <w:sz w:val="24"/>
          <w:szCs w:val="24"/>
          <w:vertAlign w:val="superscript"/>
        </w:rPr>
        <w:footnoteReference w:id="805"/>
      </w:r>
      <w:r>
        <w:rPr>
          <w:rFonts w:ascii="Times New Roman" w:eastAsia="Times New Roman" w:hAnsi="Times New Roman" w:cs="Times New Roman"/>
          <w:color w:val="000000"/>
          <w:sz w:val="24"/>
          <w:szCs w:val="24"/>
        </w:rPr>
        <w:t xml:space="preserve"> the regulations provide that sales made to the casual cash-and-carry customer who is indistinguishable from the mass of customers visiting the establishment are “sales made within the State” even if the seller knows or has reason to believe—because of proximity to the state line or frequent patronage by tourists—that some of the customers reside outside the state.</w:t>
      </w:r>
      <w:r>
        <w:rPr>
          <w:rFonts w:ascii="Times New Roman" w:eastAsia="Times New Roman" w:hAnsi="Times New Roman" w:cs="Times New Roman"/>
          <w:color w:val="000000"/>
          <w:sz w:val="24"/>
          <w:szCs w:val="24"/>
          <w:vertAlign w:val="superscript"/>
        </w:rPr>
        <w:footnoteReference w:id="806"/>
      </w:r>
      <w:r>
        <w:rPr>
          <w:rFonts w:ascii="Times New Roman" w:eastAsia="Times New Roman" w:hAnsi="Times New Roman" w:cs="Times New Roman"/>
          <w:color w:val="000000"/>
          <w:sz w:val="24"/>
          <w:szCs w:val="24"/>
        </w:rPr>
        <w:t xml:space="preserve"> However, where an out-of-state company, in the regular course of dealing, picks up the petroleum products at the bulk storage station of the enterprise and transports them out of state in its own trucks, that sale is to an out-of-state customer.</w:t>
      </w:r>
      <w:r>
        <w:rPr>
          <w:rFonts w:ascii="Times New Roman" w:eastAsia="Times New Roman" w:hAnsi="Times New Roman" w:cs="Times New Roman"/>
          <w:color w:val="000000"/>
          <w:sz w:val="24"/>
          <w:szCs w:val="24"/>
          <w:vertAlign w:val="superscript"/>
        </w:rPr>
        <w:footnoteReference w:id="807"/>
      </w:r>
    </w:p>
    <w:p w14:paraId="0000031E"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w:t>
      </w:r>
      <w:r>
        <w:rPr>
          <w:rFonts w:ascii="Times New Roman" w:eastAsia="Times New Roman" w:hAnsi="Times New Roman" w:cs="Times New Roman"/>
          <w:i/>
          <w:color w:val="000000"/>
          <w:sz w:val="24"/>
          <w:szCs w:val="24"/>
        </w:rPr>
        <w:tab/>
        <w:t>Sales Made to Other Bulk Distributors</w:t>
      </w:r>
    </w:p>
    <w:p w14:paraId="0000031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satisfy the final requirement for the Section 207(b)(3) exception, an enterprise engaged in the wholesale or bulk distribution of petroleum products may not make more than 25 percent of its total sales to customers engaged in the bulk distribution of such products for resale.</w:t>
      </w:r>
      <w:r>
        <w:rPr>
          <w:rFonts w:ascii="Times New Roman" w:eastAsia="Times New Roman" w:hAnsi="Times New Roman" w:cs="Times New Roman"/>
          <w:color w:val="000000"/>
          <w:sz w:val="24"/>
          <w:szCs w:val="24"/>
          <w:vertAlign w:val="superscript"/>
        </w:rPr>
        <w:footnoteReference w:id="808"/>
      </w:r>
      <w:r>
        <w:rPr>
          <w:rFonts w:ascii="Times New Roman" w:eastAsia="Times New Roman" w:hAnsi="Times New Roman" w:cs="Times New Roman"/>
          <w:color w:val="000000"/>
          <w:sz w:val="24"/>
          <w:szCs w:val="24"/>
        </w:rPr>
        <w:t xml:space="preserve"> This requirement turns on (1) whether the customer is engaged in the distribution of petroleum products, (2) whether the customer is engaged in the </w:t>
      </w:r>
      <w:r>
        <w:rPr>
          <w:rFonts w:ascii="Times New Roman" w:eastAsia="Times New Roman" w:hAnsi="Times New Roman" w:cs="Times New Roman"/>
          <w:i/>
          <w:color w:val="000000"/>
          <w:sz w:val="24"/>
          <w:szCs w:val="24"/>
        </w:rPr>
        <w:t>bulk distribution</w:t>
      </w:r>
      <w:r>
        <w:rPr>
          <w:rFonts w:ascii="Times New Roman" w:eastAsia="Times New Roman" w:hAnsi="Times New Roman" w:cs="Times New Roman"/>
          <w:color w:val="000000"/>
          <w:sz w:val="24"/>
          <w:szCs w:val="24"/>
        </w:rPr>
        <w:t xml:space="preserve"> of such products, and (3) whether the customer is engaged in such distribution for resale.</w:t>
      </w:r>
      <w:r>
        <w:rPr>
          <w:rFonts w:ascii="Times New Roman" w:eastAsia="Times New Roman" w:hAnsi="Times New Roman" w:cs="Times New Roman"/>
          <w:color w:val="000000"/>
          <w:sz w:val="24"/>
          <w:szCs w:val="24"/>
          <w:vertAlign w:val="superscript"/>
        </w:rPr>
        <w:footnoteReference w:id="809"/>
      </w:r>
    </w:p>
    <w:p w14:paraId="0000032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“Petroleum products” include gasoline, kerosene, diesel fuel, lubricating oils, fuel oils, greases, and liquefied petroleum gas.</w:t>
      </w:r>
      <w:r>
        <w:rPr>
          <w:rFonts w:ascii="Times New Roman" w:eastAsia="Times New Roman" w:hAnsi="Times New Roman" w:cs="Times New Roman"/>
          <w:color w:val="000000"/>
          <w:sz w:val="24"/>
          <w:szCs w:val="24"/>
          <w:vertAlign w:val="superscript"/>
        </w:rPr>
        <w:footnoteReference w:id="810"/>
      </w:r>
      <w:r>
        <w:rPr>
          <w:rFonts w:ascii="Times New Roman" w:eastAsia="Times New Roman" w:hAnsi="Times New Roman" w:cs="Times New Roman"/>
          <w:color w:val="000000"/>
          <w:sz w:val="24"/>
          <w:szCs w:val="24"/>
        </w:rPr>
        <w:t xml:space="preserve"> “Bulk” distribution includes deliveries from bulk storage facilities at the establishment to the tank truck of a customer, as contrasted with typical small-quantity individual deliveries into the tank of a motor vehicle.</w:t>
      </w:r>
      <w:r>
        <w:rPr>
          <w:rFonts w:ascii="Times New Roman" w:eastAsia="Times New Roman" w:hAnsi="Times New Roman" w:cs="Times New Roman"/>
          <w:color w:val="000000"/>
          <w:sz w:val="24"/>
          <w:szCs w:val="24"/>
          <w:vertAlign w:val="superscript"/>
        </w:rPr>
        <w:footnoteReference w:id="811"/>
      </w:r>
      <w:r>
        <w:rPr>
          <w:rFonts w:ascii="Times New Roman" w:eastAsia="Times New Roman" w:hAnsi="Times New Roman" w:cs="Times New Roman"/>
          <w:color w:val="000000"/>
          <w:sz w:val="24"/>
          <w:szCs w:val="24"/>
        </w:rPr>
        <w:t xml:space="preserve"> The regulations logically define the word “resale” to mean the act of selling again.</w:t>
      </w:r>
      <w:r>
        <w:rPr>
          <w:rFonts w:ascii="Times New Roman" w:eastAsia="Times New Roman" w:hAnsi="Times New Roman" w:cs="Times New Roman"/>
          <w:color w:val="000000"/>
          <w:sz w:val="24"/>
          <w:szCs w:val="24"/>
          <w:vertAlign w:val="superscript"/>
        </w:rPr>
        <w:footnoteReference w:id="812"/>
      </w:r>
    </w:p>
    <w:p w14:paraId="00000321"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b/>
          <w:color w:val="000000"/>
          <w:sz w:val="24"/>
          <w:szCs w:val="24"/>
        </w:rPr>
        <w:tab/>
        <w:t>Section 207(i) Exception: Commissioned Employees in Retail or Service Establishments</w:t>
      </w:r>
    </w:p>
    <w:p w14:paraId="00000322" w14:textId="75CC5869"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207(i) provides that the FLSA’s overtime requirements are inapplicable to (1) employees of a “retail or service establishment,” (2) who are paid at a rate that “is in excess of one and one-half times the minimum hourly rate applicable,” and (3) who receive “more than half [their] compensation for a representative period … [from] commissions on goods or services.”</w:t>
      </w:r>
      <w:r>
        <w:rPr>
          <w:rFonts w:ascii="Times New Roman" w:eastAsia="Times New Roman" w:hAnsi="Times New Roman" w:cs="Times New Roman"/>
          <w:color w:val="000000"/>
          <w:sz w:val="24"/>
          <w:szCs w:val="24"/>
          <w:vertAlign w:val="superscript"/>
        </w:rPr>
        <w:footnoteReference w:id="813"/>
      </w:r>
    </w:p>
    <w:p w14:paraId="0000032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Although Section 207(i) is an exception to the overtime requirements of Section 207(a), and not an exemption under Section 213, courts interpreting Section 207(i) often disregard the distinction. For example, in </w:t>
      </w:r>
      <w:r>
        <w:rPr>
          <w:rFonts w:ascii="Times New Roman" w:eastAsia="Times New Roman" w:hAnsi="Times New Roman" w:cs="Times New Roman"/>
          <w:i/>
          <w:color w:val="000000"/>
          <w:sz w:val="24"/>
          <w:szCs w:val="24"/>
        </w:rPr>
        <w:t>Gieg v. DDR,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14"/>
      </w:r>
      <w:r>
        <w:rPr>
          <w:rFonts w:ascii="Times New Roman" w:eastAsia="Times New Roman" w:hAnsi="Times New Roman" w:cs="Times New Roman"/>
          <w:color w:val="000000"/>
          <w:sz w:val="24"/>
          <w:szCs w:val="24"/>
        </w:rPr>
        <w:t xml:space="preserve"> the Ninth Circuit referred to Section 207(i) as an “exemption.”</w:t>
      </w:r>
      <w:r>
        <w:rPr>
          <w:rFonts w:ascii="Times New Roman" w:eastAsia="Times New Roman" w:hAnsi="Times New Roman" w:cs="Times New Roman"/>
          <w:color w:val="000000"/>
          <w:sz w:val="24"/>
          <w:szCs w:val="24"/>
          <w:vertAlign w:val="superscript"/>
        </w:rPr>
        <w:footnoteReference w:id="815"/>
      </w:r>
      <w:r>
        <w:rPr>
          <w:rFonts w:ascii="Times New Roman" w:eastAsia="Times New Roman" w:hAnsi="Times New Roman" w:cs="Times New Roman"/>
          <w:color w:val="000000"/>
          <w:sz w:val="24"/>
          <w:szCs w:val="24"/>
        </w:rPr>
        <w:t xml:space="preserve"> The Seventh Circuit has described Section 207(i) as a “method of complying with the Act.”</w:t>
      </w:r>
      <w:r>
        <w:rPr>
          <w:rFonts w:ascii="Times New Roman" w:eastAsia="Times New Roman" w:hAnsi="Times New Roman" w:cs="Times New Roman"/>
          <w:color w:val="000000"/>
          <w:sz w:val="24"/>
          <w:szCs w:val="24"/>
          <w:vertAlign w:val="superscript"/>
        </w:rPr>
        <w:footnoteReference w:id="816"/>
      </w:r>
      <w:r>
        <w:rPr>
          <w:rFonts w:ascii="Times New Roman" w:eastAsia="Times New Roman" w:hAnsi="Times New Roman" w:cs="Times New Roman"/>
          <w:color w:val="000000"/>
          <w:sz w:val="24"/>
          <w:szCs w:val="24"/>
        </w:rPr>
        <w:t xml:space="preserve"> Since </w:t>
      </w:r>
      <w:r>
        <w:rPr>
          <w:rFonts w:ascii="Times New Roman" w:eastAsia="Times New Roman" w:hAnsi="Times New Roman" w:cs="Times New Roman"/>
          <w:i/>
          <w:color w:val="000000"/>
          <w:sz w:val="24"/>
          <w:szCs w:val="24"/>
        </w:rPr>
        <w:t>Encino Motorcars</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vertAlign w:val="superscript"/>
        </w:rPr>
        <w:footnoteReference w:id="817"/>
      </w:r>
      <w:r>
        <w:rPr>
          <w:rFonts w:ascii="Times New Roman" w:eastAsia="Times New Roman" w:hAnsi="Times New Roman" w:cs="Times New Roman"/>
          <w:color w:val="000000"/>
          <w:sz w:val="24"/>
          <w:szCs w:val="24"/>
        </w:rPr>
        <w:t xml:space="preserve"> courts have departed from the notion that the exception should be narrowly construed.</w:t>
      </w:r>
      <w:r>
        <w:rPr>
          <w:rFonts w:ascii="Times New Roman" w:eastAsia="Times New Roman" w:hAnsi="Times New Roman" w:cs="Times New Roman"/>
          <w:color w:val="000000"/>
          <w:sz w:val="20"/>
          <w:szCs w:val="20"/>
          <w:vertAlign w:val="superscript"/>
        </w:rPr>
        <w:footnoteReference w:id="818"/>
      </w:r>
    </w:p>
    <w:p w14:paraId="0000032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DOL regulations addressing elements of Section 207(i) are found at 29 C.F.R. Part 779, subpart D, entitled “Exemptions for Certain Retail or Service Establishments.” Chapter 21 of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is entitled “Retail or Service Establishment Exemptions From Sections 6 and 7.” Part H of that chapter deals with the Section 207(i) exemption.</w:t>
      </w:r>
    </w:p>
    <w:p w14:paraId="0000032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DOL’s regulations also contain recordkeeping requirements for employees subject to Section 207(i).</w:t>
      </w:r>
      <w:r>
        <w:rPr>
          <w:rFonts w:ascii="Times New Roman" w:eastAsia="Times New Roman" w:hAnsi="Times New Roman" w:cs="Times New Roman"/>
          <w:color w:val="000000"/>
          <w:sz w:val="24"/>
          <w:szCs w:val="24"/>
          <w:vertAlign w:val="superscript"/>
        </w:rPr>
        <w:footnoteReference w:id="819"/>
      </w:r>
      <w:r>
        <w:rPr>
          <w:rFonts w:ascii="Times New Roman" w:eastAsia="Times New Roman" w:hAnsi="Times New Roman" w:cs="Times New Roman"/>
          <w:color w:val="000000"/>
          <w:sz w:val="24"/>
          <w:szCs w:val="24"/>
        </w:rPr>
        <w:t xml:space="preserve"> These requirements are discussed in Chapter 14, Recordkeeping, §III.F [Recordkeeping Requirements for Employees With Unique Pay Systems Under Section 207 of the FLSA; Commissioned Employees of a Retail or Service Establishment (Section 207(i))].</w:t>
      </w:r>
    </w:p>
    <w:p w14:paraId="0000032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meaning of the phrase “retail or service establishment” has developed over time. Several courts in analyzing that question have looked at the historical treatment of that term under the FLSA.</w:t>
      </w:r>
      <w:r>
        <w:rPr>
          <w:rFonts w:ascii="Times New Roman" w:eastAsia="Times New Roman" w:hAnsi="Times New Roman" w:cs="Times New Roman"/>
          <w:color w:val="000000"/>
          <w:sz w:val="24"/>
          <w:szCs w:val="24"/>
          <w:vertAlign w:val="superscript"/>
        </w:rPr>
        <w:footnoteReference w:id="820"/>
      </w:r>
      <w:r>
        <w:rPr>
          <w:rFonts w:ascii="Times New Roman" w:eastAsia="Times New Roman" w:hAnsi="Times New Roman" w:cs="Times New Roman"/>
          <w:color w:val="000000"/>
          <w:sz w:val="24"/>
          <w:szCs w:val="24"/>
        </w:rPr>
        <w:t xml:space="preserve"> </w:t>
      </w:r>
    </w:p>
    <w:p w14:paraId="00000327"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lastRenderedPageBreak/>
        <w:t>1.</w:t>
      </w:r>
      <w:r>
        <w:rPr>
          <w:rFonts w:ascii="Times New Roman" w:eastAsia="Times New Roman" w:hAnsi="Times New Roman" w:cs="Times New Roman"/>
          <w:b/>
          <w:i/>
          <w:color w:val="000000"/>
          <w:sz w:val="24"/>
          <w:szCs w:val="24"/>
        </w:rPr>
        <w:tab/>
        <w:t>The Employer Must Be a “Retail or Service Establishment”</w:t>
      </w:r>
    </w:p>
    <w:p w14:paraId="0000032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first requirement of Section 207(i) is that the employer must be a retail or service establishment.</w:t>
      </w:r>
      <w:r>
        <w:rPr>
          <w:rFonts w:ascii="Times New Roman" w:eastAsia="Times New Roman" w:hAnsi="Times New Roman" w:cs="Times New Roman"/>
          <w:color w:val="000000"/>
          <w:sz w:val="24"/>
          <w:szCs w:val="24"/>
          <w:vertAlign w:val="superscript"/>
        </w:rPr>
        <w:footnoteReference w:id="821"/>
      </w:r>
      <w:r>
        <w:rPr>
          <w:rFonts w:ascii="Times New Roman" w:eastAsia="Times New Roman" w:hAnsi="Times New Roman" w:cs="Times New Roman"/>
          <w:color w:val="000000"/>
          <w:sz w:val="24"/>
          <w:szCs w:val="24"/>
        </w:rPr>
        <w:t xml:space="preserve"> Section 207(i) does not define the term “retail or service establishment.”</w:t>
      </w:r>
      <w:r>
        <w:rPr>
          <w:rFonts w:ascii="Times New Roman" w:eastAsia="Times New Roman" w:hAnsi="Times New Roman" w:cs="Times New Roman"/>
          <w:color w:val="000000"/>
          <w:sz w:val="24"/>
          <w:szCs w:val="24"/>
          <w:vertAlign w:val="superscript"/>
        </w:rPr>
        <w:footnoteReference w:id="822"/>
      </w:r>
      <w:r>
        <w:rPr>
          <w:rFonts w:ascii="Times New Roman" w:eastAsia="Times New Roman" w:hAnsi="Times New Roman" w:cs="Times New Roman"/>
          <w:color w:val="000000"/>
          <w:sz w:val="24"/>
          <w:szCs w:val="24"/>
        </w:rPr>
        <w:t xml:space="preserve"> Instead, courts have applied the definition of that term contained in the now-repealed FLSA provision, Section 213(a)(2): </w:t>
      </w:r>
    </w:p>
    <w:p w14:paraId="0000032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“retail or service establishment” shall mean an establishment 75 per centum of whose annual dollar volume of sales of goods or services (or of both) is not for resale and is recognized as retail sales or services in the particular industry.</w:t>
      </w:r>
      <w:r>
        <w:rPr>
          <w:rFonts w:ascii="Times New Roman" w:eastAsia="Times New Roman" w:hAnsi="Times New Roman" w:cs="Times New Roman"/>
          <w:color w:val="000000"/>
          <w:sz w:val="20"/>
          <w:szCs w:val="20"/>
          <w:vertAlign w:val="superscript"/>
        </w:rPr>
        <w:footnoteReference w:id="823"/>
      </w:r>
    </w:p>
    <w:p w14:paraId="0000032A"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regulations also provide that the definition found in the former Section 213(a)(2) should be applied in the Section 207(i) context.</w:t>
      </w:r>
      <w:r>
        <w:rPr>
          <w:rFonts w:ascii="Times New Roman" w:eastAsia="Times New Roman" w:hAnsi="Times New Roman" w:cs="Times New Roman"/>
          <w:color w:val="000000"/>
          <w:sz w:val="24"/>
          <w:szCs w:val="24"/>
          <w:vertAlign w:val="superscript"/>
        </w:rPr>
        <w:footnoteReference w:id="824"/>
      </w:r>
      <w:r>
        <w:rPr>
          <w:rFonts w:ascii="Times New Roman" w:eastAsia="Times New Roman" w:hAnsi="Times New Roman" w:cs="Times New Roman"/>
          <w:color w:val="000000"/>
          <w:sz w:val="24"/>
          <w:szCs w:val="24"/>
        </w:rPr>
        <w:t xml:space="preserve"> </w:t>
      </w:r>
    </w:p>
    <w:p w14:paraId="0000032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adopting the Section 213(a)(2) definition of a “retail or service establishment,” the DOL regulations</w:t>
      </w:r>
      <w:r>
        <w:rPr>
          <w:rFonts w:ascii="Times New Roman" w:eastAsia="Times New Roman" w:hAnsi="Times New Roman" w:cs="Times New Roman"/>
          <w:color w:val="000000"/>
          <w:sz w:val="24"/>
          <w:szCs w:val="24"/>
          <w:vertAlign w:val="superscript"/>
        </w:rPr>
        <w:footnoteReference w:id="825"/>
      </w:r>
      <w:r>
        <w:rPr>
          <w:rFonts w:ascii="Times New Roman" w:eastAsia="Times New Roman" w:hAnsi="Times New Roman" w:cs="Times New Roman"/>
          <w:color w:val="000000"/>
          <w:sz w:val="24"/>
          <w:szCs w:val="24"/>
        </w:rPr>
        <w:t xml:space="preserve"> also set forth (1) “characteristics and examples of retail or service establishments”;</w:t>
      </w:r>
      <w:r>
        <w:rPr>
          <w:rFonts w:ascii="Times New Roman" w:eastAsia="Times New Roman" w:hAnsi="Times New Roman" w:cs="Times New Roman"/>
          <w:color w:val="000000"/>
          <w:sz w:val="24"/>
          <w:szCs w:val="24"/>
          <w:vertAlign w:val="superscript"/>
        </w:rPr>
        <w:footnoteReference w:id="826"/>
      </w:r>
      <w:r>
        <w:rPr>
          <w:rFonts w:ascii="Times New Roman" w:eastAsia="Times New Roman" w:hAnsi="Times New Roman" w:cs="Times New Roman"/>
          <w:color w:val="000000"/>
          <w:sz w:val="24"/>
          <w:szCs w:val="24"/>
        </w:rPr>
        <w:t xml:space="preserve"> (2) “establishments outside ‘retail concept’ not within statutory definition”;</w:t>
      </w:r>
      <w:r>
        <w:rPr>
          <w:rFonts w:ascii="Times New Roman" w:eastAsia="Times New Roman" w:hAnsi="Times New Roman" w:cs="Times New Roman"/>
          <w:color w:val="000000"/>
          <w:sz w:val="24"/>
          <w:szCs w:val="24"/>
          <w:vertAlign w:val="superscript"/>
        </w:rPr>
        <w:footnoteReference w:id="827"/>
      </w:r>
      <w:r>
        <w:rPr>
          <w:rFonts w:ascii="Times New Roman" w:eastAsia="Times New Roman" w:hAnsi="Times New Roman" w:cs="Times New Roman"/>
          <w:color w:val="000000"/>
          <w:sz w:val="24"/>
          <w:szCs w:val="24"/>
        </w:rPr>
        <w:t xml:space="preserve"> (3) the fact that “a retail or service establishment must be open to [the] general public”;</w:t>
      </w:r>
      <w:r>
        <w:rPr>
          <w:rFonts w:ascii="Times New Roman" w:eastAsia="Times New Roman" w:hAnsi="Times New Roman" w:cs="Times New Roman"/>
          <w:color w:val="000000"/>
          <w:sz w:val="24"/>
          <w:szCs w:val="24"/>
          <w:vertAlign w:val="superscript"/>
        </w:rPr>
        <w:footnoteReference w:id="828"/>
      </w:r>
      <w:r>
        <w:rPr>
          <w:rFonts w:ascii="Times New Roman" w:eastAsia="Times New Roman" w:hAnsi="Times New Roman" w:cs="Times New Roman"/>
          <w:color w:val="000000"/>
          <w:sz w:val="24"/>
          <w:szCs w:val="24"/>
        </w:rPr>
        <w:t xml:space="preserve"> and (4) the “inapplicability of ‘retail concept’ to some types of sales or services of an eligible establishment.”</w:t>
      </w:r>
      <w:r>
        <w:rPr>
          <w:rFonts w:ascii="Times New Roman" w:eastAsia="Times New Roman" w:hAnsi="Times New Roman" w:cs="Times New Roman"/>
          <w:color w:val="000000"/>
          <w:sz w:val="24"/>
          <w:szCs w:val="24"/>
          <w:vertAlign w:val="superscript"/>
        </w:rPr>
        <w:footnoteReference w:id="829"/>
      </w:r>
      <w:r>
        <w:rPr>
          <w:rFonts w:ascii="Times New Roman" w:eastAsia="Times New Roman" w:hAnsi="Times New Roman" w:cs="Times New Roman"/>
          <w:color w:val="000000"/>
          <w:sz w:val="24"/>
          <w:szCs w:val="24"/>
        </w:rPr>
        <w:t xml:space="preserve"> In addition, the regulations provided lists of establishments that lacked the “retail concept”</w:t>
      </w:r>
      <w:r>
        <w:rPr>
          <w:rFonts w:ascii="Times New Roman" w:eastAsia="Times New Roman" w:hAnsi="Times New Roman" w:cs="Times New Roman"/>
          <w:color w:val="000000"/>
          <w:sz w:val="24"/>
          <w:szCs w:val="24"/>
          <w:vertAlign w:val="superscript"/>
        </w:rPr>
        <w:footnoteReference w:id="830"/>
      </w:r>
      <w:r>
        <w:rPr>
          <w:rFonts w:ascii="Times New Roman" w:eastAsia="Times New Roman" w:hAnsi="Times New Roman" w:cs="Times New Roman"/>
          <w:color w:val="000000"/>
          <w:sz w:val="24"/>
          <w:szCs w:val="24"/>
        </w:rPr>
        <w:t xml:space="preserve"> and those whose sales and services may have been recognized as retail.</w:t>
      </w:r>
      <w:r>
        <w:rPr>
          <w:rFonts w:ascii="Times New Roman" w:eastAsia="Times New Roman" w:hAnsi="Times New Roman" w:cs="Times New Roman"/>
          <w:color w:val="000000"/>
          <w:sz w:val="24"/>
          <w:szCs w:val="24"/>
          <w:vertAlign w:val="superscript"/>
        </w:rPr>
        <w:footnoteReference w:id="831"/>
      </w:r>
      <w:r>
        <w:rPr>
          <w:rFonts w:ascii="Times New Roman" w:eastAsia="Times New Roman" w:hAnsi="Times New Roman" w:cs="Times New Roman"/>
          <w:color w:val="000000"/>
          <w:sz w:val="24"/>
          <w:szCs w:val="24"/>
        </w:rPr>
        <w:t xml:space="preserve"> However, these lists were heavily criticized by the courts for a number of different reasons and, in 2020, the DOL withdrew each of these partial lists without notice or comment.</w:t>
      </w:r>
      <w:r>
        <w:rPr>
          <w:rFonts w:ascii="Times New Roman" w:eastAsia="Times New Roman" w:hAnsi="Times New Roman" w:cs="Times New Roman"/>
          <w:color w:val="000000"/>
          <w:sz w:val="24"/>
          <w:szCs w:val="24"/>
          <w:vertAlign w:val="superscript"/>
        </w:rPr>
        <w:footnoteReference w:id="832"/>
      </w:r>
      <w:r>
        <w:rPr>
          <w:rFonts w:ascii="Times New Roman" w:eastAsia="Times New Roman" w:hAnsi="Times New Roman" w:cs="Times New Roman"/>
          <w:color w:val="000000"/>
          <w:sz w:val="24"/>
          <w:szCs w:val="24"/>
        </w:rPr>
        <w:t xml:space="preserve"> In its Summary of the final rule withdrawing those lists, the DOL wrote:</w:t>
      </w:r>
    </w:p>
    <w:p w14:paraId="0000032C"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this final rule, the Department of Labor (Department) withdraws the “partial list of establishments” that it previously viewed as having “no retail concept” and categorically unable to qualify as retail or service </w:t>
      </w:r>
      <w:r>
        <w:rPr>
          <w:rFonts w:ascii="Times New Roman" w:eastAsia="Times New Roman" w:hAnsi="Times New Roman" w:cs="Times New Roman"/>
          <w:color w:val="000000"/>
          <w:sz w:val="20"/>
          <w:szCs w:val="20"/>
        </w:rPr>
        <w:lastRenderedPageBreak/>
        <w:t>establishments eligible to claim the section 7(i) exemption; and the “partial list of establishments” that, in its view, “may be recognized as retail” for purposes of the exemption. Removing these lists promotes consistent treatment when evaluating section 7(i) exemption claims by treating all establishments equally under the same standards and permits the reevaluation of an industry’s retail nature as developments progress over time. This withdrawal will also reduce confusion, as the list of establishments that “may be recognized as retail” did not necessarily affect the analysis as to whether any particular establishment was, in fact, retail.</w:t>
      </w:r>
      <w:r>
        <w:rPr>
          <w:rFonts w:ascii="Times New Roman" w:eastAsia="Times New Roman" w:hAnsi="Times New Roman" w:cs="Times New Roman"/>
          <w:color w:val="000000"/>
          <w:sz w:val="20"/>
          <w:szCs w:val="20"/>
          <w:vertAlign w:val="superscript"/>
        </w:rPr>
        <w:footnoteReference w:id="833"/>
      </w:r>
    </w:p>
    <w:p w14:paraId="0000032D" w14:textId="395D3D5B"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sidRPr="002A5EB4">
        <w:rPr>
          <w:rFonts w:ascii="Times New Roman" w:eastAsia="Times New Roman" w:hAnsi="Times New Roman" w:cs="Times New Roman"/>
          <w:color w:val="000000"/>
          <w:sz w:val="24"/>
          <w:szCs w:val="24"/>
        </w:rPr>
        <w:t>A number of courts have criticized</w:t>
      </w:r>
      <w:r>
        <w:rPr>
          <w:rFonts w:ascii="Times New Roman" w:eastAsia="Times New Roman" w:hAnsi="Times New Roman" w:cs="Times New Roman"/>
          <w:color w:val="000000"/>
          <w:sz w:val="24"/>
          <w:szCs w:val="24"/>
        </w:rPr>
        <w:t xml:space="preserve"> the DOL regulations that set out the characteristics of a retail or service establishment as applied in Section 207(i), refusing to accord them any deference, because they lacked the power to persuade.</w:t>
      </w:r>
      <w:r>
        <w:rPr>
          <w:rFonts w:ascii="Times New Roman" w:eastAsia="Times New Roman" w:hAnsi="Times New Roman" w:cs="Times New Roman"/>
          <w:color w:val="000000"/>
          <w:sz w:val="24"/>
          <w:szCs w:val="24"/>
          <w:vertAlign w:val="superscript"/>
        </w:rPr>
        <w:footnoteReference w:id="834"/>
      </w:r>
      <w:r>
        <w:rPr>
          <w:rFonts w:ascii="Times New Roman" w:eastAsia="Times New Roman" w:hAnsi="Times New Roman" w:cs="Times New Roman"/>
          <w:color w:val="000000"/>
          <w:sz w:val="24"/>
          <w:szCs w:val="24"/>
        </w:rPr>
        <w:t xml:space="preserve"> </w:t>
      </w:r>
    </w:p>
    <w:p w14:paraId="0000032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Alvarado v. Corporate Cleaning Services,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35"/>
      </w:r>
      <w:r>
        <w:rPr>
          <w:rFonts w:ascii="Times New Roman" w:eastAsia="Times New Roman" w:hAnsi="Times New Roman" w:cs="Times New Roman"/>
          <w:color w:val="000000"/>
          <w:sz w:val="24"/>
          <w:szCs w:val="24"/>
        </w:rPr>
        <w:t xml:space="preserve"> the Seventh Circuit outright rejected the factors used by the DOL to determine whether an entity was a “retail or service establishment,” disagreeing with those courts that followed the regulations. It found that a definition meant for the Section 213(a)(2) exemption should not apply to the commission exemption:</w:t>
      </w:r>
    </w:p>
    <w:p w14:paraId="0000032F"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The Department’s definition comes from section 213(a)(2), which as we’ve noted was the intrastate business exemption. This definition made sense in that context: if Congress’s purpose was to exempt local mom and pop stores from wide-sweeping federal labor legislation (and not just from the overtime requirement), courts would want to ensure that most of the local stores’ output would remain within the state—in other words that they are operating on a small scale in the community. The Department of Labor and some courts, see </w:t>
      </w:r>
      <w:r>
        <w:rPr>
          <w:rFonts w:ascii="Times New Roman" w:eastAsia="Times New Roman" w:hAnsi="Times New Roman" w:cs="Times New Roman"/>
          <w:i/>
          <w:color w:val="000000"/>
          <w:sz w:val="20"/>
          <w:szCs w:val="20"/>
        </w:rPr>
        <w:t>Gieg v. DDR, Inc.</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supra</w:t>
      </w:r>
      <w:r>
        <w:rPr>
          <w:rFonts w:ascii="Times New Roman" w:eastAsia="Times New Roman" w:hAnsi="Times New Roman" w:cs="Times New Roman"/>
          <w:color w:val="000000"/>
          <w:sz w:val="20"/>
          <w:szCs w:val="20"/>
        </w:rPr>
        <w:t>, 407 F.3d at 1047–49; </w:t>
      </w:r>
      <w:r>
        <w:rPr>
          <w:rFonts w:ascii="Times New Roman" w:eastAsia="Times New Roman" w:hAnsi="Times New Roman" w:cs="Times New Roman"/>
          <w:i/>
          <w:color w:val="000000"/>
          <w:sz w:val="20"/>
          <w:szCs w:val="20"/>
        </w:rPr>
        <w:t>Reich v. Delcorp, Inc.</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supra</w:t>
      </w:r>
      <w:r>
        <w:rPr>
          <w:rFonts w:ascii="Times New Roman" w:eastAsia="Times New Roman" w:hAnsi="Times New Roman" w:cs="Times New Roman"/>
          <w:color w:val="000000"/>
          <w:sz w:val="20"/>
          <w:szCs w:val="20"/>
        </w:rPr>
        <w:t>, 3 F.3d at 1183 (8th Cir. 1993); </w:t>
      </w:r>
      <w:r>
        <w:rPr>
          <w:rFonts w:ascii="Times New Roman" w:eastAsia="Times New Roman" w:hAnsi="Times New Roman" w:cs="Times New Roman"/>
          <w:i/>
          <w:color w:val="000000"/>
          <w:sz w:val="20"/>
          <w:szCs w:val="20"/>
        </w:rPr>
        <w:t>Martin v. The Refrigeration School, Inc.</w:t>
      </w:r>
      <w:r>
        <w:rPr>
          <w:rFonts w:ascii="Times New Roman" w:eastAsia="Times New Roman" w:hAnsi="Times New Roman" w:cs="Times New Roman"/>
          <w:color w:val="000000"/>
          <w:sz w:val="20"/>
          <w:szCs w:val="20"/>
        </w:rPr>
        <w:t>, 968 F.2d 3, 6–8 (9th Cir. 1992), have woodenly ported the definition from section 213(a)(2) to the commission exemption with no sensitivity to the very different purpose of that exemption.</w:t>
      </w:r>
      <w:r>
        <w:rPr>
          <w:rFonts w:ascii="Times New Roman" w:eastAsia="Times New Roman" w:hAnsi="Times New Roman" w:cs="Times New Roman"/>
          <w:color w:val="000000"/>
          <w:sz w:val="20"/>
          <w:szCs w:val="20"/>
          <w:vertAlign w:val="superscript"/>
        </w:rPr>
        <w:footnoteReference w:id="836"/>
      </w:r>
      <w:r>
        <w:rPr>
          <w:rFonts w:ascii="Times New Roman" w:eastAsia="Times New Roman" w:hAnsi="Times New Roman" w:cs="Times New Roman"/>
          <w:color w:val="000000"/>
          <w:sz w:val="20"/>
          <w:szCs w:val="20"/>
        </w:rPr>
        <w:t xml:space="preserve"> </w:t>
      </w:r>
    </w:p>
    <w:p w14:paraId="00000330"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Seventh Circuit observed that “[a] retail establishment sounds like a store” while the term “‘service establishment’ is much broader” and encompassed the defendant in the case before it, a window washing company, as the company “is selling a service, not goods, and that as we have seen is supportive of the exemption. Demand for services often varies, and when demand drops the seller cannot make up for it, as a maker of goods can do, by producing for inventory rather than for immediate sale.”</w:t>
      </w:r>
      <w:r>
        <w:rPr>
          <w:rFonts w:ascii="Times New Roman" w:eastAsia="Times New Roman" w:hAnsi="Times New Roman" w:cs="Times New Roman"/>
          <w:color w:val="000000"/>
          <w:sz w:val="24"/>
          <w:szCs w:val="24"/>
          <w:vertAlign w:val="superscript"/>
        </w:rPr>
        <w:footnoteReference w:id="837"/>
      </w:r>
    </w:p>
    <w:p w14:paraId="0000033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Some district courts have agreed with </w:t>
      </w:r>
      <w:r>
        <w:rPr>
          <w:rFonts w:ascii="Times New Roman" w:eastAsia="Times New Roman" w:hAnsi="Times New Roman" w:cs="Times New Roman"/>
          <w:i/>
          <w:color w:val="000000"/>
          <w:sz w:val="24"/>
          <w:szCs w:val="24"/>
        </w:rPr>
        <w:t>Alvarado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38"/>
      </w:r>
      <w:r>
        <w:rPr>
          <w:rFonts w:ascii="Times New Roman" w:eastAsia="Times New Roman" w:hAnsi="Times New Roman" w:cs="Times New Roman"/>
          <w:color w:val="000000"/>
          <w:sz w:val="24"/>
          <w:szCs w:val="24"/>
        </w:rPr>
        <w:t xml:space="preserve"> while others have not.</w:t>
      </w:r>
      <w:r>
        <w:rPr>
          <w:rFonts w:ascii="Times New Roman" w:eastAsia="Times New Roman" w:hAnsi="Times New Roman" w:cs="Times New Roman"/>
          <w:color w:val="000000"/>
          <w:sz w:val="24"/>
          <w:szCs w:val="24"/>
          <w:vertAlign w:val="superscript"/>
        </w:rPr>
        <w:footnoteReference w:id="839"/>
      </w:r>
    </w:p>
    <w:p w14:paraId="0000033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evidenced in the language of the final rule, the DOL, with the blessing of some courts, has defined a “retail or service establishment” in accordance with the statutory definition found in the repealed Section 213(a)(2):</w:t>
      </w:r>
    </w:p>
    <w:p w14:paraId="00000333"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[A]n establishment to be a “retail or service establishment:” (a) Must engage in the making of sales of goods or services; and (b) 75 percent of its sales of goods or services, or of both, must be recognized as </w:t>
      </w:r>
      <w:r>
        <w:rPr>
          <w:rFonts w:ascii="Times New Roman" w:eastAsia="Times New Roman" w:hAnsi="Times New Roman" w:cs="Times New Roman"/>
          <w:color w:val="000000"/>
          <w:sz w:val="20"/>
          <w:szCs w:val="20"/>
        </w:rPr>
        <w:lastRenderedPageBreak/>
        <w:t>retail in the particular industry; and (c) not over 25 percent of its sales of goods or services, or of both, may be sales for resale.</w:t>
      </w:r>
      <w:r>
        <w:rPr>
          <w:rFonts w:ascii="Times New Roman" w:eastAsia="Times New Roman" w:hAnsi="Times New Roman" w:cs="Times New Roman"/>
          <w:color w:val="000000"/>
          <w:sz w:val="20"/>
          <w:szCs w:val="20"/>
          <w:vertAlign w:val="superscript"/>
        </w:rPr>
        <w:footnoteReference w:id="840"/>
      </w:r>
    </w:p>
    <w:p w14:paraId="00000334"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ab/>
        <w:t>Establishment in the Retail or Service Sector</w:t>
      </w:r>
      <w:r>
        <w:rPr>
          <w:rFonts w:ascii="Times New Roman" w:eastAsia="Times New Roman" w:hAnsi="Times New Roman" w:cs="Times New Roman"/>
          <w:color w:val="000000"/>
          <w:sz w:val="24"/>
          <w:szCs w:val="24"/>
          <w:vertAlign w:val="superscript"/>
        </w:rPr>
        <w:footnoteReference w:id="841"/>
      </w:r>
    </w:p>
    <w:p w14:paraId="00000335" w14:textId="660816AF"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Establishments do not have to be owned by a business to qualify as a retail or service establishment. In </w:t>
      </w:r>
      <w:r>
        <w:rPr>
          <w:rFonts w:ascii="Times New Roman" w:eastAsia="Times New Roman" w:hAnsi="Times New Roman" w:cs="Times New Roman"/>
          <w:i/>
          <w:color w:val="000000"/>
          <w:sz w:val="24"/>
          <w:szCs w:val="24"/>
        </w:rPr>
        <w:t>English v. Ecolab,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42"/>
      </w:r>
      <w:r>
        <w:rPr>
          <w:rFonts w:ascii="Times New Roman" w:eastAsia="Times New Roman" w:hAnsi="Times New Roman" w:cs="Times New Roman"/>
          <w:color w:val="000000"/>
          <w:sz w:val="24"/>
          <w:szCs w:val="24"/>
        </w:rPr>
        <w:t xml:space="preserve"> the court held that a pest elimination service specialist’s home office was a qualifying establishment given the availability of direct, two-way communication with the public through a wide range of communication devices.</w:t>
      </w:r>
      <w:r>
        <w:rPr>
          <w:rFonts w:ascii="Times New Roman" w:eastAsia="Times New Roman" w:hAnsi="Times New Roman" w:cs="Times New Roman"/>
          <w:color w:val="000000"/>
          <w:sz w:val="24"/>
          <w:szCs w:val="24"/>
          <w:vertAlign w:val="superscript"/>
        </w:rPr>
        <w:footnoteReference w:id="843"/>
      </w:r>
      <w:r>
        <w:rPr>
          <w:rFonts w:ascii="Times New Roman" w:eastAsia="Times New Roman" w:hAnsi="Times New Roman" w:cs="Times New Roman"/>
          <w:color w:val="000000"/>
          <w:sz w:val="24"/>
          <w:szCs w:val="24"/>
        </w:rPr>
        <w:t xml:space="preserve"> Thus, telephone contact is sufficient to satisfy the public accessibility requirement.</w:t>
      </w:r>
      <w:r>
        <w:rPr>
          <w:rFonts w:ascii="Times New Roman" w:eastAsia="Times New Roman" w:hAnsi="Times New Roman" w:cs="Times New Roman"/>
          <w:color w:val="000000"/>
          <w:sz w:val="24"/>
          <w:szCs w:val="24"/>
          <w:vertAlign w:val="superscript"/>
        </w:rPr>
        <w:footnoteReference w:id="844"/>
      </w:r>
      <w:r>
        <w:rPr>
          <w:rFonts w:ascii="Times New Roman" w:eastAsia="Times New Roman" w:hAnsi="Times New Roman" w:cs="Times New Roman"/>
          <w:color w:val="000000"/>
          <w:sz w:val="24"/>
          <w:szCs w:val="24"/>
        </w:rPr>
        <w:t xml:space="preserve"> As discussed in the following subsections, businesses may qualify as retail or service establishments even if their customers and end users are predominantly commercial entities.</w:t>
      </w:r>
      <w:r>
        <w:rPr>
          <w:rFonts w:ascii="Times New Roman" w:eastAsia="Times New Roman" w:hAnsi="Times New Roman" w:cs="Times New Roman"/>
          <w:color w:val="000000"/>
          <w:sz w:val="24"/>
          <w:szCs w:val="24"/>
          <w:vertAlign w:val="superscript"/>
        </w:rPr>
        <w:footnoteReference w:id="845"/>
      </w:r>
      <w:r>
        <w:rPr>
          <w:rFonts w:ascii="Times New Roman" w:eastAsia="Times New Roman" w:hAnsi="Times New Roman" w:cs="Times New Roman"/>
          <w:color w:val="000000"/>
          <w:sz w:val="24"/>
          <w:szCs w:val="24"/>
        </w:rPr>
        <w:t xml:space="preserve"> Moreover, courts have held that a business need not be frequented by customers every day to qualify as a retail or service establishment.</w:t>
      </w:r>
      <w:r>
        <w:rPr>
          <w:rFonts w:ascii="Times New Roman" w:eastAsia="Times New Roman" w:hAnsi="Times New Roman" w:cs="Times New Roman"/>
          <w:color w:val="000000"/>
          <w:sz w:val="24"/>
          <w:szCs w:val="24"/>
          <w:vertAlign w:val="superscript"/>
        </w:rPr>
        <w:footnoteReference w:id="846"/>
      </w:r>
      <w:r>
        <w:rPr>
          <w:rFonts w:ascii="Times New Roman" w:eastAsia="Times New Roman" w:hAnsi="Times New Roman" w:cs="Times New Roman"/>
          <w:color w:val="000000"/>
          <w:sz w:val="24"/>
          <w:szCs w:val="24"/>
        </w:rPr>
        <w:t xml:space="preserve"> However, the DOL offers the following caution:</w:t>
      </w:r>
    </w:p>
    <w:p w14:paraId="0000033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Generally, however, an establishment, wherever located, will not be considered a retail or service establishment within the meaning of the Act, if it is not ordinarily available to the general consuming public. An establishment, however, does not have to be actually frequented by the general public in the sense that the public must actually visit it and make purchases of goods or services on the premises in order to be considered as available and open to the general public. A refrigerator repair service shop, for example, is available and open to the general public even if it receives all its orders on the telephone and performs all of its repair services on the premises of its customers.</w:t>
      </w:r>
      <w:r>
        <w:rPr>
          <w:rFonts w:ascii="Times New Roman" w:eastAsia="Times New Roman" w:hAnsi="Times New Roman" w:cs="Times New Roman"/>
          <w:color w:val="000000"/>
          <w:sz w:val="20"/>
          <w:szCs w:val="20"/>
          <w:vertAlign w:val="superscript"/>
        </w:rPr>
        <w:footnoteReference w:id="847"/>
      </w:r>
    </w:p>
    <w:p w14:paraId="00000337"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b.</w:t>
      </w:r>
      <w:r>
        <w:rPr>
          <w:rFonts w:ascii="Times New Roman" w:eastAsia="Times New Roman" w:hAnsi="Times New Roman" w:cs="Times New Roman"/>
          <w:i/>
          <w:color w:val="000000"/>
          <w:sz w:val="24"/>
          <w:szCs w:val="24"/>
        </w:rPr>
        <w:tab/>
        <w:t>Retail Concept</w:t>
      </w:r>
    </w:p>
    <w:p w14:paraId="0000033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Idaho Sheet Metal Works v. Wirtz</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48"/>
      </w:r>
      <w:r>
        <w:rPr>
          <w:rFonts w:ascii="Times New Roman" w:eastAsia="Times New Roman" w:hAnsi="Times New Roman" w:cs="Times New Roman"/>
          <w:color w:val="000000"/>
          <w:sz w:val="24"/>
          <w:szCs w:val="24"/>
        </w:rPr>
        <w:t xml:space="preserve"> the Supreme Court deemed the since-repealed Section 213(a)(2) “retail or service establishment” exemption inapplicable to both (1) a company operating a plant that employed 12 persons to fabricate, install, and maintain sheet metal products, where 60 percent of sales were to the general public but 83 percent of the company’s gross income was derived from work done on equipment used by five potato-processing companies; and (2) a franchised tire dealer employing 47 employees to sell, recap, and repair tires, where more than half its gross income came from sales and repairs of tires furnished to businesses operating heavy trucks. In reaching its conclusion, the Court pontificated on the term “retail or service establishment:”</w:t>
      </w:r>
    </w:p>
    <w:p w14:paraId="0000033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Plainly the typical retail transaction is one involving goods or services that are frequently acquired for family or personal use. As examples of sales that could qualify as retail, the House Conference Report lists those made “by the grocery store, the hardware store, the coal dealer, the automobile dealer selling passenger cars or trucks, the clothing store, the dry goods store, the department store, the paint store, the furniture store, the drug store, the shoe store, the stationer, the lumber dealer, etc. …” Of course Congress’ conceded intent to overrule the </w:t>
      </w:r>
      <w:r>
        <w:rPr>
          <w:rFonts w:ascii="Times New Roman" w:eastAsia="Times New Roman" w:hAnsi="Times New Roman" w:cs="Times New Roman"/>
          <w:i/>
          <w:color w:val="000000"/>
          <w:sz w:val="20"/>
          <w:szCs w:val="20"/>
        </w:rPr>
        <w:t>Roland</w:t>
      </w:r>
      <w:r>
        <w:rPr>
          <w:rFonts w:ascii="Times New Roman" w:eastAsia="Times New Roman" w:hAnsi="Times New Roman" w:cs="Times New Roman"/>
          <w:color w:val="000000"/>
          <w:sz w:val="20"/>
          <w:szCs w:val="20"/>
        </w:rPr>
        <w:t> principle means sales of such goods or services can be retail “whether made to private householders or to business users,” but the goods and services listed nearly all share the common characteristic that they are often purchased by householders. …</w:t>
      </w:r>
    </w:p>
    <w:p w14:paraId="0000033A"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What is important for this decision is that Congress also intended that the retail exemption extend in some measure beyond consumer goods and services to embrace certain products almost never purchased for family or noncommercial use. An indisputable example is the sale of farm implements. Another instance is trucks, at least of some varieties, whose “retailability” is assumed in the legislative history, and confirmed by the presence of another exemption in the Act that would otherwise be difficult to understand. We cannot draw a precise line between such articles and those like industrial machinery which can never be sold at retail, but a few characteristics of items like small trucks and farm implements may offer some guidance: </w:t>
      </w:r>
      <w:r>
        <w:rPr>
          <w:rFonts w:ascii="Times New Roman" w:eastAsia="Times New Roman" w:hAnsi="Times New Roman" w:cs="Times New Roman"/>
          <w:i/>
          <w:color w:val="000000"/>
          <w:sz w:val="20"/>
          <w:szCs w:val="20"/>
        </w:rPr>
        <w:t>their employment is very widespread as is that of consumer goods; they are often distributed in stores or showrooms and by means not dissimilar to those used for consumer goods; and perhaps it can be said that they are very frequently used in commercial activities of limited scope.</w:t>
      </w:r>
      <w:r>
        <w:rPr>
          <w:rFonts w:ascii="Times New Roman" w:eastAsia="Times New Roman" w:hAnsi="Times New Roman" w:cs="Times New Roman"/>
          <w:color w:val="000000"/>
          <w:sz w:val="20"/>
          <w:szCs w:val="20"/>
        </w:rPr>
        <w:t xml:space="preserve"> While the list of strictly commercial items whose sale can be deemed retail is presumably very small, their existence precludes use of the uncomplicated “consumer goods” test proposed by the Administrator in 1949.</w:t>
      </w:r>
      <w:r>
        <w:rPr>
          <w:rFonts w:ascii="Times New Roman" w:eastAsia="Times New Roman" w:hAnsi="Times New Roman" w:cs="Times New Roman"/>
          <w:color w:val="000000"/>
          <w:sz w:val="20"/>
          <w:szCs w:val="20"/>
          <w:vertAlign w:val="superscript"/>
        </w:rPr>
        <w:footnoteReference w:id="849"/>
      </w:r>
    </w:p>
    <w:p w14:paraId="0000033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Within the category of goods and services that can be sold at retail, naturally not every sale can be so classified. The exemption itself excludes any sale for resale and, beyond that, references in the legislative history and common parlance certainly suggest that the term “retail” becomes less apt as the quantity and the price discount increase in a particular transaction.</w:t>
      </w:r>
      <w:r>
        <w:rPr>
          <w:rFonts w:ascii="Times New Roman" w:eastAsia="Times New Roman" w:hAnsi="Times New Roman" w:cs="Times New Roman"/>
          <w:color w:val="000000"/>
          <w:sz w:val="24"/>
          <w:szCs w:val="24"/>
          <w:vertAlign w:val="superscript"/>
        </w:rPr>
        <w:t xml:space="preserve"> </w:t>
      </w:r>
      <w:r>
        <w:rPr>
          <w:rFonts w:ascii="Times New Roman" w:eastAsia="Times New Roman" w:hAnsi="Times New Roman" w:cs="Times New Roman"/>
          <w:color w:val="000000"/>
          <w:sz w:val="24"/>
          <w:szCs w:val="24"/>
        </w:rPr>
        <w:t>Drawing on the Supreme Court’s guidance, the DOL regulations provide that a retail or service establishment must possess a “retail concept,”</w:t>
      </w:r>
      <w:r>
        <w:rPr>
          <w:rFonts w:ascii="Times New Roman" w:eastAsia="Times New Roman" w:hAnsi="Times New Roman" w:cs="Times New Roman"/>
          <w:color w:val="000000"/>
          <w:sz w:val="24"/>
          <w:szCs w:val="24"/>
          <w:vertAlign w:val="superscript"/>
        </w:rPr>
        <w:footnoteReference w:id="850"/>
      </w:r>
      <w:r>
        <w:rPr>
          <w:rFonts w:ascii="Times New Roman" w:eastAsia="Times New Roman" w:hAnsi="Times New Roman" w:cs="Times New Roman"/>
          <w:color w:val="000000"/>
          <w:sz w:val="24"/>
          <w:szCs w:val="24"/>
        </w:rPr>
        <w:t xml:space="preserve"> and have certain characteristics:</w:t>
      </w:r>
    </w:p>
    <w:p w14:paraId="0000033C" w14:textId="77777777" w:rsidR="00DC27AA" w:rsidRDefault="000F36B4">
      <w:pPr>
        <w:pBdr>
          <w:top w:val="nil"/>
          <w:left w:val="nil"/>
          <w:bottom w:val="nil"/>
          <w:right w:val="nil"/>
          <w:between w:val="nil"/>
        </w:pBdr>
        <w:spacing w:before="120" w:after="120" w:line="240" w:lineRule="auto"/>
        <w:ind w:left="72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Typically a retail or service establishment is one which sells goods or services to the general public. It serves the everyday needs of the community in which it is located. The retail or service establishment performs a function in the business organization of the Nation which is at the very end of the stream of distribution, disposing in small quantities of the products and skills of such organization and does not take part in the manufacturing process. … Such an establishment sells to the general public its food and drink. It sells to such public its clothing and its furniture, its automobiles, its radios and refrigerators, its coal and its lumber, and other goods, and performs incidental services on such goods when necessary. It provides the general public its repair services and other services for the comfort and convenience of such </w:t>
      </w:r>
      <w:r>
        <w:rPr>
          <w:rFonts w:ascii="Times New Roman" w:eastAsia="Times New Roman" w:hAnsi="Times New Roman" w:cs="Times New Roman"/>
          <w:color w:val="000000"/>
          <w:sz w:val="20"/>
          <w:szCs w:val="20"/>
        </w:rPr>
        <w:lastRenderedPageBreak/>
        <w:t>public in the course of its daily living. Illustrative of such establishments are: Grocery stores, hardware stores, clothing stores, coal dealers, furniture stores, restaurants, hotels, watch repair establishments, barber shops, and other such local establishments.</w:t>
      </w:r>
      <w:r>
        <w:rPr>
          <w:rFonts w:ascii="Times New Roman" w:eastAsia="Times New Roman" w:hAnsi="Times New Roman" w:cs="Times New Roman"/>
          <w:color w:val="000000"/>
          <w:sz w:val="20"/>
          <w:szCs w:val="20"/>
          <w:vertAlign w:val="superscript"/>
        </w:rPr>
        <w:footnoteReference w:id="851"/>
      </w:r>
    </w:p>
    <w:p w14:paraId="09C8CD48" w14:textId="77777777" w:rsidR="003517FB"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Although the DOL has withdrawn regulations 29 C.F.R. §779.317 and 29 C.F.R. §779.320 (lists of establishments lacking the retail concept and potentially having a retail concept),</w:t>
      </w:r>
      <w:r>
        <w:rPr>
          <w:rFonts w:ascii="Times New Roman" w:eastAsia="Times New Roman" w:hAnsi="Times New Roman" w:cs="Times New Roman"/>
          <w:color w:val="000000"/>
          <w:sz w:val="24"/>
          <w:szCs w:val="24"/>
          <w:vertAlign w:val="superscript"/>
        </w:rPr>
        <w:footnoteReference w:id="852"/>
      </w:r>
      <w:r w:rsidR="003517FB">
        <w:rPr>
          <w:rFonts w:ascii="Times New Roman" w:eastAsia="Times New Roman" w:hAnsi="Times New Roman" w:cs="Times New Roman"/>
          <w:color w:val="000000"/>
          <w:sz w:val="24"/>
          <w:szCs w:val="24"/>
        </w:rPr>
        <w:t xml:space="preserve"> o</w:t>
      </w:r>
      <w:r w:rsidR="003517FB" w:rsidRPr="003517FB">
        <w:rPr>
          <w:rFonts w:ascii="Times New Roman" w:eastAsia="Times New Roman" w:hAnsi="Times New Roman" w:cs="Times New Roman"/>
          <w:color w:val="000000"/>
          <w:sz w:val="24"/>
          <w:szCs w:val="24"/>
        </w:rPr>
        <w:t>ne district court has rejected an argument that the DOL’s withdrawal of 29 C.F.R. § 779.317, which included insurance on a non-exhaustive partial list of industries that lacked a retail concept, meant that establishments in the insurance industry can now qualify for the exemption.</w:t>
      </w:r>
      <w:r w:rsidR="003517FB">
        <w:rPr>
          <w:rStyle w:val="FootnoteReference"/>
          <w:rFonts w:eastAsia="Times New Roman" w:cs="Times New Roman"/>
          <w:color w:val="000000"/>
          <w:szCs w:val="24"/>
        </w:rPr>
        <w:footnoteReference w:id="853"/>
      </w:r>
      <w:r w:rsidR="003517FB" w:rsidRPr="003517FB">
        <w:rPr>
          <w:rFonts w:ascii="Times New Roman" w:eastAsia="Times New Roman" w:hAnsi="Times New Roman" w:cs="Times New Roman"/>
          <w:color w:val="000000"/>
          <w:sz w:val="24"/>
          <w:szCs w:val="24"/>
        </w:rPr>
        <w:t xml:space="preserve"> The court reasoned that the withdrawal of the regulation did not change the long-standing precedent that there was no “retail concept” in the defendant’s insurance business.</w:t>
      </w:r>
      <w:r w:rsidR="003517FB">
        <w:rPr>
          <w:rStyle w:val="FootnoteReference"/>
          <w:rFonts w:eastAsia="Times New Roman" w:cs="Times New Roman"/>
          <w:color w:val="000000"/>
          <w:szCs w:val="24"/>
        </w:rPr>
        <w:footnoteReference w:id="854"/>
      </w:r>
      <w:r>
        <w:rPr>
          <w:rFonts w:ascii="Times New Roman" w:eastAsia="Times New Roman" w:hAnsi="Times New Roman" w:cs="Times New Roman"/>
          <w:color w:val="000000"/>
          <w:sz w:val="24"/>
          <w:szCs w:val="24"/>
        </w:rPr>
        <w:t xml:space="preserve"> </w:t>
      </w:r>
    </w:p>
    <w:p w14:paraId="0000033D" w14:textId="5F5B3394" w:rsidR="00DC27AA" w:rsidRDefault="003517FB">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DOL </w:t>
      </w:r>
      <w:r w:rsidR="000F36B4">
        <w:rPr>
          <w:rFonts w:ascii="Times New Roman" w:eastAsia="Times New Roman" w:hAnsi="Times New Roman" w:cs="Times New Roman"/>
          <w:color w:val="000000"/>
          <w:sz w:val="24"/>
          <w:szCs w:val="24"/>
        </w:rPr>
        <w:t xml:space="preserve">has since opined regarding several industries that had previously appeared on those lists. For example, in a 2020 opinion letter the DOL noted: </w:t>
      </w:r>
    </w:p>
    <w:p w14:paraId="0000033E"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Until recently, the Department’s regulations (former 29 C.F.R. §779.317) listed “waste removal contractors” among a list of establishments that categorically could not qualify as a “retail or service establishment” under any circumstances because they lacked a retail concept … .With the withdrawal of the list, WHD now applies the same analysis to all establishments to determine their “retail concept,” thus reading the Section 7(i) exemption more consistently … . Establishments that had been listed as lacking a retail concept, including waste-removal contractors, may now qualify as retail or service establishment.</w:t>
      </w:r>
      <w:r>
        <w:rPr>
          <w:rFonts w:ascii="Times New Roman" w:eastAsia="Times New Roman" w:hAnsi="Times New Roman" w:cs="Times New Roman"/>
          <w:color w:val="000000"/>
          <w:sz w:val="20"/>
          <w:szCs w:val="20"/>
          <w:vertAlign w:val="superscript"/>
        </w:rPr>
        <w:footnoteReference w:id="855"/>
      </w:r>
    </w:p>
    <w:p w14:paraId="0000033F"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opinion letter went on to conclude that the pumping of liquid waste at commercial oil fields into tanks, and the hauling of those tanks to disposal sites, had a retail concept because although these tasks were performed for a commercial user, they did not require the use of specialized facilities or equipment and the services were not different services from those provided for the general consuming public.</w:t>
      </w:r>
      <w:r>
        <w:rPr>
          <w:rFonts w:ascii="Times New Roman" w:eastAsia="Times New Roman" w:hAnsi="Times New Roman" w:cs="Times New Roman"/>
          <w:color w:val="000000"/>
          <w:sz w:val="20"/>
          <w:szCs w:val="20"/>
          <w:vertAlign w:val="superscript"/>
        </w:rPr>
        <w:footnoteReference w:id="856"/>
      </w:r>
      <w:r>
        <w:rPr>
          <w:rFonts w:ascii="Times New Roman" w:eastAsia="Times New Roman" w:hAnsi="Times New Roman" w:cs="Times New Roman"/>
          <w:color w:val="000000"/>
          <w:sz w:val="24"/>
          <w:szCs w:val="24"/>
        </w:rPr>
        <w:t xml:space="preserve"> </w:t>
      </w:r>
    </w:p>
    <w:p w14:paraId="0000034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Similarly, the Administrator acknowledged in a 2021 opinion letter that “employment agencies” were among a list of establishments that categorically could not qualify as a “retail or service establishment” under any circumstances and that courts had relied on that list to hold staffing agencies as not a “retail or service establishment” that could qualify for the Section 207(i) exemption.</w:t>
      </w:r>
      <w:r>
        <w:rPr>
          <w:rFonts w:ascii="Times New Roman" w:eastAsia="Times New Roman" w:hAnsi="Times New Roman" w:cs="Times New Roman"/>
          <w:color w:val="000000"/>
          <w:sz w:val="20"/>
          <w:szCs w:val="20"/>
          <w:vertAlign w:val="superscript"/>
        </w:rPr>
        <w:footnoteReference w:id="857"/>
      </w:r>
      <w:r>
        <w:rPr>
          <w:rFonts w:ascii="Times New Roman" w:eastAsia="Times New Roman" w:hAnsi="Times New Roman" w:cs="Times New Roman"/>
          <w:color w:val="000000"/>
          <w:sz w:val="24"/>
          <w:szCs w:val="24"/>
        </w:rPr>
        <w:t xml:space="preserve"> In the 2021 opinion letter, the Administrator took note of the 2020 opinion letter and concluded that, although staffing firms had been listed as lacking a retail concept, “WHD sees no reason why staffing firms cannot also qualify … in light of the Department’s new practice of affording the same analysis to all establishments.”</w:t>
      </w:r>
      <w:r>
        <w:rPr>
          <w:rFonts w:ascii="Times New Roman" w:eastAsia="Times New Roman" w:hAnsi="Times New Roman" w:cs="Times New Roman"/>
          <w:color w:val="000000"/>
          <w:sz w:val="20"/>
          <w:szCs w:val="20"/>
          <w:vertAlign w:val="superscript"/>
        </w:rPr>
        <w:footnoteReference w:id="858"/>
      </w:r>
      <w:r>
        <w:rPr>
          <w:rFonts w:ascii="Times New Roman" w:eastAsia="Times New Roman" w:hAnsi="Times New Roman" w:cs="Times New Roman"/>
          <w:color w:val="000000"/>
          <w:sz w:val="24"/>
          <w:szCs w:val="24"/>
        </w:rPr>
        <w:t xml:space="preserve"> For the following reasons, the Administrator concluded that a “typical staffing firm” could qualify for the Section 207(i) exemption: </w:t>
      </w:r>
    </w:p>
    <w:p w14:paraId="00000341"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[S]</w:t>
      </w:r>
      <w:r>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0"/>
          <w:szCs w:val="20"/>
        </w:rPr>
        <w:t>affing firms may provide recruitment services to businesses in the general public, which may serve the employment needs of the community in which the businesses are located. … the placement of a worker with a business is the “end of the stream of distribution” for recruitment services. … staffing firms do not typically place workers “in bulk,” thus seemingly satisfying the “small quantities” criterion. And … staffing firms do not engage in manufacturing.</w:t>
      </w:r>
      <w:r>
        <w:rPr>
          <w:rFonts w:ascii="Times New Roman" w:eastAsia="Times New Roman" w:hAnsi="Times New Roman" w:cs="Times New Roman"/>
          <w:color w:val="000000"/>
          <w:sz w:val="20"/>
          <w:szCs w:val="20"/>
          <w:vertAlign w:val="superscript"/>
        </w:rPr>
        <w:footnoteReference w:id="859"/>
      </w:r>
      <w:r>
        <w:rPr>
          <w:rFonts w:ascii="Times New Roman" w:eastAsia="Times New Roman" w:hAnsi="Times New Roman" w:cs="Times New Roman"/>
          <w:color w:val="000000"/>
          <w:sz w:val="20"/>
          <w:szCs w:val="20"/>
        </w:rPr>
        <w:t xml:space="preserve"> </w:t>
      </w:r>
    </w:p>
    <w:p w14:paraId="00000342" w14:textId="7FAB5DA0"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WHD has yet to withdraw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Chapter 21c, a chapter that sets forth many examples of industries that the DOL believes have a retail concept and others that it believes do not. “The examples selected have been chosen primarily to serve as guides in those situations where the principle involved is of widespread application or where field experience has indicated a specific need.”</w:t>
      </w:r>
      <w:r>
        <w:rPr>
          <w:rFonts w:ascii="Times New Roman" w:eastAsia="Times New Roman" w:hAnsi="Times New Roman" w:cs="Times New Roman"/>
          <w:color w:val="000000"/>
          <w:sz w:val="24"/>
          <w:szCs w:val="24"/>
          <w:vertAlign w:val="superscript"/>
        </w:rPr>
        <w:footnoteReference w:id="860"/>
      </w:r>
      <w:r>
        <w:rPr>
          <w:rFonts w:ascii="Times New Roman" w:eastAsia="Times New Roman" w:hAnsi="Times New Roman" w:cs="Times New Roman"/>
          <w:color w:val="000000"/>
          <w:sz w:val="24"/>
          <w:szCs w:val="24"/>
        </w:rPr>
        <w:t xml:space="preserve"> </w:t>
      </w:r>
    </w:p>
    <w:p w14:paraId="00000343"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z w:val="24"/>
          <w:szCs w:val="24"/>
        </w:rPr>
        <w:tab/>
        <w:t>Financial Services</w:t>
      </w:r>
    </w:p>
    <w:p w14:paraId="0000034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Mitchell v. Kentucky Finance Co.,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61"/>
      </w:r>
      <w:r>
        <w:rPr>
          <w:rFonts w:ascii="Times New Roman" w:eastAsia="Times New Roman" w:hAnsi="Times New Roman" w:cs="Times New Roman"/>
          <w:color w:val="000000"/>
          <w:sz w:val="24"/>
          <w:szCs w:val="24"/>
        </w:rPr>
        <w:t xml:space="preserve"> the Supreme Court held that enterprises in the financial field, such as banks, credit companies, and personal loan companies, lacked the retail or service concept necessary to qualify as retail or service establishments pursuant to (the since-repealed) Section 213(a)(2).</w:t>
      </w:r>
      <w:r>
        <w:rPr>
          <w:rFonts w:ascii="Times New Roman" w:eastAsia="Times New Roman" w:hAnsi="Times New Roman" w:cs="Times New Roman"/>
          <w:color w:val="000000"/>
          <w:sz w:val="24"/>
          <w:szCs w:val="24"/>
          <w:vertAlign w:val="superscript"/>
        </w:rPr>
        <w:footnoteReference w:id="862"/>
      </w:r>
      <w:r>
        <w:rPr>
          <w:rFonts w:ascii="Times New Roman" w:eastAsia="Times New Roman" w:hAnsi="Times New Roman" w:cs="Times New Roman"/>
          <w:color w:val="000000"/>
          <w:sz w:val="24"/>
          <w:szCs w:val="24"/>
        </w:rPr>
        <w:t xml:space="preserve"> Although </w:t>
      </w:r>
      <w:r>
        <w:rPr>
          <w:rFonts w:ascii="Times New Roman" w:eastAsia="Times New Roman" w:hAnsi="Times New Roman" w:cs="Times New Roman"/>
          <w:i/>
          <w:color w:val="000000"/>
          <w:sz w:val="24"/>
          <w:szCs w:val="24"/>
        </w:rPr>
        <w:t>Mitchell</w:t>
      </w:r>
      <w:r>
        <w:rPr>
          <w:rFonts w:ascii="Times New Roman" w:eastAsia="Times New Roman" w:hAnsi="Times New Roman" w:cs="Times New Roman"/>
          <w:color w:val="000000"/>
          <w:sz w:val="24"/>
          <w:szCs w:val="24"/>
        </w:rPr>
        <w:t xml:space="preserve"> interpreted the term “retail or service establishment” under Section 213(a)(2), courts have looked to </w:t>
      </w:r>
      <w:r>
        <w:rPr>
          <w:rFonts w:ascii="Times New Roman" w:eastAsia="Times New Roman" w:hAnsi="Times New Roman" w:cs="Times New Roman"/>
          <w:i/>
          <w:color w:val="000000"/>
          <w:sz w:val="24"/>
          <w:szCs w:val="24"/>
        </w:rPr>
        <w:t>Mitchell</w:t>
      </w:r>
      <w:r>
        <w:rPr>
          <w:rFonts w:ascii="Times New Roman" w:eastAsia="Times New Roman" w:hAnsi="Times New Roman" w:cs="Times New Roman"/>
          <w:color w:val="000000"/>
          <w:sz w:val="24"/>
          <w:szCs w:val="24"/>
        </w:rPr>
        <w:t xml:space="preserve"> when deciding whether an establishment is a retail or service establishment under Section 207(i).</w:t>
      </w:r>
      <w:r>
        <w:rPr>
          <w:rFonts w:ascii="Times New Roman" w:eastAsia="Times New Roman" w:hAnsi="Times New Roman" w:cs="Times New Roman"/>
          <w:color w:val="000000"/>
          <w:sz w:val="24"/>
          <w:szCs w:val="24"/>
          <w:vertAlign w:val="superscript"/>
        </w:rPr>
        <w:footnoteReference w:id="863"/>
      </w:r>
      <w:r>
        <w:rPr>
          <w:rFonts w:ascii="Times New Roman" w:eastAsia="Times New Roman" w:hAnsi="Times New Roman" w:cs="Times New Roman"/>
          <w:color w:val="000000"/>
          <w:sz w:val="24"/>
          <w:szCs w:val="24"/>
        </w:rPr>
        <w:t xml:space="preserve"> Accordingly, several lower courts have ruled that mortgage and loan companies are not subject to the Section 207(i) exemption.</w:t>
      </w:r>
      <w:r>
        <w:rPr>
          <w:rFonts w:ascii="Times New Roman" w:eastAsia="Times New Roman" w:hAnsi="Times New Roman" w:cs="Times New Roman"/>
          <w:color w:val="000000"/>
          <w:sz w:val="24"/>
          <w:szCs w:val="24"/>
          <w:vertAlign w:val="superscript"/>
        </w:rPr>
        <w:footnoteReference w:id="864"/>
      </w:r>
    </w:p>
    <w:p w14:paraId="0000034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However, in </w:t>
      </w:r>
      <w:r>
        <w:rPr>
          <w:rFonts w:ascii="Times New Roman" w:eastAsia="Times New Roman" w:hAnsi="Times New Roman" w:cs="Times New Roman"/>
          <w:i/>
          <w:color w:val="000000"/>
          <w:sz w:val="24"/>
          <w:szCs w:val="24"/>
        </w:rPr>
        <w:t>Gatto v. Mortgage Specialists of Illinois,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65"/>
      </w:r>
      <w:r>
        <w:rPr>
          <w:rFonts w:ascii="Times New Roman" w:eastAsia="Times New Roman" w:hAnsi="Times New Roman" w:cs="Times New Roman"/>
          <w:color w:val="000000"/>
          <w:sz w:val="24"/>
          <w:szCs w:val="24"/>
        </w:rPr>
        <w:t xml:space="preserve"> the district court determined that a mortgage loan officer for a loan brokerage met the criteria for the Section 207(i) exemption. The court reasoned that, because the employer did not actually extend credit or hold mortgages but instead helped its customers obtain loans from lending institutions, it was not a part of the “financial industry” as that term was used in </w:t>
      </w:r>
      <w:r>
        <w:rPr>
          <w:rFonts w:ascii="Times New Roman" w:eastAsia="Times New Roman" w:hAnsi="Times New Roman" w:cs="Times New Roman"/>
          <w:i/>
          <w:color w:val="000000"/>
          <w:sz w:val="24"/>
          <w:szCs w:val="24"/>
        </w:rPr>
        <w:t>Mitchell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66"/>
      </w:r>
    </w:p>
    <w:p w14:paraId="0000034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Other courts have criticized </w:t>
      </w:r>
      <w:r>
        <w:rPr>
          <w:rFonts w:ascii="Times New Roman" w:eastAsia="Times New Roman" w:hAnsi="Times New Roman" w:cs="Times New Roman"/>
          <w:i/>
          <w:color w:val="000000"/>
          <w:sz w:val="24"/>
          <w:szCs w:val="24"/>
        </w:rPr>
        <w:t>Gatto.</w:t>
      </w:r>
      <w:r>
        <w:rPr>
          <w:rFonts w:ascii="Times New Roman" w:eastAsia="Times New Roman" w:hAnsi="Times New Roman" w:cs="Times New Roman"/>
          <w:color w:val="000000"/>
          <w:sz w:val="24"/>
          <w:szCs w:val="24"/>
        </w:rPr>
        <w:t xml:space="preserve"> For example, in </w:t>
      </w:r>
      <w:r>
        <w:rPr>
          <w:rFonts w:ascii="Times New Roman" w:eastAsia="Times New Roman" w:hAnsi="Times New Roman" w:cs="Times New Roman"/>
          <w:i/>
          <w:color w:val="000000"/>
          <w:sz w:val="24"/>
          <w:szCs w:val="24"/>
        </w:rPr>
        <w:t>Partida v. American Student Loan Corp.</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67"/>
      </w:r>
      <w:r>
        <w:rPr>
          <w:rFonts w:ascii="Times New Roman" w:eastAsia="Times New Roman" w:hAnsi="Times New Roman" w:cs="Times New Roman"/>
          <w:color w:val="000000"/>
          <w:sz w:val="24"/>
          <w:szCs w:val="24"/>
        </w:rPr>
        <w:t xml:space="preserve"> an Arizona district court rejected </w:t>
      </w:r>
      <w:r>
        <w:rPr>
          <w:rFonts w:ascii="Times New Roman" w:eastAsia="Times New Roman" w:hAnsi="Times New Roman" w:cs="Times New Roman"/>
          <w:i/>
          <w:color w:val="000000"/>
          <w:sz w:val="24"/>
          <w:szCs w:val="24"/>
        </w:rPr>
        <w:t>Gatto</w:t>
      </w:r>
      <w:r>
        <w:rPr>
          <w:rFonts w:ascii="Times New Roman" w:eastAsia="Times New Roman" w:hAnsi="Times New Roman" w:cs="Times New Roman"/>
          <w:color w:val="000000"/>
          <w:sz w:val="24"/>
          <w:szCs w:val="24"/>
        </w:rPr>
        <w:t xml:space="preserve"> as incompatible with Ninth Circuit precedent, ultimately concluding that a company in the business of matching individuals with third-party lenders to consolidate student loans was “mid-stream” between the public and the lenders, not at the end of the stream of commerce, and thus not retail.</w:t>
      </w:r>
      <w:r>
        <w:rPr>
          <w:rFonts w:ascii="Times New Roman" w:eastAsia="Times New Roman" w:hAnsi="Times New Roman" w:cs="Times New Roman"/>
          <w:color w:val="000000"/>
          <w:sz w:val="24"/>
          <w:szCs w:val="24"/>
          <w:vertAlign w:val="superscript"/>
        </w:rPr>
        <w:footnoteReference w:id="868"/>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Saunders v. Ace Mortgage Funding,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69"/>
      </w:r>
      <w:r>
        <w:rPr>
          <w:rFonts w:ascii="Times New Roman" w:eastAsia="Times New Roman" w:hAnsi="Times New Roman" w:cs="Times New Roman"/>
          <w:color w:val="000000"/>
          <w:sz w:val="24"/>
          <w:szCs w:val="24"/>
        </w:rPr>
        <w:t xml:space="preserve"> the court opined that </w:t>
      </w:r>
      <w:r>
        <w:rPr>
          <w:rFonts w:ascii="Times New Roman" w:eastAsia="Times New Roman" w:hAnsi="Times New Roman" w:cs="Times New Roman"/>
          <w:i/>
          <w:color w:val="000000"/>
          <w:sz w:val="24"/>
          <w:szCs w:val="24"/>
        </w:rPr>
        <w:t>Gatto</w:t>
      </w:r>
      <w:r>
        <w:rPr>
          <w:rFonts w:ascii="Times New Roman" w:eastAsia="Times New Roman" w:hAnsi="Times New Roman" w:cs="Times New Roman"/>
          <w:color w:val="000000"/>
          <w:sz w:val="24"/>
          <w:szCs w:val="24"/>
        </w:rPr>
        <w:t>, albeit persuasive, “strained to bring a financial business within the definition of a retail or service establishment on the basis that its activities were limited to brokering, not lending,”</w:t>
      </w:r>
      <w:r>
        <w:rPr>
          <w:rFonts w:ascii="Times New Roman" w:eastAsia="Times New Roman" w:hAnsi="Times New Roman" w:cs="Times New Roman"/>
          <w:color w:val="000000"/>
          <w:sz w:val="24"/>
          <w:szCs w:val="24"/>
          <w:vertAlign w:val="superscript"/>
        </w:rPr>
        <w:footnoteReference w:id="870"/>
      </w:r>
      <w:r>
        <w:rPr>
          <w:rFonts w:ascii="Times New Roman" w:eastAsia="Times New Roman" w:hAnsi="Times New Roman" w:cs="Times New Roman"/>
          <w:color w:val="000000"/>
          <w:sz w:val="24"/>
          <w:szCs w:val="24"/>
        </w:rPr>
        <w:t xml:space="preserve"> and found that a mortgage company licensed in 13 states that did a small amount of direct lending was part of the financial industry and, therefore, non-retail</w:t>
      </w:r>
      <w:r>
        <w:rPr>
          <w:rFonts w:ascii="Times New Roman" w:eastAsia="Times New Roman" w:hAnsi="Times New Roman" w:cs="Times New Roman"/>
          <w:i/>
          <w:color w:val="000000"/>
          <w:sz w:val="24"/>
          <w:szCs w:val="24"/>
        </w:rPr>
        <w:t>.</w:t>
      </w:r>
      <w:r>
        <w:rPr>
          <w:rFonts w:ascii="Times New Roman" w:eastAsia="Times New Roman" w:hAnsi="Times New Roman" w:cs="Times New Roman"/>
          <w:color w:val="000000"/>
          <w:sz w:val="24"/>
          <w:szCs w:val="24"/>
          <w:vertAlign w:val="superscript"/>
        </w:rPr>
        <w:footnoteReference w:id="871"/>
      </w:r>
    </w:p>
    <w:p w14:paraId="0000034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Gieg v. DDR,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72"/>
      </w:r>
      <w:r>
        <w:rPr>
          <w:rFonts w:ascii="Times New Roman" w:eastAsia="Times New Roman" w:hAnsi="Times New Roman" w:cs="Times New Roman"/>
          <w:color w:val="000000"/>
          <w:sz w:val="24"/>
          <w:szCs w:val="24"/>
        </w:rPr>
        <w:t xml:space="preserve"> the Ninth Circuit held that finance and insurance managers employed by retail automobile dealerships were eligible for the Section 207(i) exemption because an automobile dealership was not a financial institution.</w:t>
      </w:r>
      <w:r>
        <w:rPr>
          <w:rFonts w:ascii="Times New Roman" w:eastAsia="Times New Roman" w:hAnsi="Times New Roman" w:cs="Times New Roman"/>
          <w:color w:val="000000"/>
          <w:sz w:val="24"/>
          <w:szCs w:val="24"/>
          <w:vertAlign w:val="superscript"/>
        </w:rPr>
        <w:footnoteReference w:id="873"/>
      </w:r>
    </w:p>
    <w:p w14:paraId="0000034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w:t>
      </w:r>
      <w:r>
        <w:rPr>
          <w:rFonts w:ascii="Times New Roman" w:eastAsia="Times New Roman" w:hAnsi="Times New Roman" w:cs="Times New Roman"/>
          <w:i/>
          <w:color w:val="000000"/>
          <w:sz w:val="24"/>
          <w:szCs w:val="24"/>
        </w:rPr>
        <w:t>Parker v</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ABC Debt Relief, Ltd.</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74"/>
      </w:r>
      <w:r>
        <w:rPr>
          <w:rFonts w:ascii="Times New Roman" w:eastAsia="Times New Roman" w:hAnsi="Times New Roman" w:cs="Times New Roman"/>
          <w:color w:val="000000"/>
          <w:sz w:val="24"/>
          <w:szCs w:val="24"/>
        </w:rPr>
        <w:t xml:space="preserve"> the court held that a debt negotiation and settlement business lacked a “retail concept,” noting that “Defendants’ debt negotiation and settlement business was similar to other establishments that lack a ‘retail concept’—such as banks, brokers, credit companies, and loan offices.”</w:t>
      </w:r>
      <w:r>
        <w:rPr>
          <w:rFonts w:ascii="Times New Roman" w:eastAsia="Times New Roman" w:hAnsi="Times New Roman" w:cs="Times New Roman"/>
          <w:color w:val="000000"/>
          <w:sz w:val="24"/>
          <w:szCs w:val="24"/>
          <w:vertAlign w:val="superscript"/>
        </w:rPr>
        <w:footnoteReference w:id="875"/>
      </w:r>
      <w:r>
        <w:rPr>
          <w:rFonts w:ascii="Times New Roman" w:eastAsia="Times New Roman" w:hAnsi="Times New Roman" w:cs="Times New Roman"/>
          <w:color w:val="000000"/>
          <w:sz w:val="24"/>
          <w:szCs w:val="24"/>
        </w:rPr>
        <w:t xml:space="preserve"> </w:t>
      </w:r>
    </w:p>
    <w:p w14:paraId="00000349"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w:t>
      </w:r>
      <w:r>
        <w:rPr>
          <w:rFonts w:ascii="Times New Roman" w:eastAsia="Times New Roman" w:hAnsi="Times New Roman" w:cs="Times New Roman"/>
          <w:i/>
          <w:color w:val="000000"/>
          <w:sz w:val="24"/>
          <w:szCs w:val="24"/>
        </w:rPr>
        <w:tab/>
        <w:t>Cleaning and Repair Services</w:t>
      </w:r>
    </w:p>
    <w:p w14:paraId="0000034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Reich v. Delcorp,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76"/>
      </w:r>
      <w:r>
        <w:rPr>
          <w:rFonts w:ascii="Times New Roman" w:eastAsia="Times New Roman" w:hAnsi="Times New Roman" w:cs="Times New Roman"/>
          <w:color w:val="000000"/>
          <w:sz w:val="24"/>
          <w:szCs w:val="24"/>
        </w:rPr>
        <w:t xml:space="preserve"> the Eighth Circuit held that an in-home carpet cleaning business qualified as a retail or service establishment.</w:t>
      </w:r>
      <w:r>
        <w:rPr>
          <w:rFonts w:ascii="Times New Roman" w:eastAsia="Times New Roman" w:hAnsi="Times New Roman" w:cs="Times New Roman"/>
          <w:color w:val="000000"/>
          <w:sz w:val="24"/>
          <w:szCs w:val="24"/>
          <w:vertAlign w:val="superscript"/>
        </w:rPr>
        <w:footnoteReference w:id="877"/>
      </w:r>
      <w:r>
        <w:rPr>
          <w:rFonts w:ascii="Times New Roman" w:eastAsia="Times New Roman" w:hAnsi="Times New Roman" w:cs="Times New Roman"/>
          <w:color w:val="000000"/>
          <w:sz w:val="24"/>
          <w:szCs w:val="24"/>
        </w:rPr>
        <w:t xml:space="preserve"> Similarly, the DOL opined that the term “retail or service establishment” encompassed a carpet and upholstery cleaning service:</w:t>
      </w:r>
    </w:p>
    <w:p w14:paraId="0000034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They sell their services to the general public. … [They] do not manufacture their product and are at the end of the distribution stream when they perform the cleaning process. Finally, carpet and upholstery cleaning is provided for the comfort and convenience of the public in its daily living.</w:t>
      </w:r>
      <w:r>
        <w:rPr>
          <w:rFonts w:ascii="Times New Roman" w:eastAsia="Times New Roman" w:hAnsi="Times New Roman" w:cs="Times New Roman"/>
          <w:color w:val="000000"/>
          <w:sz w:val="20"/>
          <w:szCs w:val="20"/>
          <w:vertAlign w:val="superscript"/>
        </w:rPr>
        <w:footnoteReference w:id="878"/>
      </w:r>
    </w:p>
    <w:p w14:paraId="0000034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With respect to “services,” the DOL has found that the retail concept does not apply to construction contractors, but does extend “to businesses that supply the general public with household appliances, including those that perform incidental services on such goods when necessary, such as a refrigerator repair shop.”</w:t>
      </w:r>
      <w:r>
        <w:rPr>
          <w:rFonts w:ascii="Times New Roman" w:eastAsia="Times New Roman" w:hAnsi="Times New Roman" w:cs="Times New Roman"/>
          <w:color w:val="000000"/>
          <w:sz w:val="24"/>
          <w:szCs w:val="24"/>
          <w:vertAlign w:val="superscript"/>
        </w:rPr>
        <w:footnoteReference w:id="879"/>
      </w:r>
      <w:r>
        <w:rPr>
          <w:rFonts w:ascii="Times New Roman" w:eastAsia="Times New Roman" w:hAnsi="Times New Roman" w:cs="Times New Roman"/>
          <w:color w:val="000000"/>
          <w:sz w:val="24"/>
          <w:szCs w:val="24"/>
        </w:rPr>
        <w:t xml:space="preserve"> The DOL has further found that the retail concept applies to establishments engaged in the retail sale to the general public of plumbing and heating equipment, including the incidental installation of such goods at an additional charge,</w:t>
      </w:r>
      <w:r>
        <w:rPr>
          <w:rFonts w:ascii="Times New Roman" w:eastAsia="Times New Roman" w:hAnsi="Times New Roman" w:cs="Times New Roman"/>
          <w:color w:val="000000"/>
          <w:sz w:val="24"/>
          <w:szCs w:val="24"/>
          <w:vertAlign w:val="superscript"/>
        </w:rPr>
        <w:footnoteReference w:id="880"/>
      </w:r>
      <w:r>
        <w:rPr>
          <w:rFonts w:ascii="Times New Roman" w:eastAsia="Times New Roman" w:hAnsi="Times New Roman" w:cs="Times New Roman"/>
          <w:color w:val="000000"/>
          <w:sz w:val="24"/>
          <w:szCs w:val="24"/>
        </w:rPr>
        <w:t xml:space="preserve"> as these establishments provide “plumbing services that serve the everyday needs of the community. Plumbing contractors, on the other hand, are primarily engaged in home construction and remodeling projects involving major structural or installation work. The types </w:t>
      </w:r>
      <w:r>
        <w:rPr>
          <w:rFonts w:ascii="Times New Roman" w:eastAsia="Times New Roman" w:hAnsi="Times New Roman" w:cs="Times New Roman"/>
          <w:color w:val="000000"/>
          <w:sz w:val="24"/>
          <w:szCs w:val="24"/>
        </w:rPr>
        <w:lastRenderedPageBreak/>
        <w:t>of services … members provide are more akin to a repair shop than a plumbing contractor.”</w:t>
      </w:r>
      <w:r>
        <w:rPr>
          <w:rFonts w:ascii="Times New Roman" w:eastAsia="Times New Roman" w:hAnsi="Times New Roman" w:cs="Times New Roman"/>
          <w:color w:val="000000"/>
          <w:sz w:val="24"/>
          <w:szCs w:val="24"/>
          <w:vertAlign w:val="superscript"/>
        </w:rPr>
        <w:footnoteReference w:id="881"/>
      </w:r>
      <w:r>
        <w:rPr>
          <w:rFonts w:ascii="Times New Roman" w:eastAsia="Times New Roman" w:hAnsi="Times New Roman" w:cs="Times New Roman"/>
          <w:color w:val="000000"/>
          <w:sz w:val="24"/>
          <w:szCs w:val="24"/>
        </w:rPr>
        <w:t xml:space="preserve"> According to the DOL:</w:t>
      </w:r>
    </w:p>
    <w:p w14:paraId="0000034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Such repair services may qualify under Section 207(i) even when they are sometimes performed for a commercial user rather than a homeowner, so long as the commercial repair services do not require the use of specialized facilities or equipment and the services are not different services than those provided for the general consuming public.</w:t>
      </w:r>
      <w:r>
        <w:rPr>
          <w:rFonts w:ascii="Times New Roman" w:eastAsia="Times New Roman" w:hAnsi="Times New Roman" w:cs="Times New Roman"/>
          <w:color w:val="000000"/>
          <w:sz w:val="20"/>
          <w:szCs w:val="20"/>
          <w:vertAlign w:val="superscript"/>
        </w:rPr>
        <w:footnoteReference w:id="882"/>
      </w:r>
    </w:p>
    <w:p w14:paraId="0000034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Similarly, one court has found that a pest elimination service had a retail concept even though the company serviced commercial as well as residential customers.</w:t>
      </w:r>
      <w:r>
        <w:rPr>
          <w:rFonts w:ascii="Times New Roman" w:eastAsia="Times New Roman" w:hAnsi="Times New Roman" w:cs="Times New Roman"/>
          <w:color w:val="000000"/>
          <w:sz w:val="24"/>
          <w:szCs w:val="24"/>
          <w:vertAlign w:val="superscript"/>
        </w:rPr>
        <w:footnoteReference w:id="883"/>
      </w:r>
      <w:r>
        <w:rPr>
          <w:rFonts w:ascii="Times New Roman" w:eastAsia="Times New Roman" w:hAnsi="Times New Roman" w:cs="Times New Roman"/>
          <w:color w:val="000000"/>
          <w:sz w:val="24"/>
          <w:szCs w:val="24"/>
        </w:rPr>
        <w:t xml:space="preserve"> Among other factors, the court found that the services were not for resale and met the everyday needs of the public to have a pest-free community.</w:t>
      </w:r>
      <w:r>
        <w:rPr>
          <w:rFonts w:ascii="Times New Roman" w:eastAsia="Times New Roman" w:hAnsi="Times New Roman" w:cs="Times New Roman"/>
          <w:color w:val="000000"/>
          <w:sz w:val="24"/>
          <w:szCs w:val="24"/>
          <w:vertAlign w:val="superscript"/>
        </w:rPr>
        <w:footnoteReference w:id="884"/>
      </w:r>
    </w:p>
    <w:p w14:paraId="0000034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Alvarado v. Corporate Cleaning Services,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85"/>
      </w:r>
      <w:r>
        <w:rPr>
          <w:rFonts w:ascii="Times New Roman" w:eastAsia="Times New Roman" w:hAnsi="Times New Roman" w:cs="Times New Roman"/>
          <w:color w:val="000000"/>
          <w:sz w:val="24"/>
          <w:szCs w:val="24"/>
        </w:rPr>
        <w:t xml:space="preserve"> the Seventh Circuit found that a company providing professional interior and exterior window-washing services to commercial and residential customers, including office and residential high rises, hotels, schools and universities, shopping centers, and stadiums, qualified as a retail or service establishment:</w:t>
      </w:r>
    </w:p>
    <w:p w14:paraId="0000035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[Corporate Cleaning Services, Inc.] is selling a service, not goods, and that as we’ve seen is supportive of the exemption. … As a service establishment CCS meets the “retail or service establishment” requirement in section 207(i). If that weren’t enough (though it is), CCS is probably best described as a retail service establishment. It sells its window-cleaning services to building owners and managers; they are the ultimate customers; they do not resell the window cleaning, and therefore CCS is not a wholesaler.</w:t>
      </w:r>
      <w:r>
        <w:rPr>
          <w:rFonts w:ascii="Times New Roman" w:eastAsia="Times New Roman" w:hAnsi="Times New Roman" w:cs="Times New Roman"/>
          <w:color w:val="000000"/>
          <w:sz w:val="20"/>
          <w:szCs w:val="20"/>
          <w:vertAlign w:val="superscript"/>
        </w:rPr>
        <w:footnoteReference w:id="886"/>
      </w:r>
    </w:p>
    <w:p w14:paraId="00000351"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(iii.)</w:t>
      </w:r>
      <w:r>
        <w:rPr>
          <w:rFonts w:ascii="Times New Roman" w:eastAsia="Times New Roman" w:hAnsi="Times New Roman" w:cs="Times New Roman"/>
          <w:i/>
          <w:color w:val="000000"/>
          <w:sz w:val="24"/>
          <w:szCs w:val="24"/>
        </w:rPr>
        <w:tab/>
        <w:t>Learning Institutions</w:t>
      </w:r>
    </w:p>
    <w:p w14:paraId="0000035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Martin v. The Refrigeration School,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87"/>
      </w:r>
      <w:r>
        <w:rPr>
          <w:rFonts w:ascii="Times New Roman" w:eastAsia="Times New Roman" w:hAnsi="Times New Roman" w:cs="Times New Roman"/>
          <w:color w:val="000000"/>
          <w:sz w:val="24"/>
          <w:szCs w:val="24"/>
        </w:rPr>
        <w:t xml:space="preserve"> the Ninth Circuit held that “trade schools” were not retail or service establishments, explaining that while</w:t>
      </w:r>
    </w:p>
    <w:p w14:paraId="00000353"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[e]lementary schools and high schools are retail establishments because they instill learning that serves society’s basic need that its members be educated[,] [s]pecialized schools such as professional and graduate institutions are not because their role in the community is to produce graduates who are able to serve society’s needs. The latter is more analogous to the “manufacturing” than the “retail” concept.</w:t>
      </w:r>
      <w:r>
        <w:rPr>
          <w:rFonts w:ascii="Times New Roman" w:eastAsia="Times New Roman" w:hAnsi="Times New Roman" w:cs="Times New Roman"/>
          <w:color w:val="000000"/>
          <w:sz w:val="20"/>
          <w:szCs w:val="20"/>
          <w:vertAlign w:val="superscript"/>
        </w:rPr>
        <w:footnoteReference w:id="888"/>
      </w:r>
    </w:p>
    <w:p w14:paraId="0000035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Applying a similar analysis but reaching the opposite conclusion, in </w:t>
      </w:r>
      <w:r>
        <w:rPr>
          <w:rFonts w:ascii="Times New Roman" w:eastAsia="Times New Roman" w:hAnsi="Times New Roman" w:cs="Times New Roman"/>
          <w:i/>
          <w:color w:val="000000"/>
          <w:sz w:val="24"/>
          <w:szCs w:val="24"/>
        </w:rPr>
        <w:t>Viciedo v. New Horizons Computer Learning Center of Columbus, Ltd</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89"/>
      </w:r>
      <w:r>
        <w:rPr>
          <w:rFonts w:ascii="Times New Roman" w:eastAsia="Times New Roman" w:hAnsi="Times New Roman" w:cs="Times New Roman"/>
          <w:color w:val="000000"/>
          <w:sz w:val="24"/>
          <w:szCs w:val="24"/>
        </w:rPr>
        <w:t xml:space="preserve"> an Ohio district court held that a company engaged in the sale of computer software training services was a retail or service establishment because not only did the company derive more than 75 percent of its annual sales </w:t>
      </w:r>
      <w:r>
        <w:rPr>
          <w:rFonts w:ascii="Times New Roman" w:eastAsia="Times New Roman" w:hAnsi="Times New Roman" w:cs="Times New Roman"/>
          <w:color w:val="000000"/>
          <w:sz w:val="24"/>
          <w:szCs w:val="24"/>
        </w:rPr>
        <w:lastRenderedPageBreak/>
        <w:t>from the sales of goods or services that were not for resale, but it was also recognized as a retailer within the computer industry.</w:t>
      </w:r>
      <w:r>
        <w:rPr>
          <w:rFonts w:ascii="Times New Roman" w:eastAsia="Times New Roman" w:hAnsi="Times New Roman" w:cs="Times New Roman"/>
          <w:color w:val="000000"/>
          <w:sz w:val="24"/>
          <w:szCs w:val="24"/>
          <w:vertAlign w:val="superscript"/>
        </w:rPr>
        <w:footnoteReference w:id="890"/>
      </w:r>
      <w:r>
        <w:rPr>
          <w:rFonts w:ascii="Times New Roman" w:eastAsia="Times New Roman" w:hAnsi="Times New Roman" w:cs="Times New Roman"/>
          <w:color w:val="000000"/>
          <w:sz w:val="24"/>
          <w:szCs w:val="24"/>
        </w:rPr>
        <w:t xml:space="preserve"> Distinguishing the refrigerator repair schools deemed non-retail in </w:t>
      </w:r>
      <w:r>
        <w:rPr>
          <w:rFonts w:ascii="Times New Roman" w:eastAsia="Times New Roman" w:hAnsi="Times New Roman" w:cs="Times New Roman"/>
          <w:i/>
          <w:color w:val="000000"/>
          <w:sz w:val="24"/>
          <w:szCs w:val="24"/>
        </w:rPr>
        <w:t>Martin</w:t>
      </w:r>
      <w:r>
        <w:rPr>
          <w:rFonts w:ascii="Times New Roman" w:eastAsia="Times New Roman" w:hAnsi="Times New Roman" w:cs="Times New Roman"/>
          <w:color w:val="000000"/>
          <w:sz w:val="24"/>
          <w:szCs w:val="24"/>
        </w:rPr>
        <w:t>, the court observed that “schools that educate on the use of computer programs serve the everyday needs of the community.”</w:t>
      </w:r>
      <w:r>
        <w:rPr>
          <w:rFonts w:ascii="Times New Roman" w:eastAsia="Times New Roman" w:hAnsi="Times New Roman" w:cs="Times New Roman"/>
          <w:color w:val="000000"/>
          <w:sz w:val="24"/>
          <w:szCs w:val="24"/>
          <w:vertAlign w:val="superscript"/>
        </w:rPr>
        <w:footnoteReference w:id="891"/>
      </w:r>
    </w:p>
    <w:p w14:paraId="0000035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Similarly, in </w:t>
      </w:r>
      <w:r>
        <w:rPr>
          <w:rFonts w:ascii="Times New Roman" w:eastAsia="Times New Roman" w:hAnsi="Times New Roman" w:cs="Times New Roman"/>
          <w:i/>
          <w:color w:val="000000"/>
          <w:sz w:val="24"/>
          <w:szCs w:val="24"/>
        </w:rPr>
        <w:t>Selz v. Investools,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92"/>
      </w:r>
      <w:r>
        <w:rPr>
          <w:rFonts w:ascii="Times New Roman" w:eastAsia="Times New Roman" w:hAnsi="Times New Roman" w:cs="Times New Roman"/>
          <w:color w:val="000000"/>
          <w:sz w:val="24"/>
          <w:szCs w:val="24"/>
        </w:rPr>
        <w:t xml:space="preserve"> a Utah district court determined that a company that created and marketed products and services aimed at educating individuals on investing in exchange markets online qualified as a retail or service establishment. The court explained that (1) the company marketed tools to aid individuals in independently investing personal funds in its own industry and not part of the educational, financial, or investment counseling industries, which lack a retail concept; (2) the educational materials were for personal use, the essence of the “retail concept,” and the products were “recognized as retail in the industry”; (3) it did not matter that the company’s products were sold through a call center rather than a traditional retail location because sales were to the general public; (4) the everyday needs of the community were being served because “investing … is a basic need of members of the community in today’s world, and [the company] serves that need”;</w:t>
      </w:r>
      <w:r>
        <w:rPr>
          <w:rFonts w:ascii="Times New Roman" w:eastAsia="Times New Roman" w:hAnsi="Times New Roman" w:cs="Times New Roman"/>
          <w:color w:val="000000"/>
          <w:sz w:val="24"/>
          <w:szCs w:val="24"/>
          <w:vertAlign w:val="superscript"/>
        </w:rPr>
        <w:footnoteReference w:id="893"/>
      </w:r>
      <w:r>
        <w:rPr>
          <w:rFonts w:ascii="Times New Roman" w:eastAsia="Times New Roman" w:hAnsi="Times New Roman" w:cs="Times New Roman"/>
          <w:color w:val="000000"/>
          <w:sz w:val="24"/>
          <w:szCs w:val="24"/>
        </w:rPr>
        <w:t xml:space="preserve"> and (5) the fact that the defendant “developed and produced” the educational materials being sold did not bar the exemption for sales center employees where the sales center was a distinct establishment from the product development areas, occupying a separate floor from the other parts of the company.</w:t>
      </w:r>
      <w:r>
        <w:rPr>
          <w:rFonts w:ascii="Times New Roman" w:eastAsia="Times New Roman" w:hAnsi="Times New Roman" w:cs="Times New Roman"/>
          <w:color w:val="000000"/>
          <w:sz w:val="24"/>
          <w:szCs w:val="24"/>
          <w:vertAlign w:val="superscript"/>
        </w:rPr>
        <w:footnoteReference w:id="894"/>
      </w:r>
    </w:p>
    <w:p w14:paraId="00000356"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(iv.)</w:t>
      </w:r>
      <w:r>
        <w:rPr>
          <w:rFonts w:ascii="Times New Roman" w:eastAsia="Times New Roman" w:hAnsi="Times New Roman" w:cs="Times New Roman"/>
          <w:i/>
          <w:color w:val="000000"/>
          <w:sz w:val="24"/>
          <w:szCs w:val="24"/>
        </w:rPr>
        <w:tab/>
        <w:t>Cable/Satellite Installation and Services</w:t>
      </w:r>
    </w:p>
    <w:p w14:paraId="0000035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Owopetu v. Nationwide CATV Auditing Services,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95"/>
      </w:r>
      <w:r>
        <w:rPr>
          <w:rFonts w:ascii="Times New Roman" w:eastAsia="Times New Roman" w:hAnsi="Times New Roman" w:cs="Times New Roman"/>
          <w:color w:val="000000"/>
          <w:sz w:val="24"/>
          <w:szCs w:val="24"/>
        </w:rPr>
        <w:t xml:space="preserve"> a Vermont district court found that a cable television subcontractor that provided service, installation, and repair of cable and broadband equipment to residential customers of Time Warner Cable (TWC) and was paid by TWC according to a rate schedule had a retail concept,</w:t>
      </w:r>
      <w:r>
        <w:rPr>
          <w:rFonts w:ascii="Times New Roman" w:eastAsia="Times New Roman" w:hAnsi="Times New Roman" w:cs="Times New Roman"/>
          <w:color w:val="000000"/>
          <w:sz w:val="24"/>
          <w:szCs w:val="24"/>
          <w:vertAlign w:val="superscript"/>
        </w:rPr>
        <w:footnoteReference w:id="896"/>
      </w:r>
      <w:r>
        <w:rPr>
          <w:rFonts w:ascii="Times New Roman" w:eastAsia="Times New Roman" w:hAnsi="Times New Roman" w:cs="Times New Roman"/>
          <w:color w:val="000000"/>
          <w:sz w:val="24"/>
          <w:szCs w:val="24"/>
        </w:rPr>
        <w:t xml:space="preserve"> because the services were considered to be “retail” within the industry, were not resold, met the everyday needs of the community, and the customers were at the very end of the stream of distribution.</w:t>
      </w:r>
      <w:r>
        <w:rPr>
          <w:rFonts w:ascii="Times New Roman" w:eastAsia="Times New Roman" w:hAnsi="Times New Roman" w:cs="Times New Roman"/>
          <w:color w:val="000000"/>
          <w:sz w:val="24"/>
          <w:szCs w:val="24"/>
          <w:vertAlign w:val="superscript"/>
        </w:rPr>
        <w:footnoteReference w:id="897"/>
      </w:r>
      <w:r>
        <w:rPr>
          <w:rFonts w:ascii="Times New Roman" w:eastAsia="Times New Roman" w:hAnsi="Times New Roman" w:cs="Times New Roman"/>
          <w:color w:val="000000"/>
          <w:sz w:val="24"/>
          <w:szCs w:val="24"/>
        </w:rPr>
        <w:t xml:space="preserve"> </w:t>
      </w:r>
    </w:p>
    <w:p w14:paraId="0000035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similar result was reached by a Georgia district court in </w:t>
      </w:r>
      <w:r>
        <w:rPr>
          <w:rFonts w:ascii="Times New Roman" w:eastAsia="Times New Roman" w:hAnsi="Times New Roman" w:cs="Times New Roman"/>
          <w:i/>
          <w:color w:val="000000"/>
          <w:sz w:val="24"/>
          <w:szCs w:val="24"/>
        </w:rPr>
        <w:t>Jones v. Tucker Communications,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898"/>
      </w:r>
      <w:r>
        <w:rPr>
          <w:rFonts w:ascii="Times New Roman" w:eastAsia="Times New Roman" w:hAnsi="Times New Roman" w:cs="Times New Roman"/>
          <w:color w:val="000000"/>
          <w:sz w:val="24"/>
          <w:szCs w:val="24"/>
        </w:rPr>
        <w:t xml:space="preserve"> where the court explained:</w:t>
      </w:r>
    </w:p>
    <w:p w14:paraId="0000035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[Tucker] provides installation and repair services to the general public—cable and internet users—for their comfort and convenience. Certainly both the provision of internet and cable services and the necessary </w:t>
      </w:r>
      <w:r>
        <w:rPr>
          <w:rFonts w:ascii="Times New Roman" w:eastAsia="Times New Roman" w:hAnsi="Times New Roman" w:cs="Times New Roman"/>
          <w:color w:val="000000"/>
          <w:sz w:val="20"/>
          <w:szCs w:val="20"/>
        </w:rPr>
        <w:lastRenderedPageBreak/>
        <w:t>installation and repair of these services meet the everyday needs of the community. … Finally, Tucker disposes of its services in small quantities and does not take part in the manufacturing process.</w:t>
      </w:r>
      <w:r>
        <w:rPr>
          <w:rFonts w:ascii="Times New Roman" w:eastAsia="Times New Roman" w:hAnsi="Times New Roman" w:cs="Times New Roman"/>
          <w:color w:val="000000"/>
          <w:sz w:val="20"/>
          <w:szCs w:val="20"/>
          <w:vertAlign w:val="superscript"/>
        </w:rPr>
        <w:footnoteReference w:id="899"/>
      </w:r>
    </w:p>
    <w:p w14:paraId="0000035A"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court found that even though Tucker contracted with Charter Communications, it provided its repair and installation services to the end users—the cable and Internet service consumers.</w:t>
      </w:r>
      <w:r>
        <w:rPr>
          <w:rFonts w:ascii="Times New Roman" w:eastAsia="Times New Roman" w:hAnsi="Times New Roman" w:cs="Times New Roman"/>
          <w:color w:val="000000"/>
          <w:sz w:val="24"/>
          <w:szCs w:val="24"/>
          <w:vertAlign w:val="superscript"/>
        </w:rPr>
        <w:footnoteReference w:id="900"/>
      </w:r>
      <w:r>
        <w:rPr>
          <w:rFonts w:ascii="Times New Roman" w:eastAsia="Times New Roman" w:hAnsi="Times New Roman" w:cs="Times New Roman"/>
          <w:color w:val="000000"/>
          <w:sz w:val="24"/>
          <w:szCs w:val="24"/>
        </w:rPr>
        <w:t xml:space="preserve"> </w:t>
      </w:r>
    </w:p>
    <w:p w14:paraId="0000035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courts have similarly found cable and Internet installation to have a “retail concept”;</w:t>
      </w:r>
      <w:r>
        <w:rPr>
          <w:rFonts w:ascii="Times New Roman" w:eastAsia="Times New Roman" w:hAnsi="Times New Roman" w:cs="Times New Roman"/>
          <w:color w:val="000000"/>
          <w:sz w:val="24"/>
          <w:szCs w:val="24"/>
          <w:vertAlign w:val="superscript"/>
        </w:rPr>
        <w:footnoteReference w:id="901"/>
      </w:r>
      <w:r>
        <w:rPr>
          <w:rFonts w:ascii="Times New Roman" w:eastAsia="Times New Roman" w:hAnsi="Times New Roman" w:cs="Times New Roman"/>
          <w:color w:val="000000"/>
          <w:sz w:val="24"/>
          <w:szCs w:val="24"/>
        </w:rPr>
        <w:t xml:space="preserve"> in some cases the issue was not even disputed.</w:t>
      </w:r>
      <w:r>
        <w:rPr>
          <w:rFonts w:ascii="Times New Roman" w:eastAsia="Times New Roman" w:hAnsi="Times New Roman" w:cs="Times New Roman"/>
          <w:color w:val="000000"/>
          <w:sz w:val="24"/>
          <w:szCs w:val="24"/>
          <w:vertAlign w:val="superscript"/>
        </w:rPr>
        <w:footnoteReference w:id="902"/>
      </w:r>
    </w:p>
    <w:p w14:paraId="0000035C"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w:t>
      </w:r>
      <w:r>
        <w:rPr>
          <w:rFonts w:ascii="Times New Roman" w:eastAsia="Times New Roman" w:hAnsi="Times New Roman" w:cs="Times New Roman"/>
          <w:i/>
          <w:color w:val="000000"/>
          <w:sz w:val="24"/>
          <w:szCs w:val="24"/>
        </w:rPr>
        <w:tab/>
        <w:t>Timeshare and Real Estate Companies</w:t>
      </w:r>
    </w:p>
    <w:p w14:paraId="0000035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Williams v. Trendwest Resorts,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03"/>
      </w:r>
      <w:r>
        <w:rPr>
          <w:rFonts w:ascii="Times New Roman" w:eastAsia="Times New Roman" w:hAnsi="Times New Roman" w:cs="Times New Roman"/>
          <w:color w:val="000000"/>
          <w:sz w:val="24"/>
          <w:szCs w:val="24"/>
        </w:rPr>
        <w:t xml:space="preserve"> a Nevada district court held that a real estate developer selling transferable and perpetual ownership interests in vacation timeshares lacked a retail concept because ultimately customers received non-retail interests that operated much like real estate.</w:t>
      </w:r>
      <w:r>
        <w:rPr>
          <w:rFonts w:ascii="Times New Roman" w:eastAsia="Times New Roman" w:hAnsi="Times New Roman" w:cs="Times New Roman"/>
          <w:color w:val="000000"/>
          <w:sz w:val="24"/>
          <w:szCs w:val="24"/>
          <w:vertAlign w:val="superscript"/>
        </w:rPr>
        <w:footnoteReference w:id="904"/>
      </w:r>
      <w:r>
        <w:rPr>
          <w:rFonts w:ascii="Times New Roman" w:eastAsia="Times New Roman" w:hAnsi="Times New Roman" w:cs="Times New Roman"/>
          <w:color w:val="000000"/>
          <w:sz w:val="24"/>
          <w:szCs w:val="24"/>
        </w:rPr>
        <w:t xml:space="preserve"> “Therefore, Defendant is not selling goods or services under the FLSA.”</w:t>
      </w:r>
      <w:r>
        <w:rPr>
          <w:rFonts w:ascii="Times New Roman" w:eastAsia="Times New Roman" w:hAnsi="Times New Roman" w:cs="Times New Roman"/>
          <w:color w:val="000000"/>
          <w:sz w:val="24"/>
          <w:szCs w:val="24"/>
          <w:vertAlign w:val="superscript"/>
        </w:rPr>
        <w:footnoteReference w:id="905"/>
      </w:r>
      <w:r>
        <w:rPr>
          <w:rFonts w:ascii="Times New Roman" w:eastAsia="Times New Roman" w:hAnsi="Times New Roman" w:cs="Times New Roman"/>
          <w:color w:val="000000"/>
          <w:sz w:val="24"/>
          <w:szCs w:val="24"/>
        </w:rPr>
        <w:t xml:space="preserve"> Arriving at the same conclusion, a Florida district court observed in </w:t>
      </w:r>
      <w:r>
        <w:rPr>
          <w:rFonts w:ascii="Times New Roman" w:eastAsia="Times New Roman" w:hAnsi="Times New Roman" w:cs="Times New Roman"/>
          <w:i/>
          <w:color w:val="000000"/>
          <w:sz w:val="24"/>
          <w:szCs w:val="24"/>
        </w:rPr>
        <w:t>Davidson v. Orange Lake County Club, Inc.</w:t>
      </w:r>
      <w:r>
        <w:rPr>
          <w:rFonts w:ascii="Times New Roman" w:eastAsia="Times New Roman" w:hAnsi="Times New Roman" w:cs="Times New Roman"/>
          <w:color w:val="000000"/>
          <w:sz w:val="24"/>
          <w:szCs w:val="24"/>
          <w:vertAlign w:val="superscript"/>
        </w:rPr>
        <w:footnoteReference w:id="906"/>
      </w:r>
      <w:r>
        <w:rPr>
          <w:rFonts w:ascii="Times New Roman" w:eastAsia="Times New Roman" w:hAnsi="Times New Roman" w:cs="Times New Roman"/>
          <w:color w:val="000000"/>
          <w:sz w:val="24"/>
          <w:szCs w:val="24"/>
        </w:rPr>
        <w:t xml:space="preserve"> “that timeshare sales companies [were] akin to the ‘real estate companies’ listed in Section 779.317 of the Code of Federal Regulations as lacking a retail concept.”</w:t>
      </w:r>
      <w:r>
        <w:rPr>
          <w:rFonts w:ascii="Times New Roman" w:eastAsia="Times New Roman" w:hAnsi="Times New Roman" w:cs="Times New Roman"/>
          <w:color w:val="000000"/>
          <w:sz w:val="24"/>
          <w:szCs w:val="24"/>
          <w:vertAlign w:val="superscript"/>
        </w:rPr>
        <w:footnoteReference w:id="907"/>
      </w:r>
    </w:p>
    <w:p w14:paraId="0000035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Likewise, the district court in </w:t>
      </w:r>
      <w:r>
        <w:rPr>
          <w:rFonts w:ascii="Times New Roman" w:eastAsia="Times New Roman" w:hAnsi="Times New Roman" w:cs="Times New Roman"/>
          <w:i/>
          <w:color w:val="000000"/>
          <w:sz w:val="24"/>
          <w:szCs w:val="24"/>
        </w:rPr>
        <w:t>Russell v. Promove, LLC </w:t>
      </w:r>
      <w:r>
        <w:rPr>
          <w:rFonts w:ascii="Times New Roman" w:eastAsia="Times New Roman" w:hAnsi="Times New Roman" w:cs="Times New Roman"/>
          <w:color w:val="000000"/>
          <w:sz w:val="24"/>
          <w:szCs w:val="24"/>
          <w:vertAlign w:val="superscript"/>
        </w:rPr>
        <w:footnoteReference w:id="908"/>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held that the matching of apartment-seekers with landlords lacked a retail concept, because this type of business is closely akin to the role of a broker.</w:t>
      </w:r>
      <w:r>
        <w:rPr>
          <w:rFonts w:ascii="Times New Roman" w:eastAsia="Times New Roman" w:hAnsi="Times New Roman" w:cs="Times New Roman"/>
          <w:color w:val="000000"/>
          <w:sz w:val="24"/>
          <w:szCs w:val="24"/>
          <w:vertAlign w:val="superscript"/>
        </w:rPr>
        <w:footnoteReference w:id="909"/>
      </w:r>
    </w:p>
    <w:p w14:paraId="0000035F"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(vi.)</w:t>
      </w:r>
      <w:r>
        <w:rPr>
          <w:rFonts w:ascii="Times New Roman" w:eastAsia="Times New Roman" w:hAnsi="Times New Roman" w:cs="Times New Roman"/>
          <w:i/>
          <w:color w:val="000000"/>
          <w:sz w:val="24"/>
          <w:szCs w:val="24"/>
        </w:rPr>
        <w:tab/>
        <w:t>Travel Agencies</w:t>
      </w:r>
    </w:p>
    <w:p w14:paraId="0000036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Reich v. Cruises Only,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10"/>
      </w:r>
      <w:r>
        <w:rPr>
          <w:rFonts w:ascii="Times New Roman" w:eastAsia="Times New Roman" w:hAnsi="Times New Roman" w:cs="Times New Roman"/>
          <w:color w:val="000000"/>
          <w:sz w:val="24"/>
          <w:szCs w:val="24"/>
        </w:rPr>
        <w:t xml:space="preserve"> a Florida district court held that a travel agency specializing in cruise vacations was a retail or service establishment. It reasoned that the agency sold vacation packages to the general public, met the everyday needs of the community (even though it was not used by everyone in the community on a daily basis), was at the very end of the stream of distribution, disposed of its products and skills in small quantities, and was not part of a manufacturing process.</w:t>
      </w:r>
      <w:r>
        <w:rPr>
          <w:rFonts w:ascii="Times New Roman" w:eastAsia="Times New Roman" w:hAnsi="Times New Roman" w:cs="Times New Roman"/>
          <w:color w:val="000000"/>
          <w:sz w:val="24"/>
          <w:szCs w:val="24"/>
          <w:vertAlign w:val="superscript"/>
        </w:rPr>
        <w:footnoteReference w:id="911"/>
      </w:r>
      <w:r>
        <w:rPr>
          <w:rFonts w:ascii="Times New Roman" w:eastAsia="Times New Roman" w:hAnsi="Times New Roman" w:cs="Times New Roman"/>
          <w:color w:val="000000"/>
          <w:sz w:val="24"/>
          <w:szCs w:val="24"/>
        </w:rPr>
        <w:t xml:space="preserve"> </w:t>
      </w:r>
    </w:p>
    <w:p w14:paraId="00000361"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(vii.)</w:t>
      </w:r>
      <w:r>
        <w:rPr>
          <w:rFonts w:ascii="Times New Roman" w:eastAsia="Times New Roman" w:hAnsi="Times New Roman" w:cs="Times New Roman"/>
          <w:i/>
          <w:color w:val="000000"/>
          <w:sz w:val="24"/>
          <w:szCs w:val="24"/>
        </w:rPr>
        <w:tab/>
        <w:t>Other Industries</w:t>
      </w:r>
    </w:p>
    <w:p w14:paraId="0000036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Wells v. Taxmasters,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12"/>
      </w:r>
      <w:r>
        <w:rPr>
          <w:rFonts w:ascii="Times New Roman" w:eastAsia="Times New Roman" w:hAnsi="Times New Roman" w:cs="Times New Roman"/>
          <w:color w:val="000000"/>
          <w:sz w:val="24"/>
          <w:szCs w:val="24"/>
        </w:rPr>
        <w:t xml:space="preserve"> the district court held that a provider of tax-consulting and tax-preparation services, more than 75 percent of whom were consumers, was a retail or service establishment. The court, noting that the Fifth Circuit had declined to follow the DOL’s partial list of establishments lacking a retail concept,</w:t>
      </w:r>
      <w:r>
        <w:rPr>
          <w:rFonts w:ascii="Times New Roman" w:eastAsia="Times New Roman" w:hAnsi="Times New Roman" w:cs="Times New Roman"/>
          <w:color w:val="000000"/>
          <w:sz w:val="24"/>
          <w:szCs w:val="24"/>
          <w:vertAlign w:val="superscript"/>
        </w:rPr>
        <w:footnoteReference w:id="913"/>
      </w:r>
      <w:r>
        <w:rPr>
          <w:rFonts w:ascii="Times New Roman" w:eastAsia="Times New Roman" w:hAnsi="Times New Roman" w:cs="Times New Roman"/>
          <w:color w:val="000000"/>
          <w:sz w:val="24"/>
          <w:szCs w:val="24"/>
        </w:rPr>
        <w:t xml:space="preserve"> focused on the Secretary’s four criteria for identifying establishments with a retail concept.</w:t>
      </w:r>
      <w:r>
        <w:rPr>
          <w:rFonts w:ascii="Times New Roman" w:eastAsia="Times New Roman" w:hAnsi="Times New Roman" w:cs="Times New Roman"/>
          <w:color w:val="000000"/>
          <w:sz w:val="24"/>
          <w:szCs w:val="24"/>
          <w:vertAlign w:val="superscript"/>
        </w:rPr>
        <w:footnoteReference w:id="914"/>
      </w:r>
      <w:r>
        <w:rPr>
          <w:rFonts w:ascii="Times New Roman" w:eastAsia="Times New Roman" w:hAnsi="Times New Roman" w:cs="Times New Roman"/>
          <w:color w:val="000000"/>
          <w:sz w:val="24"/>
          <w:szCs w:val="24"/>
        </w:rPr>
        <w:t xml:space="preserve"> It found that the company’s tax resolution services clearly were “services for the comfort and convenience of such public in the course of its daily living,”</w:t>
      </w:r>
      <w:r>
        <w:rPr>
          <w:rFonts w:ascii="Times New Roman" w:eastAsia="Times New Roman" w:hAnsi="Times New Roman" w:cs="Times New Roman"/>
          <w:color w:val="000000"/>
          <w:sz w:val="24"/>
          <w:szCs w:val="24"/>
          <w:vertAlign w:val="superscript"/>
        </w:rPr>
        <w:footnoteReference w:id="915"/>
      </w:r>
      <w:r>
        <w:rPr>
          <w:rFonts w:ascii="Times New Roman" w:eastAsia="Times New Roman" w:hAnsi="Times New Roman" w:cs="Times New Roman"/>
          <w:color w:val="000000"/>
          <w:sz w:val="24"/>
          <w:szCs w:val="24"/>
        </w:rPr>
        <w:t xml:space="preserve"> that the company provided “small quantities of the products and skills” of its organization directly to the end consumer, and “did not take part in the manufacturing process.”</w:t>
      </w:r>
      <w:r>
        <w:rPr>
          <w:rFonts w:ascii="Times New Roman" w:eastAsia="Times New Roman" w:hAnsi="Times New Roman" w:cs="Times New Roman"/>
          <w:color w:val="000000"/>
          <w:sz w:val="24"/>
          <w:szCs w:val="24"/>
          <w:vertAlign w:val="superscript"/>
        </w:rPr>
        <w:footnoteReference w:id="916"/>
      </w:r>
      <w:r>
        <w:rPr>
          <w:rFonts w:ascii="Times New Roman" w:eastAsia="Times New Roman" w:hAnsi="Times New Roman" w:cs="Times New Roman"/>
          <w:color w:val="000000"/>
          <w:sz w:val="24"/>
          <w:szCs w:val="24"/>
        </w:rPr>
        <w:t xml:space="preserve"> The court acknowledged a consumer does not require tax services on a daily basis “any more than they require frequent visits to the undertaker. Yet these services derive inevitably from the only two certainties in life”</w:t>
      </w:r>
      <w:r>
        <w:rPr>
          <w:rFonts w:ascii="Times New Roman" w:eastAsia="Times New Roman" w:hAnsi="Times New Roman" w:cs="Times New Roman"/>
          <w:color w:val="000000"/>
          <w:sz w:val="24"/>
          <w:szCs w:val="24"/>
          <w:vertAlign w:val="superscript"/>
        </w:rPr>
        <w:footnoteReference w:id="917"/>
      </w:r>
      <w:r>
        <w:rPr>
          <w:rFonts w:ascii="Times New Roman" w:eastAsia="Times New Roman" w:hAnsi="Times New Roman" w:cs="Times New Roman"/>
          <w:color w:val="000000"/>
          <w:sz w:val="24"/>
          <w:szCs w:val="24"/>
        </w:rPr>
        <w:t xml:space="preserve"> and were no less retail in nature than the sale of </w:t>
      </w:r>
      <w:r>
        <w:rPr>
          <w:rFonts w:ascii="Times New Roman" w:eastAsia="Times New Roman" w:hAnsi="Times New Roman" w:cs="Times New Roman"/>
          <w:color w:val="000000"/>
          <w:sz w:val="24"/>
          <w:szCs w:val="24"/>
        </w:rPr>
        <w:lastRenderedPageBreak/>
        <w:t>“automobiles, … radios and refrigerators,” or the “incidental services on such goods when necessary.”</w:t>
      </w:r>
      <w:r>
        <w:rPr>
          <w:rFonts w:ascii="Times New Roman" w:eastAsia="Times New Roman" w:hAnsi="Times New Roman" w:cs="Times New Roman"/>
          <w:color w:val="000000"/>
          <w:sz w:val="24"/>
          <w:szCs w:val="24"/>
          <w:vertAlign w:val="superscript"/>
        </w:rPr>
        <w:footnoteReference w:id="918"/>
      </w:r>
      <w:r>
        <w:rPr>
          <w:rFonts w:ascii="Times New Roman" w:eastAsia="Times New Roman" w:hAnsi="Times New Roman" w:cs="Times New Roman"/>
          <w:color w:val="000000"/>
          <w:sz w:val="24"/>
          <w:szCs w:val="24"/>
        </w:rPr>
        <w:t xml:space="preserve"> </w:t>
      </w:r>
    </w:p>
    <w:p w14:paraId="0000036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the DOL lists telephone companies among the types of businesses that lack a retail concept, in </w:t>
      </w:r>
      <w:r>
        <w:rPr>
          <w:rFonts w:ascii="Times New Roman" w:eastAsia="Times New Roman" w:hAnsi="Times New Roman" w:cs="Times New Roman"/>
          <w:i/>
          <w:color w:val="000000"/>
          <w:sz w:val="24"/>
          <w:szCs w:val="24"/>
        </w:rPr>
        <w:t>Haskins v. VIP Wireless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LLC</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300</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19"/>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district court held that a company that marketed telecommunications equipment for various telecommunications companies, and sold cellular telephones and related equipment/services as the agent of these phone service providers, was not a telephone company and qualified as a retail or service establishment. In support of its conclusion, the court noted that the company sold goods or services to the general public, cellular telephone service has become an “everyday need” of the residents in the local community, and the goods and services sold were “at the very end of the stream of distribution.”</w:t>
      </w:r>
      <w:r>
        <w:rPr>
          <w:rFonts w:ascii="Times New Roman" w:eastAsia="Times New Roman" w:hAnsi="Times New Roman" w:cs="Times New Roman"/>
          <w:color w:val="000000"/>
          <w:sz w:val="24"/>
          <w:szCs w:val="24"/>
          <w:vertAlign w:val="superscript"/>
        </w:rPr>
        <w:footnoteReference w:id="920"/>
      </w:r>
    </w:p>
    <w:p w14:paraId="0000036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an opinion letter, the Administrator determined that a business-to-business company that sold a technology platform to merchants qualified as a retail or service establishment because (1) it sold services to end users even if the sales were primarily online; (2) the sales were retail, not wholesale; and (3) the platforms were not resold.</w:t>
      </w:r>
      <w:r>
        <w:rPr>
          <w:rFonts w:ascii="Times New Roman" w:eastAsia="Times New Roman" w:hAnsi="Times New Roman" w:cs="Times New Roman"/>
          <w:color w:val="000000"/>
          <w:sz w:val="24"/>
          <w:szCs w:val="24"/>
          <w:vertAlign w:val="superscript"/>
        </w:rPr>
        <w:footnoteReference w:id="921"/>
      </w:r>
      <w:r>
        <w:rPr>
          <w:rFonts w:ascii="Times New Roman" w:eastAsia="Times New Roman" w:hAnsi="Times New Roman" w:cs="Times New Roman"/>
          <w:color w:val="000000"/>
          <w:sz w:val="24"/>
          <w:szCs w:val="24"/>
        </w:rPr>
        <w:t xml:space="preserve"> On the other hand, a district court held that a company in the business of providing credit and debit/check card processing services and processing equipment to merchants did not have a “retail concept” because it did not sell goods or services to the general public.</w:t>
      </w:r>
      <w:r>
        <w:rPr>
          <w:rFonts w:ascii="Times New Roman" w:eastAsia="Times New Roman" w:hAnsi="Times New Roman" w:cs="Times New Roman"/>
          <w:color w:val="000000"/>
          <w:sz w:val="24"/>
          <w:szCs w:val="24"/>
          <w:vertAlign w:val="superscript"/>
        </w:rPr>
        <w:footnoteReference w:id="922"/>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La Parne v. Monex Deposit Co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23"/>
      </w:r>
      <w:r>
        <w:rPr>
          <w:rFonts w:ascii="Times New Roman" w:eastAsia="Times New Roman" w:hAnsi="Times New Roman" w:cs="Times New Roman"/>
          <w:color w:val="000000"/>
          <w:sz w:val="24"/>
          <w:szCs w:val="24"/>
        </w:rPr>
        <w:t xml:space="preserve"> a California district court held that there was a retail concept to the sale of precious metals to the general public by advertising on television and on a public website. In arriving at this conclusion, the court expressed the view that “everyday needs” should be deemed to mean “basic” or “integral” needs of members in the community, and found that precious metals were purchased as collectibles or for investment purposes.</w:t>
      </w:r>
      <w:r>
        <w:rPr>
          <w:rFonts w:ascii="Times New Roman" w:eastAsia="Times New Roman" w:hAnsi="Times New Roman" w:cs="Times New Roman"/>
          <w:color w:val="000000"/>
          <w:sz w:val="24"/>
          <w:szCs w:val="24"/>
          <w:vertAlign w:val="superscript"/>
        </w:rPr>
        <w:footnoteReference w:id="924"/>
      </w:r>
      <w:r>
        <w:rPr>
          <w:rFonts w:ascii="Times New Roman" w:eastAsia="Times New Roman" w:hAnsi="Times New Roman" w:cs="Times New Roman"/>
          <w:color w:val="000000"/>
          <w:sz w:val="24"/>
          <w:szCs w:val="24"/>
        </w:rPr>
        <w:t xml:space="preserve"> The court acknowledged that investors may intend to resell the precious metals for a profit, but there was still a “retail concept” to the business because there was no set plan for resale at the time of the sale and, therefore, the goods were at the end of the stream of distribution.</w:t>
      </w:r>
      <w:r>
        <w:rPr>
          <w:rFonts w:ascii="Times New Roman" w:eastAsia="Times New Roman" w:hAnsi="Times New Roman" w:cs="Times New Roman"/>
          <w:color w:val="000000"/>
          <w:sz w:val="24"/>
          <w:szCs w:val="24"/>
          <w:vertAlign w:val="superscript"/>
        </w:rPr>
        <w:footnoteReference w:id="925"/>
      </w:r>
      <w:r>
        <w:rPr>
          <w:rFonts w:ascii="Times New Roman" w:eastAsia="Times New Roman" w:hAnsi="Times New Roman" w:cs="Times New Roman"/>
          <w:color w:val="000000"/>
          <w:sz w:val="24"/>
          <w:szCs w:val="24"/>
        </w:rPr>
        <w:t xml:space="preserve"> In this way, the sale of precious metals was distinguished from the example given in the regulations where raw material is sold to a manufacturer for incorporation into another good to later be resold.</w:t>
      </w:r>
      <w:r>
        <w:rPr>
          <w:rFonts w:ascii="Times New Roman" w:eastAsia="Times New Roman" w:hAnsi="Times New Roman" w:cs="Times New Roman"/>
          <w:color w:val="000000"/>
          <w:sz w:val="24"/>
          <w:szCs w:val="24"/>
          <w:vertAlign w:val="superscript"/>
        </w:rPr>
        <w:footnoteReference w:id="926"/>
      </w:r>
    </w:p>
    <w:p w14:paraId="0000036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w:t>
      </w:r>
      <w:r>
        <w:rPr>
          <w:rFonts w:ascii="Times New Roman" w:eastAsia="Times New Roman" w:hAnsi="Times New Roman" w:cs="Times New Roman"/>
          <w:i/>
          <w:color w:val="000000"/>
          <w:sz w:val="24"/>
          <w:szCs w:val="24"/>
        </w:rPr>
        <w:t>Ebersole v. American Bancard, LLC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vertAlign w:val="superscript"/>
        </w:rPr>
        <w:footnoteReference w:id="927"/>
      </w:r>
      <w:r>
        <w:rPr>
          <w:rFonts w:ascii="Times New Roman" w:eastAsia="Times New Roman" w:hAnsi="Times New Roman" w:cs="Times New Roman"/>
          <w:color w:val="000000"/>
          <w:sz w:val="24"/>
          <w:szCs w:val="24"/>
        </w:rPr>
        <w:t xml:space="preserve"> the court held that an online ticket broker acted as a retailer—as opposed to a wholesaler—within the ticket resale market, where the broker sold tickets directly to end-user customers, customers did not purchase tickets in order to resell them, and selling individual tickets to events was recognized as “retail” in the ticket sales industry.</w:t>
      </w:r>
      <w:r>
        <w:rPr>
          <w:rFonts w:ascii="Times New Roman" w:eastAsia="Times New Roman" w:hAnsi="Times New Roman" w:cs="Times New Roman"/>
          <w:color w:val="000000"/>
          <w:sz w:val="24"/>
          <w:szCs w:val="24"/>
          <w:vertAlign w:val="superscript"/>
        </w:rPr>
        <w:footnoteReference w:id="928"/>
      </w:r>
      <w:r>
        <w:rPr>
          <w:rFonts w:ascii="Times New Roman" w:eastAsia="Times New Roman" w:hAnsi="Times New Roman" w:cs="Times New Roman"/>
          <w:color w:val="000000"/>
          <w:sz w:val="24"/>
          <w:szCs w:val="24"/>
        </w:rPr>
        <w:t xml:space="preserve"> </w:t>
      </w:r>
    </w:p>
    <w:p w14:paraId="00000366" w14:textId="67143EAD"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Carlton v. Jhook Investments,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vertAlign w:val="superscript"/>
        </w:rPr>
        <w:footnoteReference w:id="929"/>
      </w:r>
      <w:r>
        <w:rPr>
          <w:rFonts w:ascii="Times New Roman" w:eastAsia="Times New Roman" w:hAnsi="Times New Roman" w:cs="Times New Roman"/>
          <w:color w:val="000000"/>
          <w:sz w:val="24"/>
          <w:szCs w:val="24"/>
        </w:rPr>
        <w:t xml:space="preserve"> the court found that a tow truck company did not have a “retail concept” because (1) many of the calls received for tow services originated from the police, and “service calls from public officials do not fall with the traditional understanding of a ‘retail concept’”;</w:t>
      </w:r>
      <w:r>
        <w:rPr>
          <w:rFonts w:ascii="Times New Roman" w:eastAsia="Times New Roman" w:hAnsi="Times New Roman" w:cs="Times New Roman"/>
          <w:color w:val="000000"/>
          <w:sz w:val="20"/>
          <w:szCs w:val="20"/>
          <w:vertAlign w:val="superscript"/>
        </w:rPr>
        <w:footnoteReference w:id="930"/>
      </w:r>
      <w:r>
        <w:rPr>
          <w:rFonts w:ascii="Times New Roman" w:eastAsia="Times New Roman" w:hAnsi="Times New Roman" w:cs="Times New Roman"/>
          <w:color w:val="000000"/>
          <w:sz w:val="24"/>
          <w:szCs w:val="24"/>
        </w:rPr>
        <w:t xml:space="preserve"> and (2) the defendants failed to present record evidence that at least 75 percent of their annual dollar volume of sales of goods or services came from retail sales during the relevant period.</w:t>
      </w:r>
      <w:r>
        <w:rPr>
          <w:rFonts w:ascii="Times New Roman" w:eastAsia="Times New Roman" w:hAnsi="Times New Roman" w:cs="Times New Roman"/>
          <w:color w:val="000000"/>
          <w:sz w:val="20"/>
          <w:szCs w:val="20"/>
          <w:vertAlign w:val="superscript"/>
        </w:rPr>
        <w:footnoteReference w:id="931"/>
      </w:r>
      <w:r>
        <w:rPr>
          <w:rFonts w:ascii="Times New Roman" w:eastAsia="Times New Roman" w:hAnsi="Times New Roman" w:cs="Times New Roman"/>
          <w:color w:val="000000"/>
          <w:sz w:val="24"/>
          <w:szCs w:val="24"/>
        </w:rPr>
        <w:t xml:space="preserve"> On the other hand, </w:t>
      </w:r>
      <w:r w:rsidR="00EE7D2A">
        <w:rPr>
          <w:rFonts w:ascii="Times New Roman" w:eastAsia="Times New Roman" w:hAnsi="Times New Roman" w:cs="Times New Roman"/>
          <w:color w:val="000000"/>
          <w:sz w:val="24"/>
          <w:szCs w:val="24"/>
        </w:rPr>
        <w:t xml:space="preserve">a district court </w:t>
      </w:r>
      <w:r>
        <w:rPr>
          <w:rFonts w:ascii="Times New Roman" w:eastAsia="Times New Roman" w:hAnsi="Times New Roman" w:cs="Times New Roman"/>
          <w:color w:val="000000"/>
          <w:sz w:val="24"/>
          <w:szCs w:val="24"/>
        </w:rPr>
        <w:t xml:space="preserve">in </w:t>
      </w:r>
      <w:r w:rsidRPr="002A5EB4">
        <w:rPr>
          <w:rFonts w:ascii="Times New Roman" w:eastAsia="Times New Roman" w:hAnsi="Times New Roman" w:cs="Times New Roman"/>
          <w:i/>
          <w:iCs/>
          <w:color w:val="000000"/>
          <w:sz w:val="24"/>
          <w:szCs w:val="24"/>
        </w:rPr>
        <w:t>Simmons v. Futo’s,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32"/>
      </w:r>
      <w:r>
        <w:rPr>
          <w:rFonts w:ascii="Times New Roman" w:eastAsia="Times New Roman" w:hAnsi="Times New Roman" w:cs="Times New Roman"/>
          <w:color w:val="000000"/>
          <w:sz w:val="24"/>
          <w:szCs w:val="24"/>
        </w:rPr>
        <w:t xml:space="preserve"> </w:t>
      </w:r>
      <w:r w:rsidR="00E23A43">
        <w:rPr>
          <w:rFonts w:ascii="Times New Roman" w:eastAsia="Times New Roman" w:hAnsi="Times New Roman" w:cs="Times New Roman"/>
          <w:color w:val="000000"/>
          <w:sz w:val="24"/>
          <w:szCs w:val="24"/>
        </w:rPr>
        <w:t>held</w:t>
      </w:r>
      <w:r w:rsidR="00EE7D2A">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 towing service to be a retail or service establishment</w:t>
      </w:r>
      <w:r w:rsidR="00EE7D2A">
        <w:rPr>
          <w:rFonts w:ascii="Times New Roman" w:eastAsia="Times New Roman" w:hAnsi="Times New Roman" w:cs="Times New Roman"/>
          <w:color w:val="000000"/>
          <w:sz w:val="24"/>
          <w:szCs w:val="24"/>
        </w:rPr>
        <w:t xml:space="preserve"> because </w:t>
      </w:r>
      <w:r w:rsidR="004712FB" w:rsidRPr="004712FB">
        <w:rPr>
          <w:rFonts w:ascii="Times New Roman" w:eastAsia="Times New Roman" w:hAnsi="Times New Roman" w:cs="Times New Roman"/>
          <w:color w:val="000000"/>
          <w:sz w:val="24"/>
          <w:szCs w:val="24"/>
        </w:rPr>
        <w:t xml:space="preserve">the services </w:t>
      </w:r>
      <w:r w:rsidR="004712FB">
        <w:rPr>
          <w:rFonts w:ascii="Times New Roman" w:eastAsia="Times New Roman" w:hAnsi="Times New Roman" w:cs="Times New Roman"/>
          <w:color w:val="000000"/>
          <w:sz w:val="24"/>
          <w:szCs w:val="24"/>
        </w:rPr>
        <w:t xml:space="preserve">it </w:t>
      </w:r>
      <w:r w:rsidR="004712FB" w:rsidRPr="004712FB">
        <w:rPr>
          <w:rFonts w:ascii="Times New Roman" w:eastAsia="Times New Roman" w:hAnsi="Times New Roman" w:cs="Times New Roman"/>
          <w:color w:val="000000"/>
          <w:sz w:val="24"/>
          <w:szCs w:val="24"/>
        </w:rPr>
        <w:t xml:space="preserve">provided </w:t>
      </w:r>
      <w:r w:rsidR="00D93206">
        <w:rPr>
          <w:rFonts w:ascii="Times New Roman" w:eastAsia="Times New Roman" w:hAnsi="Times New Roman" w:cs="Times New Roman"/>
          <w:color w:val="000000"/>
          <w:sz w:val="24"/>
          <w:szCs w:val="24"/>
        </w:rPr>
        <w:t xml:space="preserve">was </w:t>
      </w:r>
      <w:r w:rsidR="004712FB" w:rsidRPr="004712FB">
        <w:rPr>
          <w:rFonts w:ascii="Times New Roman" w:eastAsia="Times New Roman" w:hAnsi="Times New Roman" w:cs="Times New Roman"/>
          <w:color w:val="000000"/>
          <w:sz w:val="24"/>
          <w:szCs w:val="24"/>
        </w:rPr>
        <w:t xml:space="preserve">comprised </w:t>
      </w:r>
      <w:r w:rsidR="00D93206">
        <w:rPr>
          <w:rFonts w:ascii="Times New Roman" w:eastAsia="Times New Roman" w:hAnsi="Times New Roman" w:cs="Times New Roman"/>
          <w:color w:val="000000"/>
          <w:sz w:val="24"/>
          <w:szCs w:val="24"/>
        </w:rPr>
        <w:t xml:space="preserve">of </w:t>
      </w:r>
      <w:r w:rsidR="004712FB" w:rsidRPr="004712FB">
        <w:rPr>
          <w:rFonts w:ascii="Times New Roman" w:eastAsia="Times New Roman" w:hAnsi="Times New Roman" w:cs="Times New Roman"/>
          <w:color w:val="000000"/>
          <w:sz w:val="24"/>
          <w:szCs w:val="24"/>
        </w:rPr>
        <w:t>towing vehicles from one place to another</w:t>
      </w:r>
      <w:r w:rsidR="00D93206">
        <w:rPr>
          <w:rFonts w:ascii="Times New Roman" w:eastAsia="Times New Roman" w:hAnsi="Times New Roman" w:cs="Times New Roman"/>
          <w:color w:val="000000"/>
          <w:sz w:val="24"/>
          <w:szCs w:val="24"/>
        </w:rPr>
        <w:t xml:space="preserve"> (</w:t>
      </w:r>
      <w:r w:rsidR="004712FB" w:rsidRPr="004712FB">
        <w:rPr>
          <w:rFonts w:ascii="Times New Roman" w:eastAsia="Times New Roman" w:hAnsi="Times New Roman" w:cs="Times New Roman"/>
          <w:color w:val="000000"/>
          <w:sz w:val="24"/>
          <w:szCs w:val="24"/>
        </w:rPr>
        <w:t xml:space="preserve">not </w:t>
      </w:r>
      <w:r w:rsidR="004712FB">
        <w:rPr>
          <w:rFonts w:ascii="Times New Roman" w:eastAsia="Times New Roman" w:hAnsi="Times New Roman" w:cs="Times New Roman"/>
          <w:color w:val="000000"/>
          <w:sz w:val="24"/>
          <w:szCs w:val="24"/>
        </w:rPr>
        <w:t xml:space="preserve">as </w:t>
      </w:r>
      <w:r w:rsidR="004712FB" w:rsidRPr="004712FB">
        <w:rPr>
          <w:rFonts w:ascii="Times New Roman" w:eastAsia="Times New Roman" w:hAnsi="Times New Roman" w:cs="Times New Roman"/>
          <w:color w:val="000000"/>
          <w:sz w:val="24"/>
          <w:szCs w:val="24"/>
        </w:rPr>
        <w:t>a component of another service</w:t>
      </w:r>
      <w:r w:rsidR="00D93206">
        <w:rPr>
          <w:rFonts w:ascii="Times New Roman" w:eastAsia="Times New Roman" w:hAnsi="Times New Roman" w:cs="Times New Roman"/>
          <w:color w:val="000000"/>
          <w:sz w:val="24"/>
          <w:szCs w:val="24"/>
        </w:rPr>
        <w:t>)</w:t>
      </w:r>
      <w:r w:rsidR="004712FB">
        <w:rPr>
          <w:rFonts w:ascii="Times New Roman" w:eastAsia="Times New Roman" w:hAnsi="Times New Roman" w:cs="Times New Roman"/>
          <w:color w:val="000000"/>
          <w:sz w:val="24"/>
          <w:szCs w:val="24"/>
        </w:rPr>
        <w:t xml:space="preserve">, and because </w:t>
      </w:r>
      <w:r w:rsidR="002F41CA" w:rsidRPr="002F41CA">
        <w:rPr>
          <w:rFonts w:ascii="Times New Roman" w:eastAsia="Times New Roman" w:hAnsi="Times New Roman" w:cs="Times New Roman"/>
          <w:color w:val="000000"/>
          <w:sz w:val="24"/>
          <w:szCs w:val="24"/>
        </w:rPr>
        <w:t xml:space="preserve">at least 75 percent of </w:t>
      </w:r>
      <w:r w:rsidR="004712FB">
        <w:rPr>
          <w:rFonts w:ascii="Times New Roman" w:eastAsia="Times New Roman" w:hAnsi="Times New Roman" w:cs="Times New Roman"/>
          <w:color w:val="000000"/>
          <w:sz w:val="24"/>
          <w:szCs w:val="24"/>
        </w:rPr>
        <w:t>those</w:t>
      </w:r>
      <w:r w:rsidR="002F41CA" w:rsidRPr="002F41CA">
        <w:rPr>
          <w:rFonts w:ascii="Times New Roman" w:eastAsia="Times New Roman" w:hAnsi="Times New Roman" w:cs="Times New Roman"/>
          <w:color w:val="000000"/>
          <w:sz w:val="24"/>
          <w:szCs w:val="24"/>
        </w:rPr>
        <w:t xml:space="preserve"> services were recognized as retail in the towing industry.</w:t>
      </w:r>
      <w:r w:rsidR="002F41CA">
        <w:rPr>
          <w:rStyle w:val="FootnoteReference"/>
          <w:rFonts w:eastAsia="Times New Roman" w:cs="Times New Roman"/>
          <w:color w:val="000000"/>
          <w:szCs w:val="24"/>
        </w:rPr>
        <w:footnoteReference w:id="933"/>
      </w:r>
      <w:r>
        <w:rPr>
          <w:rFonts w:ascii="Times New Roman" w:eastAsia="Times New Roman" w:hAnsi="Times New Roman" w:cs="Times New Roman"/>
          <w:color w:val="000000"/>
          <w:sz w:val="24"/>
          <w:szCs w:val="24"/>
        </w:rPr>
        <w:tab/>
      </w:r>
    </w:p>
    <w:p w14:paraId="00000367"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w:t>
      </w:r>
      <w:r>
        <w:rPr>
          <w:rFonts w:ascii="Times New Roman" w:eastAsia="Times New Roman" w:hAnsi="Times New Roman" w:cs="Times New Roman"/>
          <w:i/>
          <w:color w:val="000000"/>
          <w:sz w:val="24"/>
          <w:szCs w:val="24"/>
        </w:rPr>
        <w:tab/>
        <w:t>“Recognized as Retail Sales or Services in the Particular Industry”</w:t>
      </w:r>
    </w:p>
    <w:p w14:paraId="0000036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second component of the “retail or service establishment” definition focuses on whether the sales or services of the business in question are recognized as “retail” in its particular industry.</w:t>
      </w:r>
      <w:r>
        <w:rPr>
          <w:rFonts w:ascii="Times New Roman" w:eastAsia="Times New Roman" w:hAnsi="Times New Roman" w:cs="Times New Roman"/>
          <w:color w:val="000000"/>
          <w:sz w:val="24"/>
          <w:szCs w:val="24"/>
          <w:vertAlign w:val="superscript"/>
        </w:rPr>
        <w:footnoteReference w:id="934"/>
      </w:r>
      <w:r>
        <w:rPr>
          <w:rFonts w:ascii="Times New Roman" w:eastAsia="Times New Roman" w:hAnsi="Times New Roman" w:cs="Times New Roman"/>
          <w:color w:val="000000"/>
          <w:sz w:val="24"/>
          <w:szCs w:val="24"/>
        </w:rPr>
        <w:t xml:space="preserve"> The DOL’s regulations provide that,</w:t>
      </w:r>
    </w:p>
    <w:p w14:paraId="0000036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[t]o determine whether the sales or services of an establishment are recognized as retail sales or services in the particular industry, we must inquire into what is meant by the terms “recognized” and “in the particular industry,” and into the functions of the Secretary and the courts in determining whether the sales are recognized as retail in the industry.</w:t>
      </w:r>
      <w:r>
        <w:rPr>
          <w:rFonts w:ascii="Times New Roman" w:eastAsia="Times New Roman" w:hAnsi="Times New Roman" w:cs="Times New Roman"/>
          <w:color w:val="000000"/>
          <w:sz w:val="20"/>
          <w:szCs w:val="20"/>
          <w:vertAlign w:val="superscript"/>
        </w:rPr>
        <w:footnoteReference w:id="935"/>
      </w:r>
    </w:p>
    <w:p w14:paraId="0000036A"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Section 779.323 states the following: </w:t>
      </w:r>
    </w:p>
    <w:p w14:paraId="0000036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In order to determine whether a sale or service is </w:t>
      </w:r>
      <w:r>
        <w:rPr>
          <w:rFonts w:ascii="Times New Roman" w:eastAsia="Times New Roman" w:hAnsi="Times New Roman" w:cs="Times New Roman"/>
          <w:i/>
          <w:color w:val="000000"/>
          <w:sz w:val="20"/>
          <w:szCs w:val="20"/>
        </w:rPr>
        <w:t>recognized</w:t>
      </w:r>
      <w:r>
        <w:rPr>
          <w:rFonts w:ascii="Times New Roman" w:eastAsia="Times New Roman" w:hAnsi="Times New Roman" w:cs="Times New Roman"/>
          <w:color w:val="000000"/>
          <w:sz w:val="20"/>
          <w:szCs w:val="20"/>
        </w:rPr>
        <w:t xml:space="preserve"> as a retail sale or service in the “particular industry” it is necessary to identify the “particular” industry to which the sale or service belongs. Some situations are clear and present no difficulty. … In other situations, a sale or service is not so easily earmarked and a wide area of overlapping exists.</w:t>
      </w:r>
      <w:r>
        <w:rPr>
          <w:rFonts w:ascii="Times New Roman" w:eastAsia="Times New Roman" w:hAnsi="Times New Roman" w:cs="Times New Roman"/>
          <w:color w:val="000000"/>
          <w:sz w:val="20"/>
          <w:szCs w:val="20"/>
          <w:vertAlign w:val="superscript"/>
        </w:rPr>
        <w:footnoteReference w:id="936"/>
      </w:r>
    </w:p>
    <w:p w14:paraId="0000036C"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And Section 779.324 states that</w:t>
      </w:r>
    </w:p>
    <w:p w14:paraId="0000036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the basis for the determination as to what is recognized as retail “</w:t>
      </w:r>
      <w:r>
        <w:rPr>
          <w:rFonts w:ascii="Times New Roman" w:eastAsia="Times New Roman" w:hAnsi="Times New Roman" w:cs="Times New Roman"/>
          <w:i/>
          <w:color w:val="000000"/>
          <w:sz w:val="20"/>
          <w:szCs w:val="20"/>
        </w:rPr>
        <w:t>in the particular industry</w:t>
      </w:r>
      <w:r>
        <w:rPr>
          <w:rFonts w:ascii="Times New Roman" w:eastAsia="Times New Roman" w:hAnsi="Times New Roman" w:cs="Times New Roman"/>
          <w:color w:val="000000"/>
          <w:sz w:val="20"/>
          <w:szCs w:val="20"/>
        </w:rPr>
        <w:t>” is wider and greater than the views of an employer in a trade or business, or an association of such employers. … Such a determination must take into consideration the well-settled habits of business, traditional understanding and common knowledge. These involve the understanding and knowledge of the purchaser as well as the seller, the wholesaler as well as the retailer, the employee as well as the employer, and private and governmental research and statistical organizations. The understanding of all these and others who have knowledge of recognized classifications in an industry, would all be relevant in the determination of the question.</w:t>
      </w:r>
      <w:r>
        <w:rPr>
          <w:rFonts w:ascii="Times New Roman" w:eastAsia="Times New Roman" w:hAnsi="Times New Roman" w:cs="Times New Roman"/>
          <w:color w:val="000000"/>
          <w:sz w:val="20"/>
          <w:szCs w:val="20"/>
          <w:vertAlign w:val="superscript"/>
        </w:rPr>
        <w:footnoteReference w:id="937"/>
      </w:r>
    </w:p>
    <w:p w14:paraId="0000036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regulations, a number of sources of information are available to assist in determining whether a sale or service is recognized as a “retail” sale or service in a particular industry, including</w:t>
      </w:r>
    </w:p>
    <w:p w14:paraId="0000036F"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The legislative history of the Act as originally enacted in 1938 and the legislative history of the 1949, 1961, and 1966 amendments to the Act pertaining to those sections in which the term “retail or service establishment” is found, particularly in the section 13(a)(2) exemption; (b) the decisions of the courts during the intervening years; and (c) the Secretary’s experience in the intervening years in interpreting and administering the Act.</w:t>
      </w:r>
      <w:r>
        <w:rPr>
          <w:rFonts w:ascii="Times New Roman" w:eastAsia="Times New Roman" w:hAnsi="Times New Roman" w:cs="Times New Roman"/>
          <w:color w:val="000000"/>
          <w:sz w:val="20"/>
          <w:szCs w:val="20"/>
          <w:vertAlign w:val="superscript"/>
        </w:rPr>
        <w:footnoteReference w:id="938"/>
      </w:r>
      <w:r>
        <w:rPr>
          <w:rFonts w:ascii="Times New Roman" w:eastAsia="Times New Roman" w:hAnsi="Times New Roman" w:cs="Times New Roman"/>
          <w:color w:val="000000"/>
          <w:sz w:val="20"/>
          <w:szCs w:val="20"/>
        </w:rPr>
        <w:t xml:space="preserve"> </w:t>
      </w:r>
    </w:p>
    <w:p w14:paraId="0000037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some cases, the determination of whether sales are regarded as “retail” within a particular industry has been based on the testimony of experts, individuals employed by the employer, or trade associations.</w:t>
      </w:r>
      <w:r>
        <w:rPr>
          <w:rFonts w:ascii="Times New Roman" w:eastAsia="Times New Roman" w:hAnsi="Times New Roman" w:cs="Times New Roman"/>
          <w:color w:val="000000"/>
          <w:sz w:val="24"/>
          <w:szCs w:val="24"/>
          <w:vertAlign w:val="superscript"/>
        </w:rPr>
        <w:footnoteReference w:id="939"/>
      </w:r>
      <w:r>
        <w:rPr>
          <w:rFonts w:ascii="Times New Roman" w:eastAsia="Times New Roman" w:hAnsi="Times New Roman" w:cs="Times New Roman"/>
          <w:color w:val="000000"/>
          <w:sz w:val="24"/>
          <w:szCs w:val="24"/>
        </w:rPr>
        <w:t xml:space="preserve"> Courts also have relied on decisional law developed in cases involving employers in the same industry.</w:t>
      </w:r>
      <w:r>
        <w:rPr>
          <w:rFonts w:ascii="Times New Roman" w:eastAsia="Times New Roman" w:hAnsi="Times New Roman" w:cs="Times New Roman"/>
          <w:color w:val="000000"/>
          <w:sz w:val="24"/>
          <w:szCs w:val="24"/>
          <w:vertAlign w:val="superscript"/>
        </w:rPr>
        <w:footnoteReference w:id="940"/>
      </w:r>
    </w:p>
    <w:p w14:paraId="0000037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subcontractor may qualify as a retail establishment even though it serves the needs of the general contractor as opposed to the general public.</w:t>
      </w:r>
      <w:r>
        <w:rPr>
          <w:rFonts w:ascii="Times New Roman" w:eastAsia="Times New Roman" w:hAnsi="Times New Roman" w:cs="Times New Roman"/>
          <w:color w:val="000000"/>
          <w:sz w:val="24"/>
          <w:szCs w:val="24"/>
          <w:vertAlign w:val="superscript"/>
        </w:rPr>
        <w:footnoteReference w:id="941"/>
      </w:r>
      <w:r>
        <w:rPr>
          <w:rFonts w:ascii="Times New Roman" w:eastAsia="Times New Roman" w:hAnsi="Times New Roman" w:cs="Times New Roman"/>
          <w:color w:val="000000"/>
          <w:sz w:val="24"/>
          <w:szCs w:val="24"/>
        </w:rPr>
        <w:t xml:space="preserve"> </w:t>
      </w:r>
    </w:p>
    <w:p w14:paraId="0000037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Seventh Circuit’s decision in </w:t>
      </w:r>
      <w:r>
        <w:rPr>
          <w:rFonts w:ascii="Times New Roman" w:eastAsia="Times New Roman" w:hAnsi="Times New Roman" w:cs="Times New Roman"/>
          <w:i/>
          <w:color w:val="000000"/>
          <w:sz w:val="24"/>
          <w:szCs w:val="24"/>
        </w:rPr>
        <w:t>Alvarado v. Corporate Cleaning Services, Inc.</w:t>
      </w:r>
      <w:r>
        <w:rPr>
          <w:rFonts w:ascii="Times New Roman" w:eastAsia="Times New Roman" w:hAnsi="Times New Roman" w:cs="Times New Roman"/>
          <w:color w:val="000000"/>
          <w:sz w:val="24"/>
          <w:szCs w:val="24"/>
          <w:vertAlign w:val="superscript"/>
        </w:rPr>
        <w:footnoteReference w:id="942"/>
      </w:r>
      <w:r>
        <w:rPr>
          <w:rFonts w:ascii="Times New Roman" w:eastAsia="Times New Roman" w:hAnsi="Times New Roman" w:cs="Times New Roman"/>
          <w:color w:val="000000"/>
          <w:sz w:val="24"/>
          <w:szCs w:val="24"/>
        </w:rPr>
        <w:t xml:space="preserve"> is illustrative of the point. The court held that a window-cleaning service was a retail establishment, explaining that</w:t>
      </w:r>
    </w:p>
    <w:p w14:paraId="00000373"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[CCS] sells its window-cleaning services to building owners and managers; they are the ultimate consumers; they do not resell the window cleaning, and therefor CCS is not a wholesaler. No doubt the building owners and managers pass on (so far as market conditions allow) the cost of window cleaning to the occupants of the building. But that is not resale. It would be absurd to suggest that a dealer in motor vehicles, when it sells a truck to a moving company, is “wholesaling” the truck because the buyer will doubtless try to recover the cost of the purchase in the price he charges for his moving services, which utilize the truck.</w:t>
      </w:r>
      <w:r>
        <w:rPr>
          <w:rFonts w:ascii="Times New Roman" w:eastAsia="Times New Roman" w:hAnsi="Times New Roman" w:cs="Times New Roman"/>
          <w:color w:val="000000"/>
          <w:sz w:val="20"/>
          <w:szCs w:val="20"/>
          <w:vertAlign w:val="superscript"/>
        </w:rPr>
        <w:footnoteReference w:id="943"/>
      </w:r>
    </w:p>
    <w:p w14:paraId="0000037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Another issue raised by a subcontracting arrangement in the Section 207(i) context is whether the business is a “wholesale” business. According to DOL regulations, if an establishment derives more than 25 percent of its annual dollar volume from sales made at wholesale, “it clearly cannot qualify as a retail and service establishment.”</w:t>
      </w:r>
      <w:r>
        <w:rPr>
          <w:rFonts w:ascii="Times New Roman" w:eastAsia="Times New Roman" w:hAnsi="Times New Roman" w:cs="Times New Roman"/>
          <w:color w:val="000000"/>
          <w:sz w:val="24"/>
          <w:szCs w:val="24"/>
          <w:vertAlign w:val="superscript"/>
        </w:rPr>
        <w:footnoteReference w:id="944"/>
      </w:r>
      <w:r>
        <w:rPr>
          <w:rFonts w:ascii="Times New Roman" w:eastAsia="Times New Roman" w:hAnsi="Times New Roman" w:cs="Times New Roman"/>
          <w:color w:val="000000"/>
          <w:sz w:val="24"/>
          <w:szCs w:val="24"/>
        </w:rPr>
        <w:t xml:space="preserve"> The DOL regulations then address the distinction between retail and wholesale operations:</w:t>
      </w:r>
    </w:p>
    <w:p w14:paraId="00000375"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The distinction between a retail sale and a wholesale sale is one of fact. Typically, retail sales are made to the general consuming public. The sales are numerous and involve small quantities of goods or services. Wholesale establishments usually exclude the general consuming public as a matter of established business policy and confine their sales to other wholesalers, retailers, and industrial or business purchasers in quantities greater than are normally sold to the general consuming public at retail. … The quantity test is a well-recognized business concept. There are reasonably definite limits as to the quantity of a particular commodity which the general consuming public regularly purchases at any given time at retail and businessmen are aware of these buying habits. These buying habits set the standard for the quantity of goods which is recognized in an industry as the subject of a retail sale. Quantities which are materially in excess of such a standard are generally regarded as wholesale and not retail quantities.</w:t>
      </w:r>
    </w:p>
    <w:p w14:paraId="0000037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 … In some industries, the sale of a small quantity at a discount may also be regarded as a wholesale sale, in which case it will be so treated for purposes of the exemption. Generally, as the Supreme Court has recognized (</w:t>
      </w:r>
      <w:r>
        <w:rPr>
          <w:rFonts w:ascii="Times New Roman" w:eastAsia="Times New Roman" w:hAnsi="Times New Roman" w:cs="Times New Roman"/>
          <w:i/>
          <w:color w:val="000000"/>
          <w:sz w:val="20"/>
          <w:szCs w:val="20"/>
        </w:rPr>
        <w:t>Wirtz v. Steepleton General Tire Co</w:t>
      </w:r>
      <w:r>
        <w:rPr>
          <w:rFonts w:ascii="Times New Roman" w:eastAsia="Times New Roman" w:hAnsi="Times New Roman" w:cs="Times New Roman"/>
          <w:color w:val="000000"/>
          <w:sz w:val="20"/>
          <w:szCs w:val="20"/>
        </w:rPr>
        <w:t>., 383 U.S. 1900), both the legislative history and common parlance suggest that “the term retail becomes less apt as the quantity and the price discount increases in a particular transaction.”</w:t>
      </w:r>
      <w:r>
        <w:rPr>
          <w:rFonts w:ascii="Times New Roman" w:eastAsia="Times New Roman" w:hAnsi="Times New Roman" w:cs="Times New Roman"/>
          <w:color w:val="000000"/>
          <w:sz w:val="20"/>
          <w:szCs w:val="20"/>
          <w:vertAlign w:val="superscript"/>
        </w:rPr>
        <w:footnoteReference w:id="945"/>
      </w:r>
    </w:p>
    <w:p w14:paraId="0000037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Several district courts have determined that the retail/wholesale distinction is inapplicable to the Section 207(i) exemption because “29 C.F.R. §779.328 ‘dealt with the distinction [between retail and wholesale] as it related to the §13(a)(2) exemption,’ an exemption that was ‘contingent on the size of the establishment and the types of transactions in which it engaged,’” and “‘[t]he retail/wholesale distinction does not serve the same purpose for the application of the </w:t>
      </w:r>
      <w:r>
        <w:rPr>
          <w:rFonts w:ascii="Times New Roman" w:eastAsia="Times New Roman" w:hAnsi="Times New Roman" w:cs="Times New Roman"/>
          <w:color w:val="000000"/>
          <w:sz w:val="24"/>
          <w:szCs w:val="24"/>
        </w:rPr>
        <w:lastRenderedPageBreak/>
        <w:t>§7(i) exemption, which focuses on the employee’s compensation rather than the employer’s size or business plan … .’”</w:t>
      </w:r>
      <w:r>
        <w:rPr>
          <w:rFonts w:ascii="Times New Roman" w:eastAsia="Times New Roman" w:hAnsi="Times New Roman" w:cs="Times New Roman"/>
          <w:color w:val="000000"/>
          <w:sz w:val="24"/>
          <w:szCs w:val="24"/>
          <w:vertAlign w:val="superscript"/>
        </w:rPr>
        <w:footnoteReference w:id="946"/>
      </w:r>
      <w:r>
        <w:rPr>
          <w:rFonts w:ascii="Times New Roman" w:eastAsia="Times New Roman" w:hAnsi="Times New Roman" w:cs="Times New Roman"/>
          <w:color w:val="000000"/>
          <w:sz w:val="24"/>
          <w:szCs w:val="24"/>
        </w:rPr>
        <w:t xml:space="preserve"> </w:t>
      </w:r>
    </w:p>
    <w:p w14:paraId="0000037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cable installation industry case, the plaintiffs argued that the subcontractor was more wholesaler than retailer because it effectively provided its services in bulk quantities to the general contractor and did so at a discounted rate below what it could charge consumers on an individual basis.</w:t>
      </w:r>
      <w:r>
        <w:rPr>
          <w:rFonts w:ascii="Times New Roman" w:eastAsia="Times New Roman" w:hAnsi="Times New Roman" w:cs="Times New Roman"/>
          <w:color w:val="000000"/>
          <w:sz w:val="24"/>
          <w:szCs w:val="24"/>
          <w:vertAlign w:val="superscript"/>
        </w:rPr>
        <w:footnoteReference w:id="947"/>
      </w:r>
      <w:r>
        <w:rPr>
          <w:rFonts w:ascii="Times New Roman" w:eastAsia="Times New Roman" w:hAnsi="Times New Roman" w:cs="Times New Roman"/>
          <w:color w:val="000000"/>
          <w:sz w:val="24"/>
          <w:szCs w:val="24"/>
        </w:rPr>
        <w:t xml:space="preserve"> The court did not find this argument persuasive, however: </w:t>
      </w:r>
    </w:p>
    <w:p w14:paraId="0000037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Even assuming that Nationwide delivers its services in bulk quantities (a conclusion that would be in significant tension with the finding that Nationwide serves the general public at the end of the distribution stream), and at discount prices (a proposition for which Mr. Owopetu offers no evidence), that would not negate Nationwide’s status as a retail establishment under Section 7(i).</w:t>
      </w:r>
      <w:r>
        <w:rPr>
          <w:rFonts w:ascii="Times New Roman" w:eastAsia="Times New Roman" w:hAnsi="Times New Roman" w:cs="Times New Roman"/>
          <w:color w:val="000000"/>
          <w:sz w:val="20"/>
          <w:szCs w:val="20"/>
          <w:vertAlign w:val="superscript"/>
        </w:rPr>
        <w:footnoteReference w:id="948"/>
      </w:r>
    </w:p>
    <w:p w14:paraId="0000037A"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w:t>
      </w:r>
      <w:r>
        <w:rPr>
          <w:rFonts w:ascii="Times New Roman" w:eastAsia="Times New Roman" w:hAnsi="Times New Roman" w:cs="Times New Roman"/>
          <w:i/>
          <w:color w:val="000000"/>
          <w:sz w:val="24"/>
          <w:szCs w:val="24"/>
        </w:rPr>
        <w:tab/>
        <w:t>Sales Must Not Be Made for Resale</w:t>
      </w:r>
    </w:p>
    <w:p w14:paraId="0000037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third component of the “retail or service establishment” definition looks at whether at least 75 percent of the sales made or services provided are not for resale.</w:t>
      </w:r>
      <w:r>
        <w:rPr>
          <w:rFonts w:ascii="Times New Roman" w:eastAsia="Times New Roman" w:hAnsi="Times New Roman" w:cs="Times New Roman"/>
          <w:color w:val="000000"/>
          <w:sz w:val="24"/>
          <w:szCs w:val="24"/>
          <w:vertAlign w:val="superscript"/>
        </w:rPr>
        <w:footnoteReference w:id="949"/>
      </w:r>
    </w:p>
    <w:p w14:paraId="0000037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FLSA does not define the term “resale,” but DOL regulations and courts have applied the term’s “common meaning” and defined “resale” as “the act of ‘selling again.’”</w:t>
      </w:r>
      <w:r>
        <w:rPr>
          <w:rFonts w:ascii="Times New Roman" w:eastAsia="Times New Roman" w:hAnsi="Times New Roman" w:cs="Times New Roman"/>
          <w:color w:val="000000"/>
          <w:sz w:val="24"/>
          <w:szCs w:val="24"/>
          <w:vertAlign w:val="superscript"/>
        </w:rPr>
        <w:footnoteReference w:id="950"/>
      </w:r>
      <w:r>
        <w:rPr>
          <w:rFonts w:ascii="Times New Roman" w:eastAsia="Times New Roman" w:hAnsi="Times New Roman" w:cs="Times New Roman"/>
          <w:color w:val="000000"/>
          <w:sz w:val="24"/>
          <w:szCs w:val="24"/>
        </w:rPr>
        <w:t xml:space="preserve"> Elaborating, the regulation provides that </w:t>
      </w:r>
    </w:p>
    <w:p w14:paraId="0000037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sale is made for resale where the seller knows or has reasonable cause to believe that the goods or services will be resold, whether in their original form, or in an altered form, or as a part, component or ingredient of another article.</w:t>
      </w:r>
      <w:r>
        <w:rPr>
          <w:rFonts w:ascii="Times New Roman" w:eastAsia="Times New Roman" w:hAnsi="Times New Roman" w:cs="Times New Roman"/>
          <w:color w:val="000000"/>
          <w:sz w:val="20"/>
          <w:szCs w:val="20"/>
          <w:vertAlign w:val="superscript"/>
        </w:rPr>
        <w:footnoteReference w:id="951"/>
      </w:r>
    </w:p>
    <w:p w14:paraId="0000037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regulations also address “goods sold for use as raw materials in other products”: </w:t>
      </w:r>
    </w:p>
    <w:p w14:paraId="0000037F"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Goods are sold for resale where they are sold for use as a raw material in the production of a specific product to be sold, such as sales of coal for the production of coke, coal gas, or electricity, or sales of liquefied-petroleum-gas for the production of chemicals or synthetic rubber. However, the goods are not considered sold for resale if sold for general industrial or commercial uses, such as coal for use in laundries, bakeries, nurseries, canneries, or for space heating, or ice for use by grocery stores or meat markets in cooling and preserving groceries and meat to be sold. Similarly, ice used for cooling soft drinks while in storage will not be considered sold for resale. On the other hand, ice or ice cubes sold for serving soft drinks or other beverages will be considered as sales for resale.</w:t>
      </w:r>
      <w:r>
        <w:rPr>
          <w:rFonts w:ascii="Times New Roman" w:eastAsia="Times New Roman" w:hAnsi="Times New Roman" w:cs="Times New Roman"/>
          <w:color w:val="000000"/>
          <w:sz w:val="20"/>
          <w:szCs w:val="20"/>
          <w:vertAlign w:val="superscript"/>
        </w:rPr>
        <w:footnoteReference w:id="952"/>
      </w:r>
    </w:p>
    <w:p w14:paraId="0000038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As a district court observed,</w:t>
      </w:r>
      <w:r>
        <w:rPr>
          <w:rFonts w:ascii="Times New Roman" w:eastAsia="Times New Roman" w:hAnsi="Times New Roman" w:cs="Times New Roman"/>
          <w:color w:val="000000"/>
          <w:sz w:val="24"/>
          <w:szCs w:val="24"/>
          <w:vertAlign w:val="superscript"/>
        </w:rPr>
        <w:footnoteReference w:id="953"/>
      </w:r>
      <w:r>
        <w:rPr>
          <w:rFonts w:ascii="Times New Roman" w:eastAsia="Times New Roman" w:hAnsi="Times New Roman" w:cs="Times New Roman"/>
          <w:color w:val="000000"/>
          <w:sz w:val="24"/>
          <w:szCs w:val="24"/>
        </w:rPr>
        <w:t xml:space="preserve"> the retail character of goods sold to industrial or commercial customers depends on the customers’ use of such goods; for example, coal sold as a raw material to produce electricity is “for resale,”</w:t>
      </w:r>
      <w:r>
        <w:rPr>
          <w:rFonts w:ascii="Times New Roman" w:eastAsia="Times New Roman" w:hAnsi="Times New Roman" w:cs="Times New Roman"/>
          <w:color w:val="000000"/>
          <w:sz w:val="24"/>
          <w:szCs w:val="24"/>
          <w:vertAlign w:val="superscript"/>
        </w:rPr>
        <w:footnoteReference w:id="954"/>
      </w:r>
      <w:r>
        <w:rPr>
          <w:rFonts w:ascii="Times New Roman" w:eastAsia="Times New Roman" w:hAnsi="Times New Roman" w:cs="Times New Roman"/>
          <w:color w:val="000000"/>
          <w:sz w:val="24"/>
          <w:szCs w:val="24"/>
        </w:rPr>
        <w:t xml:space="preserve"> but coal sold to businesses such as bakeries for purposes of fuel and/or heat is not “for resale.”</w:t>
      </w:r>
      <w:r>
        <w:rPr>
          <w:rFonts w:ascii="Times New Roman" w:eastAsia="Times New Roman" w:hAnsi="Times New Roman" w:cs="Times New Roman"/>
          <w:color w:val="000000"/>
          <w:sz w:val="24"/>
          <w:szCs w:val="24"/>
          <w:vertAlign w:val="superscript"/>
        </w:rPr>
        <w:footnoteReference w:id="955"/>
      </w:r>
      <w:r>
        <w:rPr>
          <w:rFonts w:ascii="Times New Roman" w:eastAsia="Times New Roman" w:hAnsi="Times New Roman" w:cs="Times New Roman"/>
          <w:color w:val="000000"/>
          <w:sz w:val="24"/>
          <w:szCs w:val="24"/>
        </w:rPr>
        <w:t xml:space="preserve"> The distinction turns on whether the good is sold to the end consumer in either its original or altered form, or consumed by the commercial or business entity for general uses.</w:t>
      </w:r>
      <w:r>
        <w:rPr>
          <w:rFonts w:ascii="Times New Roman" w:eastAsia="Times New Roman" w:hAnsi="Times New Roman" w:cs="Times New Roman"/>
          <w:color w:val="000000"/>
          <w:sz w:val="24"/>
          <w:szCs w:val="24"/>
          <w:vertAlign w:val="superscript"/>
        </w:rPr>
        <w:footnoteReference w:id="956"/>
      </w:r>
    </w:p>
    <w:p w14:paraId="0000038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regulations also address “services for resale”: </w:t>
      </w:r>
    </w:p>
    <w:p w14:paraId="00000382"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same principles apply in the case of sales of services for resale. A sale of services where the seller knows or has reasonable cause to believe will be resold is a sale for resale. Where, for example, an establishment reconditions and repairs watches for retail jewelers who resell the services to their own customers, the services constitute a sale for resale. Where a garage repairs automobiles for a secondhand automobile dealer with the knowledge or reasonable cause to believe that the automobile on which the work is performed will be sold, the service performed by the garage is a sale for resale. The services performed by a dental laboratory in the making of artificial teeth for the dentist for the use of his patients is a sale of services (as well as of goods) for resale. The services of a fur repair and storage establishment performed for other establishments who sell these services to their own customers, constitute sales for resale.</w:t>
      </w:r>
      <w:r>
        <w:rPr>
          <w:rFonts w:ascii="Times New Roman" w:eastAsia="Times New Roman" w:hAnsi="Times New Roman" w:cs="Times New Roman"/>
          <w:color w:val="000000"/>
          <w:sz w:val="20"/>
          <w:szCs w:val="20"/>
          <w:vertAlign w:val="superscript"/>
        </w:rPr>
        <w:footnoteReference w:id="957"/>
      </w:r>
    </w:p>
    <w:p w14:paraId="00000383"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four examples provided in this regulation “have in common the work of a specialty technician on a product or retail good that requires a greater level of care and/or service than a standard retailer can provide.”</w:t>
      </w:r>
      <w:r>
        <w:rPr>
          <w:rFonts w:ascii="Times New Roman" w:eastAsia="Times New Roman" w:hAnsi="Times New Roman" w:cs="Times New Roman"/>
          <w:color w:val="000000"/>
          <w:sz w:val="24"/>
          <w:szCs w:val="24"/>
          <w:vertAlign w:val="superscript"/>
        </w:rPr>
        <w:footnoteReference w:id="958"/>
      </w:r>
      <w:r>
        <w:rPr>
          <w:rFonts w:ascii="Times New Roman" w:eastAsia="Times New Roman" w:hAnsi="Times New Roman" w:cs="Times New Roman"/>
          <w:color w:val="000000"/>
          <w:sz w:val="24"/>
          <w:szCs w:val="24"/>
        </w:rPr>
        <w:t xml:space="preserve"> </w:t>
      </w:r>
    </w:p>
    <w:p w14:paraId="0000038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English v. Ecolab,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59"/>
      </w:r>
      <w:r>
        <w:rPr>
          <w:rFonts w:ascii="Times New Roman" w:eastAsia="Times New Roman" w:hAnsi="Times New Roman" w:cs="Times New Roman"/>
          <w:color w:val="000000"/>
          <w:sz w:val="24"/>
          <w:szCs w:val="24"/>
        </w:rPr>
        <w:t xml:space="preserve"> the plaintiffs contended that Ecolab’s sale of pest elimination services to commercial and business entities were “sales ‘for resale,’” relying on the DOL’s interpretation of that term as expressed in 29 C.F.R. 779.334,</w:t>
      </w:r>
      <w:r>
        <w:rPr>
          <w:rFonts w:ascii="Times New Roman" w:eastAsia="Times New Roman" w:hAnsi="Times New Roman" w:cs="Times New Roman"/>
          <w:color w:val="000000"/>
          <w:sz w:val="24"/>
          <w:szCs w:val="24"/>
          <w:vertAlign w:val="superscript"/>
        </w:rPr>
        <w:footnoteReference w:id="960"/>
      </w:r>
      <w:r>
        <w:rPr>
          <w:rFonts w:ascii="Times New Roman" w:eastAsia="Times New Roman" w:hAnsi="Times New Roman" w:cs="Times New Roman"/>
          <w:color w:val="000000"/>
          <w:sz w:val="24"/>
          <w:szCs w:val="24"/>
        </w:rPr>
        <w:t xml:space="preserve"> but the court did not agree: “Pest elimination services are not consistent with these examples. Ecolab service specialists do not fumigate goods that are then sold to the end consumer by a retailer.”</w:t>
      </w:r>
      <w:r>
        <w:rPr>
          <w:rFonts w:ascii="Times New Roman" w:eastAsia="Times New Roman" w:hAnsi="Times New Roman" w:cs="Times New Roman"/>
          <w:color w:val="000000"/>
          <w:sz w:val="24"/>
          <w:szCs w:val="24"/>
          <w:vertAlign w:val="superscript"/>
        </w:rPr>
        <w:footnoteReference w:id="961"/>
      </w:r>
    </w:p>
    <w:p w14:paraId="0000038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court then looked to the last two sentences of 29 C.F.R. §779.334, which provides:</w:t>
      </w:r>
    </w:p>
    <w:p w14:paraId="0000038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As in the case of the sale of goods, </w:t>
      </w:r>
      <w:r>
        <w:rPr>
          <w:rFonts w:ascii="Times New Roman" w:eastAsia="Times New Roman" w:hAnsi="Times New Roman" w:cs="Times New Roman"/>
          <w:i/>
          <w:color w:val="000000"/>
          <w:sz w:val="20"/>
          <w:szCs w:val="20"/>
        </w:rPr>
        <w:t>in certain circumstances</w:t>
      </w:r>
      <w:r>
        <w:rPr>
          <w:rFonts w:ascii="Times New Roman" w:eastAsia="Times New Roman" w:hAnsi="Times New Roman" w:cs="Times New Roman"/>
          <w:color w:val="000000"/>
          <w:sz w:val="20"/>
          <w:szCs w:val="20"/>
        </w:rPr>
        <w:t>, sales of services to a business for a specific use in performing a different service which such business renders to its own customers are in economic effect sales for resale as a part of the service that the purchaser in turn sells to his customers, even though such services are consumed in the process of performance of the latter service. For example, if a storage establishment uses mothproofing services in order to render satisfactory storage services for its customers, the sale of such mothproofing services to that storage establishment will be considered a sale for resale.</w:t>
      </w:r>
      <w:r>
        <w:rPr>
          <w:rFonts w:ascii="Times New Roman" w:eastAsia="Times New Roman" w:hAnsi="Times New Roman" w:cs="Times New Roman"/>
          <w:color w:val="000000"/>
          <w:sz w:val="20"/>
          <w:szCs w:val="20"/>
          <w:vertAlign w:val="superscript"/>
        </w:rPr>
        <w:footnoteReference w:id="962"/>
      </w:r>
      <w:r>
        <w:rPr>
          <w:rFonts w:ascii="Times New Roman" w:eastAsia="Times New Roman" w:hAnsi="Times New Roman" w:cs="Times New Roman"/>
          <w:color w:val="000000"/>
          <w:sz w:val="20"/>
          <w:szCs w:val="20"/>
        </w:rPr>
        <w:t xml:space="preserve"> </w:t>
      </w:r>
    </w:p>
    <w:p w14:paraId="00000387"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The court noted that the DOL does not explain what “certain circumstances” render a sale of nonrelated services a “resale,” except to provide the mothproofing example. The court held that the plaintiff’s argument that the sale of pest elimination services was one of the regulations’ “certain circumstances” was not persuasive, because it would mean that the sale of any service to a commercial entity would constitute a sale for resale if the distinction turned on whether the commercial customer passed the cost of such services on to the end consumer.</w:t>
      </w:r>
      <w:r>
        <w:rPr>
          <w:rFonts w:ascii="Times New Roman" w:eastAsia="Times New Roman" w:hAnsi="Times New Roman" w:cs="Times New Roman"/>
          <w:color w:val="000000"/>
          <w:sz w:val="24"/>
          <w:szCs w:val="24"/>
          <w:vertAlign w:val="superscript"/>
        </w:rPr>
        <w:footnoteReference w:id="963"/>
      </w:r>
      <w:r>
        <w:rPr>
          <w:rFonts w:ascii="Times New Roman" w:eastAsia="Times New Roman" w:hAnsi="Times New Roman" w:cs="Times New Roman"/>
          <w:color w:val="000000"/>
          <w:sz w:val="24"/>
          <w:szCs w:val="24"/>
        </w:rPr>
        <w:t xml:space="preserve"> The court decided that, in the absence of a more precisely articulated test for determining whether sales of distinct services were for “resale,” it would reach “the common sense conclusion that Ecolab pest elimination services are not for resale.</w:t>
      </w:r>
      <w:r>
        <w:rPr>
          <w:rFonts w:ascii="Times New Roman" w:eastAsia="Times New Roman" w:hAnsi="Times New Roman" w:cs="Times New Roman"/>
          <w:color w:val="000000"/>
          <w:sz w:val="24"/>
          <w:szCs w:val="24"/>
          <w:vertAlign w:val="superscript"/>
        </w:rPr>
        <w:footnoteReference w:id="964"/>
      </w:r>
      <w:r>
        <w:rPr>
          <w:rFonts w:ascii="Times New Roman" w:eastAsia="Times New Roman" w:hAnsi="Times New Roman" w:cs="Times New Roman"/>
          <w:color w:val="000000"/>
          <w:sz w:val="24"/>
          <w:szCs w:val="24"/>
        </w:rPr>
        <w:t xml:space="preserve"> </w:t>
      </w:r>
    </w:p>
    <w:p w14:paraId="0000038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Other courts faced with the “resale” issue have addressed or relied on the regulations,</w:t>
      </w:r>
      <w:r>
        <w:rPr>
          <w:rFonts w:ascii="Times New Roman" w:eastAsia="Times New Roman" w:hAnsi="Times New Roman" w:cs="Times New Roman"/>
          <w:color w:val="000000"/>
          <w:sz w:val="24"/>
          <w:szCs w:val="24"/>
          <w:vertAlign w:val="superscript"/>
        </w:rPr>
        <w:footnoteReference w:id="965"/>
      </w:r>
      <w:r>
        <w:rPr>
          <w:rFonts w:ascii="Times New Roman" w:eastAsia="Times New Roman" w:hAnsi="Times New Roman" w:cs="Times New Roman"/>
          <w:color w:val="000000"/>
          <w:sz w:val="24"/>
          <w:szCs w:val="24"/>
        </w:rPr>
        <w:t xml:space="preserve"> while others have not even referenced them.</w:t>
      </w:r>
      <w:r>
        <w:rPr>
          <w:rFonts w:ascii="Times New Roman" w:eastAsia="Times New Roman" w:hAnsi="Times New Roman" w:cs="Times New Roman"/>
          <w:color w:val="000000"/>
          <w:sz w:val="24"/>
          <w:szCs w:val="24"/>
          <w:vertAlign w:val="superscript"/>
        </w:rPr>
        <w:footnoteReference w:id="966"/>
      </w:r>
      <w:r>
        <w:rPr>
          <w:rFonts w:ascii="Times New Roman" w:eastAsia="Times New Roman" w:hAnsi="Times New Roman" w:cs="Times New Roman"/>
          <w:color w:val="000000"/>
          <w:sz w:val="24"/>
          <w:szCs w:val="24"/>
        </w:rPr>
        <w:t xml:space="preserve"> </w:t>
      </w:r>
    </w:p>
    <w:p w14:paraId="0000038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the district court held in </w:t>
      </w:r>
      <w:r>
        <w:rPr>
          <w:rFonts w:ascii="Times New Roman" w:eastAsia="Times New Roman" w:hAnsi="Times New Roman" w:cs="Times New Roman"/>
          <w:i/>
          <w:color w:val="000000"/>
          <w:sz w:val="24"/>
          <w:szCs w:val="24"/>
        </w:rPr>
        <w:t>Schwind v. E.W. &amp; Associates,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67"/>
      </w:r>
      <w:r>
        <w:rPr>
          <w:rFonts w:ascii="Times New Roman" w:eastAsia="Times New Roman" w:hAnsi="Times New Roman" w:cs="Times New Roman"/>
          <w:color w:val="000000"/>
          <w:sz w:val="24"/>
          <w:szCs w:val="24"/>
        </w:rPr>
        <w:t xml:space="preserve"> a resale does not occur when a company provides services directly to customers of third-party clients but is not compensated by the end-user customers themselves. In this case, the company was in the business of providing trainers who would train the client’s employees or the client’s business customers. The court explained:</w:t>
      </w:r>
    </w:p>
    <w:p w14:paraId="0000038A"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 is clear that the services provided by EWA were not intended for resale. Defendants supplied trainers to clients who would train the client’s employees or the client’s business customers, whichever was required by the client. This places defendants’ services at the end of the stream of distribution, demonstrating that the services were not intended for resale. The regulations define resale as “selling again.” EWA did not sell a service that was then resold; rather, defendants provided a service to the end customer, even if it was their client’s customer. Consequently, we conclude that EWA did not provide services that were intended for resale.</w:t>
      </w:r>
      <w:r>
        <w:rPr>
          <w:rFonts w:ascii="Times New Roman" w:eastAsia="Times New Roman" w:hAnsi="Times New Roman" w:cs="Times New Roman"/>
          <w:color w:val="000000"/>
          <w:sz w:val="20"/>
          <w:szCs w:val="20"/>
          <w:vertAlign w:val="superscript"/>
        </w:rPr>
        <w:footnoteReference w:id="968"/>
      </w:r>
    </w:p>
    <w:p w14:paraId="0000038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Seventh Circuit likewise concluded in </w:t>
      </w:r>
      <w:r>
        <w:rPr>
          <w:rFonts w:ascii="Times New Roman" w:eastAsia="Times New Roman" w:hAnsi="Times New Roman" w:cs="Times New Roman"/>
          <w:i/>
          <w:color w:val="000000"/>
          <w:sz w:val="24"/>
          <w:szCs w:val="24"/>
        </w:rPr>
        <w:t>Alvarado v. Corporate Cleaning Services, Inc.</w:t>
      </w:r>
      <w:r>
        <w:rPr>
          <w:rFonts w:ascii="Times New Roman" w:eastAsia="Times New Roman" w:hAnsi="Times New Roman" w:cs="Times New Roman"/>
          <w:color w:val="000000"/>
          <w:sz w:val="24"/>
          <w:szCs w:val="24"/>
          <w:vertAlign w:val="superscript"/>
        </w:rPr>
        <w:footnoteReference w:id="969"/>
      </w:r>
      <w:r>
        <w:rPr>
          <w:rFonts w:ascii="Times New Roman" w:eastAsia="Times New Roman" w:hAnsi="Times New Roman" w:cs="Times New Roman"/>
          <w:color w:val="000000"/>
          <w:sz w:val="24"/>
          <w:szCs w:val="24"/>
        </w:rPr>
        <w:t xml:space="preserve"> that the services provided by a professional interior and exterior window washing company to building managers and condominium boards were not for resale even though the </w:t>
      </w:r>
      <w:r>
        <w:rPr>
          <w:rFonts w:ascii="Times New Roman" w:eastAsia="Times New Roman" w:hAnsi="Times New Roman" w:cs="Times New Roman"/>
          <w:color w:val="000000"/>
          <w:sz w:val="24"/>
          <w:szCs w:val="24"/>
        </w:rPr>
        <w:lastRenderedPageBreak/>
        <w:t>building tenants benefitted from the services and the cost may have been accounted for in the rent.</w:t>
      </w:r>
      <w:r>
        <w:rPr>
          <w:rFonts w:ascii="Times New Roman" w:eastAsia="Times New Roman" w:hAnsi="Times New Roman" w:cs="Times New Roman"/>
          <w:color w:val="000000"/>
          <w:sz w:val="24"/>
          <w:szCs w:val="24"/>
          <w:vertAlign w:val="superscript"/>
        </w:rPr>
        <w:footnoteReference w:id="970"/>
      </w:r>
      <w:r>
        <w:rPr>
          <w:rFonts w:ascii="Times New Roman" w:eastAsia="Times New Roman" w:hAnsi="Times New Roman" w:cs="Times New Roman"/>
          <w:color w:val="000000"/>
          <w:sz w:val="24"/>
          <w:szCs w:val="24"/>
        </w:rPr>
        <w:t xml:space="preserve"> </w:t>
      </w:r>
    </w:p>
    <w:p w14:paraId="0000038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Alvarado</w:t>
      </w:r>
      <w:r>
        <w:rPr>
          <w:rFonts w:ascii="Times New Roman" w:eastAsia="Times New Roman" w:hAnsi="Times New Roman" w:cs="Times New Roman"/>
          <w:color w:val="000000"/>
          <w:sz w:val="24"/>
          <w:szCs w:val="24"/>
        </w:rPr>
        <w:t>, the DOL filed an amicus brief supporting the plaintiffs, in which it took a different view of “sales for resale”:</w:t>
      </w:r>
    </w:p>
    <w:p w14:paraId="0000038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There is a well-established line of appellate cases (many of which are cited in the Department’s regulations) that view goods or services passed onto another via a third party as sales for resale. For example, in </w:t>
      </w:r>
      <w:r>
        <w:rPr>
          <w:rFonts w:ascii="Times New Roman" w:eastAsia="Times New Roman" w:hAnsi="Times New Roman" w:cs="Times New Roman"/>
          <w:i/>
          <w:color w:val="000000"/>
          <w:sz w:val="20"/>
          <w:szCs w:val="20"/>
        </w:rPr>
        <w:t>Gray v. Swanney-McDonald, Inc.</w:t>
      </w:r>
      <w:r>
        <w:rPr>
          <w:rFonts w:ascii="Times New Roman" w:eastAsia="Times New Roman" w:hAnsi="Times New Roman" w:cs="Times New Roman"/>
          <w:color w:val="000000"/>
          <w:sz w:val="20"/>
          <w:szCs w:val="20"/>
        </w:rPr>
        <w:t>, 436 F.2d 652, 654 (9th Cir. 1971), the Ninth circuit held that a towing company that towed cars for members of the National Auto Club and for local repair shops was engaged in a sale of services for resale because the Club and the repair shops passed the towing cost on to their customer in the form of increased membership fees and repair rates.</w:t>
      </w:r>
      <w:r>
        <w:rPr>
          <w:rFonts w:ascii="Times New Roman" w:eastAsia="Times New Roman" w:hAnsi="Times New Roman" w:cs="Times New Roman"/>
          <w:color w:val="000000"/>
          <w:sz w:val="20"/>
          <w:szCs w:val="20"/>
          <w:vertAlign w:val="superscript"/>
        </w:rPr>
        <w:footnoteReference w:id="971"/>
      </w:r>
    </w:p>
    <w:p w14:paraId="0000038E"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Seventh Circuit distinguished the DOL’s cited authority:</w:t>
      </w:r>
    </w:p>
    <w:p w14:paraId="0000038F"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opinions cited to us as being contrary—</w:t>
      </w:r>
      <w:r>
        <w:rPr>
          <w:rFonts w:ascii="Times New Roman" w:eastAsia="Times New Roman" w:hAnsi="Times New Roman" w:cs="Times New Roman"/>
          <w:i/>
          <w:color w:val="000000"/>
          <w:sz w:val="20"/>
          <w:szCs w:val="20"/>
        </w:rPr>
        <w:t>Gray v. Swanney-McDonald, Inc.</w:t>
      </w:r>
      <w:r>
        <w:rPr>
          <w:rFonts w:ascii="Times New Roman" w:eastAsia="Times New Roman" w:hAnsi="Times New Roman" w:cs="Times New Roman"/>
          <w:color w:val="000000"/>
          <w:sz w:val="20"/>
          <w:szCs w:val="20"/>
        </w:rPr>
        <w:t>, 436 F.2d 652, 653–54 (9th Cir. 1971); </w:t>
      </w:r>
      <w:r>
        <w:rPr>
          <w:rFonts w:ascii="Times New Roman" w:eastAsia="Times New Roman" w:hAnsi="Times New Roman" w:cs="Times New Roman"/>
          <w:i/>
          <w:color w:val="000000"/>
          <w:sz w:val="20"/>
          <w:szCs w:val="20"/>
        </w:rPr>
        <w:t>Goldberg v. Furman Beauty Supply, Inc.</w:t>
      </w:r>
      <w:r>
        <w:rPr>
          <w:rFonts w:ascii="Times New Roman" w:eastAsia="Times New Roman" w:hAnsi="Times New Roman" w:cs="Times New Roman"/>
          <w:color w:val="000000"/>
          <w:sz w:val="20"/>
          <w:szCs w:val="20"/>
        </w:rPr>
        <w:t>, 300 F.2d 16, 18–19 (3d Cir. 1962); </w:t>
      </w:r>
      <w:r>
        <w:rPr>
          <w:rFonts w:ascii="Times New Roman" w:eastAsia="Times New Roman" w:hAnsi="Times New Roman" w:cs="Times New Roman"/>
          <w:i/>
          <w:color w:val="000000"/>
          <w:sz w:val="20"/>
          <w:szCs w:val="20"/>
        </w:rPr>
        <w:t>Goldberg v. Warren G. Kleban Engineering Corp.</w:t>
      </w:r>
      <w:r>
        <w:rPr>
          <w:rFonts w:ascii="Times New Roman" w:eastAsia="Times New Roman" w:hAnsi="Times New Roman" w:cs="Times New Roman"/>
          <w:color w:val="000000"/>
          <w:sz w:val="20"/>
          <w:szCs w:val="20"/>
        </w:rPr>
        <w:t>, 303 F.2d 855, 857–59 (5th Cir. 1962); </w:t>
      </w:r>
      <w:r>
        <w:rPr>
          <w:rFonts w:ascii="Times New Roman" w:eastAsia="Times New Roman" w:hAnsi="Times New Roman" w:cs="Times New Roman"/>
          <w:i/>
          <w:color w:val="000000"/>
          <w:sz w:val="20"/>
          <w:szCs w:val="20"/>
        </w:rPr>
        <w:t>Mitchell v. Sherry Corine Corp.</w:t>
      </w:r>
      <w:r>
        <w:rPr>
          <w:rFonts w:ascii="Times New Roman" w:eastAsia="Times New Roman" w:hAnsi="Times New Roman" w:cs="Times New Roman"/>
          <w:color w:val="000000"/>
          <w:sz w:val="20"/>
          <w:szCs w:val="20"/>
        </w:rPr>
        <w:t>, 264 F.2d 831, 834–35 (4th Cir. 1959)—involve a different statutory exemption from the commission exemption. See 29 U.S.C. § 213(a)(2); </w:t>
      </w:r>
      <w:r>
        <w:rPr>
          <w:rFonts w:ascii="Times New Roman" w:eastAsia="Times New Roman" w:hAnsi="Times New Roman" w:cs="Times New Roman"/>
          <w:i/>
          <w:color w:val="000000"/>
          <w:sz w:val="20"/>
          <w:szCs w:val="20"/>
        </w:rPr>
        <w:t>Idaho Sheet Metal Works, Inc. v. Wirtz</w:t>
      </w:r>
      <w:r>
        <w:rPr>
          <w:rFonts w:ascii="Times New Roman" w:eastAsia="Times New Roman" w:hAnsi="Times New Roman" w:cs="Times New Roman"/>
          <w:color w:val="000000"/>
          <w:sz w:val="20"/>
          <w:szCs w:val="20"/>
        </w:rPr>
        <w:t>, 383 U.S. 190, 192–94 (1966). Section 213(a)(2) is an exemption for intrastate businesses from the Fair Labor Standards Act’s overtime and wage requirements. … [W]hy a definition meant for the intrastate business exemption should also apply to the commission exemption [is not clear from the Congressional Record]; the two provisions serve different [purposes].</w:t>
      </w:r>
      <w:r>
        <w:rPr>
          <w:rFonts w:ascii="Times New Roman" w:eastAsia="Times New Roman" w:hAnsi="Times New Roman" w:cs="Times New Roman"/>
          <w:color w:val="000000"/>
          <w:sz w:val="20"/>
          <w:szCs w:val="20"/>
          <w:vertAlign w:val="superscript"/>
        </w:rPr>
        <w:footnoteReference w:id="972"/>
      </w:r>
      <w:r>
        <w:rPr>
          <w:rFonts w:ascii="Times New Roman" w:eastAsia="Times New Roman" w:hAnsi="Times New Roman" w:cs="Times New Roman"/>
          <w:color w:val="000000"/>
          <w:sz w:val="20"/>
          <w:szCs w:val="20"/>
        </w:rPr>
        <w:t xml:space="preserve"> </w:t>
      </w:r>
    </w:p>
    <w:p w14:paraId="0000039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Gieg v. DDR,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73"/>
      </w:r>
      <w:r>
        <w:rPr>
          <w:rFonts w:ascii="Times New Roman" w:eastAsia="Times New Roman" w:hAnsi="Times New Roman" w:cs="Times New Roman"/>
          <w:color w:val="000000"/>
          <w:sz w:val="24"/>
          <w:szCs w:val="24"/>
        </w:rPr>
        <w:t xml:space="preserve"> the Ninth Circuit ruled that long-term automobile leases were not considered “for resale,” because neither the dealer nor the customer entered into a lease with the expectation that the vehicle would be promptly resold.</w:t>
      </w:r>
      <w:r>
        <w:rPr>
          <w:rFonts w:ascii="Times New Roman" w:eastAsia="Times New Roman" w:hAnsi="Times New Roman" w:cs="Times New Roman"/>
          <w:color w:val="000000"/>
          <w:sz w:val="24"/>
          <w:szCs w:val="24"/>
          <w:vertAlign w:val="superscript"/>
        </w:rPr>
        <w:footnoteReference w:id="974"/>
      </w:r>
    </w:p>
    <w:p w14:paraId="00000391"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2.</w:t>
      </w:r>
      <w:r>
        <w:rPr>
          <w:rFonts w:ascii="Times New Roman" w:eastAsia="Times New Roman" w:hAnsi="Times New Roman" w:cs="Times New Roman"/>
          <w:b/>
          <w:i/>
          <w:color w:val="000000"/>
          <w:sz w:val="24"/>
          <w:szCs w:val="24"/>
        </w:rPr>
        <w:tab/>
        <w:t>“More Than Half of an Employee’s Compensation for a Representative Period Must Represent Commissions”</w:t>
      </w:r>
    </w:p>
    <w:p w14:paraId="0000039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Section 207(i) requires that “more than half [an employee’s] compensation for a representative period (not less than one month) represents commissions on goods or services.”</w:t>
      </w:r>
      <w:r>
        <w:rPr>
          <w:rFonts w:ascii="Times New Roman" w:eastAsia="Times New Roman" w:hAnsi="Times New Roman" w:cs="Times New Roman"/>
          <w:color w:val="000000"/>
          <w:sz w:val="24"/>
          <w:szCs w:val="24"/>
          <w:vertAlign w:val="superscript"/>
        </w:rPr>
        <w:footnoteReference w:id="975"/>
      </w:r>
    </w:p>
    <w:p w14:paraId="0000039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FLSA does not define the term “commission.” In 1966, Congress added the term “bona fide commission rate” to Section 207(i): </w:t>
      </w:r>
    </w:p>
    <w:p w14:paraId="0000039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determining the proportion of compensation representing commissions, all earnings resulting from the application of a bona fide commission rate shall be deemed commissions on goods or services without regard to whether the computed commissions exceed the draw or guarantee.</w:t>
      </w:r>
      <w:r>
        <w:rPr>
          <w:rFonts w:ascii="Times New Roman" w:eastAsia="Times New Roman" w:hAnsi="Times New Roman" w:cs="Times New Roman"/>
          <w:color w:val="000000"/>
          <w:sz w:val="20"/>
          <w:szCs w:val="20"/>
          <w:vertAlign w:val="superscript"/>
        </w:rPr>
        <w:footnoteReference w:id="976"/>
      </w:r>
      <w:r>
        <w:rPr>
          <w:rFonts w:ascii="Times New Roman" w:eastAsia="Times New Roman" w:hAnsi="Times New Roman" w:cs="Times New Roman"/>
          <w:color w:val="000000"/>
          <w:sz w:val="20"/>
          <w:szCs w:val="20"/>
        </w:rPr>
        <w:t xml:space="preserve"> </w:t>
      </w:r>
    </w:p>
    <w:p w14:paraId="00000395"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There is no legislative history that sheds light on the inclusion of this sentence</w:t>
      </w:r>
      <w:r>
        <w:rPr>
          <w:rFonts w:ascii="Times New Roman" w:eastAsia="Times New Roman" w:hAnsi="Times New Roman" w:cs="Times New Roman"/>
          <w:color w:val="000000"/>
          <w:sz w:val="24"/>
          <w:szCs w:val="24"/>
          <w:vertAlign w:val="superscript"/>
        </w:rPr>
        <w:footnoteReference w:id="977"/>
      </w:r>
      <w:r>
        <w:rPr>
          <w:rFonts w:ascii="Times New Roman" w:eastAsia="Times New Roman" w:hAnsi="Times New Roman" w:cs="Times New Roman"/>
          <w:color w:val="000000"/>
          <w:sz w:val="24"/>
          <w:szCs w:val="24"/>
        </w:rPr>
        <w:t xml:space="preserve"> or on the meaning of the term “commission.”</w:t>
      </w:r>
      <w:r>
        <w:rPr>
          <w:rFonts w:ascii="Times New Roman" w:eastAsia="Times New Roman" w:hAnsi="Times New Roman" w:cs="Times New Roman"/>
          <w:color w:val="000000"/>
          <w:sz w:val="24"/>
          <w:szCs w:val="24"/>
          <w:vertAlign w:val="superscript"/>
        </w:rPr>
        <w:footnoteReference w:id="978"/>
      </w:r>
      <w:r>
        <w:rPr>
          <w:rFonts w:ascii="Times New Roman" w:eastAsia="Times New Roman" w:hAnsi="Times New Roman" w:cs="Times New Roman"/>
          <w:color w:val="000000"/>
          <w:sz w:val="24"/>
          <w:szCs w:val="24"/>
        </w:rPr>
        <w:t xml:space="preserve"> The Third Circuit has held that “the ‘bona fide commission rate’ language is imprecise and capable of ambiguity,” leading the court to conclude that “the plain language of §207(i) does not provide sufficient guidance to govern the application of the statute in this case.”</w:t>
      </w:r>
      <w:r>
        <w:rPr>
          <w:rFonts w:ascii="Times New Roman" w:eastAsia="Times New Roman" w:hAnsi="Times New Roman" w:cs="Times New Roman"/>
          <w:color w:val="000000"/>
          <w:sz w:val="24"/>
          <w:szCs w:val="24"/>
          <w:vertAlign w:val="superscript"/>
        </w:rPr>
        <w:footnoteReference w:id="979"/>
      </w:r>
    </w:p>
    <w:p w14:paraId="0000039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Courts accordingly have looked to DOL regulations, DOL opinion letters, and case authority to interpret the term.</w:t>
      </w:r>
    </w:p>
    <w:p w14:paraId="0000039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purpose of the Section 207(i) exception is discussed in 29 C.F.R. §779.414, which provides:</w:t>
      </w:r>
    </w:p>
    <w:p w14:paraId="00000398"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Section 7(i) was enacted to relieve an employer from the obligation of paying overtime compensation to certain employees of a retail or service establishment paid wholly or in greater part on the basis of commissions. These employees are generally employed in so-called “big ticket” departments and those establishments or parts of establishments where commission methods of payment traditionally have been used, typically those dealing in furniture, bedding and home furnishings, floor covering, draperies, major appliances, musical instruments, radios and television, men’s clothing, women’s ready to wear, shoes, corsets, home insulation, and various home custom orders. There may be other segments in retailing where the proportionate amount of commission payments would be great enough for employees employed in such segments to come within the exemption. Each such situation will be examined, where exemption is claimed, to make certain the employees treated as exempt from overtime compensation under section 7(i) are properly within the statutory exclusion.</w:t>
      </w:r>
      <w:r>
        <w:rPr>
          <w:rFonts w:ascii="Times New Roman" w:eastAsia="Times New Roman" w:hAnsi="Times New Roman" w:cs="Times New Roman"/>
          <w:color w:val="000000"/>
          <w:sz w:val="20"/>
          <w:szCs w:val="20"/>
          <w:vertAlign w:val="superscript"/>
        </w:rPr>
        <w:footnoteReference w:id="980"/>
      </w:r>
    </w:p>
    <w:p w14:paraId="0000039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1970, the DOL issued interpretive regulations to provide guidance concerning the 1966 amendment.</w:t>
      </w:r>
      <w:r>
        <w:rPr>
          <w:rFonts w:ascii="Times New Roman" w:eastAsia="Times New Roman" w:hAnsi="Times New Roman" w:cs="Times New Roman"/>
          <w:color w:val="000000"/>
          <w:sz w:val="24"/>
          <w:szCs w:val="24"/>
          <w:vertAlign w:val="superscript"/>
        </w:rPr>
        <w:footnoteReference w:id="981"/>
      </w:r>
      <w:r>
        <w:rPr>
          <w:rFonts w:ascii="Times New Roman" w:eastAsia="Times New Roman" w:hAnsi="Times New Roman" w:cs="Times New Roman"/>
          <w:color w:val="000000"/>
          <w:sz w:val="24"/>
          <w:szCs w:val="24"/>
        </w:rPr>
        <w:t xml:space="preserve"> These regulations provide a list of the common compensation methods for retail or service establishment employees:</w:t>
      </w:r>
    </w:p>
    <w:p w14:paraId="0000039A"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(a) Retail or service establishment employees are generally compensated (apart from any extra payments for overtime or other additional payments) by one of the following methods:</w:t>
      </w:r>
    </w:p>
    <w:p w14:paraId="0000039B"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(1) Straight salary or hourly rate: Under this method of compensation the employee receives a stipulated sum paid weekly, biweekly, semimonthly, or monthly or a fixed amount for each hour of work.</w:t>
      </w:r>
    </w:p>
    <w:p w14:paraId="0000039C"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(2) Salary plus commission: Under this method of compensation the employee receives a commission on all sales in addition to a base salary (see paragraph (a)(1) of this section).</w:t>
      </w:r>
    </w:p>
    <w:p w14:paraId="0000039D"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(3) Quota bonus: This method of compensation is similar to paragraph (a)(2) of this section except that the commission payment is paid on sales over and above a predetermined sales quota.</w:t>
      </w:r>
    </w:p>
    <w:p w14:paraId="0000039E"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(4) Straight commission without advances: Under this method of compensation the employee is paid a flat percentage on each dollar of sales he makes.</w:t>
      </w:r>
    </w:p>
    <w:p w14:paraId="0000039F"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(5) Straight commission with “advances,” “guarantees,” or “draws.” This method of compensation is similar to paragraph (a)(4) of this section except that the employee is paid a fixed weekly, biweekly, semimonthly, or monthly “advance,” “guarantee,” or “draw.” At periodic intervals a settlement is made at which time the payments already made are supplemented by any additional amount by which his commission earnings exceed the amounts previously paid.</w:t>
      </w:r>
      <w:r>
        <w:rPr>
          <w:rFonts w:ascii="Times New Roman" w:eastAsia="Times New Roman" w:hAnsi="Times New Roman" w:cs="Times New Roman"/>
          <w:color w:val="000000"/>
          <w:sz w:val="20"/>
          <w:szCs w:val="20"/>
          <w:vertAlign w:val="superscript"/>
        </w:rPr>
        <w:footnoteReference w:id="982"/>
      </w:r>
    </w:p>
    <w:p w14:paraId="000003A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the regulations further note, the above listing reflects the typical methods of compensation for employees working in a retail or service establishment, but it is not exhaustive of other pay practices that may exist.</w:t>
      </w:r>
      <w:r>
        <w:rPr>
          <w:rFonts w:ascii="Times New Roman" w:eastAsia="Times New Roman" w:hAnsi="Times New Roman" w:cs="Times New Roman"/>
          <w:color w:val="000000"/>
          <w:sz w:val="24"/>
          <w:szCs w:val="24"/>
          <w:vertAlign w:val="superscript"/>
        </w:rPr>
        <w:footnoteReference w:id="983"/>
      </w:r>
      <w:r>
        <w:rPr>
          <w:rFonts w:ascii="Times New Roman" w:eastAsia="Times New Roman" w:hAnsi="Times New Roman" w:cs="Times New Roman"/>
          <w:color w:val="000000"/>
          <w:sz w:val="24"/>
          <w:szCs w:val="24"/>
        </w:rPr>
        <w:t xml:space="preserve"> However, “by definition, all of these compensation plans, except for the ‘straight salary or hourly rate’ may qualify as ‘bona fide commission plans’ under Section 207(i).”</w:t>
      </w:r>
      <w:r>
        <w:rPr>
          <w:rFonts w:ascii="Times New Roman" w:eastAsia="Times New Roman" w:hAnsi="Times New Roman" w:cs="Times New Roman"/>
          <w:color w:val="000000"/>
          <w:sz w:val="24"/>
          <w:szCs w:val="24"/>
          <w:vertAlign w:val="superscript"/>
        </w:rPr>
        <w:footnoteReference w:id="984"/>
      </w:r>
      <w:r>
        <w:rPr>
          <w:rFonts w:ascii="Times New Roman" w:eastAsia="Times New Roman" w:hAnsi="Times New Roman" w:cs="Times New Roman"/>
          <w:color w:val="000000"/>
          <w:sz w:val="24"/>
          <w:szCs w:val="24"/>
        </w:rPr>
        <w:t> Two of the above-listed compensation methods have been at issue when determining whether the Section 207(i) exception applies. These are discussed more fully below.</w:t>
      </w:r>
    </w:p>
    <w:p w14:paraId="000003A1"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w:t>
      </w:r>
      <w:r>
        <w:rPr>
          <w:rFonts w:ascii="Times New Roman" w:eastAsia="Times New Roman" w:hAnsi="Times New Roman" w:cs="Times New Roman"/>
          <w:i/>
          <w:color w:val="000000"/>
          <w:sz w:val="24"/>
          <w:szCs w:val="24"/>
        </w:rPr>
        <w:tab/>
        <w:t>Straight Commissions Without Advances</w:t>
      </w:r>
    </w:p>
    <w:p w14:paraId="000003A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Although 29 C.F.R. §779.413(a) does not define what a “commission” is, it defines a “straight commission” as “a flat percentage on each dollar of sales [the employee] makes.”</w:t>
      </w:r>
      <w:r>
        <w:rPr>
          <w:rFonts w:ascii="Times New Roman" w:eastAsia="Times New Roman" w:hAnsi="Times New Roman" w:cs="Times New Roman"/>
          <w:color w:val="000000"/>
          <w:sz w:val="24"/>
          <w:szCs w:val="24"/>
          <w:vertAlign w:val="superscript"/>
        </w:rPr>
        <w:footnoteReference w:id="985"/>
      </w:r>
      <w:r>
        <w:rPr>
          <w:rFonts w:ascii="Times New Roman" w:eastAsia="Times New Roman" w:hAnsi="Times New Roman" w:cs="Times New Roman"/>
          <w:color w:val="000000"/>
          <w:sz w:val="24"/>
          <w:szCs w:val="24"/>
        </w:rPr>
        <w:t xml:space="preserve"> The DOL has asserted that although the regulation does not define what a “commission” is, it “highlight[s] the need for some correlation between an employee’s compensation and the cost of the goods and services sold.”</w:t>
      </w:r>
      <w:r>
        <w:rPr>
          <w:rFonts w:ascii="Times New Roman" w:eastAsia="Times New Roman" w:hAnsi="Times New Roman" w:cs="Times New Roman"/>
          <w:color w:val="000000"/>
          <w:sz w:val="24"/>
          <w:szCs w:val="24"/>
          <w:vertAlign w:val="superscript"/>
        </w:rPr>
        <w:footnoteReference w:id="986"/>
      </w:r>
      <w:r>
        <w:rPr>
          <w:rFonts w:ascii="Times New Roman" w:eastAsia="Times New Roman" w:hAnsi="Times New Roman" w:cs="Times New Roman"/>
          <w:color w:val="000000"/>
          <w:sz w:val="24"/>
          <w:szCs w:val="24"/>
        </w:rPr>
        <w:t xml:space="preserve"> This relationship is typically expressed as a percentage of sales.</w:t>
      </w:r>
    </w:p>
    <w:p w14:paraId="000003A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percentage of sales method of defining a “commission” is found in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w:t>
      </w:r>
    </w:p>
    <w:p w14:paraId="000003A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Some retail or service establishments compute an employee’s compensation on the basis of a percentage of the charge to the customer, such as the charge for labor or the charge for service and parts used in repair. Compensation computed in this manner represents commissions on goods or services for purposes of applying Section 7(i).</w:t>
      </w:r>
      <w:r>
        <w:rPr>
          <w:rFonts w:ascii="Times New Roman" w:eastAsia="Times New Roman" w:hAnsi="Times New Roman" w:cs="Times New Roman"/>
          <w:color w:val="000000"/>
          <w:sz w:val="20"/>
          <w:szCs w:val="20"/>
          <w:vertAlign w:val="superscript"/>
        </w:rPr>
        <w:footnoteReference w:id="987"/>
      </w:r>
    </w:p>
    <w:p w14:paraId="000003A5"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also addresses when charges for services are not commissions on goods or services for purposes of Section 207(i):</w:t>
      </w:r>
    </w:p>
    <w:p w14:paraId="000003A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Some auto service garages pay employees a flat fee to recondition used cars which are subsequently sold. Such payments which are paid without regard to the value of the service performed do not represent commissions on goods or services for purposes of section 7(i). Such employees are considered to be compensated on a piece rate basis and not on the basis of commissions. Commissions, for purposes of section 7(i), usually denotes a </w:t>
      </w:r>
      <w:r>
        <w:rPr>
          <w:rFonts w:ascii="Times New Roman" w:eastAsia="Times New Roman" w:hAnsi="Times New Roman" w:cs="Times New Roman"/>
          <w:i/>
          <w:color w:val="000000"/>
          <w:sz w:val="20"/>
          <w:szCs w:val="20"/>
        </w:rPr>
        <w:t>percentage</w:t>
      </w:r>
      <w:r>
        <w:rPr>
          <w:rFonts w:ascii="Times New Roman" w:eastAsia="Times New Roman" w:hAnsi="Times New Roman" w:cs="Times New Roman"/>
          <w:color w:val="000000"/>
          <w:sz w:val="20"/>
          <w:szCs w:val="20"/>
        </w:rPr>
        <w:t> of the amount of monies paid out or received.</w:t>
      </w:r>
      <w:r>
        <w:rPr>
          <w:rFonts w:ascii="Times New Roman" w:eastAsia="Times New Roman" w:hAnsi="Times New Roman" w:cs="Times New Roman"/>
          <w:color w:val="000000"/>
          <w:sz w:val="20"/>
          <w:szCs w:val="20"/>
          <w:vertAlign w:val="superscript"/>
        </w:rPr>
        <w:footnoteReference w:id="988"/>
      </w:r>
    </w:p>
    <w:p w14:paraId="000003A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the Seventh Circuit has stated, “the essence of a commission is that it bases compensation on sales” and “decouples [worker pay] from actual time worked.”</w:t>
      </w:r>
      <w:r>
        <w:rPr>
          <w:rFonts w:ascii="Times New Roman" w:eastAsia="Times New Roman" w:hAnsi="Times New Roman" w:cs="Times New Roman"/>
          <w:color w:val="000000"/>
          <w:sz w:val="24"/>
          <w:szCs w:val="24"/>
          <w:vertAlign w:val="superscript"/>
        </w:rPr>
        <w:footnoteReference w:id="989"/>
      </w:r>
      <w:r>
        <w:rPr>
          <w:rFonts w:ascii="Times New Roman" w:eastAsia="Times New Roman" w:hAnsi="Times New Roman" w:cs="Times New Roman"/>
          <w:color w:val="000000"/>
          <w:sz w:val="24"/>
          <w:szCs w:val="24"/>
        </w:rPr>
        <w:t xml:space="preserve"> However, like commission payments, piece rate and job rate payments are likewise decoupled from actual time worked.</w:t>
      </w:r>
      <w:r>
        <w:rPr>
          <w:rFonts w:ascii="Times New Roman" w:eastAsia="Times New Roman" w:hAnsi="Times New Roman" w:cs="Times New Roman"/>
          <w:color w:val="000000"/>
          <w:sz w:val="24"/>
          <w:szCs w:val="24"/>
          <w:vertAlign w:val="superscript"/>
        </w:rPr>
        <w:footnoteReference w:id="990"/>
      </w:r>
      <w:r>
        <w:rPr>
          <w:rFonts w:ascii="Times New Roman" w:eastAsia="Times New Roman" w:hAnsi="Times New Roman" w:cs="Times New Roman"/>
          <w:color w:val="000000"/>
          <w:sz w:val="24"/>
          <w:szCs w:val="24"/>
        </w:rPr>
        <w:t xml:space="preserve"> Thus, employees paid under a commission, piece rate, or job rate basis all have the same incentive to generate more output because the more work they complete, the higher their compensation.</w:t>
      </w:r>
      <w:r>
        <w:rPr>
          <w:rFonts w:ascii="Times New Roman" w:eastAsia="Times New Roman" w:hAnsi="Times New Roman" w:cs="Times New Roman"/>
          <w:color w:val="000000"/>
          <w:sz w:val="24"/>
          <w:szCs w:val="24"/>
          <w:vertAlign w:val="superscript"/>
        </w:rPr>
        <w:footnoteReference w:id="991"/>
      </w:r>
      <w:r>
        <w:rPr>
          <w:rFonts w:ascii="Times New Roman" w:eastAsia="Times New Roman" w:hAnsi="Times New Roman" w:cs="Times New Roman"/>
          <w:color w:val="000000"/>
          <w:sz w:val="24"/>
          <w:szCs w:val="24"/>
        </w:rPr>
        <w:t xml:space="preserve"> </w:t>
      </w:r>
    </w:p>
    <w:p w14:paraId="000003A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Alvarado v. Corporate Cleaning Services,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92"/>
      </w:r>
      <w:r>
        <w:rPr>
          <w:rFonts w:ascii="Times New Roman" w:eastAsia="Times New Roman" w:hAnsi="Times New Roman" w:cs="Times New Roman"/>
          <w:color w:val="000000"/>
          <w:sz w:val="24"/>
          <w:szCs w:val="24"/>
        </w:rPr>
        <w:t xml:space="preserve"> the Seventh Circuit distinguished between the commission-based and piece-rate systems for purposes of the Section 207(i) exemption:</w:t>
      </w:r>
    </w:p>
    <w:p w14:paraId="000003A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There are real differences between the two compensation systems (commission and piecework), and the reality, which overcomes the nomenclature, is that CCS’s system is a commission system. In a piece-rate system a worker is paid by the item produced by him: so much per scarf, for example, if his job is to make scarves. In a commission system he is paid by the sale—so if he works for a shoe store he’s paid a specified amount per pair of shoes that he sells. Thus the scarf worker is paid for making scarves even if they haven’t been sold—that is, even if he’s producing for inventory—while the shoe salesman is paid only when he makes a sale. In the present case, as in the shoe-store example, the window washers are paid only if there’s been a sale, namely a sale of window-washing service to a building owner or manager.</w:t>
      </w:r>
      <w:r>
        <w:rPr>
          <w:rFonts w:ascii="Times New Roman" w:eastAsia="Times New Roman" w:hAnsi="Times New Roman" w:cs="Times New Roman"/>
          <w:color w:val="000000"/>
          <w:sz w:val="20"/>
          <w:szCs w:val="20"/>
          <w:vertAlign w:val="superscript"/>
        </w:rPr>
        <w:footnoteReference w:id="993"/>
      </w:r>
    </w:p>
    <w:p w14:paraId="000003A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views flat-fee payments as being synonymous with piece-rate compensation, and not covered by Section 207(i). Rather, such payments are governed by the piece-rate overtime requirements.</w:t>
      </w:r>
      <w:r>
        <w:rPr>
          <w:rFonts w:ascii="Times New Roman" w:eastAsia="Times New Roman" w:hAnsi="Times New Roman" w:cs="Times New Roman"/>
          <w:color w:val="000000"/>
          <w:sz w:val="24"/>
          <w:szCs w:val="24"/>
          <w:vertAlign w:val="superscript"/>
        </w:rPr>
        <w:footnoteReference w:id="994"/>
      </w:r>
      <w:r>
        <w:rPr>
          <w:rFonts w:ascii="Times New Roman" w:eastAsia="Times New Roman" w:hAnsi="Times New Roman" w:cs="Times New Roman"/>
          <w:color w:val="000000"/>
          <w:sz w:val="24"/>
          <w:szCs w:val="24"/>
        </w:rPr>
        <w:t xml:space="preserve"> Thus, flat fees that “are paid without regard to the value of the service performed do not represent commissions on goods or services for purposes of section 7(i). Such employees are considered to be compensated on a piece rate basis and not on the basis of commissions.”</w:t>
      </w:r>
      <w:r>
        <w:rPr>
          <w:rFonts w:ascii="Times New Roman" w:eastAsia="Times New Roman" w:hAnsi="Times New Roman" w:cs="Times New Roman"/>
          <w:color w:val="000000"/>
          <w:sz w:val="24"/>
          <w:szCs w:val="24"/>
          <w:vertAlign w:val="superscript"/>
        </w:rPr>
        <w:footnoteReference w:id="995"/>
      </w:r>
      <w:r>
        <w:rPr>
          <w:rFonts w:ascii="Times New Roman" w:eastAsia="Times New Roman" w:hAnsi="Times New Roman" w:cs="Times New Roman"/>
          <w:color w:val="000000"/>
          <w:sz w:val="24"/>
          <w:szCs w:val="24"/>
        </w:rPr>
        <w:t xml:space="preserve"> </w:t>
      </w:r>
    </w:p>
    <w:p w14:paraId="000003A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In </w:t>
      </w:r>
      <w:r>
        <w:rPr>
          <w:rFonts w:ascii="Times New Roman" w:eastAsia="Times New Roman" w:hAnsi="Times New Roman" w:cs="Times New Roman"/>
          <w:i/>
          <w:color w:val="000000"/>
          <w:sz w:val="24"/>
          <w:szCs w:val="24"/>
        </w:rPr>
        <w:t>Yi v. Sterling Collision Centers</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i/>
          <w:color w:val="000000"/>
          <w:sz w:val="24"/>
          <w:szCs w:val="24"/>
        </w:rPr>
        <w:t>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996"/>
      </w:r>
      <w:r>
        <w:rPr>
          <w:rFonts w:ascii="Times New Roman" w:eastAsia="Times New Roman" w:hAnsi="Times New Roman" w:cs="Times New Roman"/>
          <w:color w:val="000000"/>
          <w:sz w:val="24"/>
          <w:szCs w:val="24"/>
        </w:rPr>
        <w:t xml:space="preserve"> the employer charged its customers as follows:</w:t>
      </w:r>
    </w:p>
    <w:p w14:paraId="000003AC"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It calculates the number of hours normally required to do a given type of repair (these are called “booked hours”) and multiplies that number by a dollar figure. The product of this multiplication is the labor price of the repair to the customer. Sterling adds material costs to the labor price to come up with a final price. A team of mechanics is then assigned to the job. Each member of the team keeps track of the hours he works on the job. When it’s completed and the hours of the team members are added up, Sterling determines each member’s compensation by multiplying (1) the number of booked hours for the job by (2) the ratio of the team member’s actual hours worked to the total hours worked by the team, and then by (3) a wage, per booked (not actually worked) hour, based on the skill or quality of the individual team member.  …</w:t>
      </w:r>
    </w:p>
    <w:p w14:paraId="000003A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faster the team works, the more it earns per number of hours, since its commission is based not on the total number of hours it puts in on a job but on the number of booked hours times each team member’s booked-hour rate. That is how commissions work; they are decoupled from actual time worked.</w:t>
      </w:r>
      <w:r>
        <w:rPr>
          <w:rFonts w:ascii="Times New Roman" w:eastAsia="Times New Roman" w:hAnsi="Times New Roman" w:cs="Times New Roman"/>
          <w:color w:val="000000"/>
          <w:sz w:val="20"/>
          <w:szCs w:val="20"/>
          <w:vertAlign w:val="superscript"/>
        </w:rPr>
        <w:footnoteReference w:id="997"/>
      </w:r>
    </w:p>
    <w:p w14:paraId="000003AE" w14:textId="0EB55A7A"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these reasons, the Seventh Circuit found that the mechanics in question earned a “percentage” of the amount charged to the customer and that “the essence of a commission is that it bases compensation on sales, for example a percentage of the sales price.”</w:t>
      </w:r>
      <w:r>
        <w:rPr>
          <w:rFonts w:ascii="Times New Roman" w:eastAsia="Times New Roman" w:hAnsi="Times New Roman" w:cs="Times New Roman"/>
          <w:color w:val="000000"/>
          <w:sz w:val="24"/>
          <w:szCs w:val="24"/>
          <w:vertAlign w:val="superscript"/>
        </w:rPr>
        <w:footnoteReference w:id="998"/>
      </w:r>
      <w:r>
        <w:rPr>
          <w:rFonts w:ascii="Times New Roman" w:eastAsia="Times New Roman" w:hAnsi="Times New Roman" w:cs="Times New Roman"/>
          <w:color w:val="000000"/>
          <w:sz w:val="24"/>
          <w:szCs w:val="24"/>
        </w:rPr>
        <w:t xml:space="preserve"> The Fifth Circuit has found similarly </w:t>
      </w:r>
      <w:r w:rsidR="00C428B2">
        <w:rPr>
          <w:rFonts w:ascii="Times New Roman" w:eastAsia="Times New Roman" w:hAnsi="Times New Roman" w:cs="Times New Roman"/>
          <w:color w:val="000000"/>
          <w:sz w:val="24"/>
          <w:szCs w:val="24"/>
        </w:rPr>
        <w:t>with respect to</w:t>
      </w:r>
      <w:r>
        <w:rPr>
          <w:rFonts w:ascii="Times New Roman" w:eastAsia="Times New Roman" w:hAnsi="Times New Roman" w:cs="Times New Roman"/>
          <w:color w:val="000000"/>
          <w:sz w:val="24"/>
          <w:szCs w:val="24"/>
        </w:rPr>
        <w:t xml:space="preserve"> cable technicians.</w:t>
      </w:r>
      <w:r>
        <w:rPr>
          <w:rFonts w:ascii="Times New Roman" w:eastAsia="Times New Roman" w:hAnsi="Times New Roman" w:cs="Times New Roman"/>
          <w:color w:val="000000"/>
          <w:sz w:val="20"/>
          <w:szCs w:val="20"/>
          <w:vertAlign w:val="superscript"/>
        </w:rPr>
        <w:footnoteReference w:id="999"/>
      </w:r>
    </w:p>
    <w:p w14:paraId="000003A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Similarly, in </w:t>
      </w:r>
      <w:r>
        <w:rPr>
          <w:rFonts w:ascii="Times New Roman" w:eastAsia="Times New Roman" w:hAnsi="Times New Roman" w:cs="Times New Roman"/>
          <w:i/>
          <w:color w:val="000000"/>
          <w:sz w:val="24"/>
          <w:szCs w:val="24"/>
        </w:rPr>
        <w:t>Mechmet v. Four Seasons Hotel, Ltd.</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00"/>
      </w:r>
      <w:r>
        <w:rPr>
          <w:rFonts w:ascii="Times New Roman" w:eastAsia="Times New Roman" w:hAnsi="Times New Roman" w:cs="Times New Roman"/>
          <w:color w:val="000000"/>
          <w:sz w:val="24"/>
          <w:szCs w:val="24"/>
        </w:rPr>
        <w:t xml:space="preserve"> “percentage service charges that hotels and restaurants characteristically add to the bill for a banquet, to compensate banquet waiters over and above their regular hourly wage,” were found to be “commissions on good or services.”</w:t>
      </w:r>
      <w:r>
        <w:rPr>
          <w:rFonts w:ascii="Times New Roman" w:eastAsia="Times New Roman" w:hAnsi="Times New Roman" w:cs="Times New Roman"/>
          <w:color w:val="000000"/>
          <w:sz w:val="24"/>
          <w:szCs w:val="24"/>
          <w:vertAlign w:val="superscript"/>
        </w:rPr>
        <w:footnoteReference w:id="1001"/>
      </w:r>
      <w:r>
        <w:rPr>
          <w:rFonts w:ascii="Times New Roman" w:eastAsia="Times New Roman" w:hAnsi="Times New Roman" w:cs="Times New Roman"/>
          <w:color w:val="000000"/>
          <w:sz w:val="24"/>
          <w:szCs w:val="24"/>
        </w:rPr>
        <w:t xml:space="preserve"> As the Seventh Circuit concluded, “[c]ommission income is a permissible characterization of the banquet service charges that the banquet waiters received, and one that advances the statutory purposes.”</w:t>
      </w:r>
      <w:r>
        <w:rPr>
          <w:rFonts w:ascii="Times New Roman" w:eastAsia="Times New Roman" w:hAnsi="Times New Roman" w:cs="Times New Roman"/>
          <w:color w:val="000000"/>
          <w:sz w:val="24"/>
          <w:szCs w:val="24"/>
          <w:vertAlign w:val="superscript"/>
        </w:rPr>
        <w:footnoteReference w:id="1002"/>
      </w:r>
      <w:r>
        <w:rPr>
          <w:rFonts w:ascii="Times New Roman" w:eastAsia="Times New Roman" w:hAnsi="Times New Roman" w:cs="Times New Roman"/>
          <w:color w:val="000000"/>
          <w:sz w:val="24"/>
          <w:szCs w:val="24"/>
        </w:rPr>
        <w:t xml:space="preserve"> As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notes:</w:t>
      </w:r>
    </w:p>
    <w:p w14:paraId="000003B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This is so because a service charge that is completely or partially paid to such employees is keyed to sales since it bears a direct relationship to the goods and services which the establishment sells, and it is a specific percentage of the bill presented to the customer. Accordingly service employees paid such service charges may qualify for section 7(i) if the other tests are met.</w:t>
      </w:r>
      <w:r>
        <w:rPr>
          <w:rFonts w:ascii="Times New Roman" w:eastAsia="Times New Roman" w:hAnsi="Times New Roman" w:cs="Times New Roman"/>
          <w:color w:val="000000"/>
          <w:sz w:val="20"/>
          <w:szCs w:val="20"/>
          <w:vertAlign w:val="superscript"/>
        </w:rPr>
        <w:footnoteReference w:id="1003"/>
      </w:r>
    </w:p>
    <w:p w14:paraId="000003B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DOL has also issued several opinion letters setting forth its analysis of the term “commission” under Section 207(i). These letters have “consistently required a degree of proportionality (generally as measured by a percentage) between the payment the employee receives and the amount or cost of the sale or service provided to the customer.”</w:t>
      </w:r>
      <w:r>
        <w:rPr>
          <w:rFonts w:ascii="Times New Roman" w:eastAsia="Times New Roman" w:hAnsi="Times New Roman" w:cs="Times New Roman"/>
          <w:color w:val="000000"/>
          <w:sz w:val="24"/>
          <w:szCs w:val="24"/>
          <w:vertAlign w:val="superscript"/>
        </w:rPr>
        <w:footnoteReference w:id="1004"/>
      </w:r>
    </w:p>
    <w:p w14:paraId="000003B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In a 1996 opinion letter,</w:t>
      </w:r>
      <w:r>
        <w:rPr>
          <w:rFonts w:ascii="Times New Roman" w:eastAsia="Times New Roman" w:hAnsi="Times New Roman" w:cs="Times New Roman"/>
          <w:color w:val="000000"/>
          <w:sz w:val="24"/>
          <w:szCs w:val="24"/>
          <w:vertAlign w:val="superscript"/>
        </w:rPr>
        <w:footnoteReference w:id="1005"/>
      </w:r>
      <w:r>
        <w:rPr>
          <w:rFonts w:ascii="Times New Roman" w:eastAsia="Times New Roman" w:hAnsi="Times New Roman" w:cs="Times New Roman"/>
          <w:color w:val="000000"/>
          <w:sz w:val="24"/>
          <w:szCs w:val="24"/>
        </w:rPr>
        <w:t xml:space="preserve"> the WHD stated that if alarm systems installers “were to be compensated on a percentage of the sales price of the alarm systems they installed, such a method of payment would constitute payment on a commission basis for purposes of section 7(i) of the FLSA.”</w:t>
      </w:r>
      <w:r>
        <w:rPr>
          <w:rFonts w:ascii="Times New Roman" w:eastAsia="Times New Roman" w:hAnsi="Times New Roman" w:cs="Times New Roman"/>
          <w:color w:val="000000"/>
          <w:sz w:val="24"/>
          <w:szCs w:val="24"/>
          <w:vertAlign w:val="superscript"/>
        </w:rPr>
        <w:footnoteReference w:id="1006"/>
      </w:r>
      <w:r>
        <w:rPr>
          <w:rFonts w:ascii="Times New Roman" w:eastAsia="Times New Roman" w:hAnsi="Times New Roman" w:cs="Times New Roman"/>
          <w:color w:val="000000"/>
          <w:sz w:val="24"/>
          <w:szCs w:val="24"/>
        </w:rPr>
        <w:t xml:space="preserve"> However, installers who were paid a flat fee for each alarm system they installed with no connection to the cost to the consumer were not paid a commission. The flat rate installers did not fall within the scope of Section 207(i).</w:t>
      </w:r>
      <w:r>
        <w:rPr>
          <w:rFonts w:ascii="Times New Roman" w:eastAsia="Times New Roman" w:hAnsi="Times New Roman" w:cs="Times New Roman"/>
          <w:color w:val="000000"/>
          <w:sz w:val="24"/>
          <w:szCs w:val="24"/>
          <w:vertAlign w:val="superscript"/>
        </w:rPr>
        <w:footnoteReference w:id="1007"/>
      </w:r>
    </w:p>
    <w:p w14:paraId="000003B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2005 opinion letter,</w:t>
      </w:r>
      <w:r>
        <w:rPr>
          <w:rFonts w:ascii="Times New Roman" w:eastAsia="Times New Roman" w:hAnsi="Times New Roman" w:cs="Times New Roman"/>
          <w:color w:val="000000"/>
          <w:sz w:val="24"/>
          <w:szCs w:val="24"/>
          <w:vertAlign w:val="superscript"/>
        </w:rPr>
        <w:footnoteReference w:id="1008"/>
      </w:r>
      <w:r>
        <w:rPr>
          <w:rFonts w:ascii="Times New Roman" w:eastAsia="Times New Roman" w:hAnsi="Times New Roman" w:cs="Times New Roman"/>
          <w:color w:val="000000"/>
          <w:sz w:val="24"/>
          <w:szCs w:val="24"/>
        </w:rPr>
        <w:t xml:space="preserve"> the WHD Administrator opined that health and athletic club instructors who were paid based on a “percentage of a ‘club’s revenue per lesson or session’” would qualify for the Section 207(i) exemption.</w:t>
      </w:r>
      <w:r>
        <w:rPr>
          <w:rFonts w:ascii="Times New Roman" w:eastAsia="Times New Roman" w:hAnsi="Times New Roman" w:cs="Times New Roman"/>
          <w:color w:val="000000"/>
          <w:sz w:val="24"/>
          <w:szCs w:val="24"/>
          <w:vertAlign w:val="superscript"/>
        </w:rPr>
        <w:footnoteReference w:id="1009"/>
      </w:r>
    </w:p>
    <w:p w14:paraId="000003B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2006 opinion letter,</w:t>
      </w:r>
      <w:r>
        <w:rPr>
          <w:rFonts w:ascii="Times New Roman" w:eastAsia="Times New Roman" w:hAnsi="Times New Roman" w:cs="Times New Roman"/>
          <w:color w:val="000000"/>
          <w:sz w:val="24"/>
          <w:szCs w:val="24"/>
          <w:vertAlign w:val="superscript"/>
        </w:rPr>
        <w:footnoteReference w:id="1010"/>
      </w:r>
      <w:r>
        <w:rPr>
          <w:rFonts w:ascii="Times New Roman" w:eastAsia="Times New Roman" w:hAnsi="Times New Roman" w:cs="Times New Roman"/>
          <w:color w:val="000000"/>
          <w:sz w:val="24"/>
          <w:szCs w:val="24"/>
        </w:rPr>
        <w:t xml:space="preserve"> the DOL approved of a method of payment common in the automobile detailing and repair industry, called the “flag-rate” method, as meeting the Section 207(i) definition of commission: </w:t>
      </w:r>
    </w:p>
    <w:p w14:paraId="000003B5"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Each vehicle is assigned a predetermined number of hours (referred to as “flag hours” or “flat rate” hours). … The detailer or painter is assigned a “flag rate” per hour that is based on the individual’s level of skill and experience. Regardless of the time a detailer or painter spends on each vehicle to complete the job, he or she is paid for the number of flag hours allotted to that vehicle.</w:t>
      </w:r>
      <w:r>
        <w:rPr>
          <w:rFonts w:ascii="Times New Roman" w:eastAsia="Times New Roman" w:hAnsi="Times New Roman" w:cs="Times New Roman"/>
          <w:color w:val="000000"/>
          <w:sz w:val="20"/>
          <w:szCs w:val="20"/>
          <w:vertAlign w:val="superscript"/>
        </w:rPr>
        <w:footnoteReference w:id="1011"/>
      </w:r>
      <w:r>
        <w:rPr>
          <w:rFonts w:ascii="Times New Roman" w:eastAsia="Times New Roman" w:hAnsi="Times New Roman" w:cs="Times New Roman"/>
          <w:color w:val="000000"/>
          <w:sz w:val="20"/>
          <w:szCs w:val="20"/>
        </w:rPr>
        <w:t xml:space="preserve"> </w:t>
      </w:r>
    </w:p>
    <w:p w14:paraId="000003B6"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Under this system, the employees were encouraged to work rapidly and efficiently, and their pay varied from week to week. In its letter, the DOL concluded that this payment arrangement was a commission because “the amount of the payment appears to be related to the value of the service performed.”</w:t>
      </w:r>
      <w:r>
        <w:rPr>
          <w:rFonts w:ascii="Times New Roman" w:eastAsia="Times New Roman" w:hAnsi="Times New Roman" w:cs="Times New Roman"/>
          <w:color w:val="000000"/>
          <w:sz w:val="24"/>
          <w:szCs w:val="24"/>
          <w:vertAlign w:val="superscript"/>
        </w:rPr>
        <w:footnoteReference w:id="1012"/>
      </w:r>
      <w:r>
        <w:rPr>
          <w:rFonts w:ascii="Times New Roman" w:eastAsia="Times New Roman" w:hAnsi="Times New Roman" w:cs="Times New Roman"/>
          <w:color w:val="000000"/>
          <w:sz w:val="24"/>
          <w:szCs w:val="24"/>
        </w:rPr>
        <w:t> </w:t>
      </w:r>
    </w:p>
    <w:p w14:paraId="000003B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sum, it is the DOL’s position that to qualify as a commission for purposes of Section 207(i), “the commission payments must be related to the cost passed on to the customer.”</w:t>
      </w:r>
      <w:r>
        <w:rPr>
          <w:rFonts w:ascii="Times New Roman" w:eastAsia="Times New Roman" w:hAnsi="Times New Roman" w:cs="Times New Roman"/>
          <w:color w:val="000000"/>
          <w:sz w:val="24"/>
          <w:szCs w:val="24"/>
          <w:vertAlign w:val="superscript"/>
        </w:rPr>
        <w:footnoteReference w:id="1013"/>
      </w:r>
      <w:r>
        <w:rPr>
          <w:rFonts w:ascii="Times New Roman" w:eastAsia="Times New Roman" w:hAnsi="Times New Roman" w:cs="Times New Roman"/>
          <w:color w:val="000000"/>
          <w:sz w:val="24"/>
          <w:szCs w:val="24"/>
        </w:rPr>
        <w:t xml:space="preserve"> “Put differently, to qualify as a commission, an increase in the cost to the consumer must result in a corresponding increase to the amount of the payment made to the employee.”</w:t>
      </w:r>
      <w:r>
        <w:rPr>
          <w:rFonts w:ascii="Times New Roman" w:eastAsia="Times New Roman" w:hAnsi="Times New Roman" w:cs="Times New Roman"/>
          <w:color w:val="000000"/>
          <w:sz w:val="24"/>
          <w:szCs w:val="24"/>
          <w:vertAlign w:val="superscript"/>
        </w:rPr>
        <w:footnoteReference w:id="1014"/>
      </w:r>
    </w:p>
    <w:p w14:paraId="000003B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issue of when flat rate payment plans can qualify as commissions under Section 207(i) has been addressed by several appellate courts. For example, in </w:t>
      </w:r>
      <w:r>
        <w:rPr>
          <w:rFonts w:ascii="Times New Roman" w:eastAsia="Times New Roman" w:hAnsi="Times New Roman" w:cs="Times New Roman"/>
          <w:i/>
          <w:color w:val="000000"/>
          <w:sz w:val="24"/>
          <w:szCs w:val="24"/>
        </w:rPr>
        <w:t xml:space="preserve">Klinedinst v. Swift </w:t>
      </w:r>
      <w:r>
        <w:rPr>
          <w:rFonts w:ascii="Times New Roman" w:eastAsia="Times New Roman" w:hAnsi="Times New Roman" w:cs="Times New Roman"/>
          <w:i/>
          <w:color w:val="000000"/>
          <w:sz w:val="24"/>
          <w:szCs w:val="24"/>
        </w:rPr>
        <w:lastRenderedPageBreak/>
        <w:t>Investments,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15"/>
      </w:r>
      <w:r>
        <w:rPr>
          <w:rFonts w:ascii="Times New Roman" w:eastAsia="Times New Roman" w:hAnsi="Times New Roman" w:cs="Times New Roman"/>
          <w:color w:val="000000"/>
          <w:sz w:val="24"/>
          <w:szCs w:val="24"/>
        </w:rPr>
        <w:t xml:space="preserve"> the plaintiff, an automobile painter, was compensated based on the number of “flag hours” he worked in a 40-hour workweek. “Flag hours” were derived from a database utilized by auto repair shops and insurance adjusters; they did not necessarily reflect the actual time spent completing a job. If more than or fewer than the predetermined number of flag hours were required to complete a job, the employer would nevertheless pay the painter for the predetermined number of hours. The painter was compensated for each paint job he performed based on the following formula: the “flag hours” allotted to the paint labor component of the repair estimate multiplied by his hourly rate. The employer paid the plaintiff for the maximum amount of flag hours, regardless of the actual hours worked. The employer argued that the flat-rate system it utilized was a form of “commissions” because it was incentive-based and encouraged efficiency and speed.</w:t>
      </w:r>
      <w:r>
        <w:rPr>
          <w:rFonts w:ascii="Times New Roman" w:eastAsia="Times New Roman" w:hAnsi="Times New Roman" w:cs="Times New Roman"/>
          <w:color w:val="000000"/>
          <w:sz w:val="24"/>
          <w:szCs w:val="24"/>
          <w:vertAlign w:val="superscript"/>
        </w:rPr>
        <w:footnoteReference w:id="1016"/>
      </w:r>
    </w:p>
    <w:p w14:paraId="000003B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Eleventh Circuit agreed, holding that the flat rates paid were a “commission” as they provided workers with incentives to work efficiently and effectively and allowed them to incur benefits regardless of the actual hours they worked.</w:t>
      </w:r>
      <w:r>
        <w:rPr>
          <w:rFonts w:ascii="Times New Roman" w:eastAsia="Times New Roman" w:hAnsi="Times New Roman" w:cs="Times New Roman"/>
          <w:color w:val="000000"/>
          <w:sz w:val="24"/>
          <w:szCs w:val="24"/>
          <w:vertAlign w:val="superscript"/>
        </w:rPr>
        <w:footnoteReference w:id="1017"/>
      </w:r>
      <w:r>
        <w:rPr>
          <w:rFonts w:ascii="Times New Roman" w:eastAsia="Times New Roman" w:hAnsi="Times New Roman" w:cs="Times New Roman"/>
          <w:color w:val="000000"/>
          <w:sz w:val="24"/>
          <w:szCs w:val="24"/>
        </w:rPr>
        <w:t xml:space="preserve"> In reaching this finding, the court referenced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which sets forth a pay plan very similar to the one in </w:t>
      </w:r>
      <w:r>
        <w:rPr>
          <w:rFonts w:ascii="Times New Roman" w:eastAsia="Times New Roman" w:hAnsi="Times New Roman" w:cs="Times New Roman"/>
          <w:i/>
          <w:color w:val="000000"/>
          <w:sz w:val="24"/>
          <w:szCs w:val="24"/>
        </w:rPr>
        <w:t>Klinedinst</w:t>
      </w:r>
      <w:r>
        <w:rPr>
          <w:rFonts w:ascii="Times New Roman" w:eastAsia="Times New Roman" w:hAnsi="Times New Roman" w:cs="Times New Roman"/>
          <w:color w:val="000000"/>
          <w:sz w:val="24"/>
          <w:szCs w:val="24"/>
        </w:rPr>
        <w:t>, and found that a “flat rate” system can qualify as a bona fide commission under Section 207(i).</w:t>
      </w:r>
      <w:r>
        <w:rPr>
          <w:rFonts w:ascii="Times New Roman" w:eastAsia="Times New Roman" w:hAnsi="Times New Roman" w:cs="Times New Roman"/>
          <w:color w:val="000000"/>
          <w:sz w:val="24"/>
          <w:szCs w:val="24"/>
          <w:vertAlign w:val="superscript"/>
        </w:rPr>
        <w:footnoteReference w:id="1018"/>
      </w:r>
      <w:r>
        <w:rPr>
          <w:rFonts w:ascii="Times New Roman" w:eastAsia="Times New Roman" w:hAnsi="Times New Roman" w:cs="Times New Roman"/>
          <w:color w:val="000000"/>
          <w:sz w:val="24"/>
          <w:szCs w:val="24"/>
        </w:rPr>
        <w:t xml:space="preserve"> The court concluded that</w:t>
      </w:r>
    </w:p>
    <w:p w14:paraId="000003BA"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[p]ayments of between $12 and $15 per flagged hour provide incentives for employees to work efficiently and effectively to the benefit of the employer, who may then take on more customers at a greater profit margin, and the employee, who reaps the benefits of increased flag hours regardless of the actual amount of hours worked. With this in mind, we conclude that [the plaintiff’s] flat rate wages constitute a “commission” … .</w:t>
      </w:r>
      <w:r>
        <w:rPr>
          <w:rFonts w:ascii="Times New Roman" w:eastAsia="Times New Roman" w:hAnsi="Times New Roman" w:cs="Times New Roman"/>
          <w:color w:val="000000"/>
          <w:sz w:val="20"/>
          <w:szCs w:val="20"/>
          <w:vertAlign w:val="superscript"/>
        </w:rPr>
        <w:footnoteReference w:id="1019"/>
      </w:r>
    </w:p>
    <w:p w14:paraId="000003B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Seventh Circuit adopted the reasoning of </w:t>
      </w:r>
      <w:r>
        <w:rPr>
          <w:rFonts w:ascii="Times New Roman" w:eastAsia="Times New Roman" w:hAnsi="Times New Roman" w:cs="Times New Roman"/>
          <w:i/>
          <w:color w:val="000000"/>
          <w:sz w:val="24"/>
          <w:szCs w:val="24"/>
        </w:rPr>
        <w:t>Klinedinst</w:t>
      </w:r>
      <w:r>
        <w:rPr>
          <w:rFonts w:ascii="Times New Roman" w:eastAsia="Times New Roman" w:hAnsi="Times New Roman" w:cs="Times New Roman"/>
          <w:color w:val="000000"/>
          <w:sz w:val="24"/>
          <w:szCs w:val="24"/>
        </w:rPr>
        <w:t xml:space="preserve"> in </w:t>
      </w:r>
      <w:r>
        <w:rPr>
          <w:rFonts w:ascii="Times New Roman" w:eastAsia="Times New Roman" w:hAnsi="Times New Roman" w:cs="Times New Roman"/>
          <w:i/>
          <w:color w:val="000000"/>
          <w:sz w:val="24"/>
          <w:szCs w:val="24"/>
        </w:rPr>
        <w:t>Yi v. Sterling Collision Centers, Inc.</w:t>
      </w:r>
      <w:r>
        <w:rPr>
          <w:rFonts w:ascii="Times New Roman" w:eastAsia="Times New Roman" w:hAnsi="Times New Roman" w:cs="Times New Roman"/>
          <w:color w:val="000000"/>
          <w:sz w:val="24"/>
          <w:szCs w:val="24"/>
          <w:vertAlign w:val="superscript"/>
        </w:rPr>
        <w:footnoteReference w:id="1020"/>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In</w:t>
      </w:r>
      <w:r>
        <w:rPr>
          <w:rFonts w:ascii="Times New Roman" w:eastAsia="Times New Roman" w:hAnsi="Times New Roman" w:cs="Times New Roman"/>
          <w:i/>
          <w:color w:val="000000"/>
          <w:sz w:val="24"/>
          <w:szCs w:val="24"/>
        </w:rPr>
        <w:t xml:space="preserve"> Yi</w:t>
      </w:r>
      <w:r>
        <w:rPr>
          <w:rFonts w:ascii="Times New Roman" w:eastAsia="Times New Roman" w:hAnsi="Times New Roman" w:cs="Times New Roman"/>
          <w:color w:val="000000"/>
          <w:sz w:val="24"/>
          <w:szCs w:val="24"/>
        </w:rPr>
        <w:t>, technicians were paid an hourly rate for their actual work hours and also received incentive pay if they completed repair jobs in less time than specified on estimates. The district court found that “a system that increases compensation based in large measure on results is the essence of this elusive concept called commission.”</w:t>
      </w:r>
      <w:r>
        <w:rPr>
          <w:rFonts w:ascii="Times New Roman" w:eastAsia="Times New Roman" w:hAnsi="Times New Roman" w:cs="Times New Roman"/>
          <w:color w:val="000000"/>
          <w:sz w:val="24"/>
          <w:szCs w:val="24"/>
          <w:vertAlign w:val="superscript"/>
        </w:rPr>
        <w:footnoteReference w:id="1021"/>
      </w:r>
      <w:r>
        <w:rPr>
          <w:rFonts w:ascii="Times New Roman" w:eastAsia="Times New Roman" w:hAnsi="Times New Roman" w:cs="Times New Roman"/>
          <w:color w:val="000000"/>
          <w:sz w:val="24"/>
          <w:szCs w:val="24"/>
        </w:rPr>
        <w:t xml:space="preserve"> The Seventh Circuit affirmed. </w:t>
      </w:r>
    </w:p>
    <w:p w14:paraId="000003B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Neither </w:t>
      </w:r>
      <w:r>
        <w:rPr>
          <w:rFonts w:ascii="Times New Roman" w:eastAsia="Times New Roman" w:hAnsi="Times New Roman" w:cs="Times New Roman"/>
          <w:i/>
          <w:color w:val="000000"/>
          <w:sz w:val="24"/>
          <w:szCs w:val="24"/>
        </w:rPr>
        <w:t xml:space="preserve">Klinedinst </w:t>
      </w:r>
      <w:r>
        <w:rPr>
          <w:rFonts w:ascii="Times New Roman" w:eastAsia="Times New Roman" w:hAnsi="Times New Roman" w:cs="Times New Roman"/>
          <w:color w:val="000000"/>
          <w:sz w:val="24"/>
          <w:szCs w:val="24"/>
        </w:rPr>
        <w:t>nor</w:t>
      </w:r>
      <w:r>
        <w:rPr>
          <w:rFonts w:ascii="Times New Roman" w:eastAsia="Times New Roman" w:hAnsi="Times New Roman" w:cs="Times New Roman"/>
          <w:i/>
          <w:color w:val="000000"/>
          <w:sz w:val="24"/>
          <w:szCs w:val="24"/>
        </w:rPr>
        <w:t xml:space="preserve"> Yi</w:t>
      </w:r>
      <w:r>
        <w:rPr>
          <w:rFonts w:ascii="Times New Roman" w:eastAsia="Times New Roman" w:hAnsi="Times New Roman" w:cs="Times New Roman"/>
          <w:color w:val="000000"/>
          <w:sz w:val="24"/>
          <w:szCs w:val="24"/>
        </w:rPr>
        <w:t xml:space="preserve"> discussed the need for proportionality, or whether it existed. In </w:t>
      </w:r>
      <w:r>
        <w:rPr>
          <w:rFonts w:ascii="Times New Roman" w:eastAsia="Times New Roman" w:hAnsi="Times New Roman" w:cs="Times New Roman"/>
          <w:i/>
          <w:color w:val="000000"/>
          <w:sz w:val="24"/>
          <w:szCs w:val="24"/>
        </w:rPr>
        <w:t>Huntley v. Bonner’s,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22"/>
      </w:r>
      <w:r>
        <w:rPr>
          <w:rFonts w:ascii="Times New Roman" w:eastAsia="Times New Roman" w:hAnsi="Times New Roman" w:cs="Times New Roman"/>
          <w:color w:val="000000"/>
          <w:sz w:val="24"/>
          <w:szCs w:val="24"/>
        </w:rPr>
        <w:t xml:space="preserve"> a Washington district court found that a “‘flat-rate’ compensation system can be a commission-based system,” but that the system before it was not because “the plaintiff was paid the exact same hourly rate regardless of the amount charged to the </w:t>
      </w:r>
      <w:r>
        <w:rPr>
          <w:rFonts w:ascii="Times New Roman" w:eastAsia="Times New Roman" w:hAnsi="Times New Roman" w:cs="Times New Roman"/>
          <w:color w:val="000000"/>
          <w:sz w:val="24"/>
          <w:szCs w:val="24"/>
        </w:rPr>
        <w:lastRenderedPageBreak/>
        <w:t>customer.”</w:t>
      </w:r>
      <w:r>
        <w:rPr>
          <w:rFonts w:ascii="Times New Roman" w:eastAsia="Times New Roman" w:hAnsi="Times New Roman" w:cs="Times New Roman"/>
          <w:color w:val="000000"/>
          <w:sz w:val="24"/>
          <w:szCs w:val="24"/>
          <w:vertAlign w:val="superscript"/>
        </w:rPr>
        <w:footnoteReference w:id="1023"/>
      </w:r>
      <w:r>
        <w:rPr>
          <w:rFonts w:ascii="Times New Roman" w:eastAsia="Times New Roman" w:hAnsi="Times New Roman" w:cs="Times New Roman"/>
          <w:color w:val="000000"/>
          <w:sz w:val="24"/>
          <w:szCs w:val="24"/>
        </w:rPr>
        <w:t xml:space="preserve"> The court found that there was no correlation between the amount paid to the employee and the amount charged to the customer for labor performed on his or her behalf:</w:t>
      </w:r>
      <w:r>
        <w:rPr>
          <w:rFonts w:ascii="Times New Roman" w:eastAsia="Times New Roman" w:hAnsi="Times New Roman" w:cs="Times New Roman"/>
          <w:color w:val="000000"/>
          <w:sz w:val="24"/>
          <w:szCs w:val="24"/>
          <w:vertAlign w:val="superscript"/>
        </w:rPr>
        <w:footnoteReference w:id="1024"/>
      </w:r>
    </w:p>
    <w:p w14:paraId="000003B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Absent some relationship between the amount charged to the customer and the amount paid to the employee, defendant’s system is more akin to piece work, where the technician is paid a set amount per task and the employer is free to keep whatever additional charges it is able to impose on the customer. Such payments are not “commissions” under the FLSA.</w:t>
      </w:r>
      <w:r>
        <w:rPr>
          <w:rFonts w:ascii="Times New Roman" w:eastAsia="Times New Roman" w:hAnsi="Times New Roman" w:cs="Times New Roman"/>
          <w:color w:val="000000"/>
          <w:sz w:val="20"/>
          <w:szCs w:val="20"/>
          <w:vertAlign w:val="superscript"/>
        </w:rPr>
        <w:footnoteReference w:id="1025"/>
      </w:r>
    </w:p>
    <w:p w14:paraId="000003B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On similar facts to those in </w:t>
      </w:r>
      <w:r>
        <w:rPr>
          <w:rFonts w:ascii="Times New Roman" w:eastAsia="Times New Roman" w:hAnsi="Times New Roman" w:cs="Times New Roman"/>
          <w:i/>
          <w:color w:val="000000"/>
          <w:sz w:val="24"/>
          <w:szCs w:val="24"/>
        </w:rPr>
        <w:t>Huntley</w:t>
      </w:r>
      <w:r>
        <w:rPr>
          <w:rFonts w:ascii="Times New Roman" w:eastAsia="Times New Roman" w:hAnsi="Times New Roman" w:cs="Times New Roman"/>
          <w:color w:val="000000"/>
          <w:sz w:val="24"/>
          <w:szCs w:val="24"/>
        </w:rPr>
        <w:t xml:space="preserve">, the district court in </w:t>
      </w:r>
      <w:r>
        <w:rPr>
          <w:rFonts w:ascii="Times New Roman" w:eastAsia="Times New Roman" w:hAnsi="Times New Roman" w:cs="Times New Roman"/>
          <w:i/>
          <w:color w:val="000000"/>
          <w:sz w:val="24"/>
          <w:szCs w:val="24"/>
        </w:rPr>
        <w:t>Wilks v. Pep Boys </w:t>
      </w:r>
      <w:r>
        <w:rPr>
          <w:rFonts w:ascii="Times New Roman" w:eastAsia="Times New Roman" w:hAnsi="Times New Roman" w:cs="Times New Roman"/>
          <w:color w:val="000000"/>
          <w:sz w:val="24"/>
          <w:szCs w:val="24"/>
          <w:vertAlign w:val="superscript"/>
        </w:rPr>
        <w:footnoteReference w:id="1026"/>
      </w:r>
      <w:r>
        <w:rPr>
          <w:rFonts w:ascii="Times New Roman" w:eastAsia="Times New Roman" w:hAnsi="Times New Roman" w:cs="Times New Roman"/>
          <w:color w:val="000000"/>
          <w:sz w:val="24"/>
          <w:szCs w:val="24"/>
        </w:rPr>
        <w:t xml:space="preserve"> relied on </w:t>
      </w:r>
      <w:r>
        <w:rPr>
          <w:rFonts w:ascii="Times New Roman" w:eastAsia="Times New Roman" w:hAnsi="Times New Roman" w:cs="Times New Roman"/>
          <w:i/>
          <w:color w:val="000000"/>
          <w:sz w:val="24"/>
          <w:szCs w:val="24"/>
        </w:rPr>
        <w:t xml:space="preserve">Huntley </w:t>
      </w:r>
      <w:r>
        <w:rPr>
          <w:rFonts w:ascii="Times New Roman" w:eastAsia="Times New Roman" w:hAnsi="Times New Roman" w:cs="Times New Roman"/>
          <w:color w:val="000000"/>
          <w:sz w:val="24"/>
          <w:szCs w:val="24"/>
        </w:rPr>
        <w:t>to reach its decision that there was a need for proportionality in any commission-based system.</w:t>
      </w:r>
      <w:r>
        <w:rPr>
          <w:rFonts w:ascii="Times New Roman" w:eastAsia="Times New Roman" w:hAnsi="Times New Roman" w:cs="Times New Roman"/>
          <w:color w:val="000000"/>
          <w:sz w:val="24"/>
          <w:szCs w:val="24"/>
          <w:vertAlign w:val="superscript"/>
        </w:rPr>
        <w:footnoteReference w:id="1027"/>
      </w:r>
      <w:r>
        <w:rPr>
          <w:rFonts w:ascii="Times New Roman" w:eastAsia="Times New Roman" w:hAnsi="Times New Roman" w:cs="Times New Roman"/>
          <w:color w:val="000000"/>
          <w:sz w:val="24"/>
          <w:szCs w:val="24"/>
        </w:rPr>
        <w:t xml:space="preserve"> The court began its analysis by noting </w:t>
      </w:r>
      <w:r>
        <w:rPr>
          <w:rFonts w:ascii="Times New Roman" w:eastAsia="Times New Roman" w:hAnsi="Times New Roman" w:cs="Times New Roman"/>
          <w:i/>
          <w:color w:val="000000"/>
          <w:sz w:val="24"/>
          <w:szCs w:val="24"/>
        </w:rPr>
        <w:t>Klinedinst</w:t>
      </w:r>
      <w:r>
        <w:rPr>
          <w:rFonts w:ascii="Times New Roman" w:eastAsia="Times New Roman" w:hAnsi="Times New Roman" w:cs="Times New Roman"/>
          <w:color w:val="000000"/>
          <w:sz w:val="24"/>
          <w:szCs w:val="24"/>
        </w:rPr>
        <w:t xml:space="preserve"> did not address the issue of proportionality, nor did the facts of the case indicate whether compensation paid to the employee was linked to the amount the employer charged its customers.</w:t>
      </w:r>
      <w:r>
        <w:rPr>
          <w:rFonts w:ascii="Times New Roman" w:eastAsia="Times New Roman" w:hAnsi="Times New Roman" w:cs="Times New Roman"/>
          <w:color w:val="000000"/>
          <w:sz w:val="24"/>
          <w:szCs w:val="24"/>
          <w:vertAlign w:val="superscript"/>
        </w:rPr>
        <w:footnoteReference w:id="1028"/>
      </w:r>
      <w:r>
        <w:rPr>
          <w:rFonts w:ascii="Times New Roman" w:eastAsia="Times New Roman" w:hAnsi="Times New Roman" w:cs="Times New Roman"/>
          <w:color w:val="000000"/>
          <w:sz w:val="24"/>
          <w:szCs w:val="24"/>
        </w:rPr>
        <w:t xml:space="preserve"> Rather “it simply determined that the employee’s pay system was similar to the one described in the DOL’s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and that this similarity meant that the system qualified as ‘commission’ under Section 7(i).”</w:t>
      </w:r>
      <w:r>
        <w:rPr>
          <w:rFonts w:ascii="Times New Roman" w:eastAsia="Times New Roman" w:hAnsi="Times New Roman" w:cs="Times New Roman"/>
          <w:color w:val="000000"/>
          <w:sz w:val="24"/>
          <w:szCs w:val="24"/>
          <w:vertAlign w:val="superscript"/>
        </w:rPr>
        <w:footnoteReference w:id="1029"/>
      </w:r>
    </w:p>
    <w:p w14:paraId="000003B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 appeal, the Sixth Circuit agreed with the district court and held that the employer must establish some proportionality between the compensation paid to the employees and the amount charged to the customer for the payment to qualify as a “commission” under Section 207(i):</w:t>
      </w:r>
    </w:p>
    <w:p w14:paraId="000003C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district court rejected Defendant’s definition of “commission” and found, as matter of law, that to constitute a commission under 29 U.S.C. § 207(i), the employer must establish some proportionality between the compensation to the employees and the amount charged to the customer. The district court reached its conclusion after thoroughly analyzing relevant case law and Department of Labor publications, noting that “the precedent cited by both parties seems to reinforce—or at least not undermine—the need for proportionality in any commission-based system.”</w:t>
      </w:r>
    </w:p>
    <w:p w14:paraId="000003C1"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Given that the relevant authority supports a proportionality requirement to the overtime pay exemption under the FLSA, and that courts must interpret such exemptions narrowly and against the employer, we conclude that the district court’s comprehensive and well-reasoned opinion supports its legal conclusion and the denial of Defendant’s motion for partial summary judgment.</w:t>
      </w:r>
      <w:r>
        <w:rPr>
          <w:rFonts w:ascii="Times New Roman" w:eastAsia="Times New Roman" w:hAnsi="Times New Roman" w:cs="Times New Roman"/>
          <w:color w:val="000000"/>
          <w:sz w:val="20"/>
          <w:szCs w:val="20"/>
          <w:vertAlign w:val="superscript"/>
        </w:rPr>
        <w:footnoteReference w:id="1030"/>
      </w:r>
    </w:p>
    <w:p w14:paraId="000003C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Shortly after the </w:t>
      </w:r>
      <w:r>
        <w:rPr>
          <w:rFonts w:ascii="Times New Roman" w:eastAsia="Times New Roman" w:hAnsi="Times New Roman" w:cs="Times New Roman"/>
          <w:i/>
          <w:color w:val="000000"/>
          <w:sz w:val="24"/>
          <w:szCs w:val="24"/>
        </w:rPr>
        <w:t xml:space="preserve">Wilks </w:t>
      </w:r>
      <w:r>
        <w:rPr>
          <w:rFonts w:ascii="Times New Roman" w:eastAsia="Times New Roman" w:hAnsi="Times New Roman" w:cs="Times New Roman"/>
          <w:color w:val="000000"/>
          <w:sz w:val="24"/>
          <w:szCs w:val="24"/>
        </w:rPr>
        <w:t xml:space="preserve">decision issued, the plaintiffs filed an action in </w:t>
      </w:r>
      <w:r>
        <w:rPr>
          <w:rFonts w:ascii="Times New Roman" w:eastAsia="Times New Roman" w:hAnsi="Times New Roman" w:cs="Times New Roman"/>
          <w:i/>
          <w:color w:val="000000"/>
          <w:sz w:val="24"/>
          <w:szCs w:val="24"/>
        </w:rPr>
        <w:t>Parker v. NutriSystem,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31"/>
      </w:r>
      <w:r>
        <w:rPr>
          <w:rFonts w:ascii="Times New Roman" w:eastAsia="Times New Roman" w:hAnsi="Times New Roman" w:cs="Times New Roman"/>
          <w:color w:val="000000"/>
          <w:sz w:val="24"/>
          <w:szCs w:val="24"/>
        </w:rPr>
        <w:t xml:space="preserve"> relying on </w:t>
      </w:r>
      <w:r>
        <w:rPr>
          <w:rFonts w:ascii="Times New Roman" w:eastAsia="Times New Roman" w:hAnsi="Times New Roman" w:cs="Times New Roman"/>
          <w:i/>
          <w:color w:val="000000"/>
          <w:sz w:val="24"/>
          <w:szCs w:val="24"/>
        </w:rPr>
        <w:t>Wilks</w:t>
      </w:r>
      <w:r>
        <w:rPr>
          <w:rFonts w:ascii="Times New Roman" w:eastAsia="Times New Roman" w:hAnsi="Times New Roman" w:cs="Times New Roman"/>
          <w:color w:val="000000"/>
          <w:sz w:val="24"/>
          <w:szCs w:val="24"/>
        </w:rPr>
        <w:t xml:space="preserve">. NutriSystem argued that its method of compensating its call center employees constituted a commission under Section 207(i) of the FLSA. Under Nutrisystem’s compensation plan, sales associates received the greater of either their hourly pay rate or their flat-rate payments per sale for each pay period. The hourly rate was $10 per hour for </w:t>
      </w:r>
      <w:r>
        <w:rPr>
          <w:rFonts w:ascii="Times New Roman" w:eastAsia="Times New Roman" w:hAnsi="Times New Roman" w:cs="Times New Roman"/>
          <w:color w:val="000000"/>
          <w:sz w:val="24"/>
          <w:szCs w:val="24"/>
        </w:rPr>
        <w:lastRenderedPageBreak/>
        <w:t>the first 40 hours and $15 per hour for overtime; the flat rates per sale varied from $18 for each 28-day program sold via an incoming call during daytime hours, to $40 for each 28-day program sold on an outbound call or during the overnight shift.</w:t>
      </w:r>
      <w:r>
        <w:rPr>
          <w:rFonts w:ascii="Times New Roman" w:eastAsia="Times New Roman" w:hAnsi="Times New Roman" w:cs="Times New Roman"/>
          <w:color w:val="000000"/>
          <w:sz w:val="24"/>
          <w:szCs w:val="24"/>
          <w:vertAlign w:val="superscript"/>
        </w:rPr>
        <w:footnoteReference w:id="1032"/>
      </w:r>
      <w:r>
        <w:rPr>
          <w:rFonts w:ascii="Times New Roman" w:eastAsia="Times New Roman" w:hAnsi="Times New Roman" w:cs="Times New Roman"/>
          <w:color w:val="000000"/>
          <w:sz w:val="24"/>
          <w:szCs w:val="24"/>
        </w:rPr>
        <w:t xml:space="preserve"> The district court found that the call center employees were paid on a commission basis.</w:t>
      </w:r>
      <w:r>
        <w:rPr>
          <w:rFonts w:ascii="Times New Roman" w:eastAsia="Times New Roman" w:hAnsi="Times New Roman" w:cs="Times New Roman"/>
          <w:color w:val="000000"/>
          <w:sz w:val="24"/>
          <w:szCs w:val="24"/>
          <w:vertAlign w:val="superscript"/>
        </w:rPr>
        <w:footnoteReference w:id="1033"/>
      </w:r>
      <w:r>
        <w:rPr>
          <w:rFonts w:ascii="Times New Roman" w:eastAsia="Times New Roman" w:hAnsi="Times New Roman" w:cs="Times New Roman"/>
          <w:color w:val="000000"/>
          <w:sz w:val="24"/>
          <w:szCs w:val="24"/>
        </w:rPr>
        <w:t xml:space="preserve"> The court distinguished </w:t>
      </w:r>
      <w:r>
        <w:rPr>
          <w:rFonts w:ascii="Times New Roman" w:eastAsia="Times New Roman" w:hAnsi="Times New Roman" w:cs="Times New Roman"/>
          <w:i/>
          <w:color w:val="000000"/>
          <w:sz w:val="24"/>
          <w:szCs w:val="24"/>
        </w:rPr>
        <w:t>Wilks</w:t>
      </w:r>
      <w:r>
        <w:rPr>
          <w:rFonts w:ascii="Times New Roman" w:eastAsia="Times New Roman" w:hAnsi="Times New Roman" w:cs="Times New Roman"/>
          <w:color w:val="000000"/>
          <w:sz w:val="24"/>
          <w:szCs w:val="24"/>
        </w:rPr>
        <w:t xml:space="preserve">: </w:t>
      </w:r>
    </w:p>
    <w:p w14:paraId="000003C3"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Because the defendant [in </w:t>
      </w:r>
      <w:r>
        <w:rPr>
          <w:rFonts w:ascii="Times New Roman" w:eastAsia="Times New Roman" w:hAnsi="Times New Roman" w:cs="Times New Roman"/>
          <w:i/>
          <w:color w:val="000000"/>
          <w:sz w:val="20"/>
          <w:szCs w:val="20"/>
        </w:rPr>
        <w:t>Wilks</w:t>
      </w:r>
      <w:r>
        <w:rPr>
          <w:rFonts w:ascii="Times New Roman" w:eastAsia="Times New Roman" w:hAnsi="Times New Roman" w:cs="Times New Roman"/>
          <w:color w:val="000000"/>
          <w:sz w:val="20"/>
          <w:szCs w:val="20"/>
        </w:rPr>
        <w:t xml:space="preserve">] put forth neither argument nor evidence in support of the notion that employee compensation correlates with overall customer price, the court concluded that no proportional relationship existed. </w:t>
      </w:r>
      <w:r>
        <w:rPr>
          <w:rFonts w:ascii="Times New Roman" w:eastAsia="Times New Roman" w:hAnsi="Times New Roman" w:cs="Times New Roman"/>
          <w:i/>
          <w:color w:val="000000"/>
          <w:sz w:val="20"/>
          <w:szCs w:val="20"/>
        </w:rPr>
        <w:t>Wilks</w:t>
      </w:r>
      <w:r>
        <w:rPr>
          <w:rFonts w:ascii="Times New Roman" w:eastAsia="Times New Roman" w:hAnsi="Times New Roman" w:cs="Times New Roman"/>
          <w:color w:val="000000"/>
          <w:sz w:val="20"/>
          <w:szCs w:val="20"/>
        </w:rPr>
        <w:t> is thus distinguishable from the case before us in which NutriSystem has both argued and offered evidence of proportionality.</w:t>
      </w:r>
      <w:r>
        <w:rPr>
          <w:rFonts w:ascii="Times New Roman" w:eastAsia="Times New Roman" w:hAnsi="Times New Roman" w:cs="Times New Roman"/>
          <w:color w:val="000000"/>
          <w:sz w:val="20"/>
          <w:szCs w:val="20"/>
          <w:vertAlign w:val="superscript"/>
        </w:rPr>
        <w:footnoteReference w:id="1034"/>
      </w:r>
      <w:r>
        <w:rPr>
          <w:rFonts w:ascii="Times New Roman" w:eastAsia="Times New Roman" w:hAnsi="Times New Roman" w:cs="Times New Roman"/>
          <w:color w:val="000000"/>
          <w:sz w:val="20"/>
          <w:szCs w:val="20"/>
        </w:rPr>
        <w:t xml:space="preserve"> </w:t>
      </w:r>
    </w:p>
    <w:p w14:paraId="000003C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case was appealed to the Third Circuit and the Secretary of Labor filed an amicus brief in support of the plaintiffs. According to the Secretary’s brief, </w:t>
      </w:r>
    </w:p>
    <w:p w14:paraId="000003C5"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district court erred by ruling that the NutriSystem call center employees were exempt even though there was no showing that the flat fees paid were in any way related to the cost to the customer. Had, for instance, NutriSystem utilized fixed payments that varied according to the differences in the cost to the customer, this could have constituted a commission under section 7(i).</w:t>
      </w:r>
      <w:r>
        <w:rPr>
          <w:rFonts w:ascii="Times New Roman" w:eastAsia="Times New Roman" w:hAnsi="Times New Roman" w:cs="Times New Roman"/>
          <w:color w:val="000000"/>
          <w:sz w:val="20"/>
          <w:szCs w:val="20"/>
          <w:vertAlign w:val="superscript"/>
        </w:rPr>
        <w:footnoteReference w:id="1035"/>
      </w:r>
      <w:r>
        <w:rPr>
          <w:rFonts w:ascii="Times New Roman" w:eastAsia="Times New Roman" w:hAnsi="Times New Roman" w:cs="Times New Roman"/>
          <w:color w:val="000000"/>
          <w:sz w:val="20"/>
          <w:szCs w:val="20"/>
        </w:rPr>
        <w:t xml:space="preserve"> </w:t>
      </w:r>
    </w:p>
    <w:p w14:paraId="000003C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Third Circuit disagreed and affirmed the decision of the district court. In reaching its conclusion, the Third Circuit gave no deference to DOL guidance on what constitutes a “commission” and determined that the fact that NutriSystem’s plan was not calculated strictly as a percentage of sale price did not disqualify it from being a commission under Section 207(i). The Third Circuit declined “to adopt a test that requires a commission, under § 7(i), to be strictly based on a percentage of the end cost to the consumer.”</w:t>
      </w:r>
      <w:r>
        <w:rPr>
          <w:rFonts w:ascii="Times New Roman" w:eastAsia="Times New Roman" w:hAnsi="Times New Roman" w:cs="Times New Roman"/>
          <w:color w:val="000000"/>
          <w:sz w:val="24"/>
          <w:szCs w:val="24"/>
          <w:vertAlign w:val="superscript"/>
        </w:rPr>
        <w:footnoteReference w:id="1036"/>
      </w:r>
      <w:r>
        <w:rPr>
          <w:rFonts w:ascii="Times New Roman" w:eastAsia="Times New Roman" w:hAnsi="Times New Roman" w:cs="Times New Roman"/>
          <w:color w:val="000000"/>
          <w:sz w:val="24"/>
          <w:szCs w:val="24"/>
        </w:rPr>
        <w:t xml:space="preserve"> Rather, the court cited several factors in finding NutriSystem’s pay plan to be a “commission based” system, including that (1) the payments to the sales associates were sufficiently proportional to the cost to the consumer; (2) the NutriSystem plan “bases compensation on sales”; (3) from a policy standpoint, it was reasonable to permit NutriSystem to offer different commissions depending on the time of the sale and whether the sale was the result of an incoming or outgoing call; and (4) the plan did not offend the purposes of the FLSA.</w:t>
      </w:r>
      <w:r>
        <w:rPr>
          <w:rFonts w:ascii="Times New Roman" w:eastAsia="Times New Roman" w:hAnsi="Times New Roman" w:cs="Times New Roman"/>
          <w:color w:val="000000"/>
          <w:sz w:val="24"/>
          <w:szCs w:val="24"/>
          <w:vertAlign w:val="superscript"/>
        </w:rPr>
        <w:footnoteReference w:id="1037"/>
      </w:r>
      <w:r>
        <w:rPr>
          <w:rFonts w:ascii="Times New Roman" w:eastAsia="Times New Roman" w:hAnsi="Times New Roman" w:cs="Times New Roman"/>
          <w:color w:val="000000"/>
          <w:sz w:val="24"/>
          <w:szCs w:val="24"/>
        </w:rPr>
        <w:t xml:space="preserve"> The court concluded that “when the flat-rate payments made to an employee based on that employee’s sales are proportionally related to the charges passed on to the consumer, the payments can be considered a bona fide commission rate for the purposes of §7(i).”</w:t>
      </w:r>
      <w:r>
        <w:rPr>
          <w:rFonts w:ascii="Times New Roman" w:eastAsia="Times New Roman" w:hAnsi="Times New Roman" w:cs="Times New Roman"/>
          <w:color w:val="000000"/>
          <w:sz w:val="24"/>
          <w:szCs w:val="24"/>
          <w:vertAlign w:val="superscript"/>
        </w:rPr>
        <w:footnoteReference w:id="1038"/>
      </w:r>
      <w:r>
        <w:rPr>
          <w:rFonts w:ascii="Times New Roman" w:eastAsia="Times New Roman" w:hAnsi="Times New Roman" w:cs="Times New Roman"/>
          <w:color w:val="000000"/>
          <w:sz w:val="24"/>
          <w:szCs w:val="24"/>
        </w:rPr>
        <w:t xml:space="preserve"> </w:t>
      </w:r>
    </w:p>
    <w:p w14:paraId="000003C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Five years later, the Seventh Circuit, in </w:t>
      </w:r>
      <w:r>
        <w:rPr>
          <w:rFonts w:ascii="Times New Roman" w:eastAsia="Times New Roman" w:hAnsi="Times New Roman" w:cs="Times New Roman"/>
          <w:i/>
          <w:color w:val="000000"/>
          <w:sz w:val="24"/>
          <w:szCs w:val="24"/>
        </w:rPr>
        <w:t>Alvarado v. Corporate Cleaning Services,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39"/>
      </w:r>
      <w:r>
        <w:rPr>
          <w:rFonts w:ascii="Times New Roman" w:eastAsia="Times New Roman" w:hAnsi="Times New Roman" w:cs="Times New Roman"/>
          <w:color w:val="000000"/>
          <w:sz w:val="24"/>
          <w:szCs w:val="24"/>
        </w:rPr>
        <w:t xml:space="preserve"> issued a decision supporting the analysis in </w:t>
      </w:r>
      <w:r>
        <w:rPr>
          <w:rFonts w:ascii="Times New Roman" w:eastAsia="Times New Roman" w:hAnsi="Times New Roman" w:cs="Times New Roman"/>
          <w:i/>
          <w:color w:val="000000"/>
          <w:sz w:val="24"/>
          <w:szCs w:val="24"/>
        </w:rPr>
        <w:t xml:space="preserve">Yi </w:t>
      </w:r>
      <w:r>
        <w:rPr>
          <w:rFonts w:ascii="Times New Roman" w:eastAsia="Times New Roman" w:hAnsi="Times New Roman" w:cs="Times New Roman"/>
          <w:color w:val="000000"/>
          <w:sz w:val="24"/>
          <w:szCs w:val="24"/>
        </w:rPr>
        <w:t>and</w:t>
      </w:r>
      <w:r>
        <w:rPr>
          <w:rFonts w:ascii="Times New Roman" w:eastAsia="Times New Roman" w:hAnsi="Times New Roman" w:cs="Times New Roman"/>
          <w:i/>
          <w:color w:val="000000"/>
          <w:sz w:val="24"/>
          <w:szCs w:val="24"/>
        </w:rPr>
        <w:t xml:space="preserve"> Parker</w:t>
      </w:r>
      <w:r>
        <w:rPr>
          <w:rFonts w:ascii="Times New Roman" w:eastAsia="Times New Roman" w:hAnsi="Times New Roman" w:cs="Times New Roman"/>
          <w:color w:val="000000"/>
          <w:sz w:val="24"/>
          <w:szCs w:val="24"/>
        </w:rPr>
        <w:t>:</w:t>
      </w:r>
    </w:p>
    <w:p w14:paraId="000003C8"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Our decision in </w:t>
      </w:r>
      <w:r>
        <w:rPr>
          <w:rFonts w:ascii="Times New Roman" w:eastAsia="Times New Roman" w:hAnsi="Times New Roman" w:cs="Times New Roman"/>
          <w:i/>
          <w:color w:val="000000"/>
          <w:sz w:val="20"/>
          <w:szCs w:val="20"/>
        </w:rPr>
        <w:t>Yi</w:t>
      </w:r>
      <w:r>
        <w:rPr>
          <w:rFonts w:ascii="Times New Roman" w:eastAsia="Times New Roman" w:hAnsi="Times New Roman" w:cs="Times New Roman"/>
          <w:color w:val="000000"/>
          <w:sz w:val="20"/>
          <w:szCs w:val="20"/>
        </w:rPr>
        <w:t>, cited earlier, which involved auto repair, supports CCS’s position. As in this case, the employer in </w:t>
      </w:r>
      <w:r>
        <w:rPr>
          <w:rFonts w:ascii="Times New Roman" w:eastAsia="Times New Roman" w:hAnsi="Times New Roman" w:cs="Times New Roman"/>
          <w:i/>
          <w:color w:val="000000"/>
          <w:sz w:val="20"/>
          <w:szCs w:val="20"/>
        </w:rPr>
        <w:t>Yi</w:t>
      </w:r>
      <w:r>
        <w:rPr>
          <w:rFonts w:ascii="Times New Roman" w:eastAsia="Times New Roman" w:hAnsi="Times New Roman" w:cs="Times New Roman"/>
          <w:color w:val="000000"/>
          <w:sz w:val="20"/>
          <w:szCs w:val="20"/>
        </w:rPr>
        <w:t xml:space="preserve"> made adjustments to the price of its service for such things as differences in costs of </w:t>
      </w:r>
      <w:r>
        <w:rPr>
          <w:rFonts w:ascii="Times New Roman" w:eastAsia="Times New Roman" w:hAnsi="Times New Roman" w:cs="Times New Roman"/>
          <w:color w:val="000000"/>
          <w:sz w:val="20"/>
          <w:szCs w:val="20"/>
        </w:rPr>
        <w:lastRenderedPageBreak/>
        <w:t>materials used. The adjustments made the percentage of the price attributable to its auto mechanics’ compensation vary from repair to repair. We held that this didn’t invalidate the compensation system as a commission system. The Third Circuit agreed. We are unaware of any contrary authority.</w:t>
      </w:r>
      <w:r>
        <w:rPr>
          <w:rFonts w:ascii="Times New Roman" w:eastAsia="Times New Roman" w:hAnsi="Times New Roman" w:cs="Times New Roman"/>
          <w:color w:val="000000"/>
          <w:sz w:val="20"/>
          <w:szCs w:val="20"/>
          <w:vertAlign w:val="superscript"/>
        </w:rPr>
        <w:footnoteReference w:id="1040"/>
      </w:r>
    </w:p>
    <w:p w14:paraId="000003C9"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From the Seventh Circuit’s perspective, the “more important consideration is that commission compensated work involves irregular hours of work.”</w:t>
      </w:r>
      <w:r>
        <w:rPr>
          <w:rFonts w:ascii="Times New Roman" w:eastAsia="Times New Roman" w:hAnsi="Times New Roman" w:cs="Times New Roman"/>
          <w:color w:val="000000"/>
          <w:sz w:val="24"/>
          <w:szCs w:val="24"/>
          <w:vertAlign w:val="superscript"/>
        </w:rPr>
        <w:footnoteReference w:id="1041"/>
      </w:r>
    </w:p>
    <w:p w14:paraId="000003CA"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An employee who is paid by the sale is not a commission worker if his sales are made at a uniform rate (e.g., one sale per hour), so that the ratio of his hours worked to his pay is constant. For in that case his pay is effectively hourly. That’s why piece-rate workers are not within the commission exception: because they keep producing even when no sale is imminent, the relation between the hours they work and their output tends to be constant. But CCS’s employees can work only when CCS is hired to wash a building’s windows. Employment necessarily is irregular (rather than the standard eight-hour workday) because of the peculiar conditions of the window-washing business. [Court describes the reasons for the irregular hours in the window-washing business.]</w:t>
      </w:r>
    </w:p>
    <w:p w14:paraId="000003C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window washers make up for this slack by often working more than eight hours a day during spring, summer, and fall, though even in those months there are times when they can’t work eight hours a day, whether because of other work being done on the building, the manager’s failure to notify residents of the window washing, a slowdown in demand for CCS’s services by building owners or managers, or, most exotically, attacks on window washers by peregrine falcons.</w:t>
      </w:r>
      <w:r>
        <w:rPr>
          <w:rFonts w:ascii="Times New Roman" w:eastAsia="Times New Roman" w:hAnsi="Times New Roman" w:cs="Times New Roman"/>
          <w:color w:val="000000"/>
          <w:sz w:val="20"/>
          <w:szCs w:val="20"/>
          <w:vertAlign w:val="superscript"/>
        </w:rPr>
        <w:footnoteReference w:id="1042"/>
      </w:r>
    </w:p>
    <w:p w14:paraId="000003CC"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the Seventh Circuit, the “result of these impediments to steady work is that a window washer can’t count on working 40 hours each week for an entire year. This is the reason for exempting his employer from the requirement of paying the worker time and one half for overtime.”</w:t>
      </w:r>
      <w:r>
        <w:rPr>
          <w:rFonts w:ascii="Times New Roman" w:eastAsia="Times New Roman" w:hAnsi="Times New Roman" w:cs="Times New Roman"/>
          <w:color w:val="000000"/>
          <w:sz w:val="24"/>
          <w:szCs w:val="24"/>
          <w:vertAlign w:val="superscript"/>
        </w:rPr>
        <w:footnoteReference w:id="1043"/>
      </w:r>
    </w:p>
    <w:p w14:paraId="000003C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Since </w:t>
      </w:r>
      <w:r>
        <w:rPr>
          <w:rFonts w:ascii="Times New Roman" w:eastAsia="Times New Roman" w:hAnsi="Times New Roman" w:cs="Times New Roman"/>
          <w:i/>
          <w:color w:val="000000"/>
          <w:sz w:val="24"/>
          <w:szCs w:val="24"/>
        </w:rPr>
        <w:t>Wilks</w:t>
      </w:r>
      <w:r>
        <w:rPr>
          <w:rFonts w:ascii="Times New Roman" w:eastAsia="Times New Roman" w:hAnsi="Times New Roman" w:cs="Times New Roman"/>
          <w:color w:val="000000"/>
          <w:sz w:val="24"/>
          <w:szCs w:val="24"/>
        </w:rPr>
        <w:t>, a number of district courts have also weighed in on the “proportionality issue.”</w:t>
      </w:r>
      <w:r>
        <w:rPr>
          <w:rFonts w:ascii="Times New Roman" w:eastAsia="Times New Roman" w:hAnsi="Times New Roman" w:cs="Times New Roman"/>
          <w:color w:val="000000"/>
          <w:sz w:val="24"/>
          <w:szCs w:val="24"/>
          <w:vertAlign w:val="superscript"/>
        </w:rPr>
        <w:footnoteReference w:id="1044"/>
      </w:r>
      <w:r>
        <w:rPr>
          <w:rFonts w:ascii="Times New Roman" w:eastAsia="Times New Roman" w:hAnsi="Times New Roman" w:cs="Times New Roman"/>
          <w:color w:val="000000"/>
          <w:sz w:val="24"/>
          <w:szCs w:val="24"/>
        </w:rPr>
        <w:t xml:space="preserve"> And the Seventh Circuit has reiterated its support for the proportionality argument: </w:t>
      </w:r>
      <w:r>
        <w:rPr>
          <w:rFonts w:ascii="Times New Roman" w:eastAsia="Times New Roman" w:hAnsi="Times New Roman" w:cs="Times New Roman"/>
          <w:color w:val="000000"/>
          <w:sz w:val="24"/>
          <w:szCs w:val="24"/>
        </w:rPr>
        <w:lastRenderedPageBreak/>
        <w:t>“Because pay is proportional and correlated to each technician’s sales, the [Section 207(i)] exception applies to [the plaintiffs], so they are not entitled to additional overtime wages.”</w:t>
      </w:r>
      <w:r>
        <w:rPr>
          <w:rFonts w:ascii="Times New Roman" w:eastAsia="Times New Roman" w:hAnsi="Times New Roman" w:cs="Times New Roman"/>
          <w:color w:val="000000"/>
          <w:sz w:val="20"/>
          <w:szCs w:val="20"/>
          <w:vertAlign w:val="superscript"/>
        </w:rPr>
        <w:footnoteReference w:id="1045"/>
      </w:r>
      <w:r>
        <w:rPr>
          <w:rFonts w:ascii="Times New Roman" w:eastAsia="Times New Roman" w:hAnsi="Times New Roman" w:cs="Times New Roman"/>
          <w:color w:val="000000"/>
          <w:sz w:val="24"/>
          <w:szCs w:val="24"/>
        </w:rPr>
        <w:t xml:space="preserve">The plaintiffs in </w:t>
      </w:r>
      <w:r>
        <w:rPr>
          <w:rFonts w:ascii="Times New Roman" w:eastAsia="Times New Roman" w:hAnsi="Times New Roman" w:cs="Times New Roman"/>
          <w:i/>
          <w:color w:val="000000"/>
          <w:sz w:val="24"/>
          <w:szCs w:val="24"/>
        </w:rPr>
        <w:t>Reed</w:t>
      </w:r>
      <w:r>
        <w:rPr>
          <w:rFonts w:ascii="Times New Roman" w:eastAsia="Times New Roman" w:hAnsi="Times New Roman" w:cs="Times New Roman"/>
          <w:color w:val="000000"/>
          <w:sz w:val="24"/>
          <w:szCs w:val="24"/>
        </w:rPr>
        <w:t xml:space="preserve"> argued that their compensation was not commission-based because the company’s compensation plan incorporated the employee’s hours into many parts: (1) the company’s description of its pay plan made reference to “hourly wages”; (2) company executives testified that hours worked was a factor in calculating take-home pay; and (3) the company’s pay algorithm explicitly incorporated hours worked into several of the steps for computing pay.</w:t>
      </w:r>
      <w:r>
        <w:rPr>
          <w:rFonts w:ascii="Times New Roman" w:eastAsia="Times New Roman" w:hAnsi="Times New Roman" w:cs="Times New Roman"/>
          <w:color w:val="000000"/>
          <w:sz w:val="20"/>
          <w:szCs w:val="20"/>
          <w:vertAlign w:val="superscript"/>
        </w:rPr>
        <w:footnoteReference w:id="1046"/>
      </w:r>
      <w:r>
        <w:rPr>
          <w:rFonts w:ascii="Times New Roman" w:eastAsia="Times New Roman" w:hAnsi="Times New Roman" w:cs="Times New Roman"/>
          <w:color w:val="000000"/>
          <w:sz w:val="24"/>
          <w:szCs w:val="24"/>
        </w:rPr>
        <w:t xml:space="preserve"> The plaintiffs concluded that because the company paid its technicians “an ‘hourly’ wage for each ‘hour’ worked during a pay period, … pay is not ‘decoupled’ from time worked,”</w:t>
      </w:r>
      <w:r>
        <w:rPr>
          <w:rFonts w:ascii="Times New Roman" w:eastAsia="Times New Roman" w:hAnsi="Times New Roman" w:cs="Times New Roman"/>
          <w:color w:val="000000"/>
          <w:sz w:val="20"/>
          <w:szCs w:val="20"/>
          <w:vertAlign w:val="superscript"/>
        </w:rPr>
        <w:footnoteReference w:id="1047"/>
      </w:r>
      <w:r>
        <w:rPr>
          <w:rFonts w:ascii="Times New Roman" w:eastAsia="Times New Roman" w:hAnsi="Times New Roman" w:cs="Times New Roman"/>
          <w:color w:val="000000"/>
          <w:sz w:val="24"/>
          <w:szCs w:val="24"/>
        </w:rPr>
        <w:t xml:space="preserve"> as required by </w:t>
      </w:r>
      <w:r>
        <w:rPr>
          <w:rFonts w:ascii="Times New Roman" w:eastAsia="Times New Roman" w:hAnsi="Times New Roman" w:cs="Times New Roman"/>
          <w:i/>
          <w:color w:val="000000"/>
          <w:sz w:val="24"/>
          <w:szCs w:val="24"/>
        </w:rPr>
        <w:t>Yi v. Sterling Collision Centers, Inc.</w:t>
      </w:r>
      <w:r>
        <w:rPr>
          <w:rFonts w:ascii="Times New Roman" w:eastAsia="Times New Roman" w:hAnsi="Times New Roman" w:cs="Times New Roman"/>
          <w:color w:val="000000"/>
          <w:sz w:val="20"/>
          <w:szCs w:val="20"/>
          <w:vertAlign w:val="superscript"/>
        </w:rPr>
        <w:footnoteReference w:id="1048"/>
      </w:r>
      <w:r>
        <w:rPr>
          <w:rFonts w:ascii="Times New Roman" w:eastAsia="Times New Roman" w:hAnsi="Times New Roman" w:cs="Times New Roman"/>
          <w:color w:val="000000"/>
          <w:sz w:val="24"/>
          <w:szCs w:val="24"/>
        </w:rPr>
        <w:t xml:space="preserve"> The court disagreed, noting that “the nomenclature is not determinative”</w:t>
      </w:r>
      <w:r>
        <w:rPr>
          <w:rFonts w:ascii="Times New Roman" w:eastAsia="Times New Roman" w:hAnsi="Times New Roman" w:cs="Times New Roman"/>
          <w:color w:val="000000"/>
          <w:sz w:val="20"/>
          <w:szCs w:val="20"/>
          <w:vertAlign w:val="superscript"/>
        </w:rPr>
        <w:footnoteReference w:id="1049"/>
      </w:r>
      <w:r>
        <w:rPr>
          <w:rFonts w:ascii="Times New Roman" w:eastAsia="Times New Roman" w:hAnsi="Times New Roman" w:cs="Times New Roman"/>
          <w:color w:val="000000"/>
          <w:sz w:val="24"/>
          <w:szCs w:val="24"/>
        </w:rPr>
        <w:t xml:space="preserve"> and concluding that although the formula was convoluted, “it is mathematically identical to paying a straight commission.”</w:t>
      </w:r>
      <w:r>
        <w:rPr>
          <w:rFonts w:ascii="Times New Roman" w:eastAsia="Times New Roman" w:hAnsi="Times New Roman" w:cs="Times New Roman"/>
          <w:color w:val="000000"/>
          <w:sz w:val="20"/>
          <w:szCs w:val="20"/>
          <w:vertAlign w:val="superscript"/>
        </w:rPr>
        <w:footnoteReference w:id="1050"/>
      </w:r>
      <w:r>
        <w:rPr>
          <w:rFonts w:ascii="Times New Roman" w:eastAsia="Times New Roman" w:hAnsi="Times New Roman" w:cs="Times New Roman"/>
          <w:color w:val="000000"/>
          <w:sz w:val="24"/>
          <w:szCs w:val="24"/>
        </w:rPr>
        <w:t xml:space="preserve"> The court also noted that the company’s admission that technician pay is partially a function of hours worked did not create a triable issue of fact: “Obviously, to some extent, technicians who work more hours are likely to have more repair opportunities and therefore make more money.”</w:t>
      </w:r>
      <w:r>
        <w:rPr>
          <w:rFonts w:ascii="Times New Roman" w:eastAsia="Times New Roman" w:hAnsi="Times New Roman" w:cs="Times New Roman"/>
          <w:color w:val="000000"/>
          <w:sz w:val="20"/>
          <w:szCs w:val="20"/>
          <w:vertAlign w:val="superscript"/>
        </w:rPr>
        <w:footnoteReference w:id="1051"/>
      </w:r>
      <w:r>
        <w:rPr>
          <w:rFonts w:ascii="Times New Roman" w:eastAsia="Times New Roman" w:hAnsi="Times New Roman" w:cs="Times New Roman"/>
          <w:color w:val="000000"/>
          <w:sz w:val="24"/>
          <w:szCs w:val="24"/>
        </w:rPr>
        <w:t xml:space="preserve"> </w:t>
      </w:r>
    </w:p>
    <w:p w14:paraId="000003CE" w14:textId="77777777" w:rsidR="00DC27AA" w:rsidRPr="002A5EB4"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i/>
          <w:color w:val="000000"/>
          <w:sz w:val="24"/>
          <w:szCs w:val="24"/>
        </w:rPr>
      </w:pPr>
      <w:r w:rsidRPr="002A5EB4">
        <w:rPr>
          <w:rFonts w:ascii="Times New Roman" w:eastAsia="Times New Roman" w:hAnsi="Times New Roman" w:cs="Times New Roman"/>
          <w:i/>
          <w:color w:val="000000"/>
          <w:sz w:val="24"/>
          <w:szCs w:val="24"/>
        </w:rPr>
        <w:t>b.</w:t>
      </w:r>
      <w:r w:rsidRPr="002A5EB4">
        <w:rPr>
          <w:rFonts w:ascii="Times New Roman" w:eastAsia="Times New Roman" w:hAnsi="Times New Roman" w:cs="Times New Roman"/>
          <w:i/>
          <w:color w:val="000000"/>
          <w:sz w:val="24"/>
          <w:szCs w:val="24"/>
        </w:rPr>
        <w:tab/>
        <w:t>Straight Commissions With Advances, Draws, or Guarantees</w:t>
      </w:r>
    </w:p>
    <w:p w14:paraId="000003C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addition to describing the types of compensation arrangements generally employed in retail or service establishments, DOL regulations address commission arrangements when advances, draws, or guarantees are present. 29 C.F.R. §779.416(a) provides:</w:t>
      </w:r>
    </w:p>
    <w:p w14:paraId="000003D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Employment arrangements which provide for a commission on goods or services to be paid to an employee of a retail or service establishment may also provide, as indicated in §779.413, for the payment to the employee at a regular pay period of a fixed sum of money, which may bear a more or less fixed relationship to the commission earnings which could be expected, on the basis of experience, for an average period of the same length. Such periodic payments, which are variously described in retail or service establishments as “advances,” “draws,” or “guarantees,” are keyed to a time base and are usually paid at weekly or other fixed intervals which may in some instances be different from and more frequent than, the intervals for payment of any earnings computed exclusively on a commission basis. … A determination of whether or to </w:t>
      </w:r>
      <w:r>
        <w:rPr>
          <w:rFonts w:ascii="Times New Roman" w:eastAsia="Times New Roman" w:hAnsi="Times New Roman" w:cs="Times New Roman"/>
          <w:color w:val="000000"/>
          <w:sz w:val="20"/>
          <w:szCs w:val="20"/>
        </w:rPr>
        <w:lastRenderedPageBreak/>
        <w:t>what extent such periodic payments can be considered to represent commissions may be required in those situations where the employment arrangement is that the employee will be paid the stipulated sum, or the commission earnings allocable to the same period, whichever is the greater amount. The stipulated sum can never represent commissions, of course, if it is actually paid as a salary. If, however, it appears from all the facts and circumstances of the employment that the stipulated sum is not so paid and that it actually functions as an integral part of a true commission basis of payment, then such compensation may qualify as compensation which “represents commissions on goods or services” within the meaning of clause (2) of the section 7(i) exemption.</w:t>
      </w:r>
      <w:r>
        <w:rPr>
          <w:rFonts w:ascii="Times New Roman" w:eastAsia="Times New Roman" w:hAnsi="Times New Roman" w:cs="Times New Roman"/>
          <w:color w:val="000000"/>
          <w:sz w:val="20"/>
          <w:szCs w:val="20"/>
          <w:vertAlign w:val="superscript"/>
        </w:rPr>
        <w:footnoteReference w:id="1052"/>
      </w:r>
    </w:p>
    <w:p w14:paraId="000003D1"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Subsection (b) of the regulation provides:</w:t>
      </w:r>
    </w:p>
    <w:p w14:paraId="000003D2"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Under a bona fide commission plan all of the computed commissions will be counted as compensation representing commissions even though the amount of commissions may not equal or exceed the guarantee or draw in some workweeks. The exemption will also apply in the case of an employee who is paid a fixed salary plus an additional amount of earned commissions if the amount of commission payments exceeds the total amount of salary payments for the representative period.</w:t>
      </w:r>
      <w:r>
        <w:rPr>
          <w:rFonts w:ascii="Times New Roman" w:eastAsia="Times New Roman" w:hAnsi="Times New Roman" w:cs="Times New Roman"/>
          <w:color w:val="000000"/>
          <w:sz w:val="20"/>
          <w:szCs w:val="20"/>
          <w:vertAlign w:val="superscript"/>
        </w:rPr>
        <w:footnoteReference w:id="1053"/>
      </w:r>
    </w:p>
    <w:p w14:paraId="000003D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Keyes v. Car-X Auto Service</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54"/>
      </w:r>
      <w:r>
        <w:rPr>
          <w:rFonts w:ascii="Times New Roman" w:eastAsia="Times New Roman" w:hAnsi="Times New Roman" w:cs="Times New Roman"/>
          <w:color w:val="000000"/>
          <w:sz w:val="24"/>
          <w:szCs w:val="24"/>
        </w:rPr>
        <w:t xml:space="preserve"> auto technicians were paid the greater of a commission rate based on a percentage of services or products sold or a default guaranteed wage rate calculated by multiplying the regular hourly rate by the hours actually worked. The court concluded that the “default guaranteed wage” represented a salary and only the amount exceeding this “salary” represented true commissions.</w:t>
      </w:r>
      <w:r>
        <w:rPr>
          <w:rFonts w:ascii="Times New Roman" w:eastAsia="Times New Roman" w:hAnsi="Times New Roman" w:cs="Times New Roman"/>
          <w:color w:val="000000"/>
          <w:sz w:val="24"/>
          <w:szCs w:val="24"/>
          <w:vertAlign w:val="superscript"/>
        </w:rPr>
        <w:footnoteReference w:id="1055"/>
      </w:r>
      <w:r>
        <w:rPr>
          <w:rFonts w:ascii="Times New Roman" w:eastAsia="Times New Roman" w:hAnsi="Times New Roman" w:cs="Times New Roman"/>
          <w:color w:val="000000"/>
          <w:sz w:val="24"/>
          <w:szCs w:val="24"/>
        </w:rPr>
        <w:t xml:space="preserve"> Because these commissions did not make up at least half of the technicians’ total compensation, the Section 207(i) exception was inapplicable.</w:t>
      </w:r>
      <w:r>
        <w:rPr>
          <w:rFonts w:ascii="Times New Roman" w:eastAsia="Times New Roman" w:hAnsi="Times New Roman" w:cs="Times New Roman"/>
          <w:color w:val="000000"/>
          <w:sz w:val="24"/>
          <w:szCs w:val="24"/>
          <w:vertAlign w:val="superscript"/>
        </w:rPr>
        <w:footnoteReference w:id="1056"/>
      </w:r>
      <w:r>
        <w:rPr>
          <w:rFonts w:ascii="Times New Roman" w:eastAsia="Times New Roman" w:hAnsi="Times New Roman" w:cs="Times New Roman"/>
          <w:color w:val="000000"/>
          <w:sz w:val="24"/>
          <w:szCs w:val="24"/>
        </w:rPr>
        <w:t xml:space="preserve"> Similarly, gas station managers and assistant managers paid a monthly draw plus a modest additional amount calculated based on sales volume exceeding a specified threshold were not covered by the Section 207(i) exception, in that “the only true commission portion of the salaries appears to be those amounts over the threshold level” and this amount represented well below half the employees’ total compensation.</w:t>
      </w:r>
      <w:r>
        <w:rPr>
          <w:rFonts w:ascii="Times New Roman" w:eastAsia="Times New Roman" w:hAnsi="Times New Roman" w:cs="Times New Roman"/>
          <w:color w:val="000000"/>
          <w:sz w:val="24"/>
          <w:szCs w:val="24"/>
          <w:vertAlign w:val="superscript"/>
        </w:rPr>
        <w:footnoteReference w:id="1057"/>
      </w:r>
    </w:p>
    <w:p w14:paraId="000003D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 xml:space="preserve">By contrast, in </w:t>
      </w:r>
      <w:r>
        <w:rPr>
          <w:rFonts w:ascii="Times New Roman" w:eastAsia="Times New Roman" w:hAnsi="Times New Roman" w:cs="Times New Roman"/>
          <w:i/>
          <w:color w:val="000000"/>
          <w:sz w:val="24"/>
          <w:szCs w:val="24"/>
        </w:rPr>
        <w:t>Stein v</w:t>
      </w:r>
      <w:r>
        <w:rPr>
          <w:rFonts w:ascii="Times New Roman" w:eastAsia="Times New Roman" w:hAnsi="Times New Roman" w:cs="Times New Roman"/>
          <w:color w:val="000000"/>
          <w:sz w:val="24"/>
          <w:szCs w:val="24"/>
        </w:rPr>
        <w:t>.</w:t>
      </w:r>
      <w:r>
        <w:rPr>
          <w:rFonts w:ascii="Times New Roman" w:eastAsia="Times New Roman" w:hAnsi="Times New Roman" w:cs="Times New Roman"/>
          <w:i/>
          <w:color w:val="000000"/>
          <w:sz w:val="24"/>
          <w:szCs w:val="24"/>
        </w:rPr>
        <w:t xml:space="preserve"> HHGREGG,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58"/>
      </w:r>
      <w:r>
        <w:rPr>
          <w:rFonts w:ascii="Times New Roman" w:eastAsia="Times New Roman" w:hAnsi="Times New Roman" w:cs="Times New Roman"/>
          <w:color w:val="000000"/>
          <w:sz w:val="24"/>
          <w:szCs w:val="24"/>
        </w:rPr>
        <w:t xml:space="preserve"> the Sixth Circuit deemed bona fide and consistent with the requirements of Section 207(i) a compensation arrangement where sales employees were advanced a “draw” to meet the minimum-wage requirements whenever commissions fell below minimum wage, and this draw amount was deducted from future earnings in weeks when the draw exceeded the minimum wage. The Sixth Circuit found the validity of this draw-against-commission plan for Section 207(i) purposes was supported by the DOL’s “longstanding position” as articulated in three opinion letters.</w:t>
      </w:r>
      <w:r>
        <w:rPr>
          <w:rFonts w:ascii="Times New Roman" w:eastAsia="Times New Roman" w:hAnsi="Times New Roman" w:cs="Times New Roman"/>
          <w:color w:val="000000"/>
          <w:sz w:val="24"/>
          <w:szCs w:val="24"/>
          <w:vertAlign w:val="superscript"/>
        </w:rPr>
        <w:footnoteReference w:id="1059"/>
      </w:r>
      <w:r>
        <w:rPr>
          <w:rFonts w:ascii="Times New Roman" w:eastAsia="Times New Roman" w:hAnsi="Times New Roman" w:cs="Times New Roman"/>
          <w:b/>
          <w:color w:val="000000"/>
          <w:sz w:val="24"/>
          <w:szCs w:val="24"/>
        </w:rPr>
        <w:t xml:space="preserve"> </w:t>
      </w:r>
    </w:p>
    <w:p w14:paraId="000003D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Similarly, in</w:t>
      </w:r>
      <w:r>
        <w:rPr>
          <w:rFonts w:ascii="Times New Roman" w:eastAsia="Times New Roman" w:hAnsi="Times New Roman" w:cs="Times New Roman"/>
          <w:i/>
          <w:color w:val="000000"/>
          <w:sz w:val="24"/>
          <w:szCs w:val="24"/>
        </w:rPr>
        <w:t xml:space="preserve"> Lee v. Ethan Allen Retail,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60"/>
      </w:r>
      <w:r>
        <w:rPr>
          <w:rFonts w:ascii="Times New Roman" w:eastAsia="Times New Roman" w:hAnsi="Times New Roman" w:cs="Times New Roman"/>
          <w:color w:val="000000"/>
          <w:sz w:val="24"/>
          <w:szCs w:val="24"/>
        </w:rPr>
        <w:t xml:space="preserve"> a Georgia district court found that a furniture salesperson paid a recoverable draw against commissions was compensated on a bona fide commission plan, as it provided her with a meaningful opportunity to work more to increase sales and earnings, and she exceeded her draw four times.</w:t>
      </w:r>
      <w:r>
        <w:rPr>
          <w:rFonts w:ascii="Times New Roman" w:eastAsia="Times New Roman" w:hAnsi="Times New Roman" w:cs="Times New Roman"/>
          <w:color w:val="000000"/>
          <w:sz w:val="24"/>
          <w:szCs w:val="24"/>
          <w:vertAlign w:val="superscript"/>
        </w:rPr>
        <w:footnoteReference w:id="1061"/>
      </w:r>
    </w:p>
    <w:p w14:paraId="000003D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Reed v. Brex,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vertAlign w:val="superscript"/>
        </w:rPr>
        <w:footnoteReference w:id="1062"/>
      </w:r>
      <w:r>
        <w:rPr>
          <w:rFonts w:ascii="Times New Roman" w:eastAsia="Times New Roman" w:hAnsi="Times New Roman" w:cs="Times New Roman"/>
          <w:color w:val="000000"/>
          <w:sz w:val="24"/>
          <w:szCs w:val="24"/>
        </w:rPr>
        <w:t xml:space="preserve"> if an auto repair technician’s earned commissions fell below one and one-half times the applicable state minimum hourly rate, the company made up the difference without any attempt by the company to require the employee to pay back any excess of the minimum hour guarantee over the earned commissions. The plaintiffs argued that the DOL’s interpretive regulation (29 C.F.R. §779.416(b)) forbade an alternative wage floor (i.e., one and one-half times the applicable state minimum hourly rate) because the regulations define any wage “guarantee” as a draw against future commissions that requires reconciliation in subsequent pay periods.</w:t>
      </w:r>
      <w:r>
        <w:rPr>
          <w:rFonts w:ascii="Times New Roman" w:eastAsia="Times New Roman" w:hAnsi="Times New Roman" w:cs="Times New Roman"/>
          <w:color w:val="000000"/>
          <w:sz w:val="20"/>
          <w:szCs w:val="20"/>
          <w:vertAlign w:val="superscript"/>
        </w:rPr>
        <w:footnoteReference w:id="1063"/>
      </w:r>
      <w:r>
        <w:rPr>
          <w:rFonts w:ascii="Times New Roman" w:eastAsia="Times New Roman" w:hAnsi="Times New Roman" w:cs="Times New Roman"/>
          <w:color w:val="000000"/>
          <w:sz w:val="24"/>
          <w:szCs w:val="24"/>
        </w:rPr>
        <w:t xml:space="preserve"> Therefore, the plaintiffs argued, “all compensation up to the guarantee was actually fixed hourly wages even in weeks where the guarantee did not apply,”</w:t>
      </w:r>
      <w:r>
        <w:rPr>
          <w:rFonts w:ascii="Times New Roman" w:eastAsia="Times New Roman" w:hAnsi="Times New Roman" w:cs="Times New Roman"/>
          <w:color w:val="000000"/>
          <w:sz w:val="24"/>
          <w:szCs w:val="24"/>
          <w:vertAlign w:val="superscript"/>
        </w:rPr>
        <w:footnoteReference w:id="1064"/>
      </w:r>
      <w:r>
        <w:rPr>
          <w:rFonts w:ascii="Times New Roman" w:eastAsia="Times New Roman" w:hAnsi="Times New Roman" w:cs="Times New Roman"/>
          <w:color w:val="000000"/>
          <w:sz w:val="24"/>
          <w:szCs w:val="24"/>
        </w:rPr>
        <w:t xml:space="preserve"> and thus the compensation plan did not meet the requirements of Section 207(i). The Seventh Circuit was not persuaded. </w:t>
      </w:r>
    </w:p>
    <w:p w14:paraId="000003D7"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292929"/>
          <w:sz w:val="24"/>
          <w:szCs w:val="24"/>
        </w:rPr>
      </w:pPr>
      <w:r>
        <w:rPr>
          <w:rFonts w:ascii="Times New Roman" w:eastAsia="Times New Roman" w:hAnsi="Times New Roman" w:cs="Times New Roman"/>
          <w:color w:val="000000"/>
          <w:sz w:val="24"/>
          <w:szCs w:val="24"/>
        </w:rPr>
        <w:t xml:space="preserve">The Court of Appeals began its analysis by </w:t>
      </w:r>
      <w:r>
        <w:rPr>
          <w:rFonts w:ascii="Times New Roman" w:eastAsia="Times New Roman" w:hAnsi="Times New Roman" w:cs="Times New Roman"/>
          <w:color w:val="292929"/>
          <w:sz w:val="24"/>
          <w:szCs w:val="24"/>
        </w:rPr>
        <w:t>noting that under the statute, a “draw” and a “guarantee” are not in fact one and the same: “The plain meaning of the Act allows employers to implement either a guarantee or a draw, which are two distinct arrangements.”</w:t>
      </w:r>
      <w:r>
        <w:rPr>
          <w:rFonts w:ascii="Times New Roman" w:eastAsia="Times New Roman" w:hAnsi="Times New Roman" w:cs="Times New Roman"/>
          <w:color w:val="292929"/>
          <w:sz w:val="20"/>
          <w:szCs w:val="20"/>
          <w:vertAlign w:val="superscript"/>
        </w:rPr>
        <w:footnoteReference w:id="1065"/>
      </w:r>
      <w:r>
        <w:rPr>
          <w:rFonts w:ascii="Times New Roman" w:eastAsia="Times New Roman" w:hAnsi="Times New Roman" w:cs="Times New Roman"/>
          <w:color w:val="292929"/>
          <w:sz w:val="24"/>
          <w:szCs w:val="24"/>
        </w:rPr>
        <w:t xml:space="preserve"> From there the Seventh Circuit went on to note that DOL regulations permit employers to “smooth the peaks and valleys of a commission-based payment model” by providing employees with “periodic payments, which are described variously in retail or service establishments as ‘advances,’ ‘draws,’ or ‘guarantees.’”</w:t>
      </w:r>
      <w:r>
        <w:rPr>
          <w:rFonts w:ascii="Times New Roman" w:eastAsia="Times New Roman" w:hAnsi="Times New Roman" w:cs="Times New Roman"/>
          <w:color w:val="292929"/>
          <w:sz w:val="20"/>
          <w:szCs w:val="20"/>
          <w:vertAlign w:val="superscript"/>
        </w:rPr>
        <w:footnoteReference w:id="1066"/>
      </w:r>
      <w:r>
        <w:rPr>
          <w:rFonts w:ascii="Times New Roman" w:eastAsia="Times New Roman" w:hAnsi="Times New Roman" w:cs="Times New Roman"/>
          <w:color w:val="292929"/>
          <w:sz w:val="24"/>
          <w:szCs w:val="24"/>
        </w:rPr>
        <w:t xml:space="preserve"> Moreover, the court found, those regulations allow—but do not require—employers to “claw back” such payments if they exceed actual commissions: </w:t>
      </w:r>
    </w:p>
    <w:p w14:paraId="000003D8"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The regulations are sensitive to Congress’s choice of language regarding guarantees. If the payments are greater than commissions, it “may or may not be customary under the employment arrangement,” for the employer to claw back excess payments.</w:t>
      </w:r>
      <w:r>
        <w:rPr>
          <w:rFonts w:ascii="Times New Roman" w:eastAsia="Times New Roman" w:hAnsi="Times New Roman" w:cs="Times New Roman"/>
          <w:color w:val="000000"/>
          <w:sz w:val="20"/>
          <w:szCs w:val="20"/>
          <w:vertAlign w:val="superscript"/>
        </w:rPr>
        <w:footnoteReference w:id="1067"/>
      </w:r>
    </w:p>
    <w:p w14:paraId="000003D9" w14:textId="77777777" w:rsidR="00DC27AA" w:rsidRDefault="000F36B4">
      <w:pPr>
        <w:pBdr>
          <w:top w:val="nil"/>
          <w:left w:val="nil"/>
          <w:bottom w:val="nil"/>
          <w:right w:val="nil"/>
          <w:between w:val="nil"/>
        </w:pBdr>
        <w:spacing w:before="120" w:after="120" w:line="240" w:lineRule="auto"/>
        <w:ind w:firstLine="720"/>
        <w:rPr>
          <w:rFonts w:ascii="Arial" w:eastAsia="Arial" w:hAnsi="Arial" w:cs="Arial"/>
          <w:color w:val="000000"/>
          <w:sz w:val="27"/>
          <w:szCs w:val="27"/>
        </w:rPr>
      </w:pPr>
      <w:r>
        <w:rPr>
          <w:rFonts w:ascii="Times New Roman" w:eastAsia="Times New Roman" w:hAnsi="Times New Roman" w:cs="Times New Roman"/>
          <w:color w:val="292929"/>
          <w:sz w:val="24"/>
          <w:szCs w:val="24"/>
        </w:rPr>
        <w:lastRenderedPageBreak/>
        <w:t xml:space="preserve">The court found that the </w:t>
      </w:r>
      <w:r>
        <w:rPr>
          <w:rFonts w:ascii="Times New Roman" w:eastAsia="Times New Roman" w:hAnsi="Times New Roman" w:cs="Times New Roman"/>
          <w:color w:val="000000"/>
          <w:sz w:val="24"/>
          <w:szCs w:val="24"/>
        </w:rPr>
        <w:t>company’s plan met the flexible criteria of the DOL regulations because the regulations allow that the guarantee can operate as an alternative minimum floor “a</w:t>
      </w:r>
      <w:r>
        <w:rPr>
          <w:rFonts w:ascii="Times New Roman" w:eastAsia="Times New Roman" w:hAnsi="Times New Roman" w:cs="Times New Roman"/>
          <w:color w:val="292929"/>
          <w:sz w:val="24"/>
          <w:szCs w:val="24"/>
        </w:rPr>
        <w:t xml:space="preserve">nd </w:t>
      </w:r>
      <w:r>
        <w:rPr>
          <w:rFonts w:ascii="Times New Roman" w:eastAsia="Times New Roman" w:hAnsi="Times New Roman" w:cs="Times New Roman"/>
          <w:color w:val="000000"/>
          <w:sz w:val="24"/>
          <w:szCs w:val="24"/>
        </w:rPr>
        <w:t>[the defendant’s]</w:t>
      </w:r>
      <w:r>
        <w:rPr>
          <w:rFonts w:ascii="Times New Roman" w:eastAsia="Times New Roman" w:hAnsi="Times New Roman" w:cs="Times New Roman"/>
          <w:color w:val="292929"/>
          <w:sz w:val="24"/>
          <w:szCs w:val="24"/>
        </w:rPr>
        <w:t xml:space="preserve"> alternative minimum floor is thus within the regulatory ambit.”</w:t>
      </w:r>
      <w:r>
        <w:rPr>
          <w:rFonts w:ascii="Times New Roman" w:eastAsia="Times New Roman" w:hAnsi="Times New Roman" w:cs="Times New Roman"/>
          <w:color w:val="292929"/>
          <w:sz w:val="20"/>
          <w:szCs w:val="20"/>
          <w:vertAlign w:val="superscript"/>
        </w:rPr>
        <w:footnoteReference w:id="1068"/>
      </w:r>
    </w:p>
    <w:p w14:paraId="000003DA" w14:textId="105E86C2"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c.</w:t>
      </w:r>
      <w:r>
        <w:rPr>
          <w:rFonts w:ascii="Times New Roman" w:eastAsia="Times New Roman" w:hAnsi="Times New Roman" w:cs="Times New Roman"/>
          <w:i/>
          <w:color w:val="000000"/>
          <w:sz w:val="24"/>
          <w:szCs w:val="24"/>
        </w:rPr>
        <w:tab/>
        <w:t>Commission Rates That Are Not “Bona Fide”</w:t>
      </w:r>
    </w:p>
    <w:p w14:paraId="000003D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 C.F.R. §779.416(c) provides two example of commission rates that are not “bona fide”:</w:t>
      </w:r>
    </w:p>
    <w:p w14:paraId="000003DC"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commission rate is not bona fide if the formula for computing the commissions is such that the employee, in fact, always or almost always earns the same fixed amount of compensation for each workweek (as would be the case where the computed commissions seldom or never equal or exceed the amount of the draw or the guarantee). Another example of a commission plan which would not be considered as bona fide is one in which the employee receives a regular payment constituting nearly his entire earnings which is expressed in terms of a percentage of the sales which the establishment or department can always be expected to make with only a slight addition to his wages based upon a greatly reduced percentage applied to the sales above the expected quota.</w:t>
      </w:r>
      <w:r>
        <w:rPr>
          <w:rFonts w:ascii="Times New Roman" w:eastAsia="Times New Roman" w:hAnsi="Times New Roman" w:cs="Times New Roman"/>
          <w:color w:val="000000"/>
          <w:sz w:val="20"/>
          <w:szCs w:val="20"/>
          <w:vertAlign w:val="superscript"/>
        </w:rPr>
        <w:footnoteReference w:id="1069"/>
      </w:r>
    </w:p>
    <w:p w14:paraId="000003D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few courts have examined the implications of the term “bona fide” as found in Section 207(i). In </w:t>
      </w:r>
      <w:r>
        <w:rPr>
          <w:rFonts w:ascii="Times New Roman" w:eastAsia="Times New Roman" w:hAnsi="Times New Roman" w:cs="Times New Roman"/>
          <w:i/>
          <w:color w:val="000000"/>
          <w:sz w:val="24"/>
          <w:szCs w:val="24"/>
        </w:rPr>
        <w:t>Gruchy v. DirectTech Delaware,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70"/>
      </w:r>
      <w:r>
        <w:rPr>
          <w:rFonts w:ascii="Times New Roman" w:eastAsia="Times New Roman" w:hAnsi="Times New Roman" w:cs="Times New Roman"/>
          <w:color w:val="000000"/>
          <w:sz w:val="24"/>
          <w:szCs w:val="24"/>
        </w:rPr>
        <w:t xml:space="preserve"> the district court wrote:</w:t>
      </w:r>
    </w:p>
    <w:p w14:paraId="000003DE"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Needless to say, a commission for the purposes of the FLSA exemption must be bona fide; an employer cannot merely call a compensation system “commission-based” to evade the FLSA overtime requirements. Yet, while it is clear that a commission system must be bona fide, the definition of “commission” finds little illumination in the statute or its regulations. Likewise, the First Circuit has not yet enunciated a standard for evaluating whether a commission is bona fide for the purposes of the FLSA.</w:t>
      </w:r>
      <w:r>
        <w:rPr>
          <w:rFonts w:ascii="Times New Roman" w:eastAsia="Times New Roman" w:hAnsi="Times New Roman" w:cs="Times New Roman"/>
          <w:color w:val="000000"/>
          <w:sz w:val="20"/>
          <w:szCs w:val="20"/>
          <w:vertAlign w:val="superscript"/>
        </w:rPr>
        <w:footnoteReference w:id="1071"/>
      </w:r>
    </w:p>
    <w:p w14:paraId="000003D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Erich v. Venator Group,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72"/>
      </w:r>
      <w:r>
        <w:rPr>
          <w:rFonts w:ascii="Times New Roman" w:eastAsia="Times New Roman" w:hAnsi="Times New Roman" w:cs="Times New Roman"/>
          <w:color w:val="000000"/>
          <w:sz w:val="24"/>
          <w:szCs w:val="24"/>
        </w:rPr>
        <w:t xml:space="preserve"> the court found that the two examples in 29 C.F.R. §779.416(c) were not exhaustive, and that “as a general matter, the term ‘bona fide commission rate’ calls courts to consider whether the particular payment plan before it comports with Congress’ purpose in exempting employers from paying overtime in certain situations.”</w:t>
      </w:r>
      <w:r>
        <w:rPr>
          <w:rFonts w:ascii="Times New Roman" w:eastAsia="Times New Roman" w:hAnsi="Times New Roman" w:cs="Times New Roman"/>
          <w:color w:val="000000"/>
          <w:sz w:val="24"/>
          <w:szCs w:val="24"/>
          <w:vertAlign w:val="superscript"/>
        </w:rPr>
        <w:footnoteReference w:id="1073"/>
      </w:r>
      <w:r>
        <w:rPr>
          <w:rFonts w:ascii="Times New Roman" w:eastAsia="Times New Roman" w:hAnsi="Times New Roman" w:cs="Times New Roman"/>
          <w:color w:val="000000"/>
          <w:sz w:val="24"/>
          <w:szCs w:val="24"/>
        </w:rPr>
        <w:t xml:space="preserve"> In evaluating the plan before it, the court found that a dispute of fact existed regarding whether the commission rate was bona fide:</w:t>
      </w:r>
    </w:p>
    <w:p w14:paraId="000003E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By utilizing the term “bona fide” commission rate, Congress apparently envisions a smell test, one that reaches beyond the formal structure of the commission rate and into its actual effects and the purpose behind it. Accordingly, as evidenced by the two examples of non-bona fide commission rates provided by § 779.417(c), some payment plans that apparently are commission plans on their face may reveal </w:t>
      </w:r>
      <w:r>
        <w:rPr>
          <w:rFonts w:ascii="Times New Roman" w:eastAsia="Times New Roman" w:hAnsi="Times New Roman" w:cs="Times New Roman"/>
          <w:color w:val="000000"/>
          <w:sz w:val="20"/>
          <w:szCs w:val="20"/>
        </w:rPr>
        <w:lastRenderedPageBreak/>
        <w:t>themselves to be something different upon closer inspection. The “de facto” character of the Plan in this case is a relevant consideration.</w:t>
      </w:r>
      <w:r>
        <w:rPr>
          <w:rFonts w:ascii="Times New Roman" w:eastAsia="Times New Roman" w:hAnsi="Times New Roman" w:cs="Times New Roman"/>
          <w:color w:val="000000"/>
          <w:sz w:val="20"/>
          <w:szCs w:val="20"/>
          <w:vertAlign w:val="superscript"/>
        </w:rPr>
        <w:footnoteReference w:id="1074"/>
      </w:r>
    </w:p>
    <w:p w14:paraId="000003E1"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Herman v. Suwannee Swifty Stores,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75"/>
      </w:r>
      <w:r>
        <w:rPr>
          <w:rFonts w:ascii="Times New Roman" w:eastAsia="Times New Roman" w:hAnsi="Times New Roman" w:cs="Times New Roman"/>
          <w:color w:val="000000"/>
          <w:sz w:val="24"/>
          <w:szCs w:val="24"/>
        </w:rPr>
        <w:t xml:space="preserve"> the DOL argued that Suwannee failed to maintain a “bona fide commission rate” for certain store managers because it did not comply with Section 779.417(c). The court held that the DOL’s interpretation of “bad faith” was not based on an impermissible construction and Section 779.417(c) can be used to define “bona fide commission rate”; and that Section 779.417(c) is meant only as an interpretive rule, which does not need to be promulgated through the same procedural requirements as a substantive rule. The court granted the Secretary’s motion for summary judgment, finding that the defendant did not comply with the requirements of Section 207(i) for any store managers who never received more than the guaranteed rate or who received the guaranteed rate only once a year.</w:t>
      </w:r>
      <w:r>
        <w:rPr>
          <w:rFonts w:ascii="Times New Roman" w:eastAsia="Times New Roman" w:hAnsi="Times New Roman" w:cs="Times New Roman"/>
          <w:color w:val="000000"/>
          <w:sz w:val="24"/>
          <w:szCs w:val="24"/>
          <w:vertAlign w:val="superscript"/>
        </w:rPr>
        <w:footnoteReference w:id="1076"/>
      </w:r>
      <w:r>
        <w:rPr>
          <w:rFonts w:ascii="Times New Roman" w:eastAsia="Times New Roman" w:hAnsi="Times New Roman" w:cs="Times New Roman"/>
          <w:color w:val="000000"/>
          <w:sz w:val="24"/>
          <w:szCs w:val="24"/>
        </w:rPr>
        <w:t xml:space="preserve"> </w:t>
      </w:r>
    </w:p>
    <w:p w14:paraId="000003E2"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d.</w:t>
      </w:r>
      <w:r>
        <w:rPr>
          <w:rFonts w:ascii="Times New Roman" w:eastAsia="Times New Roman" w:hAnsi="Times New Roman" w:cs="Times New Roman"/>
          <w:i/>
          <w:color w:val="000000"/>
          <w:sz w:val="24"/>
          <w:szCs w:val="24"/>
        </w:rPr>
        <w:tab/>
        <w:t>Representative Period</w:t>
      </w:r>
    </w:p>
    <w:p w14:paraId="000003E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Not only must “more than half of [an employee’s] compensation … represent[] commissions on goods and services,” but also the commissions must be paid “for a </w:t>
      </w:r>
      <w:r>
        <w:rPr>
          <w:rFonts w:ascii="Times New Roman" w:eastAsia="Times New Roman" w:hAnsi="Times New Roman" w:cs="Times New Roman"/>
          <w:i/>
          <w:color w:val="000000"/>
          <w:sz w:val="24"/>
          <w:szCs w:val="24"/>
        </w:rPr>
        <w:t>representative period (not less than one month)</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077"/>
      </w:r>
      <w:r>
        <w:rPr>
          <w:rFonts w:ascii="Times New Roman" w:eastAsia="Times New Roman" w:hAnsi="Times New Roman" w:cs="Times New Roman"/>
          <w:color w:val="000000"/>
          <w:sz w:val="24"/>
          <w:szCs w:val="24"/>
        </w:rPr>
        <w:t xml:space="preserve"> </w:t>
      </w:r>
    </w:p>
    <w:p w14:paraId="000003E4"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w:t>
      </w:r>
      <w:r>
        <w:rPr>
          <w:rFonts w:ascii="Times New Roman" w:eastAsia="Times New Roman" w:hAnsi="Times New Roman" w:cs="Times New Roman"/>
          <w:i/>
          <w:color w:val="000000"/>
          <w:sz w:val="24"/>
          <w:szCs w:val="24"/>
        </w:rPr>
        <w:tab/>
        <w:t>A One-Month Period</w:t>
      </w:r>
    </w:p>
    <w:p w14:paraId="000003E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2019 opinion letter,</w:t>
      </w:r>
      <w:r>
        <w:rPr>
          <w:rFonts w:ascii="Times New Roman" w:eastAsia="Times New Roman" w:hAnsi="Times New Roman" w:cs="Times New Roman"/>
          <w:color w:val="000000"/>
          <w:sz w:val="24"/>
          <w:szCs w:val="24"/>
          <w:vertAlign w:val="superscript"/>
        </w:rPr>
        <w:footnoteReference w:id="1078"/>
      </w:r>
      <w:r>
        <w:rPr>
          <w:rFonts w:ascii="Times New Roman" w:eastAsia="Times New Roman" w:hAnsi="Times New Roman" w:cs="Times New Roman"/>
          <w:color w:val="000000"/>
          <w:sz w:val="24"/>
          <w:szCs w:val="24"/>
        </w:rPr>
        <w:t xml:space="preserve"> the WHD Administrator responded to whether “four weekly pay periods or two bi-weekly pay periods (four (4) workweeks)” met the representative pay period requirement, and, if not, then whether “six (6) consecutive weekly pay periods or three (3) bi-weekly pay periods” did.</w:t>
      </w:r>
      <w:r>
        <w:rPr>
          <w:rFonts w:ascii="Times New Roman" w:eastAsia="Times New Roman" w:hAnsi="Times New Roman" w:cs="Times New Roman"/>
          <w:color w:val="000000"/>
          <w:sz w:val="24"/>
          <w:szCs w:val="24"/>
          <w:vertAlign w:val="superscript"/>
        </w:rPr>
        <w:footnoteReference w:id="1079"/>
      </w:r>
      <w:r>
        <w:rPr>
          <w:rFonts w:ascii="Times New Roman" w:eastAsia="Times New Roman" w:hAnsi="Times New Roman" w:cs="Times New Roman"/>
          <w:color w:val="000000"/>
          <w:sz w:val="24"/>
          <w:szCs w:val="24"/>
        </w:rPr>
        <w:t xml:space="preserve"> The Administrator observed that “the regulation explaining Section 7(i)’s representative-period requirement provides no guidance on the meaning of ‘not less than one month’ other than stating that this period ‘cannot, under the express terms of [S]ection 7(i), be less than 1 month ’”</w:t>
      </w:r>
      <w:r>
        <w:rPr>
          <w:rFonts w:ascii="Times New Roman" w:eastAsia="Times New Roman" w:hAnsi="Times New Roman" w:cs="Times New Roman"/>
          <w:color w:val="000000"/>
          <w:sz w:val="24"/>
          <w:szCs w:val="24"/>
          <w:vertAlign w:val="superscript"/>
        </w:rPr>
        <w:footnoteReference w:id="1080"/>
      </w:r>
      <w:r>
        <w:rPr>
          <w:rFonts w:ascii="Times New Roman" w:eastAsia="Times New Roman" w:hAnsi="Times New Roman" w:cs="Times New Roman"/>
          <w:color w:val="000000"/>
          <w:sz w:val="24"/>
          <w:szCs w:val="24"/>
        </w:rPr>
        <w:t xml:space="preserve"> The Administrator also noted that the term “month” is not defined in the FLSA, although “[n]umerous courts, including the Supreme Court, have recognized that the ordinary meaning of ‘month’ is a calendar month.”</w:t>
      </w:r>
      <w:r>
        <w:rPr>
          <w:rFonts w:ascii="Times New Roman" w:eastAsia="Times New Roman" w:hAnsi="Times New Roman" w:cs="Times New Roman"/>
          <w:color w:val="000000"/>
          <w:sz w:val="24"/>
          <w:szCs w:val="24"/>
          <w:vertAlign w:val="superscript"/>
        </w:rPr>
        <w:footnoteReference w:id="1081"/>
      </w:r>
      <w:r>
        <w:rPr>
          <w:rFonts w:ascii="Times New Roman" w:eastAsia="Times New Roman" w:hAnsi="Times New Roman" w:cs="Times New Roman"/>
          <w:color w:val="000000"/>
          <w:sz w:val="24"/>
          <w:szCs w:val="24"/>
        </w:rPr>
        <w:t xml:space="preserve"> The Administrator then stated that a “calendar month” includes “the period of time from a given day of a particular </w:t>
      </w:r>
      <w:r>
        <w:rPr>
          <w:rFonts w:ascii="Times New Roman" w:eastAsia="Times New Roman" w:hAnsi="Times New Roman" w:cs="Times New Roman"/>
          <w:color w:val="000000"/>
          <w:sz w:val="24"/>
          <w:szCs w:val="24"/>
        </w:rPr>
        <w:lastRenderedPageBreak/>
        <w:t>month in the calendar to the corresponding day of the following month”</w:t>
      </w:r>
      <w:r>
        <w:rPr>
          <w:rFonts w:ascii="Times New Roman" w:eastAsia="Times New Roman" w:hAnsi="Times New Roman" w:cs="Times New Roman"/>
          <w:color w:val="000000"/>
          <w:sz w:val="24"/>
          <w:szCs w:val="24"/>
          <w:vertAlign w:val="superscript"/>
        </w:rPr>
        <w:footnoteReference w:id="1082"/>
      </w:r>
      <w:r>
        <w:rPr>
          <w:rFonts w:ascii="Times New Roman" w:eastAsia="Times New Roman" w:hAnsi="Times New Roman" w:cs="Times New Roman"/>
          <w:color w:val="000000"/>
          <w:sz w:val="24"/>
          <w:szCs w:val="24"/>
        </w:rPr>
        <w:t xml:space="preserve"> and that, “except during the month of February in a common year, four weeks from any given date of one month will necessarily fall short of the corresponding date of the next month, and thus will not satisfy the minimum one-month requirement of Section 7(i).”</w:t>
      </w:r>
      <w:r>
        <w:rPr>
          <w:rFonts w:ascii="Times New Roman" w:eastAsia="Times New Roman" w:hAnsi="Times New Roman" w:cs="Times New Roman"/>
          <w:color w:val="000000"/>
          <w:sz w:val="24"/>
          <w:szCs w:val="24"/>
          <w:vertAlign w:val="superscript"/>
        </w:rPr>
        <w:footnoteReference w:id="1083"/>
      </w:r>
      <w:r>
        <w:rPr>
          <w:rFonts w:ascii="Times New Roman" w:eastAsia="Times New Roman" w:hAnsi="Times New Roman" w:cs="Times New Roman"/>
          <w:color w:val="000000"/>
          <w:sz w:val="24"/>
          <w:szCs w:val="24"/>
        </w:rPr>
        <w:t xml:space="preserve"> The Administrator concluded:</w:t>
      </w:r>
    </w:p>
    <w:p w14:paraId="000003E6"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 fair reading of the phrase “not less than one month” in the Section 7(i) exemption requires the conclusion that six, but not four, consecutive weekly pay periods satisfy the retail or service establishment exemption’s requirement that a representative period be not less than one month. It similarly requires the conclusion that three, but not two, consecutive bi-weekly pay periods satisfy the … requirement … .</w:t>
      </w:r>
      <w:r>
        <w:rPr>
          <w:rFonts w:ascii="Times New Roman" w:eastAsia="Times New Roman" w:hAnsi="Times New Roman" w:cs="Times New Roman"/>
          <w:color w:val="000000"/>
          <w:sz w:val="20"/>
          <w:szCs w:val="20"/>
          <w:vertAlign w:val="superscript"/>
        </w:rPr>
        <w:footnoteReference w:id="1084"/>
      </w:r>
    </w:p>
    <w:p w14:paraId="000003E7" w14:textId="77777777" w:rsidR="00DC27AA" w:rsidRDefault="000F36B4">
      <w:pPr>
        <w:pBdr>
          <w:top w:val="nil"/>
          <w:left w:val="nil"/>
          <w:bottom w:val="nil"/>
          <w:right w:val="nil"/>
          <w:between w:val="nil"/>
        </w:pBdr>
        <w:spacing w:before="360" w:after="240" w:line="240" w:lineRule="auto"/>
        <w:ind w:left="144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(ii.)</w:t>
      </w:r>
      <w:r>
        <w:rPr>
          <w:rFonts w:ascii="Times New Roman" w:eastAsia="Times New Roman" w:hAnsi="Times New Roman" w:cs="Times New Roman"/>
          <w:i/>
          <w:color w:val="000000"/>
          <w:sz w:val="24"/>
          <w:szCs w:val="24"/>
        </w:rPr>
        <w:tab/>
        <w:t>Characteristics of a Representative Period</w:t>
      </w:r>
    </w:p>
    <w:p w14:paraId="000003E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“representative period” must be one that “can reasonably be accepted by the employer, the employee, and disinterested persons as being truly representative of the compensation aspects of the employee’s employment on which this exemption test depends.”</w:t>
      </w:r>
      <w:r>
        <w:rPr>
          <w:rFonts w:ascii="Times New Roman" w:eastAsia="Times New Roman" w:hAnsi="Times New Roman" w:cs="Times New Roman"/>
          <w:color w:val="000000"/>
          <w:sz w:val="24"/>
          <w:szCs w:val="24"/>
          <w:vertAlign w:val="superscript"/>
        </w:rPr>
        <w:footnoteReference w:id="1085"/>
      </w:r>
      <w:r>
        <w:rPr>
          <w:rFonts w:ascii="Times New Roman" w:eastAsia="Times New Roman" w:hAnsi="Times New Roman" w:cs="Times New Roman"/>
          <w:color w:val="000000"/>
          <w:sz w:val="24"/>
          <w:szCs w:val="24"/>
        </w:rPr>
        <w:t xml:space="preserve"> This means the representative period epitomizes the “total characteristics of an employee’s earning pattern in his current employment situation, with respect to the fluctuations of the proportion of his commission earnings to his total compensation.”</w:t>
      </w:r>
      <w:r>
        <w:rPr>
          <w:rFonts w:ascii="Times New Roman" w:eastAsia="Times New Roman" w:hAnsi="Times New Roman" w:cs="Times New Roman"/>
          <w:color w:val="000000"/>
          <w:sz w:val="24"/>
          <w:szCs w:val="24"/>
          <w:vertAlign w:val="superscript"/>
        </w:rPr>
        <w:footnoteReference w:id="1086"/>
      </w:r>
    </w:p>
    <w:p w14:paraId="000003E9"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regulations explain that the representative period “must be as recent a period … as can practicably be used” whether the period is as short as one month or as long as one year.</w:t>
      </w:r>
      <w:r>
        <w:rPr>
          <w:rFonts w:ascii="Times New Roman" w:eastAsia="Times New Roman" w:hAnsi="Times New Roman" w:cs="Times New Roman"/>
          <w:color w:val="000000"/>
          <w:sz w:val="24"/>
          <w:szCs w:val="24"/>
          <w:vertAlign w:val="superscript"/>
        </w:rPr>
        <w:footnoteReference w:id="1087"/>
      </w:r>
      <w:r>
        <w:rPr>
          <w:rFonts w:ascii="Times New Roman" w:eastAsia="Times New Roman" w:hAnsi="Times New Roman" w:cs="Times New Roman"/>
          <w:color w:val="000000"/>
          <w:sz w:val="24"/>
          <w:szCs w:val="24"/>
        </w:rPr>
        <w:t xml:space="preserve"> With respect to length, the regulations provide that the representative period “should be long enough to stabilize the measure of the balance between the portions of the employee’s compensation which respectively represent commissions and other earnings, against purely seasonal or plainly temporary changes.”</w:t>
      </w:r>
      <w:r>
        <w:rPr>
          <w:rFonts w:ascii="Times New Roman" w:eastAsia="Times New Roman" w:hAnsi="Times New Roman" w:cs="Times New Roman"/>
          <w:color w:val="000000"/>
          <w:sz w:val="24"/>
          <w:szCs w:val="24"/>
          <w:vertAlign w:val="superscript"/>
        </w:rPr>
        <w:footnoteReference w:id="1088"/>
      </w:r>
      <w:r>
        <w:rPr>
          <w:rFonts w:ascii="Times New Roman" w:eastAsia="Times New Roman" w:hAnsi="Times New Roman" w:cs="Times New Roman"/>
          <w:color w:val="000000"/>
          <w:sz w:val="24"/>
          <w:szCs w:val="24"/>
        </w:rPr>
        <w:t xml:space="preserve"> The representative period or formula for establishing the period must be “appropriate”</w:t>
      </w:r>
      <w:r>
        <w:rPr>
          <w:rFonts w:ascii="Times New Roman" w:eastAsia="Times New Roman" w:hAnsi="Times New Roman" w:cs="Times New Roman"/>
          <w:color w:val="000000"/>
          <w:sz w:val="24"/>
          <w:szCs w:val="24"/>
          <w:vertAlign w:val="superscript"/>
        </w:rPr>
        <w:footnoteReference w:id="1089"/>
      </w:r>
      <w:r>
        <w:rPr>
          <w:rFonts w:ascii="Times New Roman" w:eastAsia="Times New Roman" w:hAnsi="Times New Roman" w:cs="Times New Roman"/>
          <w:color w:val="000000"/>
          <w:sz w:val="24"/>
          <w:szCs w:val="24"/>
        </w:rPr>
        <w:t xml:space="preserve"> and it “must be designated and substantiated in the employer’s records.”</w:t>
      </w:r>
      <w:r>
        <w:rPr>
          <w:rFonts w:ascii="Times New Roman" w:eastAsia="Times New Roman" w:hAnsi="Times New Roman" w:cs="Times New Roman"/>
          <w:color w:val="000000"/>
          <w:sz w:val="24"/>
          <w:szCs w:val="24"/>
          <w:vertAlign w:val="superscript"/>
        </w:rPr>
        <w:footnoteReference w:id="1090"/>
      </w:r>
      <w:r>
        <w:rPr>
          <w:rFonts w:ascii="Times New Roman" w:eastAsia="Times New Roman" w:hAnsi="Times New Roman" w:cs="Times New Roman"/>
          <w:color w:val="000000"/>
          <w:sz w:val="24"/>
          <w:szCs w:val="24"/>
        </w:rPr>
        <w:t xml:space="preserve"> However, an Ohio district court held that an employer’s failure to properly designate a period in its records did not render the Section 207(i) exception inapplicable.</w:t>
      </w:r>
      <w:r>
        <w:rPr>
          <w:rFonts w:ascii="Times New Roman" w:eastAsia="Times New Roman" w:hAnsi="Times New Roman" w:cs="Times New Roman"/>
          <w:color w:val="000000"/>
          <w:sz w:val="24"/>
          <w:szCs w:val="24"/>
          <w:vertAlign w:val="superscript"/>
        </w:rPr>
        <w:footnoteReference w:id="1091"/>
      </w:r>
    </w:p>
    <w:p w14:paraId="000003E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the regulations provide, where “factors affecting the proportionate relationship between total compensation and compensation representing commissions [are] substantially </w:t>
      </w:r>
      <w:r>
        <w:rPr>
          <w:rFonts w:ascii="Times New Roman" w:eastAsia="Times New Roman" w:hAnsi="Times New Roman" w:cs="Times New Roman"/>
          <w:color w:val="000000"/>
          <w:sz w:val="24"/>
          <w:szCs w:val="24"/>
        </w:rPr>
        <w:lastRenderedPageBreak/>
        <w:t>identical for a group or groups of employees in a particular occupation or department of a retail or service establishment or in the establishment as a whole,” an employer may use “the same representative period or formula for establishing such a period … for each of the similarly situated employees in the group.”</w:t>
      </w:r>
      <w:r>
        <w:rPr>
          <w:rFonts w:ascii="Times New Roman" w:eastAsia="Times New Roman" w:hAnsi="Times New Roman" w:cs="Times New Roman"/>
          <w:color w:val="000000"/>
          <w:sz w:val="24"/>
          <w:szCs w:val="24"/>
          <w:vertAlign w:val="superscript"/>
        </w:rPr>
        <w:footnoteReference w:id="1092"/>
      </w:r>
      <w:r>
        <w:rPr>
          <w:rFonts w:ascii="Times New Roman" w:eastAsia="Times New Roman" w:hAnsi="Times New Roman" w:cs="Times New Roman"/>
          <w:color w:val="000000"/>
          <w:sz w:val="24"/>
          <w:szCs w:val="24"/>
        </w:rPr>
        <w:t xml:space="preserve"> For enforcement purposes, the DOL allows employers to treat new employees as if they meet this test from the start of their employment if “it can be reasonably expected that, considering the experience and other qualifications of the new employee[s], there will be no significant difference as to the proportionate relationship between the types of compensation in [their] situation from that prevailing for the other members of the group.”</w:t>
      </w:r>
      <w:r>
        <w:rPr>
          <w:rFonts w:ascii="Times New Roman" w:eastAsia="Times New Roman" w:hAnsi="Times New Roman" w:cs="Times New Roman"/>
          <w:color w:val="000000"/>
          <w:sz w:val="24"/>
          <w:szCs w:val="24"/>
          <w:vertAlign w:val="superscript"/>
        </w:rPr>
        <w:footnoteReference w:id="1093"/>
      </w:r>
      <w:r>
        <w:rPr>
          <w:rFonts w:ascii="Times New Roman" w:eastAsia="Times New Roman" w:hAnsi="Times New Roman" w:cs="Times New Roman"/>
          <w:color w:val="000000"/>
          <w:sz w:val="24"/>
          <w:szCs w:val="24"/>
        </w:rPr>
        <w:t xml:space="preserve"> Where this cannot reasonably be expected from a new employee, the DOL allows the employer to determine compliance based on the new employee’s earnings “until the completion of the full representative period applicable to other employees in the department or establishment.”</w:t>
      </w:r>
      <w:r>
        <w:rPr>
          <w:rFonts w:ascii="Times New Roman" w:eastAsia="Times New Roman" w:hAnsi="Times New Roman" w:cs="Times New Roman"/>
          <w:color w:val="000000"/>
          <w:sz w:val="24"/>
          <w:szCs w:val="24"/>
          <w:vertAlign w:val="superscript"/>
        </w:rPr>
        <w:footnoteReference w:id="1094"/>
      </w:r>
    </w:p>
    <w:p w14:paraId="000003E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regulations provide a one-month grace period between the end of the prior representative period and the beginning of the current one to permit employers to compute employees’ commission earnings, where it is not “practicably possible” to do so otherwise.</w:t>
      </w:r>
      <w:r>
        <w:rPr>
          <w:rFonts w:ascii="Times New Roman" w:eastAsia="Times New Roman" w:hAnsi="Times New Roman" w:cs="Times New Roman"/>
          <w:color w:val="000000"/>
          <w:sz w:val="24"/>
          <w:szCs w:val="24"/>
          <w:vertAlign w:val="superscript"/>
        </w:rPr>
        <w:footnoteReference w:id="1095"/>
      </w:r>
      <w:r>
        <w:rPr>
          <w:rFonts w:ascii="Times New Roman" w:eastAsia="Times New Roman" w:hAnsi="Times New Roman" w:cs="Times New Roman"/>
          <w:color w:val="000000"/>
          <w:sz w:val="24"/>
          <w:szCs w:val="24"/>
        </w:rPr>
        <w:t xml:space="preserve"> To illustrate this concept, the regulations offer an example:</w:t>
      </w:r>
    </w:p>
    <w:p w14:paraId="000003EC"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[A]ssume that the representative period used is the quarter-year immediately preceding the current quarter, and commissions for the prior period cannot be computed in time to determine the overtime pay obligations for the workweeks included in the first pay period in the current quarter. By applying a month of grace, the next earlier quarterly period may be used during the first month of the current quarter; and the quarter-year immediately preceding the current quarter will then be used for all workweeks ending in a quarter-year period which begins 1 month after the commencement of the current quarter.</w:t>
      </w:r>
      <w:r>
        <w:rPr>
          <w:rFonts w:ascii="Times New Roman" w:eastAsia="Times New Roman" w:hAnsi="Times New Roman" w:cs="Times New Roman"/>
          <w:color w:val="000000"/>
          <w:sz w:val="20"/>
          <w:szCs w:val="20"/>
          <w:vertAlign w:val="superscript"/>
        </w:rPr>
        <w:footnoteReference w:id="1096"/>
      </w:r>
    </w:p>
    <w:p w14:paraId="000003E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a 2020 opinion letter, the Administrator addressed the “representative period” in the following circumstances: (1) the opening of a new store where the sales volume is unknown; and (2) the hiring of a new salesperson with no performance record.</w:t>
      </w:r>
      <w:r>
        <w:rPr>
          <w:rFonts w:ascii="Times New Roman" w:eastAsia="Times New Roman" w:hAnsi="Times New Roman" w:cs="Times New Roman"/>
          <w:color w:val="000000"/>
          <w:sz w:val="20"/>
          <w:szCs w:val="20"/>
          <w:vertAlign w:val="superscript"/>
        </w:rPr>
        <w:footnoteReference w:id="1097"/>
      </w:r>
      <w:r>
        <w:rPr>
          <w:rFonts w:ascii="Times New Roman" w:eastAsia="Times New Roman" w:hAnsi="Times New Roman" w:cs="Times New Roman"/>
          <w:color w:val="000000"/>
          <w:sz w:val="24"/>
          <w:szCs w:val="24"/>
        </w:rPr>
        <w:t xml:space="preserve"> The Administrator acknowledged that neither of these situations is “explicitly addressed in the regulations, [but] nothing in the FLSA prohibits doing this.”</w:t>
      </w:r>
      <w:r>
        <w:rPr>
          <w:rFonts w:ascii="Times New Roman" w:eastAsia="Times New Roman" w:hAnsi="Times New Roman" w:cs="Times New Roman"/>
          <w:color w:val="000000"/>
          <w:sz w:val="20"/>
          <w:szCs w:val="20"/>
          <w:vertAlign w:val="superscript"/>
        </w:rPr>
        <w:footnoteReference w:id="1098"/>
      </w:r>
      <w:r>
        <w:rPr>
          <w:rFonts w:ascii="Times New Roman" w:eastAsia="Times New Roman" w:hAnsi="Times New Roman" w:cs="Times New Roman"/>
          <w:color w:val="000000"/>
          <w:sz w:val="24"/>
          <w:szCs w:val="24"/>
        </w:rPr>
        <w:t xml:space="preserve"> The Administrator relied on a 1981 opinion letter,</w:t>
      </w:r>
      <w:r>
        <w:rPr>
          <w:rFonts w:ascii="Times New Roman" w:eastAsia="Times New Roman" w:hAnsi="Times New Roman" w:cs="Times New Roman"/>
          <w:color w:val="000000"/>
          <w:sz w:val="20"/>
          <w:szCs w:val="20"/>
          <w:vertAlign w:val="superscript"/>
        </w:rPr>
        <w:footnoteReference w:id="1099"/>
      </w:r>
      <w:r>
        <w:rPr>
          <w:rFonts w:ascii="Times New Roman" w:eastAsia="Times New Roman" w:hAnsi="Times New Roman" w:cs="Times New Roman"/>
          <w:color w:val="000000"/>
          <w:sz w:val="24"/>
          <w:szCs w:val="24"/>
        </w:rPr>
        <w:t xml:space="preserve"> which recognized that an employer may use Section 207(i) “simultaneously with the commencement of the representative period.”</w:t>
      </w:r>
      <w:r>
        <w:rPr>
          <w:rFonts w:ascii="Times New Roman" w:eastAsia="Times New Roman" w:hAnsi="Times New Roman" w:cs="Times New Roman"/>
          <w:color w:val="000000"/>
          <w:sz w:val="20"/>
          <w:szCs w:val="20"/>
          <w:vertAlign w:val="superscript"/>
        </w:rPr>
        <w:footnoteReference w:id="1100"/>
      </w:r>
      <w:r>
        <w:rPr>
          <w:rFonts w:ascii="Times New Roman" w:eastAsia="Times New Roman" w:hAnsi="Times New Roman" w:cs="Times New Roman"/>
          <w:color w:val="000000"/>
          <w:sz w:val="24"/>
          <w:szCs w:val="24"/>
        </w:rPr>
        <w:t xml:space="preserve"> However, the 1981 opinion letter made clear that if an employer chooses to do this and, at the conclusion of that initial representative period, Section 207(i)’s requirement that commissions constitute more than half of the compensation for a representative period has not been satisfied, then the employer must pay overtime premium </w:t>
      </w:r>
      <w:r>
        <w:rPr>
          <w:rFonts w:ascii="Times New Roman" w:eastAsia="Times New Roman" w:hAnsi="Times New Roman" w:cs="Times New Roman"/>
          <w:color w:val="000000"/>
          <w:sz w:val="24"/>
          <w:szCs w:val="24"/>
        </w:rPr>
        <w:lastRenderedPageBreak/>
        <w:t>compensation for any overtime hours worked during that period.</w:t>
      </w:r>
      <w:r>
        <w:rPr>
          <w:rFonts w:ascii="Times New Roman" w:eastAsia="Times New Roman" w:hAnsi="Times New Roman" w:cs="Times New Roman"/>
          <w:color w:val="000000"/>
          <w:sz w:val="20"/>
          <w:szCs w:val="20"/>
          <w:vertAlign w:val="superscript"/>
        </w:rPr>
        <w:footnoteReference w:id="1101"/>
      </w:r>
      <w:r>
        <w:rPr>
          <w:rFonts w:ascii="Times New Roman" w:eastAsia="Times New Roman" w:hAnsi="Times New Roman" w:cs="Times New Roman"/>
          <w:color w:val="000000"/>
          <w:sz w:val="24"/>
          <w:szCs w:val="24"/>
        </w:rPr>
        <w:t xml:space="preserve"> The 2020 opinion letter concluded: “Consistent with the 1981 opinion letter, the employer could attempt to establish a representative period for the new employee and simultaneously claim the Section 207(i) exemption for that employee on a prospective basis.”</w:t>
      </w:r>
      <w:r>
        <w:rPr>
          <w:rFonts w:ascii="Times New Roman" w:eastAsia="Times New Roman" w:hAnsi="Times New Roman" w:cs="Times New Roman"/>
          <w:color w:val="000000"/>
          <w:sz w:val="20"/>
          <w:szCs w:val="20"/>
          <w:vertAlign w:val="superscript"/>
        </w:rPr>
        <w:footnoteReference w:id="1102"/>
      </w:r>
      <w:r>
        <w:rPr>
          <w:rFonts w:ascii="Times New Roman" w:eastAsia="Times New Roman" w:hAnsi="Times New Roman" w:cs="Times New Roman"/>
          <w:color w:val="000000"/>
          <w:sz w:val="24"/>
          <w:szCs w:val="24"/>
        </w:rPr>
        <w:t xml:space="preserve"> </w:t>
      </w:r>
    </w:p>
    <w:p w14:paraId="000003EE" w14:textId="77777777" w:rsidR="00DC27AA" w:rsidRDefault="000F36B4">
      <w:pPr>
        <w:pBdr>
          <w:top w:val="nil"/>
          <w:left w:val="nil"/>
          <w:bottom w:val="nil"/>
          <w:right w:val="nil"/>
          <w:between w:val="nil"/>
        </w:pBdr>
        <w:spacing w:before="360" w:after="240" w:line="240" w:lineRule="auto"/>
        <w:ind w:left="72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e.</w:t>
      </w:r>
      <w:r>
        <w:rPr>
          <w:rFonts w:ascii="Times New Roman" w:eastAsia="Times New Roman" w:hAnsi="Times New Roman" w:cs="Times New Roman"/>
          <w:i/>
          <w:color w:val="000000"/>
          <w:sz w:val="24"/>
          <w:szCs w:val="24"/>
        </w:rPr>
        <w:tab/>
        <w:t>Computing an Employee’s Compensation for the Representative Period</w:t>
      </w:r>
    </w:p>
    <w:p w14:paraId="000003EF"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207(i) requires that “more than half” of the employee’s compensation represents commissions on goods or services.</w:t>
      </w:r>
      <w:r>
        <w:rPr>
          <w:rFonts w:ascii="Times New Roman" w:eastAsia="Times New Roman" w:hAnsi="Times New Roman" w:cs="Times New Roman"/>
          <w:color w:val="000000"/>
          <w:sz w:val="20"/>
          <w:szCs w:val="20"/>
          <w:vertAlign w:val="superscript"/>
        </w:rPr>
        <w:footnoteReference w:id="1103"/>
      </w:r>
      <w:r>
        <w:rPr>
          <w:rFonts w:ascii="Times New Roman" w:eastAsia="Times New Roman" w:hAnsi="Times New Roman" w:cs="Times New Roman"/>
          <w:color w:val="000000"/>
          <w:sz w:val="24"/>
          <w:szCs w:val="24"/>
        </w:rPr>
        <w:t xml:space="preserve"> DOL regulations provide guidance on how to compute an employee’s compensation for the representative period: </w:t>
      </w:r>
    </w:p>
    <w:p w14:paraId="000003F0"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determining for purposes of section 7(i) whether more than half of an employee’s compensation “represents commissions on goods or services” it is necessary first to total all compensation paid to or on behalf of the employee as remuneration for his employment during the period. All such compensation in whatever form or by whatever method paid should be included … .</w:t>
      </w:r>
      <w:r>
        <w:rPr>
          <w:rFonts w:ascii="Times New Roman" w:eastAsia="Times New Roman" w:hAnsi="Times New Roman" w:cs="Times New Roman"/>
          <w:color w:val="000000"/>
          <w:sz w:val="20"/>
          <w:szCs w:val="20"/>
          <w:vertAlign w:val="superscript"/>
        </w:rPr>
        <w:footnoteReference w:id="1104"/>
      </w:r>
    </w:p>
    <w:p w14:paraId="000003F1"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Interpreting that language in </w:t>
      </w:r>
      <w:r>
        <w:rPr>
          <w:rFonts w:ascii="Times New Roman" w:eastAsia="Times New Roman" w:hAnsi="Times New Roman" w:cs="Times New Roman"/>
          <w:i/>
          <w:color w:val="000000"/>
          <w:sz w:val="24"/>
          <w:szCs w:val="24"/>
        </w:rPr>
        <w:t>Tom v. Hospitality Ventures LLC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vertAlign w:val="superscript"/>
        </w:rPr>
        <w:footnoteReference w:id="1105"/>
      </w:r>
      <w:r>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color w:val="000000"/>
          <w:sz w:val="24"/>
          <w:szCs w:val="24"/>
        </w:rPr>
        <w:t>the Fourth Circuit found that both tips and automatic gratuities should have been included in determining whether the automatic gratuities exceeded 50 percent of the employees’ total compensation for a representative period.</w:t>
      </w:r>
      <w:r>
        <w:rPr>
          <w:rFonts w:ascii="Times New Roman" w:eastAsia="Times New Roman" w:hAnsi="Times New Roman" w:cs="Times New Roman"/>
          <w:i/>
          <w:color w:val="000000"/>
          <w:sz w:val="24"/>
          <w:szCs w:val="24"/>
        </w:rPr>
        <w:t xml:space="preserve"> </w:t>
      </w:r>
    </w:p>
    <w:p w14:paraId="000003F2"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i/>
          <w:color w:val="000000"/>
          <w:sz w:val="24"/>
          <w:szCs w:val="24"/>
        </w:rPr>
      </w:pPr>
      <w:r>
        <w:rPr>
          <w:rFonts w:ascii="Times New Roman" w:eastAsia="Times New Roman" w:hAnsi="Times New Roman" w:cs="Times New Roman"/>
          <w:b/>
          <w:i/>
          <w:color w:val="000000"/>
          <w:sz w:val="24"/>
          <w:szCs w:val="24"/>
        </w:rPr>
        <w:t>3.</w:t>
      </w:r>
      <w:r>
        <w:rPr>
          <w:rFonts w:ascii="Times New Roman" w:eastAsia="Times New Roman" w:hAnsi="Times New Roman" w:cs="Times New Roman"/>
          <w:b/>
          <w:i/>
          <w:color w:val="000000"/>
          <w:sz w:val="24"/>
          <w:szCs w:val="24"/>
        </w:rPr>
        <w:tab/>
        <w:t xml:space="preserve">An Employee’s Regular Rate of Pay Must Be in Excess of 1.5 Times the Minimum </w:t>
      </w:r>
      <w:r>
        <w:rPr>
          <w:rFonts w:ascii="Times New Roman" w:eastAsia="Times New Roman" w:hAnsi="Times New Roman" w:cs="Times New Roman"/>
          <w:b/>
          <w:i/>
          <w:color w:val="000000"/>
          <w:sz w:val="24"/>
          <w:szCs w:val="24"/>
        </w:rPr>
        <w:br/>
        <w:t>Hourly Rate</w:t>
      </w:r>
    </w:p>
    <w:p w14:paraId="000003F3" w14:textId="77777777" w:rsidR="00DC27AA" w:rsidRDefault="000F36B4">
      <w:pPr>
        <w:pBdr>
          <w:top w:val="nil"/>
          <w:left w:val="nil"/>
          <w:bottom w:val="nil"/>
          <w:right w:val="nil"/>
          <w:between w:val="nil"/>
        </w:pBdr>
        <w:spacing w:before="120" w:after="120" w:line="240" w:lineRule="auto"/>
        <w:ind w:left="720"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For Section 207(i) to apply, “the regular rate of pay of such employee [must be] in excess of one and one-half times the minimum hourly rate applicable to him under section 206 of this title.”</w:t>
      </w:r>
      <w:r>
        <w:rPr>
          <w:rFonts w:ascii="Times New Roman" w:eastAsia="Times New Roman" w:hAnsi="Times New Roman" w:cs="Times New Roman"/>
          <w:color w:val="000000"/>
          <w:sz w:val="20"/>
          <w:szCs w:val="20"/>
          <w:vertAlign w:val="superscript"/>
        </w:rPr>
        <w:footnoteReference w:id="1106"/>
      </w:r>
      <w:r>
        <w:rPr>
          <w:rFonts w:ascii="Times New Roman" w:eastAsia="Times New Roman" w:hAnsi="Times New Roman" w:cs="Times New Roman"/>
          <w:color w:val="000000"/>
          <w:sz w:val="20"/>
          <w:szCs w:val="20"/>
        </w:rPr>
        <w:t xml:space="preserve"> The regulations explain that</w:t>
      </w:r>
    </w:p>
    <w:p w14:paraId="000003F4"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meaning of the “regular rate” of pay under the Act is well established. … It is a rate per hour, computed for the particular workweek by a mathematical computation in which hours worked are divided into straight-time earnings for such hours to obtain the statutory regular rate. By definition, the “regular rate” as used in section 7 of the Act includes “all remuneration paid to, or on behalf of, the employee” except payments expressly excluded by the seven numbered clauses of section 7(e). The computation of the regular rate for purposes of the Act is explained in part 788 of this chapter. … The employee’s “regular rate” of pay must be computed, … on the basis of his hours of work in that particular workweek and the employee’s compensation attributable to such hours. The hourly rate thus obtained must be compared with </w:t>
      </w:r>
      <w:r>
        <w:rPr>
          <w:rFonts w:ascii="Times New Roman" w:eastAsia="Times New Roman" w:hAnsi="Times New Roman" w:cs="Times New Roman"/>
          <w:color w:val="000000"/>
          <w:sz w:val="20"/>
          <w:szCs w:val="20"/>
        </w:rPr>
        <w:lastRenderedPageBreak/>
        <w:t>the applicable minimum rate of pay of the particular employee under the provisions of section 6 of the Act.</w:t>
      </w:r>
      <w:r>
        <w:rPr>
          <w:rFonts w:ascii="Times New Roman" w:eastAsia="Times New Roman" w:hAnsi="Times New Roman" w:cs="Times New Roman"/>
          <w:color w:val="000000"/>
          <w:sz w:val="20"/>
          <w:szCs w:val="20"/>
          <w:vertAlign w:val="superscript"/>
        </w:rPr>
        <w:footnoteReference w:id="1107"/>
      </w:r>
      <w:r>
        <w:rPr>
          <w:rFonts w:ascii="Times New Roman" w:eastAsia="Times New Roman" w:hAnsi="Times New Roman" w:cs="Times New Roman"/>
          <w:color w:val="000000"/>
          <w:sz w:val="20"/>
          <w:szCs w:val="20"/>
        </w:rPr>
        <w:t xml:space="preserve"> </w:t>
      </w:r>
    </w:p>
    <w:p w14:paraId="000003F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As the Eleventh Circuit observed in </w:t>
      </w:r>
      <w:r>
        <w:rPr>
          <w:rFonts w:ascii="Times New Roman" w:eastAsia="Times New Roman" w:hAnsi="Times New Roman" w:cs="Times New Roman"/>
          <w:i/>
          <w:color w:val="000000"/>
          <w:sz w:val="24"/>
          <w:szCs w:val="24"/>
        </w:rPr>
        <w:t>Klinedinst v. Swift Investments,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108"/>
      </w:r>
      <w:r>
        <w:rPr>
          <w:rFonts w:ascii="Times New Roman" w:eastAsia="Times New Roman" w:hAnsi="Times New Roman" w:cs="Times New Roman"/>
          <w:color w:val="000000"/>
          <w:sz w:val="24"/>
          <w:szCs w:val="24"/>
        </w:rPr>
        <w:t xml:space="preserve"> “[w]ithout knowing the regular rate of pay, we cannot determine whether it is greater than one and one half times the minimum wage.”</w:t>
      </w:r>
      <w:r>
        <w:rPr>
          <w:rFonts w:ascii="Times New Roman" w:eastAsia="Times New Roman" w:hAnsi="Times New Roman" w:cs="Times New Roman"/>
          <w:color w:val="000000"/>
          <w:sz w:val="24"/>
          <w:szCs w:val="24"/>
          <w:vertAlign w:val="superscript"/>
        </w:rPr>
        <w:footnoteReference w:id="1109"/>
      </w:r>
    </w:p>
    <w:p w14:paraId="000003F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Questions arise as to how the regular rate of pay should be calculated when the employee has a deferred commission payment structure. The regulation provides:</w:t>
      </w:r>
    </w:p>
    <w:p w14:paraId="000003F7"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If it is not possible or practicable to allocate the commission among the workweeks of the period in proportion to the amount of commission actually earned or reasonably presumed to be earned each week, some other reasonable or equitable method must be adopted.</w:t>
      </w:r>
      <w:r>
        <w:rPr>
          <w:rFonts w:ascii="Times New Roman" w:eastAsia="Times New Roman" w:hAnsi="Times New Roman" w:cs="Times New Roman"/>
          <w:color w:val="000000"/>
          <w:sz w:val="20"/>
          <w:szCs w:val="20"/>
          <w:vertAlign w:val="superscript"/>
        </w:rPr>
        <w:footnoteReference w:id="1110"/>
      </w:r>
    </w:p>
    <w:p w14:paraId="000003F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Schwind v. EW &amp; Associates,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0"/>
          <w:szCs w:val="20"/>
          <w:vertAlign w:val="superscript"/>
        </w:rPr>
        <w:footnoteReference w:id="1111"/>
      </w:r>
      <w:r>
        <w:rPr>
          <w:rFonts w:ascii="Times New Roman" w:eastAsia="Times New Roman" w:hAnsi="Times New Roman" w:cs="Times New Roman"/>
          <w:color w:val="000000"/>
          <w:sz w:val="24"/>
          <w:szCs w:val="24"/>
        </w:rPr>
        <w:t xml:space="preserve"> an employee was paid solely on a deferred commission basis in which he “would be paid only after [his employer was] paid by the client for a particular project.”</w:t>
      </w:r>
      <w:r>
        <w:rPr>
          <w:rFonts w:ascii="Times New Roman" w:eastAsia="Times New Roman" w:hAnsi="Times New Roman" w:cs="Times New Roman"/>
          <w:color w:val="000000"/>
          <w:sz w:val="20"/>
          <w:szCs w:val="20"/>
          <w:vertAlign w:val="superscript"/>
        </w:rPr>
        <w:footnoteReference w:id="1112"/>
      </w:r>
      <w:r>
        <w:rPr>
          <w:rFonts w:ascii="Times New Roman" w:eastAsia="Times New Roman" w:hAnsi="Times New Roman" w:cs="Times New Roman"/>
          <w:color w:val="000000"/>
          <w:sz w:val="24"/>
          <w:szCs w:val="24"/>
        </w:rPr>
        <w:t xml:space="preserve"> Because this pay structure was not among the regulation’s examples, the court “deem[ed] it necessary to adopt a ‘reasonable and equitable’ method other than those </w:t>
      </w:r>
      <w:r>
        <w:rPr>
          <w:rFonts w:ascii="Times New Roman" w:eastAsia="Times New Roman" w:hAnsi="Times New Roman" w:cs="Times New Roman"/>
          <w:color w:val="000000"/>
          <w:sz w:val="24"/>
          <w:szCs w:val="24"/>
        </w:rPr>
        <w:lastRenderedPageBreak/>
        <w:t>provided in the regulation” to calculate the employee’s regular rate of pay.</w:t>
      </w:r>
      <w:r>
        <w:rPr>
          <w:rFonts w:ascii="Times New Roman" w:eastAsia="Times New Roman" w:hAnsi="Times New Roman" w:cs="Times New Roman"/>
          <w:color w:val="000000"/>
          <w:sz w:val="20"/>
          <w:szCs w:val="20"/>
          <w:vertAlign w:val="superscript"/>
        </w:rPr>
        <w:footnoteReference w:id="1113"/>
      </w:r>
      <w:r>
        <w:rPr>
          <w:rFonts w:ascii="Times New Roman" w:eastAsia="Times New Roman" w:hAnsi="Times New Roman" w:cs="Times New Roman"/>
          <w:color w:val="000000"/>
          <w:sz w:val="24"/>
          <w:szCs w:val="24"/>
        </w:rPr>
        <w:t xml:space="preserve"> The court further stated:</w:t>
      </w:r>
    </w:p>
    <w:p w14:paraId="000003F9"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0"/>
          <w:szCs w:val="20"/>
        </w:rPr>
        <w:t>Consequently, in light of the goals of the FLSA, we believe the most reasonable and equitable method in determining plaintiff's regular rate of pay based on the deferred commission payments he received from defendants is to average the commissions received by plaintiff in a given year and allocate the average to each week. This is necessary because of the fluctuating and irregular schedule in which plaintiff was paid.</w:t>
      </w:r>
      <w:r>
        <w:rPr>
          <w:rFonts w:ascii="Times New Roman" w:eastAsia="Times New Roman" w:hAnsi="Times New Roman" w:cs="Times New Roman"/>
          <w:color w:val="000000"/>
          <w:sz w:val="20"/>
          <w:szCs w:val="20"/>
          <w:vertAlign w:val="superscript"/>
        </w:rPr>
        <w:footnoteReference w:id="1114"/>
      </w:r>
    </w:p>
    <w:p w14:paraId="000003FA"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C.</w:t>
      </w:r>
      <w:r>
        <w:rPr>
          <w:rFonts w:ascii="Times New Roman" w:eastAsia="Times New Roman" w:hAnsi="Times New Roman" w:cs="Times New Roman"/>
          <w:b/>
          <w:color w:val="000000"/>
          <w:sz w:val="24"/>
          <w:szCs w:val="24"/>
        </w:rPr>
        <w:tab/>
        <w:t>Section 207(n) Exception: Employees Engaged in Charter Activities for Local Passenger Carriers</w:t>
      </w:r>
    </w:p>
    <w:p w14:paraId="000003FB"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1974, Congress broadened the coverage of the FLSA to include within the definition of “employer” a “public agency,” and expanded the definition of “enterprises engaged in commerce or in the production of goods for commerce” to encompass an “activity of a public agency.”</w:t>
      </w:r>
      <w:r>
        <w:rPr>
          <w:rFonts w:ascii="Times New Roman" w:eastAsia="Times New Roman" w:hAnsi="Times New Roman" w:cs="Times New Roman"/>
          <w:color w:val="000000"/>
          <w:sz w:val="24"/>
          <w:szCs w:val="24"/>
          <w:vertAlign w:val="superscript"/>
        </w:rPr>
        <w:footnoteReference w:id="1115"/>
      </w:r>
      <w:r>
        <w:rPr>
          <w:rFonts w:ascii="Times New Roman" w:eastAsia="Times New Roman" w:hAnsi="Times New Roman" w:cs="Times New Roman"/>
          <w:color w:val="000000"/>
          <w:sz w:val="24"/>
          <w:szCs w:val="24"/>
        </w:rPr>
        <w:t xml:space="preserve"> Thus, the 1974 amendments completely removed the FLSA’s prior exemption from overtime for employees of states and their political subdivisions, while providing some exceptions to this overtime coverage (i.e., for individuals holding public elective office or serving as such an officeholder in one of several capacities).</w:t>
      </w:r>
      <w:r>
        <w:rPr>
          <w:rFonts w:ascii="Times New Roman" w:eastAsia="Times New Roman" w:hAnsi="Times New Roman" w:cs="Times New Roman"/>
          <w:color w:val="000000"/>
          <w:sz w:val="24"/>
          <w:szCs w:val="24"/>
          <w:vertAlign w:val="superscript"/>
        </w:rPr>
        <w:footnoteReference w:id="1116"/>
      </w:r>
    </w:p>
    <w:p w14:paraId="000003F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One of the exceptions to the new overtime coverage was for public and private local passenger carriers’ “charter activities.” That exception is embodied in Section 207(n) of the statute:</w:t>
      </w:r>
    </w:p>
    <w:p w14:paraId="000003FD"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the case of an employee of an employer engaged in the business of operating a street, suburban or interurban electric railway, or local trolley or motorbus carrier (regardless of whether or not such railway or carrier is public or private or operated for profit or not for profit), in determining the hours of employment of such an employee to which the rate prescribed by subsection (a) of this section applies there shall be excluded the hours such employee was employed in charter activities by such employer if</w:t>
      </w:r>
    </w:p>
    <w:p w14:paraId="000003FE"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 the employee’s employment in such activities was pursuant to an agreement or understanding with his employer arrived at before engaging in such employment, and</w:t>
      </w:r>
    </w:p>
    <w:p w14:paraId="000003FF" w14:textId="77777777" w:rsidR="00DC27AA" w:rsidRDefault="000F36B4">
      <w:pPr>
        <w:pBdr>
          <w:top w:val="nil"/>
          <w:left w:val="nil"/>
          <w:bottom w:val="nil"/>
          <w:right w:val="nil"/>
          <w:between w:val="nil"/>
        </w:pBdr>
        <w:spacing w:before="120" w:after="120" w:line="240" w:lineRule="auto"/>
        <w:ind w:left="10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if employment in such activities is not part of such employee’s regular employment.</w:t>
      </w:r>
      <w:r>
        <w:rPr>
          <w:rFonts w:ascii="Times New Roman" w:eastAsia="Times New Roman" w:hAnsi="Times New Roman" w:cs="Times New Roman"/>
          <w:color w:val="000000"/>
          <w:sz w:val="20"/>
          <w:szCs w:val="20"/>
          <w:vertAlign w:val="superscript"/>
        </w:rPr>
        <w:footnoteReference w:id="1117"/>
      </w:r>
    </w:p>
    <w:p w14:paraId="00000400"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purpose of Section 207(n) was to exclude from overtime pay the hours of employment that a mass transit employee spent in charter activities if (1) those charter activities were spent pursuant to a prior agreement, and (2) such charter activities were not a part of the employee’s regular employment.</w:t>
      </w:r>
      <w:r>
        <w:rPr>
          <w:rFonts w:ascii="Times New Roman" w:eastAsia="Times New Roman" w:hAnsi="Times New Roman" w:cs="Times New Roman"/>
          <w:color w:val="000000"/>
          <w:sz w:val="24"/>
          <w:szCs w:val="24"/>
          <w:vertAlign w:val="superscript"/>
        </w:rPr>
        <w:footnoteReference w:id="1118"/>
      </w:r>
      <w:r>
        <w:rPr>
          <w:rFonts w:ascii="Times New Roman" w:eastAsia="Times New Roman" w:hAnsi="Times New Roman" w:cs="Times New Roman"/>
          <w:color w:val="000000"/>
          <w:sz w:val="24"/>
          <w:szCs w:val="24"/>
        </w:rPr>
        <w:t xml:space="preserve"> According to the </w:t>
      </w:r>
      <w:r>
        <w:rPr>
          <w:rFonts w:ascii="Times New Roman" w:eastAsia="Times New Roman" w:hAnsi="Times New Roman" w:cs="Times New Roman"/>
          <w:i/>
          <w:color w:val="000000"/>
          <w:sz w:val="24"/>
          <w:szCs w:val="24"/>
        </w:rPr>
        <w:t>Field Operations Handbook</w:t>
      </w:r>
      <w:r>
        <w:rPr>
          <w:rFonts w:ascii="Times New Roman" w:eastAsia="Times New Roman" w:hAnsi="Times New Roman" w:cs="Times New Roman"/>
          <w:color w:val="000000"/>
          <w:sz w:val="24"/>
          <w:szCs w:val="24"/>
        </w:rPr>
        <w:t xml:space="preserve">, Section 207(n) is operable only to work undertaken “pursuant to an agreement or understanding arrived at between the employer and the employee </w:t>
      </w:r>
      <w:r>
        <w:rPr>
          <w:rFonts w:ascii="Times New Roman" w:eastAsia="Times New Roman" w:hAnsi="Times New Roman" w:cs="Times New Roman"/>
          <w:i/>
          <w:color w:val="000000"/>
          <w:sz w:val="24"/>
          <w:szCs w:val="24"/>
        </w:rPr>
        <w:t>before</w:t>
      </w:r>
      <w:r>
        <w:rPr>
          <w:rFonts w:ascii="Times New Roman" w:eastAsia="Times New Roman" w:hAnsi="Times New Roman" w:cs="Times New Roman"/>
          <w:color w:val="000000"/>
          <w:sz w:val="24"/>
          <w:szCs w:val="24"/>
        </w:rPr>
        <w:t xml:space="preserve"> performance of the work. If the employees </w:t>
      </w:r>
      <w:r>
        <w:rPr>
          <w:rFonts w:ascii="Times New Roman" w:eastAsia="Times New Roman" w:hAnsi="Times New Roman" w:cs="Times New Roman"/>
          <w:color w:val="000000"/>
          <w:sz w:val="24"/>
          <w:szCs w:val="24"/>
        </w:rPr>
        <w:lastRenderedPageBreak/>
        <w:t>express their unwillingness to accept the exclusion of hours spent in charter activities from the number of hours worked, Section 7(n) is inapplicable.”</w:t>
      </w:r>
      <w:r>
        <w:rPr>
          <w:rFonts w:ascii="Times New Roman" w:eastAsia="Times New Roman" w:hAnsi="Times New Roman" w:cs="Times New Roman"/>
          <w:color w:val="000000"/>
          <w:sz w:val="24"/>
          <w:szCs w:val="24"/>
          <w:vertAlign w:val="superscript"/>
        </w:rPr>
        <w:footnoteReference w:id="1119"/>
      </w:r>
    </w:p>
    <w:p w14:paraId="00000401"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w:t>
      </w:r>
      <w:r>
        <w:rPr>
          <w:rFonts w:ascii="Times New Roman" w:eastAsia="Times New Roman" w:hAnsi="Times New Roman" w:cs="Times New Roman"/>
          <w:b/>
          <w:color w:val="000000"/>
          <w:sz w:val="24"/>
          <w:szCs w:val="24"/>
        </w:rPr>
        <w:tab/>
        <w:t xml:space="preserve">Section 207(s) Exception: Employees Engaged As Major Disaster Claims Adjusters </w:t>
      </w:r>
    </w:p>
    <w:p w14:paraId="0000040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Major Disaster Claims Adjuster exemption was first enacted in 2016, as part of the Consolidated Appropriations Act,</w:t>
      </w:r>
      <w:r>
        <w:rPr>
          <w:rFonts w:ascii="Times New Roman" w:eastAsia="Times New Roman" w:hAnsi="Times New Roman" w:cs="Times New Roman"/>
          <w:color w:val="000000"/>
          <w:sz w:val="24"/>
          <w:szCs w:val="24"/>
          <w:vertAlign w:val="superscript"/>
        </w:rPr>
        <w:footnoteReference w:id="1120"/>
      </w:r>
      <w:r>
        <w:rPr>
          <w:rFonts w:ascii="Times New Roman" w:eastAsia="Times New Roman" w:hAnsi="Times New Roman" w:cs="Times New Roman"/>
          <w:color w:val="000000"/>
          <w:sz w:val="24"/>
          <w:szCs w:val="24"/>
        </w:rPr>
        <w:t xml:space="preserve"> and Congress has continued to enact it in subsequent appropriations acts.</w:t>
      </w:r>
    </w:p>
    <w:p w14:paraId="0000040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overtime exemption for major disaster claims adjusters applies for a two-year period following the occurrence of a major disaster, meaning a disaster or catastrophe declared or designated by a state or federal agency or department.</w:t>
      </w:r>
    </w:p>
    <w:p w14:paraId="0000040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qualify for this overtime exemption, all of the following requirements must be met:</w:t>
      </w:r>
    </w:p>
    <w:p w14:paraId="00000405"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ab/>
        <w:t>The employee is employed to adjust or evaluate claims resulting from or relating to such a major disaster, by an employer not engaged, directly or through an affiliate, in underwriting, selling, or marketing property, casualty, or liability insurance or contracts;</w:t>
      </w:r>
    </w:p>
    <w:p w14:paraId="00000406"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w:t>
      </w:r>
      <w:r>
        <w:rPr>
          <w:rFonts w:ascii="Times New Roman" w:eastAsia="Times New Roman" w:hAnsi="Times New Roman" w:cs="Times New Roman"/>
          <w:color w:val="000000"/>
          <w:sz w:val="20"/>
          <w:szCs w:val="20"/>
        </w:rPr>
        <w:tab/>
        <w:t>The employee receives an average weekly compensation of at least $591, or a greater amount established by the Secretary, for the number of weeks the employee is engaged in any of the duties listed below; and</w:t>
      </w:r>
    </w:p>
    <w:p w14:paraId="00000407"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3.</w:t>
      </w:r>
      <w:r>
        <w:rPr>
          <w:rFonts w:ascii="Times New Roman" w:eastAsia="Times New Roman" w:hAnsi="Times New Roman" w:cs="Times New Roman"/>
          <w:color w:val="000000"/>
          <w:sz w:val="20"/>
          <w:szCs w:val="20"/>
        </w:rPr>
        <w:tab/>
        <w:t>The employee’s duties must include at least one of the following:</w:t>
      </w:r>
    </w:p>
    <w:p w14:paraId="00000408"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ab/>
        <w:t>Interviewing insured individuals, individuals who suffered injuries or other damages or losses arising from or relating to a disaster, witnesses, or physicians;</w:t>
      </w:r>
    </w:p>
    <w:p w14:paraId="00000409"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ab/>
        <w:t>Inspecting property damage or reviewing factual information to prepare damage estimates;</w:t>
      </w:r>
    </w:p>
    <w:p w14:paraId="0000040A"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c.</w:t>
      </w:r>
      <w:r>
        <w:rPr>
          <w:rFonts w:ascii="Times New Roman" w:eastAsia="Times New Roman" w:hAnsi="Times New Roman" w:cs="Times New Roman"/>
          <w:color w:val="000000"/>
          <w:sz w:val="20"/>
          <w:szCs w:val="20"/>
        </w:rPr>
        <w:tab/>
        <w:t>Evaluating and making recommendations regarding coverage or compensability of claims or determining liability or value aspects of claims;</w:t>
      </w:r>
    </w:p>
    <w:p w14:paraId="0000040B"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d.</w:t>
      </w:r>
      <w:r>
        <w:rPr>
          <w:rFonts w:ascii="Times New Roman" w:eastAsia="Times New Roman" w:hAnsi="Times New Roman" w:cs="Times New Roman"/>
          <w:color w:val="000000"/>
          <w:sz w:val="20"/>
          <w:szCs w:val="20"/>
        </w:rPr>
        <w:tab/>
        <w:t>Negotiating settlements; or</w:t>
      </w:r>
    </w:p>
    <w:p w14:paraId="0000040C"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e.</w:t>
      </w:r>
      <w:r>
        <w:rPr>
          <w:rFonts w:ascii="Times New Roman" w:eastAsia="Times New Roman" w:hAnsi="Times New Roman" w:cs="Times New Roman"/>
          <w:color w:val="000000"/>
          <w:sz w:val="20"/>
          <w:szCs w:val="20"/>
        </w:rPr>
        <w:tab/>
        <w:t>Making recommendations regarding litigation.</w:t>
      </w:r>
      <w:r>
        <w:rPr>
          <w:rFonts w:ascii="Times New Roman" w:eastAsia="Times New Roman" w:hAnsi="Times New Roman" w:cs="Times New Roman"/>
          <w:color w:val="000000"/>
          <w:sz w:val="20"/>
          <w:szCs w:val="20"/>
          <w:vertAlign w:val="superscript"/>
        </w:rPr>
        <w:footnoteReference w:id="1121"/>
      </w:r>
    </w:p>
    <w:p w14:paraId="0000040D" w14:textId="77777777" w:rsidR="00DC27AA" w:rsidRDefault="000F36B4">
      <w:pPr>
        <w:pBdr>
          <w:top w:val="nil"/>
          <w:left w:val="nil"/>
          <w:bottom w:val="nil"/>
          <w:right w:val="nil"/>
          <w:between w:val="nil"/>
        </w:pBdr>
        <w:spacing w:before="120" w:after="12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DOL fact sheet has defined two of the terms found in the exemption language:</w:t>
      </w:r>
    </w:p>
    <w:p w14:paraId="0000040E"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w:t>
      </w:r>
      <w:r>
        <w:rPr>
          <w:rFonts w:ascii="Times New Roman" w:eastAsia="Times New Roman" w:hAnsi="Times New Roman" w:cs="Times New Roman"/>
          <w:color w:val="000000"/>
          <w:sz w:val="20"/>
          <w:szCs w:val="20"/>
        </w:rPr>
        <w:tab/>
        <w:t>The term employee “employed to adjust or evaluate claims resulting from or relating to such major disaster” means an individual who</w:t>
      </w:r>
    </w:p>
    <w:p w14:paraId="0000040F"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ab/>
        <w:t>In a timely manner, secured or secures a license required by applicable law to engage in and perform the duties described above relating to a disaster, and</w:t>
      </w:r>
    </w:p>
    <w:p w14:paraId="00000410" w14:textId="77777777" w:rsidR="00DC27AA" w:rsidRDefault="000F36B4">
      <w:pPr>
        <w:pBdr>
          <w:top w:val="nil"/>
          <w:left w:val="nil"/>
          <w:bottom w:val="nil"/>
          <w:right w:val="nil"/>
          <w:between w:val="nil"/>
        </w:pBdr>
        <w:spacing w:before="120" w:after="120" w:line="240" w:lineRule="auto"/>
        <w:ind w:left="144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b.</w:t>
      </w:r>
      <w:r>
        <w:rPr>
          <w:rFonts w:ascii="Times New Roman" w:eastAsia="Times New Roman" w:hAnsi="Times New Roman" w:cs="Times New Roman"/>
          <w:color w:val="000000"/>
          <w:sz w:val="20"/>
          <w:szCs w:val="20"/>
        </w:rPr>
        <w:tab/>
        <w:t>Is employed by an employer that: (1) maintains worker compensation insurance coverage or protection for its employees, if required by applicable law, and (2) withholds applicable Federal, State, and local income and payroll taxes from the wages, salaries and any benefits of such employees.</w:t>
      </w:r>
    </w:p>
    <w:p w14:paraId="00000411"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2.</w:t>
      </w:r>
      <w:r>
        <w:rPr>
          <w:rFonts w:ascii="Times New Roman" w:eastAsia="Times New Roman" w:hAnsi="Times New Roman" w:cs="Times New Roman"/>
          <w:color w:val="000000"/>
          <w:sz w:val="20"/>
          <w:szCs w:val="20"/>
        </w:rPr>
        <w:tab/>
        <w:t>The term “affiliate” means a company that, by reason of ownership or control holds at least 25 percent of the outstanding shares of any class of voting securities of one or more companies, directly or indirectly, controls, is controlled by, or is under common control with, another company.</w:t>
      </w:r>
      <w:r>
        <w:rPr>
          <w:rFonts w:ascii="Times New Roman" w:eastAsia="Times New Roman" w:hAnsi="Times New Roman" w:cs="Times New Roman"/>
          <w:color w:val="000000"/>
          <w:sz w:val="20"/>
          <w:szCs w:val="20"/>
          <w:vertAlign w:val="superscript"/>
        </w:rPr>
        <w:footnoteReference w:id="1122"/>
      </w:r>
    </w:p>
    <w:p w14:paraId="00000412" w14:textId="77777777" w:rsidR="00DC27AA" w:rsidRDefault="000F36B4">
      <w:pPr>
        <w:pBdr>
          <w:top w:val="nil"/>
          <w:left w:val="nil"/>
          <w:bottom w:val="nil"/>
          <w:right w:val="nil"/>
          <w:between w:val="nil"/>
        </w:pBdr>
        <w:spacing w:before="480" w:after="240" w:line="240"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VI. Section 213(d) Exemption From the Minimum Wage, Overtime, and Child Labor Requirements of the FLSA</w:t>
      </w:r>
    </w:p>
    <w:p w14:paraId="00000413"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Section 213(d) exempts from the minimum wage, overtime, and child labor requirements of the FLSA (1) employees engaged in the delivery of newspapers to the consumer, and (2) any homeworker engaged in the making of wreaths composed principally of natural holly, pine, cedar, or other evergreens (including the harvesting of the evergreens or other forest product used in making such wreaths).</w:t>
      </w:r>
      <w:r>
        <w:rPr>
          <w:rFonts w:ascii="Times New Roman" w:eastAsia="Times New Roman" w:hAnsi="Times New Roman" w:cs="Times New Roman"/>
          <w:color w:val="000000"/>
          <w:sz w:val="24"/>
          <w:szCs w:val="24"/>
          <w:vertAlign w:val="superscript"/>
        </w:rPr>
        <w:footnoteReference w:id="1123"/>
      </w:r>
      <w:r>
        <w:rPr>
          <w:rFonts w:ascii="Times New Roman" w:eastAsia="Times New Roman" w:hAnsi="Times New Roman" w:cs="Times New Roman"/>
          <w:color w:val="000000"/>
          <w:sz w:val="24"/>
          <w:szCs w:val="24"/>
        </w:rPr>
        <w:t xml:space="preserve"> The newspaper delivery exemption is discussed in greater detail below; the wreath-making exemption is discussed in Chapter 7, Agricultural Exemptions, §V [Section 213(d) Exemption From the Minimum Wage, Overtime, and Child Labor Requirements: Employment of Homeworkers in Making Wreaths].</w:t>
      </w:r>
    </w:p>
    <w:p w14:paraId="00000414"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Pr>
          <w:rFonts w:ascii="Times New Roman" w:eastAsia="Times New Roman" w:hAnsi="Times New Roman" w:cs="Times New Roman"/>
          <w:b/>
          <w:color w:val="000000"/>
          <w:sz w:val="24"/>
          <w:szCs w:val="24"/>
        </w:rPr>
        <w:tab/>
        <w:t>Engaged in Delivering “Newspapers”</w:t>
      </w:r>
    </w:p>
    <w:p w14:paraId="0000041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qualify for the newspaper delivery exemption, an employee must satisfy two criteria: (1) he or she must be engaged in the delivery of newspapers, and (2) the delivery must be to the consumer.</w:t>
      </w:r>
      <w:r>
        <w:rPr>
          <w:rFonts w:ascii="Times New Roman" w:eastAsia="Times New Roman" w:hAnsi="Times New Roman" w:cs="Times New Roman"/>
          <w:color w:val="000000"/>
          <w:sz w:val="24"/>
          <w:szCs w:val="24"/>
          <w:vertAlign w:val="superscript"/>
        </w:rPr>
        <w:footnoteReference w:id="1124"/>
      </w:r>
      <w:r>
        <w:rPr>
          <w:rFonts w:ascii="Times New Roman" w:eastAsia="Times New Roman" w:hAnsi="Times New Roman" w:cs="Times New Roman"/>
          <w:color w:val="000000"/>
          <w:sz w:val="24"/>
          <w:szCs w:val="24"/>
        </w:rPr>
        <w:t xml:space="preserve"> </w:t>
      </w:r>
    </w:p>
    <w:p w14:paraId="0000041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According to a WHD opinion letter, for purposes of the Section 213(d) exemption, a “newspaper” is defined as a publication having the general physical appearance and form of a newspaper and containing news of general interest, regardless of whether it also contains advertising copy.</w:t>
      </w:r>
      <w:r>
        <w:rPr>
          <w:rFonts w:ascii="Times New Roman" w:eastAsia="Times New Roman" w:hAnsi="Times New Roman" w:cs="Times New Roman"/>
          <w:color w:val="000000"/>
          <w:sz w:val="24"/>
          <w:szCs w:val="24"/>
          <w:vertAlign w:val="superscript"/>
        </w:rPr>
        <w:footnoteReference w:id="1125"/>
      </w:r>
      <w:r>
        <w:rPr>
          <w:rFonts w:ascii="Times New Roman" w:eastAsia="Times New Roman" w:hAnsi="Times New Roman" w:cs="Times New Roman"/>
          <w:color w:val="000000"/>
          <w:sz w:val="24"/>
          <w:szCs w:val="24"/>
        </w:rPr>
        <w:t xml:space="preserve"> The WHD also stated that the exemption applies to delivery persons who distribute shopping circulars and other advertising materials inserted into newspapers, as long as (1) the delivery person in question is employed by the newspaper publisher or contract tolerance is permitted under Section 13(d).”</w:t>
      </w:r>
      <w:r>
        <w:rPr>
          <w:rFonts w:ascii="Times New Roman" w:eastAsia="Times New Roman" w:hAnsi="Times New Roman" w:cs="Times New Roman"/>
          <w:color w:val="000000"/>
          <w:sz w:val="24"/>
          <w:szCs w:val="24"/>
          <w:vertAlign w:val="superscript"/>
        </w:rPr>
        <w:footnoteReference w:id="1126"/>
      </w:r>
      <w:r>
        <w:rPr>
          <w:rFonts w:ascii="Times New Roman" w:eastAsia="Times New Roman" w:hAnsi="Times New Roman" w:cs="Times New Roman"/>
          <w:color w:val="000000"/>
          <w:sz w:val="24"/>
          <w:szCs w:val="24"/>
        </w:rPr>
        <w:t xml:space="preserve"> In another opinion letter, the WHD concluded that the exemption does not apply to the delivery of “shoppers” (i.e., circulars consisting of a single sample news item along with a collection of the ads placed in a particular newspaper).</w:t>
      </w:r>
      <w:r>
        <w:rPr>
          <w:rFonts w:ascii="Times New Roman" w:eastAsia="Times New Roman" w:hAnsi="Times New Roman" w:cs="Times New Roman"/>
          <w:color w:val="000000"/>
          <w:sz w:val="24"/>
          <w:szCs w:val="24"/>
          <w:vertAlign w:val="superscript"/>
        </w:rPr>
        <w:footnoteReference w:id="1127"/>
      </w:r>
      <w:r>
        <w:rPr>
          <w:rFonts w:ascii="Times New Roman" w:eastAsia="Times New Roman" w:hAnsi="Times New Roman" w:cs="Times New Roman"/>
          <w:color w:val="000000"/>
          <w:sz w:val="24"/>
          <w:szCs w:val="24"/>
        </w:rPr>
        <w:t xml:space="preserve"> Thus, </w:t>
      </w:r>
      <w:r>
        <w:rPr>
          <w:rFonts w:ascii="Times New Roman" w:eastAsia="Times New Roman" w:hAnsi="Times New Roman" w:cs="Times New Roman"/>
          <w:color w:val="000000"/>
          <w:sz w:val="24"/>
          <w:szCs w:val="24"/>
        </w:rPr>
        <w:lastRenderedPageBreak/>
        <w:t>according to the DOL, an employer cannot treat as exempt employees who deliver, free of charge, “shoppers” to residential dwellings that do not regularly receive the actual newspaper.</w:t>
      </w:r>
      <w:r>
        <w:rPr>
          <w:rFonts w:ascii="Times New Roman" w:eastAsia="Times New Roman" w:hAnsi="Times New Roman" w:cs="Times New Roman"/>
          <w:color w:val="000000"/>
          <w:sz w:val="24"/>
          <w:szCs w:val="24"/>
          <w:vertAlign w:val="superscript"/>
        </w:rPr>
        <w:footnoteReference w:id="1128"/>
      </w:r>
    </w:p>
    <w:p w14:paraId="00000417" w14:textId="77777777" w:rsidR="00DC27AA" w:rsidRDefault="000F36B4">
      <w:pPr>
        <w:pBdr>
          <w:top w:val="nil"/>
          <w:left w:val="nil"/>
          <w:bottom w:val="nil"/>
          <w:right w:val="nil"/>
          <w:between w:val="nil"/>
        </w:pBdr>
        <w:spacing w:before="360" w:after="240" w:line="240" w:lineRule="auto"/>
        <w:ind w:left="720" w:hanging="72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B.</w:t>
      </w:r>
      <w:r>
        <w:rPr>
          <w:rFonts w:ascii="Times New Roman" w:eastAsia="Times New Roman" w:hAnsi="Times New Roman" w:cs="Times New Roman"/>
          <w:b/>
          <w:color w:val="000000"/>
          <w:sz w:val="24"/>
          <w:szCs w:val="24"/>
        </w:rPr>
        <w:tab/>
        <w:t>Delivery Must Be to the Consumer</w:t>
      </w:r>
    </w:p>
    <w:p w14:paraId="00000418"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DOL regulations further provide that the newspaper delivery exemption applies only to carriers who engage in either (1) making deliveries to the homes of subscribers or to other consumers of newspapers (including shopping news), or (2) the street sale or delivery of newspapers to the consumer.</w:t>
      </w:r>
      <w:r>
        <w:rPr>
          <w:rFonts w:ascii="Times New Roman" w:eastAsia="Times New Roman" w:hAnsi="Times New Roman" w:cs="Times New Roman"/>
          <w:color w:val="000000"/>
          <w:sz w:val="24"/>
          <w:szCs w:val="24"/>
          <w:vertAlign w:val="superscript"/>
        </w:rPr>
        <w:footnoteReference w:id="1129"/>
      </w:r>
      <w:r>
        <w:rPr>
          <w:rFonts w:ascii="Times New Roman" w:eastAsia="Times New Roman" w:hAnsi="Times New Roman" w:cs="Times New Roman"/>
          <w:color w:val="000000"/>
          <w:sz w:val="24"/>
          <w:szCs w:val="24"/>
        </w:rPr>
        <w:t xml:space="preserve"> The exemption does not apply to employees engaged in hauling newspapers to drop stations, distributing centers, and newsstands because these are intermediate destinations and not the ultimate consumer of the newspaper.</w:t>
      </w:r>
      <w:r>
        <w:rPr>
          <w:rFonts w:ascii="Times New Roman" w:eastAsia="Times New Roman" w:hAnsi="Times New Roman" w:cs="Times New Roman"/>
          <w:color w:val="000000"/>
          <w:sz w:val="24"/>
          <w:szCs w:val="24"/>
          <w:vertAlign w:val="superscript"/>
        </w:rPr>
        <w:footnoteReference w:id="1130"/>
      </w:r>
      <w:r>
        <w:rPr>
          <w:rFonts w:ascii="Times New Roman" w:eastAsia="Times New Roman" w:hAnsi="Times New Roman" w:cs="Times New Roman"/>
          <w:color w:val="000000"/>
          <w:sz w:val="24"/>
          <w:szCs w:val="24"/>
        </w:rPr>
        <w:t xml:space="preserve"> A WHD opinion letter stated that where employees carry current issues of a newspaper and attempt to sell them as part of their solicitation work, such work can be regarded as involving the street sale of newspapers to the consumer within Section 213(d).</w:t>
      </w:r>
      <w:r>
        <w:rPr>
          <w:rFonts w:ascii="Times New Roman" w:eastAsia="Times New Roman" w:hAnsi="Times New Roman" w:cs="Times New Roman"/>
          <w:color w:val="000000"/>
          <w:sz w:val="24"/>
          <w:szCs w:val="24"/>
          <w:vertAlign w:val="superscript"/>
        </w:rPr>
        <w:footnoteReference w:id="1131"/>
      </w:r>
      <w:r>
        <w:rPr>
          <w:rFonts w:ascii="Times New Roman" w:eastAsia="Times New Roman" w:hAnsi="Times New Roman" w:cs="Times New Roman"/>
          <w:color w:val="000000"/>
          <w:sz w:val="24"/>
          <w:szCs w:val="24"/>
        </w:rPr>
        <w:t xml:space="preserve"> Newspaper folding is also considered exempt work as long as it is incidental to the carrier’s own sale or delivery of the newspapers.</w:t>
      </w:r>
      <w:r>
        <w:rPr>
          <w:rFonts w:ascii="Times New Roman" w:eastAsia="Times New Roman" w:hAnsi="Times New Roman" w:cs="Times New Roman"/>
          <w:color w:val="000000"/>
          <w:sz w:val="24"/>
          <w:szCs w:val="24"/>
          <w:vertAlign w:val="superscript"/>
        </w:rPr>
        <w:footnoteReference w:id="1132"/>
      </w:r>
      <w:r>
        <w:rPr>
          <w:rFonts w:ascii="Times New Roman" w:eastAsia="Times New Roman" w:hAnsi="Times New Roman" w:cs="Times New Roman"/>
          <w:color w:val="000000"/>
          <w:sz w:val="24"/>
          <w:szCs w:val="24"/>
        </w:rPr>
        <w:t xml:space="preserve"> However, the exemption is not so broad as to encompass the solicitation of subscriptions to be delivered by another employee.</w:t>
      </w:r>
      <w:r>
        <w:rPr>
          <w:rFonts w:ascii="Times New Roman" w:eastAsia="Times New Roman" w:hAnsi="Times New Roman" w:cs="Times New Roman"/>
          <w:color w:val="000000"/>
          <w:sz w:val="24"/>
          <w:szCs w:val="24"/>
          <w:vertAlign w:val="superscript"/>
        </w:rPr>
        <w:footnoteReference w:id="1133"/>
      </w:r>
      <w:r>
        <w:rPr>
          <w:rFonts w:ascii="Times New Roman" w:eastAsia="Times New Roman" w:hAnsi="Times New Roman" w:cs="Times New Roman"/>
          <w:color w:val="000000"/>
          <w:sz w:val="24"/>
          <w:szCs w:val="24"/>
        </w:rPr>
        <w:t xml:space="preserve"> </w:t>
      </w:r>
    </w:p>
    <w:p w14:paraId="00000419" w14:textId="77777777" w:rsidR="00DC27AA" w:rsidRDefault="000F36B4">
      <w:pPr>
        <w:pBdr>
          <w:top w:val="nil"/>
          <w:left w:val="nil"/>
          <w:bottom w:val="nil"/>
          <w:right w:val="nil"/>
          <w:between w:val="nil"/>
        </w:pBdr>
        <w:spacing w:before="480" w:after="240" w:line="240" w:lineRule="auto"/>
        <w:jc w:val="center"/>
        <w:rPr>
          <w:rFonts w:ascii="Times New Roman" w:eastAsia="Times New Roman" w:hAnsi="Times New Roman" w:cs="Times New Roman"/>
          <w:smallCaps/>
          <w:color w:val="000000"/>
          <w:sz w:val="24"/>
          <w:szCs w:val="24"/>
        </w:rPr>
      </w:pPr>
      <w:r>
        <w:rPr>
          <w:rFonts w:ascii="Times New Roman" w:eastAsia="Times New Roman" w:hAnsi="Times New Roman" w:cs="Times New Roman"/>
          <w:smallCaps/>
          <w:color w:val="000000"/>
          <w:sz w:val="24"/>
          <w:szCs w:val="24"/>
        </w:rPr>
        <w:t xml:space="preserve">VII. Section 213(f) Exemption From the Minimum Wage, Overtime, Child Labor, </w:t>
      </w:r>
      <w:r>
        <w:rPr>
          <w:rFonts w:ascii="Times New Roman" w:eastAsia="Times New Roman" w:hAnsi="Times New Roman" w:cs="Times New Roman"/>
          <w:smallCaps/>
          <w:color w:val="000000"/>
          <w:sz w:val="24"/>
          <w:szCs w:val="24"/>
        </w:rPr>
        <w:br/>
        <w:t>and Recordkeeping Requirements of the FLSA</w:t>
      </w:r>
    </w:p>
    <w:p w14:paraId="0000041A"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1957, Congress enacted Subsection (f) of Section 213, providing that the FLSA requirements regarding minimum wage, overtime, child labor, and recordkeeping did not apply extraterritorially:</w:t>
      </w:r>
    </w:p>
    <w:p w14:paraId="0000041B"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(f) The provisions of sections 6, 7, 11, and 12 shall not apply with respect to any employee whose services during the workweek are performed in a workplace within a foreign country or within territory under the jurisdiction of the United States other than the following: a State of the United States; the District of Columbia; Alaska; Hawaii; Puerto Rico; the Virgin Islands; outer Continental Shelf lands defined in the Outer Continental Shelf Lands Act (ch. 345, 67 Stat. 462); American Samoa; Guam; Wake Island; and the Canal Zone.</w:t>
      </w:r>
      <w:r>
        <w:rPr>
          <w:rFonts w:ascii="Times New Roman" w:eastAsia="Times New Roman" w:hAnsi="Times New Roman" w:cs="Times New Roman"/>
          <w:color w:val="000000"/>
          <w:sz w:val="20"/>
          <w:szCs w:val="20"/>
          <w:vertAlign w:val="superscript"/>
        </w:rPr>
        <w:footnoteReference w:id="1134"/>
      </w:r>
    </w:p>
    <w:p w14:paraId="0000041C"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legislative history of Section 213(f)</w:t>
      </w:r>
      <w:r>
        <w:rPr>
          <w:rFonts w:ascii="Times New Roman" w:eastAsia="Times New Roman" w:hAnsi="Times New Roman" w:cs="Times New Roman"/>
          <w:color w:val="000000"/>
          <w:sz w:val="24"/>
          <w:szCs w:val="24"/>
          <w:vertAlign w:val="superscript"/>
        </w:rPr>
        <w:footnoteReference w:id="1135"/>
      </w:r>
      <w:r>
        <w:rPr>
          <w:rFonts w:ascii="Times New Roman" w:eastAsia="Times New Roman" w:hAnsi="Times New Roman" w:cs="Times New Roman"/>
          <w:color w:val="000000"/>
          <w:sz w:val="24"/>
          <w:szCs w:val="24"/>
        </w:rPr>
        <w:t xml:space="preserve"> demonstrates that this section was intended to overrule the Supreme Court’s decision in </w:t>
      </w:r>
      <w:r>
        <w:rPr>
          <w:rFonts w:ascii="Times New Roman" w:eastAsia="Times New Roman" w:hAnsi="Times New Roman" w:cs="Times New Roman"/>
          <w:i/>
          <w:color w:val="000000"/>
          <w:sz w:val="24"/>
          <w:szCs w:val="24"/>
        </w:rPr>
        <w:t>Vermilya-Brown Co. v. Connell</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136"/>
      </w:r>
      <w:r>
        <w:rPr>
          <w:rFonts w:ascii="Times New Roman" w:eastAsia="Times New Roman" w:hAnsi="Times New Roman" w:cs="Times New Roman"/>
          <w:color w:val="000000"/>
          <w:sz w:val="24"/>
          <w:szCs w:val="24"/>
        </w:rPr>
        <w:t xml:space="preserve"> in which the Court held that the FLSA applied to the employees of contractors who were working on a U.S. military </w:t>
      </w:r>
      <w:r>
        <w:rPr>
          <w:rFonts w:ascii="Times New Roman" w:eastAsia="Times New Roman" w:hAnsi="Times New Roman" w:cs="Times New Roman"/>
          <w:color w:val="000000"/>
          <w:sz w:val="24"/>
          <w:szCs w:val="24"/>
        </w:rPr>
        <w:lastRenderedPageBreak/>
        <w:t>base on the island of Bermuda.</w:t>
      </w:r>
      <w:r>
        <w:rPr>
          <w:rFonts w:ascii="Times New Roman" w:eastAsia="Times New Roman" w:hAnsi="Times New Roman" w:cs="Times New Roman"/>
          <w:color w:val="000000"/>
          <w:sz w:val="24"/>
          <w:szCs w:val="24"/>
          <w:vertAlign w:val="superscript"/>
        </w:rPr>
        <w:footnoteReference w:id="1137"/>
      </w:r>
      <w:r>
        <w:rPr>
          <w:rFonts w:ascii="Times New Roman" w:eastAsia="Times New Roman" w:hAnsi="Times New Roman" w:cs="Times New Roman"/>
          <w:color w:val="000000"/>
          <w:sz w:val="24"/>
          <w:szCs w:val="24"/>
        </w:rPr>
        <w:t xml:space="preserve"> The land on which the military base was located had been leased to the United States by the British government for 99 years.</w:t>
      </w:r>
      <w:r>
        <w:rPr>
          <w:rFonts w:ascii="Times New Roman" w:eastAsia="Times New Roman" w:hAnsi="Times New Roman" w:cs="Times New Roman"/>
          <w:color w:val="000000"/>
          <w:sz w:val="24"/>
          <w:szCs w:val="24"/>
          <w:vertAlign w:val="superscript"/>
        </w:rPr>
        <w:footnoteReference w:id="1138"/>
      </w:r>
      <w:r>
        <w:rPr>
          <w:rFonts w:ascii="Times New Roman" w:eastAsia="Times New Roman" w:hAnsi="Times New Roman" w:cs="Times New Roman"/>
          <w:color w:val="000000"/>
          <w:sz w:val="24"/>
          <w:szCs w:val="24"/>
        </w:rPr>
        <w:t xml:space="preserve"> To reach its conclusion the Court looked at 29 U.S.C. §203(d) and Congress’s use of the term “possession” over many years, and found that there was an intention on the part of Congress to have the FLSA apply to employer–employee relationships on foreign territory under lease for bases.</w:t>
      </w:r>
      <w:r>
        <w:rPr>
          <w:rFonts w:ascii="Times New Roman" w:eastAsia="Times New Roman" w:hAnsi="Times New Roman" w:cs="Times New Roman"/>
          <w:color w:val="000000"/>
          <w:sz w:val="24"/>
          <w:szCs w:val="24"/>
          <w:vertAlign w:val="superscript"/>
        </w:rPr>
        <w:footnoteReference w:id="1139"/>
      </w:r>
      <w:r>
        <w:rPr>
          <w:rFonts w:ascii="Times New Roman" w:eastAsia="Times New Roman" w:hAnsi="Times New Roman" w:cs="Times New Roman"/>
          <w:color w:val="000000"/>
          <w:sz w:val="24"/>
          <w:szCs w:val="24"/>
        </w:rPr>
        <w:t xml:space="preserve"> </w:t>
      </w:r>
    </w:p>
    <w:p w14:paraId="0000041D"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Congress’ reaction to the </w:t>
      </w:r>
      <w:r>
        <w:rPr>
          <w:rFonts w:ascii="Times New Roman" w:eastAsia="Times New Roman" w:hAnsi="Times New Roman" w:cs="Times New Roman"/>
          <w:i/>
          <w:color w:val="000000"/>
          <w:sz w:val="24"/>
          <w:szCs w:val="24"/>
        </w:rPr>
        <w:t>Vermilya-Brown</w:t>
      </w:r>
      <w:r>
        <w:rPr>
          <w:rFonts w:ascii="Times New Roman" w:eastAsia="Times New Roman" w:hAnsi="Times New Roman" w:cs="Times New Roman"/>
          <w:color w:val="000000"/>
          <w:sz w:val="24"/>
          <w:szCs w:val="24"/>
        </w:rPr>
        <w:t xml:space="preserve"> decision was to amend the FLSA by specifying the provisions of the FLSA that did not apply to the territories of the United States. During its deliberations, Congress noted that the FLSA was “designed to apply to a United States economy” and its application “to overseas areas is usually inconsistent with local conditions of employment, the level of the local economy, the productivity and skills of indigenous workers, and is contrary to the best interest of the United States and the foreign areas.”</w:t>
      </w:r>
      <w:r>
        <w:rPr>
          <w:rFonts w:ascii="Times New Roman" w:eastAsia="Times New Roman" w:hAnsi="Times New Roman" w:cs="Times New Roman"/>
          <w:color w:val="000000"/>
          <w:sz w:val="24"/>
          <w:szCs w:val="24"/>
          <w:vertAlign w:val="superscript"/>
        </w:rPr>
        <w:footnoteReference w:id="1140"/>
      </w:r>
    </w:p>
    <w:p w14:paraId="0000041E"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In the years since its enactment, the list of territories set forth in Section 213(f) has been amended as follows:</w:t>
      </w:r>
    </w:p>
    <w:p w14:paraId="0000041F"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1960, Alaska and Hawaii were struck from the list because they are covered by the term “state”;</w:t>
      </w:r>
      <w:r>
        <w:rPr>
          <w:rFonts w:ascii="Times New Roman" w:eastAsia="Times New Roman" w:hAnsi="Times New Roman" w:cs="Times New Roman"/>
          <w:color w:val="000000"/>
          <w:sz w:val="24"/>
          <w:szCs w:val="24"/>
          <w:vertAlign w:val="superscript"/>
        </w:rPr>
        <w:footnoteReference w:id="1141"/>
      </w:r>
    </w:p>
    <w:p w14:paraId="00000420"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1966, Eniwetok Atoll, Kwajalein Atoll, and Johnston Island were added to the list of covered territories;</w:t>
      </w:r>
      <w:r>
        <w:rPr>
          <w:rFonts w:ascii="Times New Roman" w:eastAsia="Times New Roman" w:hAnsi="Times New Roman" w:cs="Times New Roman"/>
          <w:color w:val="000000"/>
          <w:sz w:val="24"/>
          <w:szCs w:val="24"/>
          <w:vertAlign w:val="superscript"/>
        </w:rPr>
        <w:footnoteReference w:id="1142"/>
      </w:r>
    </w:p>
    <w:p w14:paraId="00000421" w14:textId="77777777" w:rsidR="00DC27AA" w:rsidRDefault="000F36B4">
      <w:pPr>
        <w:pBdr>
          <w:top w:val="nil"/>
          <w:left w:val="nil"/>
          <w:bottom w:val="nil"/>
          <w:right w:val="nil"/>
          <w:between w:val="nil"/>
        </w:pBdr>
        <w:spacing w:before="120" w:after="120" w:line="240" w:lineRule="auto"/>
        <w:ind w:left="108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b/>
        <w:t>1979, the Canal Zone was struck from the list of covered territories.</w:t>
      </w:r>
      <w:r>
        <w:rPr>
          <w:rFonts w:ascii="Times New Roman" w:eastAsia="Times New Roman" w:hAnsi="Times New Roman" w:cs="Times New Roman"/>
          <w:color w:val="000000"/>
          <w:sz w:val="24"/>
          <w:szCs w:val="24"/>
          <w:vertAlign w:val="superscript"/>
        </w:rPr>
        <w:footnoteReference w:id="1143"/>
      </w:r>
    </w:p>
    <w:p w14:paraId="00000422"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Smith v. Raytheon Co.</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144"/>
      </w:r>
      <w:r>
        <w:rPr>
          <w:rFonts w:ascii="Times New Roman" w:eastAsia="Times New Roman" w:hAnsi="Times New Roman" w:cs="Times New Roman"/>
          <w:color w:val="000000"/>
          <w:sz w:val="24"/>
          <w:szCs w:val="24"/>
        </w:rPr>
        <w:t xml:space="preserve"> a district court determined that the FLSA’s overtime requirements did not apply to employees working in Antarctica as part of the National Science Foundation’s (NSF’s) Antarctic Program,</w:t>
      </w:r>
      <w:r>
        <w:rPr>
          <w:rFonts w:ascii="Times New Roman" w:eastAsia="Times New Roman" w:hAnsi="Times New Roman" w:cs="Times New Roman"/>
          <w:color w:val="000000"/>
          <w:sz w:val="24"/>
          <w:szCs w:val="24"/>
          <w:vertAlign w:val="superscript"/>
        </w:rPr>
        <w:footnoteReference w:id="1145"/>
      </w:r>
      <w:r>
        <w:rPr>
          <w:rFonts w:ascii="Times New Roman" w:eastAsia="Times New Roman" w:hAnsi="Times New Roman" w:cs="Times New Roman"/>
          <w:color w:val="000000"/>
          <w:sz w:val="24"/>
          <w:szCs w:val="24"/>
        </w:rPr>
        <w:t> explaining that</w:t>
      </w:r>
    </w:p>
    <w:p w14:paraId="00000423" w14:textId="77777777" w:rsidR="00DC27AA" w:rsidRDefault="000F36B4">
      <w:pPr>
        <w:pBdr>
          <w:top w:val="nil"/>
          <w:left w:val="nil"/>
          <w:bottom w:val="nil"/>
          <w:right w:val="nil"/>
          <w:between w:val="nil"/>
        </w:pBdr>
        <w:spacing w:before="120" w:after="120" w:line="240" w:lineRule="auto"/>
        <w:ind w:left="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[t]his court concludes that Antarctica is a “foreign country” within the meaning of section 213(f). There can be no disagreement over the proposition that Antarctica is “foreign” to the United States. And, the Supreme Court has broadly defined the word “country” within the term “foreign country” to mean “[a] region or tract of land.” Antarctica is certainly “[a] region or tract of land.” It, therefore, is not necessary to look any </w:t>
      </w:r>
      <w:r>
        <w:rPr>
          <w:rFonts w:ascii="Times New Roman" w:eastAsia="Times New Roman" w:hAnsi="Times New Roman" w:cs="Times New Roman"/>
          <w:color w:val="000000"/>
          <w:sz w:val="20"/>
          <w:szCs w:val="20"/>
        </w:rPr>
        <w:lastRenderedPageBreak/>
        <w:t>further than the ordinary, commonsense meaning of the language of section 213(f) to reach the conclusion that Antarctica is a “foreign country” within the meaning of that section.</w:t>
      </w:r>
      <w:r>
        <w:rPr>
          <w:rFonts w:ascii="Times New Roman" w:eastAsia="Times New Roman" w:hAnsi="Times New Roman" w:cs="Times New Roman"/>
          <w:color w:val="000000"/>
          <w:sz w:val="20"/>
          <w:szCs w:val="20"/>
          <w:vertAlign w:val="superscript"/>
        </w:rPr>
        <w:footnoteReference w:id="1146"/>
      </w:r>
    </w:p>
    <w:p w14:paraId="00000424"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In </w:t>
      </w:r>
      <w:r>
        <w:rPr>
          <w:rFonts w:ascii="Times New Roman" w:eastAsia="Times New Roman" w:hAnsi="Times New Roman" w:cs="Times New Roman"/>
          <w:i/>
          <w:color w:val="000000"/>
          <w:sz w:val="24"/>
          <w:szCs w:val="24"/>
        </w:rPr>
        <w:t>Cruz v. Chesapeake Shipping,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147"/>
      </w:r>
      <w:r>
        <w:rPr>
          <w:rFonts w:ascii="Times New Roman" w:eastAsia="Times New Roman" w:hAnsi="Times New Roman" w:cs="Times New Roman"/>
          <w:color w:val="000000"/>
          <w:sz w:val="24"/>
          <w:szCs w:val="24"/>
        </w:rPr>
        <w:t xml:space="preserve"> the Third Circuit noted that “seamen present an unusual case because, unlike other workers potentially covered by the FLSA, their services very often are not rendered within the United States or one of the enumerated territories [set forth in Section 213(f)],”</w:t>
      </w:r>
      <w:r>
        <w:rPr>
          <w:rFonts w:ascii="Times New Roman" w:eastAsia="Times New Roman" w:hAnsi="Times New Roman" w:cs="Times New Roman"/>
          <w:color w:val="000000"/>
          <w:sz w:val="24"/>
          <w:szCs w:val="24"/>
          <w:vertAlign w:val="superscript"/>
        </w:rPr>
        <w:footnoteReference w:id="1148"/>
      </w:r>
      <w:r>
        <w:rPr>
          <w:rFonts w:ascii="Times New Roman" w:eastAsia="Times New Roman" w:hAnsi="Times New Roman" w:cs="Times New Roman"/>
          <w:color w:val="000000"/>
          <w:sz w:val="24"/>
          <w:szCs w:val="24"/>
        </w:rPr>
        <w:t xml:space="preserve"> ultimately holding that “foreign seamen employed on vessels engaged in foreign operations entirely outside of the United States, its waters and territories do not become subject to FLSA when their vessels are transitorily reflagged under the United States.”</w:t>
      </w:r>
      <w:r>
        <w:rPr>
          <w:rFonts w:ascii="Times New Roman" w:eastAsia="Times New Roman" w:hAnsi="Times New Roman" w:cs="Times New Roman"/>
          <w:color w:val="000000"/>
          <w:sz w:val="24"/>
          <w:szCs w:val="24"/>
          <w:vertAlign w:val="superscript"/>
        </w:rPr>
        <w:footnoteReference w:id="1149"/>
      </w:r>
      <w:r>
        <w:rPr>
          <w:rFonts w:ascii="Times New Roman" w:eastAsia="Times New Roman" w:hAnsi="Times New Roman" w:cs="Times New Roman"/>
          <w:color w:val="000000"/>
          <w:sz w:val="24"/>
          <w:szCs w:val="24"/>
        </w:rPr>
        <w:t xml:space="preserve"> In reaching its decision, the Third Circuit noted that Congress’s “exclusion of ships flying foreign flags was presumably to avoid interference in the delicate field of international relations by imposing domestic labor law on foreign ships employing foreign nationals at foreign wages.”</w:t>
      </w:r>
      <w:r>
        <w:rPr>
          <w:rFonts w:ascii="Times New Roman" w:eastAsia="Times New Roman" w:hAnsi="Times New Roman" w:cs="Times New Roman"/>
          <w:color w:val="000000"/>
          <w:sz w:val="24"/>
          <w:szCs w:val="24"/>
          <w:vertAlign w:val="superscript"/>
        </w:rPr>
        <w:footnoteReference w:id="1150"/>
      </w:r>
      <w:r>
        <w:rPr>
          <w:rFonts w:ascii="Times New Roman" w:eastAsia="Times New Roman" w:hAnsi="Times New Roman" w:cs="Times New Roman"/>
          <w:color w:val="000000"/>
          <w:sz w:val="24"/>
          <w:szCs w:val="24"/>
        </w:rPr>
        <w:t xml:space="preserve"> Similarly, in </w:t>
      </w:r>
      <w:r>
        <w:rPr>
          <w:rFonts w:ascii="Times New Roman" w:eastAsia="Times New Roman" w:hAnsi="Times New Roman" w:cs="Times New Roman"/>
          <w:i/>
          <w:color w:val="000000"/>
          <w:sz w:val="24"/>
          <w:szCs w:val="24"/>
        </w:rPr>
        <w:t>Priyanto v. M/S Amsterdam</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151"/>
      </w:r>
      <w:r>
        <w:rPr>
          <w:rFonts w:ascii="Times New Roman" w:eastAsia="Times New Roman" w:hAnsi="Times New Roman" w:cs="Times New Roman"/>
          <w:color w:val="000000"/>
          <w:sz w:val="24"/>
          <w:szCs w:val="24"/>
        </w:rPr>
        <w:t xml:space="preserve"> a district court determined that the FLSA did not apply to Indonesian citizens working as stateroom cleaners on Holland America Line ships under the flag of Netherlands, reasoning that to hold otherwise would interfere with the internal affairs of a foreign-flagged ship.</w:t>
      </w:r>
      <w:r>
        <w:rPr>
          <w:rFonts w:ascii="Times New Roman" w:eastAsia="Times New Roman" w:hAnsi="Times New Roman" w:cs="Times New Roman"/>
          <w:color w:val="000000"/>
          <w:sz w:val="24"/>
          <w:szCs w:val="24"/>
          <w:vertAlign w:val="superscript"/>
        </w:rPr>
        <w:footnoteReference w:id="1152"/>
      </w:r>
    </w:p>
    <w:p w14:paraId="00000425"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Although the FLSA’s antiretaliation provision is not referenced in Section 213(f), in </w:t>
      </w:r>
      <w:r>
        <w:rPr>
          <w:rFonts w:ascii="Times New Roman" w:eastAsia="Times New Roman" w:hAnsi="Times New Roman" w:cs="Times New Roman"/>
          <w:i/>
          <w:color w:val="000000"/>
          <w:sz w:val="24"/>
          <w:szCs w:val="24"/>
        </w:rPr>
        <w:t>Reyes-Fuentes v. Shannon Produce Farm, Inc</w:t>
      </w:r>
      <w:r>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vertAlign w:val="superscript"/>
        </w:rPr>
        <w:footnoteReference w:id="1153"/>
      </w:r>
      <w:r>
        <w:rPr>
          <w:rFonts w:ascii="Times New Roman" w:eastAsia="Times New Roman" w:hAnsi="Times New Roman" w:cs="Times New Roman"/>
          <w:color w:val="000000"/>
          <w:sz w:val="24"/>
          <w:szCs w:val="24"/>
        </w:rPr>
        <w:t xml:space="preserve"> a district court declined to dismiss claims for retaliation brought by Mexican farm workers legally employed in the United States. The employer argued that the FLSA was inapplicable because the retaliatory act of denying rehire occurred in Mexico, a position the court found “inconsistent with the plain language of §213(f) as well as case law holding that the location of the workplace controls whether §213(f)’s extraterritoriality exemption applies.”</w:t>
      </w:r>
      <w:r>
        <w:rPr>
          <w:rFonts w:ascii="Times New Roman" w:eastAsia="Times New Roman" w:hAnsi="Times New Roman" w:cs="Times New Roman"/>
          <w:color w:val="000000"/>
          <w:sz w:val="24"/>
          <w:szCs w:val="24"/>
          <w:vertAlign w:val="superscript"/>
        </w:rPr>
        <w:footnoteReference w:id="1154"/>
      </w:r>
    </w:p>
    <w:p w14:paraId="00000426" w14:textId="77777777" w:rsidR="00DC27AA" w:rsidRDefault="000F36B4">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For a discussion of the minimum wage applicable in Guam, Puerto-Rico, Virgin Islands, American Samoa, and the Commonwealth of the Northern Mariana Islands, see Chapter 9, Minimum Wage Requirements, §VII.C [Special Minimum Wage Requirements; Territories of the United States].</w:t>
      </w:r>
    </w:p>
    <w:p w14:paraId="00000427" w14:textId="77777777" w:rsidR="00DC27AA" w:rsidRDefault="00DC27AA">
      <w:pPr>
        <w:pBdr>
          <w:top w:val="nil"/>
          <w:left w:val="nil"/>
          <w:bottom w:val="nil"/>
          <w:right w:val="nil"/>
          <w:between w:val="nil"/>
        </w:pBdr>
        <w:spacing w:before="120" w:after="120" w:line="240" w:lineRule="auto"/>
        <w:ind w:firstLine="720"/>
        <w:rPr>
          <w:rFonts w:ascii="Times New Roman" w:eastAsia="Times New Roman" w:hAnsi="Times New Roman" w:cs="Times New Roman"/>
          <w:color w:val="000000"/>
          <w:sz w:val="24"/>
          <w:szCs w:val="24"/>
        </w:rPr>
      </w:pPr>
    </w:p>
    <w:sectPr w:rsidR="00DC27AA">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E05655" w14:textId="77777777" w:rsidR="000965FD" w:rsidRDefault="000965FD">
      <w:pPr>
        <w:spacing w:after="0" w:line="240" w:lineRule="auto"/>
      </w:pPr>
      <w:r>
        <w:separator/>
      </w:r>
    </w:p>
  </w:endnote>
  <w:endnote w:type="continuationSeparator" w:id="0">
    <w:p w14:paraId="58936875" w14:textId="77777777" w:rsidR="000965FD" w:rsidRDefault="000965FD">
      <w:pPr>
        <w:spacing w:after="0" w:line="240" w:lineRule="auto"/>
      </w:pPr>
      <w:r>
        <w:continuationSeparator/>
      </w:r>
    </w:p>
  </w:endnote>
  <w:endnote w:type="continuationNotice" w:id="1">
    <w:p w14:paraId="7233C11C" w14:textId="77777777" w:rsidR="000965FD" w:rsidRDefault="000965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TC New Baskerville Std">
    <w:altName w:val="Cambria"/>
    <w:panose1 w:val="00000000000000000000"/>
    <w:charset w:val="00"/>
    <w:family w:val="roman"/>
    <w:notTrueType/>
    <w:pitch w:val="variable"/>
    <w:sig w:usb0="800000AF" w:usb1="5000204A" w:usb2="00000000" w:usb3="00000000" w:csb0="00000001" w:csb1="00000000"/>
  </w:font>
  <w:font w:name="Times LT Std">
    <w:altName w:val="Times New Roman"/>
    <w:panose1 w:val="00000000000000000000"/>
    <w:charset w:val="00"/>
    <w:family w:val="auto"/>
    <w:notTrueType/>
    <w:pitch w:val="variable"/>
    <w:sig w:usb0="E00002FF" w:usb1="5000205A" w:usb2="00000000"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Times SC">
    <w:panose1 w:val="00000000000000000000"/>
    <w:charset w:val="00"/>
    <w:family w:val="auto"/>
    <w:notTrueType/>
    <w:pitch w:val="variable"/>
    <w:sig w:usb0="E00002FF" w:usb1="5000205A" w:usb2="00000000" w:usb3="00000000" w:csb0="0000019F" w:csb1="00000000"/>
  </w:font>
  <w:font w:name="NewCenturySchlbk">
    <w:altName w:val="Cambria"/>
    <w:panose1 w:val="00000000000000000000"/>
    <w:charset w:val="00"/>
    <w:family w:val="roman"/>
    <w:notTrueType/>
    <w:pitch w:val="variable"/>
    <w:sig w:usb0="00000003" w:usb1="00000000" w:usb2="00000000" w:usb3="00000000" w:csb0="00000001" w:csb1="00000000"/>
  </w:font>
  <w:font w:name="NewCenturySchlbk LT Std">
    <w:panose1 w:val="00000000000000000000"/>
    <w:charset w:val="00"/>
    <w:family w:val="roman"/>
    <w:notTrueType/>
    <w:pitch w:val="variable"/>
    <w:sig w:usb0="800000AF" w:usb1="4000204A"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Times Roman">
    <w:altName w:val="Times New Roman"/>
    <w:panose1 w:val="00000000000000000000"/>
    <w:charset w:val="00"/>
    <w:family w:val="auto"/>
    <w:notTrueType/>
    <w:pitch w:val="variable"/>
    <w:sig w:usb0="E00002FF" w:usb1="5000205A"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48" w14:textId="77777777" w:rsidR="00DC27AA" w:rsidRDefault="00DC27AA">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4A" w14:textId="7F9747F8" w:rsidR="00DC27AA" w:rsidRDefault="000F36B4">
    <w:pPr>
      <w:pBdr>
        <w:top w:val="nil"/>
        <w:left w:val="nil"/>
        <w:bottom w:val="nil"/>
        <w:right w:val="nil"/>
        <w:between w:val="nil"/>
      </w:pBdr>
      <w:tabs>
        <w:tab w:val="center" w:pos="4680"/>
        <w:tab w:val="right" w:pos="9360"/>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6-</w:t>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sidR="00C85A5A">
      <w:rPr>
        <w:rFonts w:ascii="Times New Roman" w:eastAsia="Times New Roman" w:hAnsi="Times New Roman" w:cs="Times New Roman"/>
        <w:noProof/>
        <w:color w:val="000000"/>
        <w:sz w:val="24"/>
        <w:szCs w:val="24"/>
      </w:rPr>
      <w:t>1</w:t>
    </w:r>
    <w:r>
      <w:rPr>
        <w:rFonts w:ascii="Times New Roman" w:eastAsia="Times New Roman" w:hAnsi="Times New Roman" w:cs="Times New Roman"/>
        <w:color w:val="000000"/>
        <w:sz w:val="24"/>
        <w:szCs w:val="24"/>
      </w:rPr>
      <w:fldChar w:fldCharType="end"/>
    </w:r>
  </w:p>
  <w:p w14:paraId="0000094B" w14:textId="77777777" w:rsidR="00DC27AA" w:rsidRDefault="00DC27AA">
    <w:pPr>
      <w:pBdr>
        <w:top w:val="nil"/>
        <w:left w:val="nil"/>
        <w:bottom w:val="nil"/>
        <w:right w:val="nil"/>
        <w:between w:val="nil"/>
      </w:pBdr>
      <w:tabs>
        <w:tab w:val="center" w:pos="4680"/>
        <w:tab w:val="right" w:pos="9360"/>
      </w:tabs>
      <w:spacing w:after="0" w:line="240" w:lineRule="auto"/>
      <w:rPr>
        <w:rFonts w:ascii="Times New Roman" w:eastAsia="Times New Roman" w:hAnsi="Times New Roman" w:cs="Times New Roman"/>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49" w14:textId="77777777" w:rsidR="00DC27AA" w:rsidRDefault="00DC27AA">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790868" w14:textId="77777777" w:rsidR="000965FD" w:rsidRDefault="000965FD">
      <w:pPr>
        <w:spacing w:after="0" w:line="240" w:lineRule="auto"/>
      </w:pPr>
      <w:r>
        <w:separator/>
      </w:r>
    </w:p>
  </w:footnote>
  <w:footnote w:type="continuationSeparator" w:id="0">
    <w:p w14:paraId="2CFE512D" w14:textId="77777777" w:rsidR="000965FD" w:rsidRDefault="000965FD">
      <w:pPr>
        <w:spacing w:after="0" w:line="240" w:lineRule="auto"/>
      </w:pPr>
      <w:r>
        <w:continuationSeparator/>
      </w:r>
    </w:p>
  </w:footnote>
  <w:footnote w:type="continuationNotice" w:id="1">
    <w:p w14:paraId="5D653DCF" w14:textId="77777777" w:rsidR="000965FD" w:rsidRDefault="000965FD">
      <w:pPr>
        <w:spacing w:after="0" w:line="240" w:lineRule="auto"/>
      </w:pPr>
    </w:p>
  </w:footnote>
  <w:footnote w:id="2">
    <w:p w14:paraId="0000042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Field Operations Handbook</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mallCaps/>
          <w:color w:val="000000"/>
          <w:sz w:val="20"/>
          <w:szCs w:val="20"/>
        </w:rPr>
        <w:t xml:space="preserve">U.S. Dep’t of Labor, Wage &amp; Hour Div., </w:t>
      </w:r>
      <w:r>
        <w:rPr>
          <w:rFonts w:ascii="Times New Roman" w:eastAsia="Times New Roman" w:hAnsi="Times New Roman" w:cs="Times New Roman"/>
          <w:color w:val="000000"/>
          <w:sz w:val="20"/>
          <w:szCs w:val="20"/>
        </w:rPr>
        <w:t>https://www.dol.gov/agencies/whd/field-operations-handbook (last visited Oct. 30, 2020).</w:t>
      </w:r>
    </w:p>
  </w:footnote>
  <w:footnote w:id="3">
    <w:p w14:paraId="0000042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In promulgating this bulletin, the DOL described the regulations as “interpretive rules.” At least one federal court has found the DOL’s interpretative rules regarding “establishments” to be “particularly instructive” because they are “well-reasoned, internally consistent, and generally consistent with judicial interpretations of the exemption.”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Chen v. Major League Baseball Props., Inc., 6 F. Supp. 3d 449, 457 n.4 (S.D.N.Y. 2014),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xml:space="preserve">, 798 F.3d 72 (2015). Other courts, as described in this chapter, have not found the “interpretative rules” to be persuasive. </w:t>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Brock v. Louvers &amp; Dampers, Inc., 817 F.2d 1255, 1258 (6th Cir. 1987).</w:t>
      </w:r>
    </w:p>
  </w:footnote>
  <w:footnote w:id="4">
    <w:p w14:paraId="0000042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§779.23 (internal citations omitted). </w:t>
      </w:r>
    </w:p>
  </w:footnote>
  <w:footnote w:id="5">
    <w:p w14:paraId="0000042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324 U.S. 490 (1945). </w:t>
      </w:r>
    </w:p>
  </w:footnote>
  <w:footnote w:id="6">
    <w:p w14:paraId="0000042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
    <w:p w14:paraId="0000042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p>
  </w:footnote>
  <w:footnote w:id="8">
    <w:p w14:paraId="0000042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496 (footnote omitted).</w:t>
      </w:r>
    </w:p>
  </w:footnote>
  <w:footnote w:id="9">
    <w:p w14:paraId="0000042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§779.302. </w:t>
      </w:r>
    </w:p>
  </w:footnote>
  <w:footnote w:id="10">
    <w:p w14:paraId="0000043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§213(a)(3).</w:t>
      </w:r>
    </w:p>
  </w:footnote>
  <w:footnote w:id="11">
    <w:p w14:paraId="0000043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§213(b)(10).</w:t>
      </w:r>
    </w:p>
  </w:footnote>
  <w:footnote w:id="12">
    <w:p w14:paraId="0000043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§213(b)(27).</w:t>
      </w:r>
    </w:p>
  </w:footnote>
  <w:footnote w:id="13">
    <w:p w14:paraId="0000043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§213(b)(29).</w:t>
      </w:r>
    </w:p>
  </w:footnote>
  <w:footnote w:id="14">
    <w:p w14:paraId="0000043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U.S.C. §207(b). </w:t>
      </w:r>
    </w:p>
  </w:footnote>
  <w:footnote w:id="15">
    <w:p w14:paraId="0000043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§207(i). </w:t>
      </w:r>
    </w:p>
  </w:footnote>
  <w:footnote w:id="16">
    <w:p w14:paraId="0000043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§779.23. </w:t>
      </w:r>
    </w:p>
  </w:footnote>
  <w:footnote w:id="17">
    <w:p w14:paraId="0000043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8">
    <w:p w14:paraId="0000043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Wright v. Adventures Rolling Cross Country, Inc., 2013 WL 1758815, at *5 (N.D. Cal. Apr. 24, 2013) (employer organized and led trips to wilderness areas and foreign countries during which teenagers were engaged in recreational and other activities; holding that because employer’s only “establishment” was administrative office, it did not operate qualifying recreational establishment or organized camp).</w:t>
      </w:r>
    </w:p>
  </w:footnote>
  <w:footnote w:id="19">
    <w:p w14:paraId="0000043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Chen v. Major League Baseball Props., Inc., 6 F. Supp. 3d 449 (S.D.N.Y. 2014) (citing 29 C.F.R. §779.23, .203, &amp; .303)),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798 F.3d 72 (2015).</w:t>
      </w:r>
    </w:p>
  </w:footnote>
  <w:footnote w:id="20">
    <w:p w14:paraId="0000043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Each of the requirements for enterprise coverage in Section 203(r) and 203(s) is discussed in Chapter 4, Employer Coverage, §III [Enterprise Coverage]. </w:t>
      </w:r>
    </w:p>
  </w:footnote>
  <w:footnote w:id="21">
    <w:p w14:paraId="0000043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§779.303.</w:t>
      </w:r>
    </w:p>
  </w:footnote>
  <w:footnote w:id="22">
    <w:p w14:paraId="0000043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23">
    <w:p w14:paraId="0000043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375 F.3d 393 (6th Cir. 2004). </w:t>
      </w:r>
    </w:p>
  </w:footnote>
  <w:footnote w:id="24">
    <w:p w14:paraId="0000043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398.</w:t>
      </w:r>
    </w:p>
  </w:footnote>
  <w:footnote w:id="25">
    <w:p w14:paraId="0000043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397–98.</w:t>
      </w:r>
    </w:p>
  </w:footnote>
  <w:footnote w:id="26">
    <w:p w14:paraId="0000044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§779.304.</w:t>
      </w:r>
    </w:p>
  </w:footnote>
  <w:footnote w:id="27">
    <w:p w14:paraId="0000044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8">
    <w:p w14:paraId="0000044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§779.305.</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“The requirement that there be no interchange of employees between the units does not mean that an employee of one unit may not occasionally, when circumstances require it, render some help in the other units or that one employee of one unit may not be transferred to work in the other unit.” </w:t>
      </w:r>
      <w:r>
        <w:rPr>
          <w:rFonts w:ascii="Times New Roman" w:eastAsia="Times New Roman" w:hAnsi="Times New Roman" w:cs="Times New Roman"/>
          <w:i/>
          <w:color w:val="000000"/>
          <w:sz w:val="20"/>
          <w:szCs w:val="20"/>
        </w:rPr>
        <w:t>Id.</w:t>
      </w:r>
    </w:p>
  </w:footnote>
  <w:footnote w:id="29">
    <w:p w14:paraId="0000044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§779.307.</w:t>
      </w:r>
    </w:p>
  </w:footnote>
  <w:footnote w:id="30">
    <w:p w14:paraId="0000044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31">
    <w:p w14:paraId="0000044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§779.309.</w:t>
      </w:r>
    </w:p>
  </w:footnote>
  <w:footnote w:id="32">
    <w:p w14:paraId="0000044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§779.308. For a discussion of “employed by,”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Does v. Butler Amusements, Inc.</w:t>
      </w:r>
      <w:r>
        <w:rPr>
          <w:rFonts w:ascii="Times New Roman" w:eastAsia="Times New Roman" w:hAnsi="Times New Roman" w:cs="Times New Roman"/>
          <w:color w:val="000000"/>
          <w:sz w:val="20"/>
          <w:szCs w:val="20"/>
        </w:rPr>
        <w:t>, 71 F. Supp. 3d 1125, 1139 (N.D. Cal. 2014) (key consideration in determining whether employee was employed “by” exempt establishment was type of work performed by employee).</w:t>
      </w:r>
    </w:p>
  </w:footnote>
  <w:footnote w:id="33">
    <w:p w14:paraId="0000044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407 F.3d 1038 (6th Cir. 2005).</w:t>
      </w:r>
    </w:p>
  </w:footnote>
  <w:footnote w:id="34">
    <w:p w14:paraId="0000044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1051–53.</w:t>
      </w:r>
    </w:p>
  </w:footnote>
  <w:footnote w:id="35">
    <w:p w14:paraId="0000044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§779.310(a).</w:t>
      </w:r>
    </w:p>
  </w:footnote>
  <w:footnote w:id="36">
    <w:p w14:paraId="0000044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§779.311(a).</w:t>
      </w:r>
    </w:p>
  </w:footnote>
  <w:footnote w:id="37">
    <w:p w14:paraId="0000044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38">
    <w:p w14:paraId="0000044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U.S.C. §213(a)(3). An exception in §213(a)(3) is that “the exemption from [minimum wage] and [overtime] does not apply with respect to any employee of a private entity engaged in providing services or facilities (other than, in the case of the exemption from [minimum wage], a private entity engaged in providing services and facilities directly related to skiing) in a national park or a national forest, or on land in the National Wildlife Refuge System, under a contract with the Secretary of the Interior or the Secretary of Agriculture … .”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39">
    <w:p w14:paraId="0000044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Brennan v. Yellowstone Park Lines, Inc., 478 F.2d 285, 288 (10th Cir. 1973).</w:t>
      </w:r>
    </w:p>
  </w:footnote>
  <w:footnote w:id="40">
    <w:p w14:paraId="0000044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Brennan v. Texas City Dike &amp; Marina, Inc., 492 F.2d 1115, 1118 n.6 (5th Cir. 1974).</w:t>
      </w:r>
    </w:p>
  </w:footnote>
  <w:footnote w:id="41">
    <w:p w14:paraId="0000044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But that history has been described as “skimpy”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Texas City Dike</w:t>
      </w:r>
      <w:r>
        <w:rPr>
          <w:rFonts w:ascii="Times New Roman" w:eastAsia="Times New Roman" w:hAnsi="Times New Roman" w:cs="Times New Roman"/>
          <w:color w:val="000000"/>
          <w:sz w:val="20"/>
          <w:szCs w:val="20"/>
        </w:rPr>
        <w:t xml:space="preserve">, 492 F.2d at 1118; </w:t>
      </w:r>
      <w:r>
        <w:rPr>
          <w:rFonts w:ascii="Times New Roman" w:eastAsia="Times New Roman" w:hAnsi="Times New Roman" w:cs="Times New Roman"/>
          <w:i/>
          <w:color w:val="000000"/>
          <w:sz w:val="20"/>
          <w:szCs w:val="20"/>
        </w:rPr>
        <w:t xml:space="preserve">see also </w:t>
      </w:r>
      <w:r>
        <w:rPr>
          <w:rFonts w:ascii="Times New Roman" w:eastAsia="Times New Roman" w:hAnsi="Times New Roman" w:cs="Times New Roman"/>
          <w:color w:val="000000"/>
          <w:sz w:val="20"/>
          <w:szCs w:val="20"/>
        </w:rPr>
        <w:t>Marshall v. New Hampshire Jockey Club, Inc., 562 F.2d 1323, 1329 (1st Cir. 1977) (“Application of the Section 13(a)(3) exemption in these circumstances is, to put it mildly, not self-evident.”)) or “sparse”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Chen v. Major League Baseball Props., Inc., 6 F. Supp. 3d 449, 455 (S.D.N.Y. 2014),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798 F.3d 72 (2d Cir. 2015) (“This rather limited legislative history little aids our interpretation of “establishment.”)).</w:t>
      </w:r>
    </w:p>
  </w:footnote>
  <w:footnote w:id="42">
    <w:p w14:paraId="0000045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Fair Labor Standards Amendments of 1961, Pub. L. No. 87-30, 75 Stat. 71 (1961).</w:t>
      </w:r>
    </w:p>
  </w:footnote>
  <w:footnote w:id="43">
    <w:p w14:paraId="0000045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75 Stat. 66.</w:t>
      </w:r>
    </w:p>
  </w:footnote>
  <w:footnote w:id="44">
    <w:p w14:paraId="0000045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75 Stat. 71 (emphasis added).</w:t>
      </w:r>
    </w:p>
  </w:footnote>
  <w:footnote w:id="45">
    <w:p w14:paraId="0000045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Brock v. Louvers &amp; Dampers, Inc., 817 F.2d 1255, 1258 (6th Cir. 1987) (quoting </w:t>
      </w:r>
      <w:r>
        <w:rPr>
          <w:rFonts w:ascii="Times New Roman" w:eastAsia="Times New Roman" w:hAnsi="Times New Roman" w:cs="Times New Roman"/>
          <w:smallCaps/>
          <w:color w:val="000000"/>
          <w:sz w:val="20"/>
          <w:szCs w:val="20"/>
        </w:rPr>
        <w:t>S. Rep. No.</w:t>
      </w:r>
      <w:r>
        <w:rPr>
          <w:rFonts w:ascii="Times New Roman" w:eastAsia="Times New Roman" w:hAnsi="Times New Roman" w:cs="Times New Roman"/>
          <w:color w:val="000000"/>
          <w:sz w:val="20"/>
          <w:szCs w:val="20"/>
        </w:rPr>
        <w:t xml:space="preserve"> 145, 87th Cong., 1st Sess. (1961), </w:t>
      </w:r>
      <w:r>
        <w:rPr>
          <w:rFonts w:ascii="Times New Roman" w:eastAsia="Times New Roman" w:hAnsi="Times New Roman" w:cs="Times New Roman"/>
          <w:i/>
          <w:color w:val="000000"/>
          <w:sz w:val="20"/>
          <w:szCs w:val="20"/>
        </w:rPr>
        <w:t>reprinted in</w:t>
      </w:r>
      <w:r>
        <w:rPr>
          <w:rFonts w:ascii="Times New Roman" w:eastAsia="Times New Roman" w:hAnsi="Times New Roman" w:cs="Times New Roman"/>
          <w:color w:val="000000"/>
          <w:sz w:val="20"/>
          <w:szCs w:val="20"/>
        </w:rPr>
        <w:t xml:space="preserve"> 1961 U.S.C.C.A.N. 1620, 1647–48).</w:t>
      </w:r>
    </w:p>
  </w:footnote>
  <w:footnote w:id="46">
    <w:p w14:paraId="0000045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Pub. L. No. 89-601, §§201(b)(2) and 202, repealed the previous </w:t>
      </w:r>
      <w:r>
        <w:rPr>
          <w:rFonts w:ascii="Times New Roman" w:eastAsia="Times New Roman" w:hAnsi="Times New Roman" w:cs="Times New Roman"/>
          <w:color w:val="000000"/>
          <w:sz w:val="20"/>
          <w:szCs w:val="20"/>
        </w:rPr>
        <w:br/>
        <w:t>§213(a)(3) exemption relating to laundering, cleaning, or repairing and enacted a new §213(a)(3) solely devoted to amusement or recreational establishments. 80 Stat. 833 (1966).</w:t>
      </w:r>
    </w:p>
  </w:footnote>
  <w:footnote w:id="47">
    <w:p w14:paraId="0000045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112 </w:t>
      </w:r>
      <w:r>
        <w:rPr>
          <w:rFonts w:ascii="Times New Roman" w:eastAsia="Times New Roman" w:hAnsi="Times New Roman" w:cs="Times New Roman"/>
          <w:smallCaps/>
          <w:color w:val="000000"/>
          <w:sz w:val="20"/>
          <w:szCs w:val="20"/>
        </w:rPr>
        <w:t>Cong. Rec</w:t>
      </w:r>
      <w:r>
        <w:rPr>
          <w:rFonts w:ascii="Times New Roman" w:eastAsia="Times New Roman" w:hAnsi="Times New Roman" w:cs="Times New Roman"/>
          <w:color w:val="000000"/>
          <w:sz w:val="20"/>
          <w:szCs w:val="20"/>
        </w:rPr>
        <w:t>. 10,757 (1966). Previously, the employees of an amusement or recreational establishment that operated on a seasonal basis were exempt only if the establishment was also a “retail or service establishment,” more than 50% of the sales of which were within the state where the establishment was located. 29 U.S.C. §213(a)(2)(ii).</w:t>
      </w:r>
    </w:p>
  </w:footnote>
  <w:footnote w:id="48">
    <w:p w14:paraId="0000045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Marshall v. New Hampshire Jockey Club, Inc., 562 F.2d 1323, 1329 (1st Cir. 1977).</w:t>
      </w:r>
    </w:p>
  </w:footnote>
  <w:footnote w:id="49">
    <w:p w14:paraId="0000045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Fair Labor Standards Amendments of 1977, Pub. L. No. 95-151, §§4(a), 11.</w:t>
      </w:r>
    </w:p>
  </w:footnote>
  <w:footnote w:id="50">
    <w:p w14:paraId="0000045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§213(b)(29). For a discussion of §213(b)(29), see §IV.L [Section 213(b) Exemptions From the Overtime Requirements of the FLSA; Employees of Amusement or Recreational Establishments Located in a National Park, National Forest, or on Land in the National Wildlife Refuge System] of this chapter.</w:t>
      </w:r>
    </w:p>
  </w:footnote>
  <w:footnote w:id="51">
    <w:p w14:paraId="0000045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For a discussion of the requirements needed to be an “establishment,” see §II [The Establishment Requirement] of this chapter. </w:t>
      </w:r>
    </w:p>
  </w:footnote>
  <w:footnote w:id="52">
    <w:p w14:paraId="0000045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798 F.3d 72, 25 WH Cases2d 299 (2d Cir. 2015).</w:t>
      </w:r>
    </w:p>
  </w:footnote>
  <w:footnote w:id="53">
    <w:p w14:paraId="0000045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798 F.3d at 78, n.5 (finding that legislative history of §213(a)(3) supports </w:t>
      </w:r>
      <w:r>
        <w:rPr>
          <w:rFonts w:ascii="Times New Roman" w:eastAsia="Times New Roman" w:hAnsi="Times New Roman" w:cs="Times New Roman"/>
          <w:i/>
          <w:color w:val="000000"/>
          <w:sz w:val="20"/>
          <w:szCs w:val="20"/>
        </w:rPr>
        <w:t>A.H. Phillips, Inc. v. Walling</w:t>
      </w:r>
      <w:r>
        <w:rPr>
          <w:rFonts w:ascii="Times New Roman" w:eastAsia="Times New Roman" w:hAnsi="Times New Roman" w:cs="Times New Roman"/>
          <w:color w:val="000000"/>
          <w:sz w:val="20"/>
          <w:szCs w:val="20"/>
        </w:rPr>
        <w:t>, 324 U.S. 490 (1945), interpretation: “During Senate floor debates on a 1949 amendment that included the retail or service establishment exemption, Senator George, the amendment’s sponsor, stated, ‘I wish to say that the word “establishment” has been very well defined in the Wage and Hour Act. It means now a single physically separate place of business … and it does not mean an entire business enterprise.’ 95 Cong. Rec. 12,579 (1949).”).</w:t>
      </w:r>
    </w:p>
  </w:footnote>
  <w:footnote w:id="54">
    <w:p w14:paraId="0000045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FLSA2003-1, 2003 WL 23374597, at *3 (Mar. 17, 2003).</w:t>
      </w:r>
    </w:p>
  </w:footnote>
  <w:footnote w:id="55">
    <w:p w14:paraId="0000045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85 F.3d 494, 3 WH Cases2d 577 (10th Cir. 1996).</w:t>
      </w:r>
    </w:p>
  </w:footnote>
  <w:footnote w:id="56">
    <w:p w14:paraId="0000045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85 F.3d at 496 (quotations omitted).</w:t>
      </w:r>
    </w:p>
  </w:footnote>
  <w:footnote w:id="57">
    <w:p w14:paraId="0000045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497 (citing 29 C.F.R. §779.302; Hays v. City of Pauls Valley, 74 F.3d 1002, 1006 (10th Cir. 1996); Jeffery v. Sarasota White Sox, Inc., 64 F.3d 590, 596 (11th Cir. 1995); Marshall v. New Hampshire Jockey Club, Inc., 562 F.2d 1323, 1331 n.4 (1st Cir. 1977); Brennan v. Southern Prods., Inc., 513 F.2d 740, 746–47 (6th Cir. 1975)).</w:t>
      </w:r>
    </w:p>
  </w:footnote>
  <w:footnote w:id="58">
    <w:p w14:paraId="0000046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mallCaps/>
          <w:color w:val="000000"/>
          <w:sz w:val="20"/>
          <w:szCs w:val="20"/>
        </w:rPr>
        <w:t>H.R. Rep</w:t>
      </w:r>
      <w:r>
        <w:rPr>
          <w:rFonts w:ascii="Times New Roman" w:eastAsia="Times New Roman" w:hAnsi="Times New Roman" w:cs="Times New Roman"/>
          <w:color w:val="000000"/>
          <w:sz w:val="20"/>
          <w:szCs w:val="20"/>
        </w:rPr>
        <w:t xml:space="preserve">. No. 871-89, 35 (1965). “The report discussed H.R. 10518, a proposed amendment to the Fair Labor Standards Act which Congress did not pass. Although H.R. 10518 did not pass in 1965, the committee’s examples of exempt amusement activities are relevant because the following year Congress enacted into law an FLSA amendment whose amusement-recreation exemption is quite similar to that found in H.R. 10518. </w:t>
      </w:r>
      <w:r>
        <w:rPr>
          <w:rFonts w:ascii="Times New Roman" w:eastAsia="Times New Roman" w:hAnsi="Times New Roman" w:cs="Times New Roman"/>
          <w:i/>
          <w:color w:val="000000"/>
          <w:sz w:val="20"/>
          <w:szCs w:val="20"/>
        </w:rPr>
        <w:t>Compare</w:t>
      </w:r>
      <w:r>
        <w:rPr>
          <w:rFonts w:ascii="Times New Roman" w:eastAsia="Times New Roman" w:hAnsi="Times New Roman" w:cs="Times New Roman"/>
          <w:color w:val="000000"/>
          <w:sz w:val="20"/>
          <w:szCs w:val="20"/>
        </w:rPr>
        <w:t xml:space="preserve"> 29 U.S.C.A. 213(a)(3) (Supp. 1973) with H.R. Rep. No.871, 89th Cong., 1st Sess. 35 (1965).” Brennan v. Texas City Dike &amp; Marina, Inc.,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492 F.2d 1115, 1118 n.8 (5th Cir. 1974).</w:t>
      </w:r>
    </w:p>
  </w:footnote>
  <w:footnote w:id="59">
    <w:p w14:paraId="0000046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No. 600 (May 25, 1967), Lab. L. Rep. (CCH) ¶30,589).</w:t>
      </w:r>
    </w:p>
  </w:footnote>
  <w:footnote w:id="60">
    <w:p w14:paraId="0000046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No. 623 (June 22, 1967), Lab. L. Rep. (CCH) ¶30,612).</w:t>
      </w:r>
    </w:p>
  </w:footnote>
  <w:footnote w:id="61">
    <w:p w14:paraId="0000046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FLSA2006-39, 2006 WL 3406598 (Oct. 12, 2006) (overnight vacation cruise was found to meet requirements of §213(a)(3) because (1) primary activities of vessels included sightseeing, exploring sights and nature, nature- and sight-related discussions and lectures, group activities and programs, and meals and similar activities; and (2) cost of ticket appeared to reflect significant premium for nature and sightseeing aspect of excursion, making these vessels different from resort hotel).</w:t>
      </w:r>
    </w:p>
  </w:footnote>
  <w:footnote w:id="62">
    <w:p w14:paraId="0000046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mallCaps/>
          <w:color w:val="000000"/>
          <w:sz w:val="20"/>
          <w:szCs w:val="20"/>
        </w:rPr>
        <w:t>U.S. Dep’t of Labor, Wage &amp; Hour Div., Field Operations Handbook</w:t>
      </w:r>
      <w:r>
        <w:rPr>
          <w:rFonts w:ascii="Times New Roman" w:eastAsia="Times New Roman" w:hAnsi="Times New Roman" w:cs="Times New Roman"/>
          <w:color w:val="000000"/>
          <w:sz w:val="20"/>
          <w:szCs w:val="20"/>
        </w:rPr>
        <w:t xml:space="preserve"> §25j11, https://www.dol.gov/agencies/whd/field-operations-handbook [hereinafter FOH].</w:t>
      </w:r>
    </w:p>
  </w:footnote>
  <w:footnote w:id="63">
    <w:p w14:paraId="0000046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§25j14. </w:t>
      </w:r>
    </w:p>
  </w:footnote>
  <w:footnote w:id="64">
    <w:p w14:paraId="0000046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§25j16.</w:t>
      </w:r>
    </w:p>
  </w:footnote>
  <w:footnote w:id="65">
    <w:p w14:paraId="0000046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§25j17.</w:t>
      </w:r>
    </w:p>
  </w:footnote>
  <w:footnote w:id="66">
    <w:p w14:paraId="0000046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§25j09.</w:t>
      </w:r>
    </w:p>
  </w:footnote>
  <w:footnote w:id="67">
    <w:p w14:paraId="0000046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§25j10.</w:t>
      </w:r>
    </w:p>
  </w:footnote>
  <w:footnote w:id="68">
    <w:p w14:paraId="0000046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 xml:space="preserve">§25j15. “[I]f a campsite or campground merely provides space and parking facilities which the traveling public uses while in transit to a recreational area, … the campsite or campground is not an amusement or recreational establishment for purposes of §13(a)(3).”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Mann v. Falk,</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523 F. App’x 549 (11th Cir. 2013);</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Karnes v. Happy Trails RV Park, LLC,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361 F. Supp. 3d 921 (W.D. Mo. 2019). For a discussion of recreational vehicle (RV) parks found not to meet the requirements of §213(a)(3), see</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§III.A.3 [Section 213(a) Exemptions From the Minimum Wage and Overtime Requirements of the FLSA; Employees Employed by Amusement or Recreational Establishments, Organized Camps, or Religious or Nonprofit Educational Conferences; A Distinct Physical Place of Business Versus Integrated Establishments] of this chapter</w:t>
      </w:r>
      <w:r>
        <w:rPr>
          <w:rFonts w:ascii="Times New Roman" w:eastAsia="Times New Roman" w:hAnsi="Times New Roman" w:cs="Times New Roman"/>
          <w:i/>
          <w:color w:val="000000"/>
          <w:sz w:val="20"/>
          <w:szCs w:val="20"/>
        </w:rPr>
        <w:t>.</w:t>
      </w:r>
    </w:p>
  </w:footnote>
  <w:footnote w:id="69">
    <w:p w14:paraId="0000046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FOH §25j05. In </w:t>
      </w:r>
      <w:r>
        <w:rPr>
          <w:rFonts w:ascii="Times New Roman" w:eastAsia="Times New Roman" w:hAnsi="Times New Roman" w:cs="Times New Roman"/>
          <w:i/>
          <w:color w:val="000000"/>
          <w:sz w:val="20"/>
          <w:szCs w:val="20"/>
        </w:rPr>
        <w:t>Chen v. Major League Baseball Properties, Inc.</w:t>
      </w:r>
      <w:r>
        <w:rPr>
          <w:rFonts w:ascii="Times New Roman" w:eastAsia="Times New Roman" w:hAnsi="Times New Roman" w:cs="Times New Roman"/>
          <w:color w:val="000000"/>
          <w:sz w:val="20"/>
          <w:szCs w:val="20"/>
        </w:rPr>
        <w:t xml:space="preserve">, 798 F.3d 72, 25 WH Cases2d 299 (2d Cir. 2015), the plaintiff argued that “FanFest”—an event that included baseball memorabilia displays and a collectors’ showcase where attendees could buy, sell, or trade baseball cards, similar to a baseball card convention—should be considered a “convention” so as to fall outside the scope of the </w:t>
      </w:r>
      <w:r>
        <w:rPr>
          <w:rFonts w:ascii="Times New Roman" w:eastAsia="Times New Roman" w:hAnsi="Times New Roman" w:cs="Times New Roman"/>
          <w:color w:val="000000"/>
          <w:sz w:val="20"/>
          <w:szCs w:val="20"/>
        </w:rPr>
        <w:br/>
        <w:t xml:space="preserve">§ 213(a)(3) exemption per the </w:t>
      </w:r>
      <w:r>
        <w:rPr>
          <w:rFonts w:ascii="Times New Roman" w:eastAsia="Times New Roman" w:hAnsi="Times New Roman" w:cs="Times New Roman"/>
          <w:i/>
          <w:color w:val="000000"/>
          <w:sz w:val="20"/>
          <w:szCs w:val="20"/>
        </w:rPr>
        <w:t>Field Operations Handbook.</w:t>
      </w:r>
      <w:r>
        <w:rPr>
          <w:rFonts w:ascii="Times New Roman" w:eastAsia="Times New Roman" w:hAnsi="Times New Roman" w:cs="Times New Roman"/>
          <w:color w:val="000000"/>
          <w:sz w:val="20"/>
          <w:szCs w:val="20"/>
        </w:rPr>
        <w:t xml:space="preserve"> The Second Circuit found that the </w:t>
      </w:r>
      <w:r>
        <w:rPr>
          <w:rFonts w:ascii="Times New Roman" w:eastAsia="Times New Roman" w:hAnsi="Times New Roman" w:cs="Times New Roman"/>
          <w:i/>
          <w:color w:val="000000"/>
          <w:sz w:val="20"/>
          <w:szCs w:val="20"/>
        </w:rPr>
        <w:t xml:space="preserve">Field Operations Handbook </w:t>
      </w:r>
      <w:r>
        <w:rPr>
          <w:rFonts w:ascii="Times New Roman" w:eastAsia="Times New Roman" w:hAnsi="Times New Roman" w:cs="Times New Roman"/>
          <w:color w:val="000000"/>
          <w:sz w:val="20"/>
          <w:szCs w:val="20"/>
        </w:rPr>
        <w:t xml:space="preserve">provision regarding “conventions” was ambiguous and, therefore, declined to defer to the DOL’s guidance to the extent it conflicted with Congress’s plain intent to exempt amusement and recreational establishments. Ultimately, the court determined that the plaintiff did not effectively challenge the characterization of FanFest as a sports event or theme park. </w:t>
      </w:r>
    </w:p>
  </w:footnote>
  <w:footnote w:id="70">
    <w:p w14:paraId="0000046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§25j03.</w:t>
      </w:r>
    </w:p>
  </w:footnote>
  <w:footnote w:id="71">
    <w:p w14:paraId="0000046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§25j07.</w:t>
      </w:r>
    </w:p>
  </w:footnote>
  <w:footnote w:id="72">
    <w:p w14:paraId="0000046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FLSA-469, 1979 WL 62129 (Sept. 12, 1979).</w:t>
      </w:r>
    </w:p>
  </w:footnote>
  <w:footnote w:id="73">
    <w:p w14:paraId="0000046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FLSA, 1994 WL 1004822 (May 6, 1994). </w:t>
      </w:r>
    </w:p>
  </w:footnote>
  <w:footnote w:id="74">
    <w:p w14:paraId="0000047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FLSA2018-26, 2018 WL 5921454 (Nov. 8, 2018). </w:t>
      </w:r>
    </w:p>
  </w:footnote>
  <w:footnote w:id="75">
    <w:p w14:paraId="0000047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1986 WL 1171127 (May 12, 1986).</w:t>
      </w:r>
    </w:p>
  </w:footnote>
  <w:footnote w:id="76">
    <w:p w14:paraId="0000047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FOH §§25j04(b), 25j10; WH Op., 1999 WL 33210917 (Oct. 5, 1999).</w:t>
      </w:r>
    </w:p>
  </w:footnote>
  <w:footnote w:id="77">
    <w:p w14:paraId="0000047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FLSA2009-5, 2009 WL 648997 (Jan. 14, 2009).</w:t>
      </w:r>
    </w:p>
  </w:footnote>
  <w:footnote w:id="78">
    <w:p w14:paraId="0000047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492 F.2d 1115 (5th Cir. 1974). </w:t>
      </w:r>
    </w:p>
  </w:footnote>
  <w:footnote w:id="79">
    <w:p w14:paraId="0000047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1117.</w:t>
      </w:r>
    </w:p>
  </w:footnote>
  <w:footnote w:id="80">
    <w:p w14:paraId="0000047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1120.</w:t>
      </w:r>
    </w:p>
  </w:footnote>
  <w:footnote w:id="81">
    <w:p w14:paraId="0000047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1118–19.</w:t>
      </w:r>
    </w:p>
  </w:footnote>
  <w:footnote w:id="82">
    <w:p w14:paraId="0000047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83">
    <w:p w14:paraId="0000047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Dole v. Mr. W. Fireworks, Inc., 889 F.2d 543, 29 WH Cases 992 (5th Cir. 1989).</w:t>
      </w:r>
    </w:p>
  </w:footnote>
  <w:footnote w:id="84">
    <w:p w14:paraId="0000047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889 F.2d at 546.</w:t>
      </w:r>
    </w:p>
  </w:footnote>
  <w:footnote w:id="85">
    <w:p w14:paraId="0000047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Mann v. Falk,</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523 F. App’x 549, 552–53 (11th Cir. 2013).</w:t>
      </w:r>
    </w:p>
  </w:footnote>
  <w:footnote w:id="86">
    <w:p w14:paraId="0000047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Karnes v. Happy Trails RV Park, LLC, 361 F. Supp. 3d 921, 937 (W.D. Mo. 2019) (holding that RV park that derived at least 85% of its business from rental of long- and short-term RV campsites and collected money from camp store and propane sales, “both decidedly non-recreational sources of income,” did not qualify for exemption, rejecting notion that presence of ancillary pool transformed establishment into recreational facility).</w:t>
      </w:r>
    </w:p>
  </w:footnote>
  <w:footnote w:id="87">
    <w:p w14:paraId="0000047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375 F.3d 393 (6th Cir. 2004).</w:t>
      </w:r>
    </w:p>
  </w:footnote>
  <w:footnote w:id="88">
    <w:p w14:paraId="0000047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395–96.</w:t>
      </w:r>
    </w:p>
  </w:footnote>
  <w:footnote w:id="89">
    <w:p w14:paraId="0000047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398.</w:t>
      </w:r>
    </w:p>
  </w:footnote>
  <w:footnote w:id="90">
    <w:p w14:paraId="0000048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Brennan v. Texas City Dike &amp; Marina, 492 F.2d 1115, 1119–20 (5th Cir. 1974).</w:t>
      </w:r>
    </w:p>
  </w:footnote>
  <w:footnote w:id="91">
    <w:p w14:paraId="0000048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Double JJ Resort Ranch, 375 F.3d at 398.</w:t>
      </w:r>
    </w:p>
  </w:footnote>
  <w:footnote w:id="92">
    <w:p w14:paraId="0000048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184 F.3d 1188, 5 WH Cases2d 739 (10th Cir. 1999). </w:t>
      </w:r>
    </w:p>
  </w:footnote>
  <w:footnote w:id="93">
    <w:p w14:paraId="0000048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184 F.3d</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at 1191–92.</w:t>
      </w:r>
    </w:p>
  </w:footnote>
  <w:footnote w:id="94">
    <w:p w14:paraId="0000048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1193–94.</w:t>
      </w:r>
    </w:p>
  </w:footnote>
  <w:footnote w:id="95">
    <w:p w14:paraId="0000048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1194 (citing </w:t>
      </w:r>
      <w:r>
        <w:rPr>
          <w:rFonts w:ascii="Times New Roman" w:eastAsia="Times New Roman" w:hAnsi="Times New Roman" w:cs="Times New Roman"/>
          <w:i/>
          <w:color w:val="000000"/>
          <w:sz w:val="20"/>
          <w:szCs w:val="20"/>
        </w:rPr>
        <w:t>Texas City Dike,</w:t>
      </w:r>
      <w:r>
        <w:rPr>
          <w:rFonts w:ascii="Times New Roman" w:eastAsia="Times New Roman" w:hAnsi="Times New Roman" w:cs="Times New Roman"/>
          <w:color w:val="000000"/>
          <w:sz w:val="20"/>
          <w:szCs w:val="20"/>
        </w:rPr>
        <w:t xml:space="preserve"> 492 F.2d at 1119–20). </w:t>
      </w:r>
    </w:p>
  </w:footnote>
  <w:footnote w:id="96">
    <w:p w14:paraId="0000048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658 F. App’x 621 (2d Cir. 2016). </w:t>
      </w:r>
    </w:p>
  </w:footnote>
  <w:footnote w:id="97">
    <w:p w14:paraId="0000048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625 (citing Chen v. Major League Baseball Props., Inc., 798 F.3d 72, 82, 25 WH Cases2d 299 (2d Cir. 2015)).</w:t>
      </w:r>
    </w:p>
  </w:footnote>
  <w:footnote w:id="98">
    <w:p w14:paraId="0000048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99">
    <w:p w14:paraId="0000048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626.</w:t>
      </w:r>
    </w:p>
  </w:footnote>
  <w:footnote w:id="100">
    <w:p w14:paraId="0000048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1">
    <w:p w14:paraId="0000048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§779.385.</w:t>
      </w:r>
    </w:p>
  </w:footnote>
  <w:footnote w:id="102">
    <w:p w14:paraId="0000048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Futrell v. Columbia Club, Inc.,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338 F. Supp. 566, 571 (S.D. Ind. 1971); Shultz v. Deane-Hill Country Club, Inc., 310 F. Supp. 272, 278 (E.D. Tenn. 1969),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433 F.2d 1311 (6th Cir. 1970) (per curiam).</w:t>
      </w:r>
    </w:p>
  </w:footnote>
  <w:footnote w:id="103">
    <w:p w14:paraId="0000048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No. 983 (Apr. 23, 1969); WH Op. No. 968 (Mar. 19, 1969); WH Op. No. 655 (Sept. 5, 1967).</w:t>
      </w:r>
    </w:p>
  </w:footnote>
  <w:footnote w:id="104">
    <w:p w14:paraId="0000048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§779.318, .319.</w:t>
      </w:r>
    </w:p>
  </w:footnote>
  <w:footnote w:id="105">
    <w:p w14:paraId="0000048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817 F.2d 1255 (6th Cir. 1987).</w:t>
      </w:r>
    </w:p>
  </w:footnote>
  <w:footnote w:id="106">
    <w:p w14:paraId="0000049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1258 (“After consideration of the language and purpose of the retail and service exemption and the seasonal amusement-recreational exemption, we conclude that Congress did not intend a public accessibility requirement in the seasonal exemption. The seasonal exemption serves a completely different function than the retail and service exemption.”).</w:t>
      </w:r>
      <w:r>
        <w:rPr>
          <w:rFonts w:ascii="Times New Roman" w:eastAsia="Times New Roman" w:hAnsi="Times New Roman" w:cs="Times New Roman"/>
          <w:i/>
          <w:color w:val="000000"/>
          <w:sz w:val="20"/>
          <w:szCs w:val="20"/>
        </w:rPr>
        <w:t xml:space="preserve"> See </w:t>
      </w:r>
      <w:r>
        <w:rPr>
          <w:rFonts w:ascii="Times New Roman" w:eastAsia="Times New Roman" w:hAnsi="Times New Roman" w:cs="Times New Roman"/>
          <w:color w:val="000000"/>
          <w:sz w:val="20"/>
          <w:szCs w:val="20"/>
        </w:rPr>
        <w:t xml:space="preserve">Adams v. Detroit Tigers, Inc., 961 F. Supp. 176, 179 (1997) (“Although plaintiffs posit that because some of batboys’ work is not open to the public, they are like administrative personnel, ‘Congress did not intend a public accessibility requirement in the seasonal exemption.’”) (quoting </w:t>
      </w:r>
      <w:r>
        <w:rPr>
          <w:rFonts w:ascii="Times New Roman" w:eastAsia="Times New Roman" w:hAnsi="Times New Roman" w:cs="Times New Roman"/>
          <w:i/>
          <w:color w:val="000000"/>
          <w:sz w:val="20"/>
          <w:szCs w:val="20"/>
        </w:rPr>
        <w:t>Louvers &amp; Dampers</w:t>
      </w:r>
      <w:r>
        <w:rPr>
          <w:rFonts w:ascii="Times New Roman" w:eastAsia="Times New Roman" w:hAnsi="Times New Roman" w:cs="Times New Roman"/>
          <w:color w:val="000000"/>
          <w:sz w:val="20"/>
          <w:szCs w:val="20"/>
        </w:rPr>
        <w:t xml:space="preserve">, 817 F.2d at 1258). </w:t>
      </w:r>
    </w:p>
  </w:footnote>
  <w:footnote w:id="107">
    <w:p w14:paraId="0000049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WH Op. FLSA2018-26, 2018 WL</w:t>
      </w:r>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color w:val="000000"/>
          <w:sz w:val="20"/>
          <w:szCs w:val="20"/>
        </w:rPr>
        <w:t xml:space="preserve">5921454 (Nov. 8, 2018). </w:t>
      </w:r>
    </w:p>
  </w:footnote>
  <w:footnote w:id="108">
    <w:p w14:paraId="0000049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FLSA2018-26, at 2 (citing WH Op. WH-312, 1975 WL 40936, at *1 (May 7, 1975)).</w:t>
      </w:r>
    </w:p>
  </w:footnote>
  <w:footnote w:id="109">
    <w:p w14:paraId="0000049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(citing WH Op. WH-312, 1975 WL 40936, at *1 (country clubs with nonprohibitive fees and nonexclusive memberships may be frequented by the public)). </w:t>
      </w:r>
    </w:p>
  </w:footnote>
  <w:footnote w:id="110">
    <w:p w14:paraId="0000049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§25j06. However, a country or town club that is not open to the general public, but is available to only a select group of persons (or their guests) who have been specifically selected to club membership or whose membership fees are so high as to exclude the general public, is not considered an amusement or recreational establishment for purposes of the §213(a)(3) exemption.</w:t>
      </w:r>
    </w:p>
  </w:footnote>
  <w:footnote w:id="111">
    <w:p w14:paraId="0000049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For a discussion of the term “enterprise,” see §II [The Establishment Requirement] of this chapter. </w:t>
      </w:r>
    </w:p>
  </w:footnote>
  <w:footnote w:id="112">
    <w:p w14:paraId="0000049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FLSA2021-3, 2021 WL 240824, at *6 (Jan. 15, 2021)</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(citing 29 C.F.R. §§779.23, 779.303–.305). </w:t>
      </w:r>
      <w:r>
        <w:rPr>
          <w:rFonts w:ascii="Times New Roman" w:eastAsia="Times New Roman" w:hAnsi="Times New Roman" w:cs="Times New Roman"/>
          <w:i/>
          <w:color w:val="000000"/>
          <w:sz w:val="20"/>
          <w:szCs w:val="20"/>
        </w:rPr>
        <w:t xml:space="preserve">See also </w:t>
      </w:r>
      <w:r>
        <w:rPr>
          <w:rFonts w:ascii="Times New Roman" w:eastAsia="Times New Roman" w:hAnsi="Times New Roman" w:cs="Times New Roman"/>
          <w:color w:val="000000"/>
          <w:sz w:val="20"/>
          <w:szCs w:val="20"/>
        </w:rPr>
        <w:t xml:space="preserve">A.H. Phillips, Inc. v. Walling, 324 U.S. 490, 496 (1945); WH Op. FLSA 2018-26 (Nov. 8, 2018); WH Op. FLSA2009-11 (Jan. 15, 2009); WH Op. FLSA2006-39, 2006 WL 3406598, at *1 (Oct. 12, 2006). </w:t>
      </w:r>
    </w:p>
  </w:footnote>
  <w:footnote w:id="113">
    <w:p w14:paraId="0000049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b/>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FLSA2021-3, at *6. </w:t>
      </w:r>
    </w:p>
  </w:footnote>
  <w:footnote w:id="114">
    <w:p w14:paraId="0000049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 </w:t>
      </w:r>
    </w:p>
  </w:footnote>
  <w:footnote w:id="115">
    <w:p w14:paraId="0000049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*6–7. </w:t>
      </w:r>
    </w:p>
  </w:footnote>
  <w:footnote w:id="116">
    <w:p w14:paraId="0000049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(citing 29 C.F.R. §§779.23, 779.303–.305); Brennan v. Yellowstone Park Lines, Inc., 478 F.2d 285, 289–90 (10th Cir. 1973) (applying this definition under §213(a)(3)); citing Chen v. Major League Baseball Props., 798 F.3d 72, 79, 25 WH Cases2d 299 (2d Cir. 2015) (same)</w:t>
      </w:r>
      <w:r>
        <w:rPr>
          <w:rFonts w:ascii="Times New Roman" w:eastAsia="Times New Roman" w:hAnsi="Times New Roman" w:cs="Times New Roman"/>
          <w:i/>
          <w:color w:val="000000"/>
          <w:sz w:val="20"/>
          <w:szCs w:val="20"/>
        </w:rPr>
        <w:t>. See also</w:t>
      </w:r>
      <w:r>
        <w:rPr>
          <w:rFonts w:ascii="Times New Roman" w:eastAsia="Times New Roman" w:hAnsi="Times New Roman" w:cs="Times New Roman"/>
          <w:color w:val="000000"/>
          <w:sz w:val="20"/>
          <w:szCs w:val="20"/>
        </w:rPr>
        <w:t xml:space="preserve"> WH Op. FLSA2018-26, 2018 WL 5921454 (Nov. 8, 2018); WH Op. (July 21, 1970).</w:t>
      </w:r>
    </w:p>
  </w:footnote>
  <w:footnote w:id="117">
    <w:p w14:paraId="0000049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FLSA2021-3, at *9.</w:t>
      </w:r>
    </w:p>
  </w:footnote>
  <w:footnote w:id="118">
    <w:p w14:paraId="0000049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*10 (noting that the WHD has recognized that carnivals and circuses, which are typically mobile, may qualify as seasonal amusement and recreational establishments, citing WH Op. FLSA-718 (Jan. 14, 1977)).</w:t>
      </w:r>
    </w:p>
  </w:footnote>
  <w:footnote w:id="119">
    <w:p w14:paraId="0000049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120">
    <w:p w14:paraId="0000049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 </w:t>
      </w:r>
    </w:p>
  </w:footnote>
  <w:footnote w:id="121">
    <w:p w14:paraId="0000049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*14.</w:t>
      </w:r>
    </w:p>
  </w:footnote>
  <w:footnote w:id="122">
    <w:p w14:paraId="000004A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123">
    <w:p w14:paraId="000004A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xml:space="preserve">, Adams v. Detroit Tigers, Inc., 961 F. Supp. 176, 179 (E.D. Mich. 1997) (holding that “an establishment is a distinct physical place of business—in this case, the Tigers’ establishment at Tiger Stadium, and not the Tigers’ organization as a whole”);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Brennan v. Yellowstone Park Lines, Inc.,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478 F.2d 285, 289 (6th Cir. 1987) (“Congress used the word ‘establishment’ to mean a distinct physical place of business rather than an integrated business enterprise.”) (citing A.H. Phillips, Inc. v. Walling, 324 U.S. 490 (1945)).</w:t>
      </w:r>
    </w:p>
  </w:footnote>
  <w:footnote w:id="124">
    <w:p w14:paraId="000004A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Chao v. Double JJ Resort Ranch, 375 F.3d 393, 397–98 (6th Cir. 2004).</w:t>
      </w:r>
    </w:p>
  </w:footnote>
  <w:footnote w:id="125">
    <w:p w14:paraId="000004A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§25j04(a).</w:t>
      </w:r>
      <w:r>
        <w:rPr>
          <w:rFonts w:ascii="Times New Roman" w:eastAsia="Times New Roman" w:hAnsi="Times New Roman" w:cs="Times New Roman"/>
          <w:i/>
          <w:color w:val="000000"/>
          <w:sz w:val="20"/>
          <w:szCs w:val="20"/>
        </w:rPr>
        <w:t xml:space="preserve"> See</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Hill v. Delaware N. Cos. Sportservice, Inc., 838 F.3d 281, 292 (2d Cir. 2016) (finding that concessionaire was separate establishment). </w:t>
      </w:r>
    </w:p>
  </w:footnote>
  <w:footnote w:id="126">
    <w:p w14:paraId="000004A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Hill</w:t>
      </w:r>
      <w:r>
        <w:rPr>
          <w:rFonts w:ascii="Times New Roman" w:eastAsia="Times New Roman" w:hAnsi="Times New Roman" w:cs="Times New Roman"/>
          <w:color w:val="000000"/>
          <w:sz w:val="20"/>
          <w:szCs w:val="20"/>
        </w:rPr>
        <w:t>, 838 F.3d at 292</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(noting that its holding on single-establishment issues did not preclude concessionaires from qualifying for exemption “because their operations and those of their host establishment constitute a single qualifying establishment”). </w:t>
      </w:r>
    </w:p>
  </w:footnote>
  <w:footnote w:id="127">
    <w:p w14:paraId="000004A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838 F.3d 281 (2d Cir. 2016).</w:t>
      </w:r>
    </w:p>
  </w:footnote>
  <w:footnote w:id="128">
    <w:p w14:paraId="000004A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289.</w:t>
      </w:r>
    </w:p>
  </w:footnote>
  <w:footnote w:id="129">
    <w:p w14:paraId="000004A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292. The court decided not to harmonize conflicting DOL opinion letters, choosing instead to follow the legislative history adopted in 29 C.F.R. §779.385.</w:t>
      </w:r>
    </w:p>
  </w:footnote>
  <w:footnote w:id="130">
    <w:p w14:paraId="000004A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§779.305.</w:t>
      </w:r>
    </w:p>
  </w:footnote>
  <w:footnote w:id="131">
    <w:p w14:paraId="000004A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 See also</w:t>
      </w:r>
      <w:r>
        <w:rPr>
          <w:rFonts w:ascii="Times New Roman" w:eastAsia="Times New Roman" w:hAnsi="Times New Roman" w:cs="Times New Roman"/>
          <w:color w:val="000000"/>
          <w:sz w:val="20"/>
          <w:szCs w:val="20"/>
        </w:rPr>
        <w:t xml:space="preserve"> Jones v. Bryant Park Mkt. Events, LLC, 658 F. App’x 621 (2d Cir. 2016) (finding that entire Winter Village enterprise was operated by single entity, and yearly revenues from Winter Village flowed into common treasury where defendant paid all its employees––whether they worked in restaurant, skating rink, or shops––using single payroll database, and that contract permitting defendant to maintain Winter Village defined Winter Village as single “installation,” and restaurant, rink, and shops were marketed jointly to public).</w:t>
      </w:r>
    </w:p>
  </w:footnote>
  <w:footnote w:id="132">
    <w:p w14:paraId="000004A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§779.305 (“The requirement that there be no interchange of employees between the units does not mean that an employee of one unit may not occasionally, when circumstances require it, render some help in the other units or that one employee of one unit may not be transferred to work in the other unit. The requirement has reference to the indiscriminate use of the employee in both units without regard to the segregated functions of such units.”);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WH Op. FLSA2009-11, 2009 WL 649013 (Jan. 15, 2009); WH Op. (Nov. 30, 1984).</w:t>
      </w:r>
    </w:p>
  </w:footnote>
  <w:footnote w:id="133">
    <w:p w14:paraId="000004A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562 F.2d 1323 (1st Cir. 1977).</w:t>
      </w:r>
    </w:p>
  </w:footnote>
  <w:footnote w:id="134">
    <w:p w14:paraId="000004A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1330 (citing 29 C.F.R. §779.303–.305).</w:t>
      </w:r>
    </w:p>
  </w:footnote>
  <w:footnote w:id="135">
    <w:p w14:paraId="000004A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1331.</w:t>
      </w:r>
    </w:p>
  </w:footnote>
  <w:footnote w:id="136">
    <w:p w14:paraId="000004A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FLSA2006-37, 2006 WL 3227792 (Sept. 28, 2006) (“It appears from your description that the separate base camps are physically remote from one another. Thus, each base camp would meet the definition of a separate establishment.”);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also </w:t>
      </w:r>
      <w:r>
        <w:rPr>
          <w:rFonts w:ascii="Times New Roman" w:eastAsia="Times New Roman" w:hAnsi="Times New Roman" w:cs="Times New Roman"/>
          <w:color w:val="000000"/>
          <w:sz w:val="20"/>
          <w:szCs w:val="20"/>
        </w:rPr>
        <w:t>Does v. Butler Amusements, Inc., 71 F. Supp. 3d 1125 (N.D. Cal 2014) (entire enterprise was not relevant establishment; questions remained as to whether individual carnivals’ mobile unit offices set up to handle operations of carnivals were relevant establishments).</w:t>
      </w:r>
    </w:p>
  </w:footnote>
  <w:footnote w:id="137">
    <w:p w14:paraId="000004A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Brennan v. Yellowstone Park Lines, Inc., 478 F.2d 285, 288–90, 21 WH Cases 133, 136 (10th Cir. 1973) (rejecting district court’s finding that as result of integrated management of company, §213(a)(3) exempted all employees of company from minimum wage and overtime requirements; parties agreed that if court found that each physically separate facility or location operated by defendant constituted single establishment, Secretary of Labor would be entitled to injunction for violation of Act).</w:t>
      </w:r>
    </w:p>
  </w:footnote>
  <w:footnote w:id="138">
    <w:p w14:paraId="000004B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184 F.3d 1188 (10th Cir. 1999).</w:t>
      </w:r>
    </w:p>
  </w:footnote>
  <w:footnote w:id="139">
    <w:p w14:paraId="000004B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1192–93. In addition to finding that Keystone and Arapahoe Basin were separate establishments, the court found that the Keystone operations met the recreational requirements for the §213(b)(29) exemption.</w:t>
      </w:r>
    </w:p>
  </w:footnote>
  <w:footnote w:id="140">
    <w:p w14:paraId="000004B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798 F.3d 72, 25 WH Cases2d 299 (2d Cir. 2015). </w:t>
      </w:r>
    </w:p>
  </w:footnote>
  <w:footnote w:id="141">
    <w:p w14:paraId="000004B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798 F.3d at 79.</w:t>
      </w:r>
    </w:p>
  </w:footnote>
  <w:footnote w:id="142">
    <w:p w14:paraId="000004B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81.</w:t>
      </w:r>
    </w:p>
  </w:footnote>
  <w:footnote w:id="143">
    <w:p w14:paraId="000004B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FLSA2004-6NA, 2004 WL 5303034 (Aug. 4, 2004) (not only were two operations not physically separate, but they both employed two individuals at same time).</w:t>
      </w:r>
    </w:p>
  </w:footnote>
  <w:footnote w:id="144">
    <w:p w14:paraId="000004B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FLSA2018-26, 2018 WL 5921454 (Nov. 8, 2018). </w:t>
      </w:r>
    </w:p>
  </w:footnote>
  <w:footnote w:id="145">
    <w:p w14:paraId="000004B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 </w:t>
      </w:r>
    </w:p>
  </w:footnote>
  <w:footnote w:id="146">
    <w:p w14:paraId="000004B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(citing WH Op. FLSA-830, 1972 WL 34909 (June 8, 1972)). </w:t>
      </w:r>
    </w:p>
  </w:footnote>
  <w:footnote w:id="147">
    <w:p w14:paraId="000004B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 </w:t>
      </w:r>
    </w:p>
  </w:footnote>
  <w:footnote w:id="148">
    <w:p w14:paraId="000004B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85 F.3d 494, 3 WH Cases2d 577 (10th Cir. 1996).</w:t>
      </w:r>
    </w:p>
  </w:footnote>
  <w:footnote w:id="149">
    <w:p w14:paraId="000004B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85 F.3d at 496 (quotations omitted).</w:t>
      </w:r>
    </w:p>
  </w:footnote>
  <w:footnote w:id="150">
    <w:p w14:paraId="000004B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497–98;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Gibbs v. Montgomery Cnty. Agric. Soc’y, 140 F. Supp. 2d 835 (S.D. Ohio 2001) (holding that defendant’s lease of areas to nonexempt organizations did not result in destruction of exempt status); Chaney v. Clark Cnty. Agric. Soc’y, 629 N.E.2d 513, 517, 1 WH Cases2d 1658, 1660 (Ohio Ct. App. 1993) (holding that where, by statute, board was nonprofit entity responsible for holding annual fair and for managing and maintaining grounds on which fair held, board was amusement or recreational “establishment” for purposes of §213(a)(3) exemption, even though on occasion it rented out its facilities to nonexempt businesses). </w:t>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Brennan v. Southern Prods., Inc., 513 F.2d 740, 745, 22 WH Cases 233, 237 (6th Cir. 1975) (holding that business that operated for about eight weeks per year in cooperation with county police officers’ association to produce music show did not qualify for exemption because business did not have as principal activity provision of amusement or recreational activity).</w:t>
      </w:r>
    </w:p>
  </w:footnote>
  <w:footnote w:id="151">
    <w:p w14:paraId="000004B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Jeffery v. Sarasota White Sox, Inc., 64 F.3d 590, 595, 2 WH Cases2d 1537 (11th Cir. 1995).</w:t>
      </w:r>
      <w:r>
        <w:rPr>
          <w:rFonts w:ascii="Times New Roman" w:eastAsia="Times New Roman" w:hAnsi="Times New Roman" w:cs="Times New Roman"/>
          <w:i/>
          <w:color w:val="000000"/>
          <w:sz w:val="20"/>
          <w:szCs w:val="20"/>
        </w:rPr>
        <w:t xml:space="preserve"> See also</w:t>
      </w:r>
      <w:r>
        <w:rPr>
          <w:rFonts w:ascii="Times New Roman" w:eastAsia="Times New Roman" w:hAnsi="Times New Roman" w:cs="Times New Roman"/>
          <w:color w:val="000000"/>
          <w:sz w:val="20"/>
          <w:szCs w:val="20"/>
        </w:rPr>
        <w:t xml:space="preserve"> WH Op. FLSA2018-26, 2018 WL 5921454 (Nov. 8, 2018) (citing </w:t>
      </w:r>
      <w:r>
        <w:rPr>
          <w:rFonts w:ascii="Times New Roman" w:eastAsia="Times New Roman" w:hAnsi="Times New Roman" w:cs="Times New Roman"/>
          <w:i/>
          <w:color w:val="000000"/>
          <w:sz w:val="20"/>
          <w:szCs w:val="20"/>
        </w:rPr>
        <w:t>Jeffery</w:t>
      </w:r>
      <w:r>
        <w:rPr>
          <w:rFonts w:ascii="Times New Roman" w:eastAsia="Times New Roman" w:hAnsi="Times New Roman" w:cs="Times New Roman"/>
          <w:color w:val="000000"/>
          <w:sz w:val="20"/>
          <w:szCs w:val="20"/>
        </w:rPr>
        <w:t>, DOL opined that company that operated and maintained swimming pool facilities at hotels, motels, apartments, and condominiums was amusement or recreational establishment even if company did not own swimming pools that it serviced).</w:t>
      </w:r>
    </w:p>
  </w:footnote>
  <w:footnote w:id="152">
    <w:p w14:paraId="000004B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§25j00(b).</w:t>
      </w:r>
    </w:p>
  </w:footnote>
  <w:footnote w:id="153">
    <w:p w14:paraId="000004B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§25j00(c).</w:t>
      </w:r>
    </w:p>
  </w:footnote>
  <w:footnote w:id="154">
    <w:p w14:paraId="000004C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§25j01(a). Tests A and B refer to a calendar year throughout which the operations of an establishment can be tested to determine whether it is a “seasonally operated place of business.”</w:t>
      </w:r>
    </w:p>
  </w:footnote>
  <w:footnote w:id="155">
    <w:p w14:paraId="000004C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§25j01(b).</w:t>
      </w:r>
    </w:p>
  </w:footnote>
  <w:footnote w:id="156">
    <w:p w14:paraId="000004C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57">
    <w:p w14:paraId="000004C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58">
    <w:p w14:paraId="000004C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(Jan. 24, 1975). </w:t>
      </w:r>
    </w:p>
  </w:footnote>
  <w:footnote w:id="159">
    <w:p w14:paraId="000004C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64 F.3d 590 (11th Cir. 1995).</w:t>
      </w:r>
    </w:p>
  </w:footnote>
  <w:footnote w:id="160">
    <w:p w14:paraId="000004C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596–97 (holding exemption applicable even though groundskeeper was employed during six-month off-season). The DOL has advised that “lifeguards’ off-season maintenance work would not cause their establishment to fail the seven months test.” </w:t>
      </w:r>
      <w:r>
        <w:rPr>
          <w:rFonts w:ascii="Times New Roman" w:eastAsia="Times New Roman" w:hAnsi="Times New Roman" w:cs="Times New Roman"/>
          <w:i/>
          <w:color w:val="000000"/>
          <w:sz w:val="20"/>
          <w:szCs w:val="20"/>
        </w:rPr>
        <w:t xml:space="preserve">Id. </w:t>
      </w:r>
    </w:p>
  </w:footnote>
  <w:footnote w:id="161">
    <w:p w14:paraId="000004C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596.</w:t>
      </w:r>
    </w:p>
  </w:footnote>
  <w:footnote w:id="162">
    <w:p w14:paraId="000004C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(citations omitted).</w:t>
      </w:r>
    </w:p>
  </w:footnote>
  <w:footnote w:id="163">
    <w:p w14:paraId="000004C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Bridewell v. Cincinnati Reds, 68 F.3d 136, 2 WH Cases2d 1573 (6th Cir. 1995); </w:t>
      </w:r>
      <w:r>
        <w:rPr>
          <w:rFonts w:ascii="Times New Roman" w:eastAsia="Times New Roman" w:hAnsi="Times New Roman" w:cs="Times New Roman"/>
          <w:i/>
          <w:color w:val="000000"/>
          <w:sz w:val="20"/>
          <w:szCs w:val="20"/>
        </w:rPr>
        <w:t>accord</w:t>
      </w:r>
      <w:r>
        <w:rPr>
          <w:rFonts w:ascii="Times New Roman" w:eastAsia="Times New Roman" w:hAnsi="Times New Roman" w:cs="Times New Roman"/>
          <w:color w:val="000000"/>
          <w:sz w:val="20"/>
          <w:szCs w:val="20"/>
        </w:rPr>
        <w:t xml:space="preserve"> Liger v. New Orleans Hornets NBA Ltd. P’ship,</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565 F. Supp. 2d 680, 684 (E.D. La. 2008) (finding that reasoning and holding of </w:t>
      </w:r>
      <w:r>
        <w:rPr>
          <w:rFonts w:ascii="Times New Roman" w:eastAsia="Times New Roman" w:hAnsi="Times New Roman" w:cs="Times New Roman"/>
          <w:i/>
          <w:color w:val="000000"/>
          <w:sz w:val="20"/>
          <w:szCs w:val="20"/>
        </w:rPr>
        <w:t>Bridewell</w:t>
      </w:r>
      <w:r>
        <w:rPr>
          <w:rFonts w:ascii="Times New Roman" w:eastAsia="Times New Roman" w:hAnsi="Times New Roman" w:cs="Times New Roman"/>
          <w:color w:val="000000"/>
          <w:sz w:val="20"/>
          <w:szCs w:val="20"/>
        </w:rPr>
        <w:t xml:space="preserve"> more analogous than </w:t>
      </w:r>
      <w:r>
        <w:rPr>
          <w:rFonts w:ascii="Times New Roman" w:eastAsia="Times New Roman" w:hAnsi="Times New Roman" w:cs="Times New Roman"/>
          <w:i/>
          <w:color w:val="000000"/>
          <w:sz w:val="20"/>
          <w:szCs w:val="20"/>
        </w:rPr>
        <w:t>Jeffery</w:t>
      </w:r>
      <w:r>
        <w:rPr>
          <w:rFonts w:ascii="Times New Roman" w:eastAsia="Times New Roman" w:hAnsi="Times New Roman" w:cs="Times New Roman"/>
          <w:color w:val="000000"/>
          <w:sz w:val="20"/>
          <w:szCs w:val="20"/>
        </w:rPr>
        <w:t xml:space="preserve"> because Hornets operated in summer even when they did not make playoffs; “[c]onsequently … the Hornets are a year-round operation”).</w:t>
      </w:r>
    </w:p>
  </w:footnote>
  <w:footnote w:id="164">
    <w:p w14:paraId="000004C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Bridewell</w:t>
      </w:r>
      <w:r>
        <w:rPr>
          <w:rFonts w:ascii="Times New Roman" w:eastAsia="Times New Roman" w:hAnsi="Times New Roman" w:cs="Times New Roman"/>
          <w:color w:val="000000"/>
          <w:sz w:val="20"/>
          <w:szCs w:val="20"/>
        </w:rPr>
        <w:t xml:space="preserve">, 68 F.3d at 138–39. </w:t>
      </w:r>
    </w:p>
  </w:footnote>
  <w:footnote w:id="165">
    <w:p w14:paraId="000004C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139. The Sixth Circuit reversed the order of summary judgment in favor of the Reds and remanded the case to the district court for further proceedings. On remand, the Reds argued that it met the §213(a)(3)(B) requirements because its average receipts from the six-month off season did not amount to more than 1/3 of its average receipts from the six-month season. This argument is addressed in §III.A.6.b [Section 213(a) Exemptions From the Minimum Wage and Overtime Requirements of the FLSA; Employees Employed by Amusement or Recreational Establishments, Organized Camps, or Religious or Nonprofit Educational Conferences; The Seasonality Tests Under the Section 213(a) Exemption; Test B: The 33 1/3% Test] of this chapter.</w:t>
      </w:r>
    </w:p>
  </w:footnote>
  <w:footnote w:id="166">
    <w:p w14:paraId="000004C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§213(a)(3)(B).</w:t>
      </w:r>
    </w:p>
  </w:footnote>
  <w:footnote w:id="167">
    <w:p w14:paraId="000004C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§25j01(c)(1).</w:t>
      </w:r>
    </w:p>
  </w:footnote>
  <w:footnote w:id="168">
    <w:p w14:paraId="000004C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§25j01(c)(2).</w:t>
      </w:r>
    </w:p>
  </w:footnote>
  <w:footnote w:id="169">
    <w:p w14:paraId="000004C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155 F.3d 828, 4 WH Cases2d 1061 (6th Cir. 1998) (on appeal, Cincinnati Reds dropped its seven-months argument for seasonal status and argued that 33 1/3% receipt test should apply). </w:t>
      </w:r>
    </w:p>
  </w:footnote>
  <w:footnote w:id="170">
    <w:p w14:paraId="000004D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155 F.3d</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at 830.</w:t>
      </w:r>
    </w:p>
  </w:footnote>
  <w:footnote w:id="171">
    <w:p w14:paraId="000004D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829.</w:t>
      </w:r>
    </w:p>
  </w:footnote>
  <w:footnote w:id="172">
    <w:p w14:paraId="000004D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73">
    <w:p w14:paraId="000004D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 xml:space="preserve">at 832.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Liger v. New Orleans Hornets NBA Ltd. P’ship, 565 F. Supp. 2d 680 (E.D. La. 2008) (finding “receipts” test set out in </w:t>
      </w:r>
      <w:r>
        <w:rPr>
          <w:rFonts w:ascii="Times New Roman" w:eastAsia="Times New Roman" w:hAnsi="Times New Roman" w:cs="Times New Roman"/>
          <w:i/>
          <w:color w:val="000000"/>
          <w:sz w:val="20"/>
          <w:szCs w:val="20"/>
        </w:rPr>
        <w:t xml:space="preserve">Bridewell </w:t>
      </w:r>
      <w:r>
        <w:rPr>
          <w:rFonts w:ascii="Times New Roman" w:eastAsia="Times New Roman" w:hAnsi="Times New Roman" w:cs="Times New Roman"/>
          <w:color w:val="000000"/>
          <w:sz w:val="20"/>
          <w:szCs w:val="20"/>
        </w:rPr>
        <w:t xml:space="preserve">on remand to be logical, fair, and accurate assessment of year-round activity of organization, but that data submitted by plaintiffs showed that for years in which receipt data were available, Hornets failed average receipt test by large margin). </w:t>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Adams v. Detroit Tigers, Inc., 961 F. Supp. 176 (E.D. Mich. 1997) (comptroller of Tigers showed that Tigers met 33 1/3% test by presenting Tigers’ receipts using accrual method; plaintiffs did not challenge figures, and court accepted them without discussion); McMillan v. Boy Scouts of Am.-Aloha Council, 2012 WL 2282539, at *4 (D. Haw. June 15, 2012) (chief executive officer stated in declaration that Aloha Council’s average receipts met “33 1/3 test”; because plaintiff failed to make proper request for further discovery on whether receipts were obtained on cash or accrual basis, court relied on record before it in deciding that employer met 33 1/3 test).</w:t>
      </w:r>
    </w:p>
  </w:footnote>
  <w:footnote w:id="174">
    <w:p w14:paraId="000004D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§25j12.</w:t>
      </w:r>
    </w:p>
  </w:footnote>
  <w:footnote w:id="175">
    <w:p w14:paraId="000004D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76">
    <w:p w14:paraId="000004D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74 F.3d 1002 (10th Cir. 1996).</w:t>
      </w:r>
    </w:p>
  </w:footnote>
  <w:footnote w:id="177">
    <w:p w14:paraId="000004D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1006.</w:t>
      </w:r>
    </w:p>
  </w:footnote>
  <w:footnote w:id="178">
    <w:p w14:paraId="000004D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FLSA2021-3, 2021 WL 240824, at *2 (Jan. 15, 2021).</w:t>
      </w:r>
    </w:p>
  </w:footnote>
  <w:footnote w:id="179">
    <w:p w14:paraId="000004D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*12 (internal citations omitted).</w:t>
      </w:r>
    </w:p>
  </w:footnote>
  <w:footnote w:id="180">
    <w:p w14:paraId="000004D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*13.</w:t>
      </w:r>
    </w:p>
  </w:footnote>
  <w:footnote w:id="181">
    <w:p w14:paraId="000004D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§25j08.</w:t>
      </w:r>
    </w:p>
  </w:footnote>
  <w:footnote w:id="182">
    <w:p w14:paraId="000004D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838 F.3d 281 (2d Cir. 2016). </w:t>
      </w:r>
    </w:p>
  </w:footnote>
  <w:footnote w:id="183">
    <w:p w14:paraId="000004D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295 (quoting Skidmore v. Swift &amp; Co., 323 U.S. 134 (1944)). </w:t>
      </w:r>
    </w:p>
  </w:footnote>
  <w:footnote w:id="184">
    <w:p w14:paraId="000004D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838 F.3d 281 (2d Cir. 2016). </w:t>
      </w:r>
    </w:p>
  </w:footnote>
  <w:footnote w:id="185">
    <w:p w14:paraId="000004D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294.</w:t>
      </w:r>
    </w:p>
  </w:footnote>
  <w:footnote w:id="186">
    <w:p w14:paraId="000004E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2000 WL 35432058 (May 23, 2000).</w:t>
      </w:r>
    </w:p>
  </w:footnote>
  <w:footnote w:id="187">
    <w:p w14:paraId="000004E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474 F.2d 18 (5th Cir. 1973).</w:t>
      </w:r>
    </w:p>
  </w:footnote>
  <w:footnote w:id="188">
    <w:p w14:paraId="000004E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19.</w:t>
      </w:r>
    </w:p>
  </w:footnote>
  <w:footnote w:id="189">
    <w:p w14:paraId="000004E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2000 WL 35432058 (May 23, 2000) (quoted in McMillan v. Boy Scouts of Am.-Aloha Council, 2012 WL 2282539 (D. Haw. June 15, 2012)).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Jeffery v. Sarasota White Sox, Inc., 64 F.3d 590, 596–97 (11th Cir. 1995) (holding that exemption is based not on length of time plaintiff performed work, but on length of defendant’s seasonal operation). </w:t>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Bridewell v. Cincinnati Reds, 68 F.3d 136, 2 WH Cases2d 1573 (6th Cir. 1995) (maintenance staff was not within exemption because no fewer than 120 employees worked in “off-season”).</w:t>
      </w:r>
    </w:p>
  </w:footnote>
  <w:footnote w:id="190">
    <w:p w14:paraId="000004E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2012 WL 2282539 (D. Haw. June 15, 2012).</w:t>
      </w:r>
    </w:p>
  </w:footnote>
  <w:footnote w:id="191">
    <w:p w14:paraId="000004E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w:t>
      </w:r>
    </w:p>
  </w:footnote>
  <w:footnote w:id="192">
    <w:p w14:paraId="000004E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§784.120.</w:t>
      </w:r>
    </w:p>
  </w:footnote>
  <w:footnote w:id="193">
    <w:p w14:paraId="000004E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 xml:space="preserve">§784.118 (quoting 83 </w:t>
      </w:r>
      <w:r>
        <w:rPr>
          <w:rFonts w:ascii="Times New Roman" w:eastAsia="Times New Roman" w:hAnsi="Times New Roman" w:cs="Times New Roman"/>
          <w:smallCaps/>
          <w:color w:val="000000"/>
          <w:sz w:val="20"/>
          <w:szCs w:val="20"/>
        </w:rPr>
        <w:t>Cong. Rec</w:t>
      </w:r>
      <w:r>
        <w:rPr>
          <w:rFonts w:ascii="Times New Roman" w:eastAsia="Times New Roman" w:hAnsi="Times New Roman" w:cs="Times New Roman"/>
          <w:color w:val="000000"/>
          <w:sz w:val="20"/>
          <w:szCs w:val="20"/>
        </w:rPr>
        <w:t xml:space="preserve">. 7408, 7443; S. </w:t>
      </w:r>
      <w:r>
        <w:rPr>
          <w:rFonts w:ascii="Times New Roman" w:eastAsia="Times New Roman" w:hAnsi="Times New Roman" w:cs="Times New Roman"/>
          <w:smallCaps/>
          <w:color w:val="000000"/>
          <w:sz w:val="20"/>
          <w:szCs w:val="20"/>
        </w:rPr>
        <w:t>Rep. No.</w:t>
      </w:r>
      <w:r>
        <w:rPr>
          <w:rFonts w:ascii="Times New Roman" w:eastAsia="Times New Roman" w:hAnsi="Times New Roman" w:cs="Times New Roman"/>
          <w:color w:val="000000"/>
          <w:sz w:val="20"/>
          <w:szCs w:val="20"/>
        </w:rPr>
        <w:t xml:space="preserve"> 145, 33 on H.R. </w:t>
      </w:r>
      <w:r>
        <w:rPr>
          <w:rFonts w:ascii="Times New Roman" w:eastAsia="Times New Roman" w:hAnsi="Times New Roman" w:cs="Times New Roman"/>
          <w:smallCaps/>
          <w:color w:val="000000"/>
          <w:sz w:val="20"/>
          <w:szCs w:val="20"/>
        </w:rPr>
        <w:t>Rep. No</w:t>
      </w:r>
      <w:r>
        <w:rPr>
          <w:rFonts w:ascii="Times New Roman" w:eastAsia="Times New Roman" w:hAnsi="Times New Roman" w:cs="Times New Roman"/>
          <w:color w:val="000000"/>
          <w:sz w:val="20"/>
          <w:szCs w:val="20"/>
        </w:rPr>
        <w:t>. 3935 (1961)).</w:t>
      </w:r>
    </w:p>
  </w:footnote>
  <w:footnote w:id="194">
    <w:p w14:paraId="000004E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§213(a)(5). Much of this section was in the original version of the FLSA, except for the following:</w:t>
      </w:r>
    </w:p>
    <w:p w14:paraId="000004E9" w14:textId="77777777" w:rsidR="00DC27AA" w:rsidRDefault="000F36B4">
      <w:pPr>
        <w:pBdr>
          <w:top w:val="nil"/>
          <w:left w:val="nil"/>
          <w:bottom w:val="nil"/>
          <w:right w:val="nil"/>
          <w:between w:val="nil"/>
        </w:pBdr>
        <w:spacing w:before="120" w:after="120" w:line="240" w:lineRule="auto"/>
        <w:ind w:left="90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In 1949, the words “canning of any kind of fish, shellfish or other aquatic forms of life” were dropped from this section and placed in §213(b)(4). Fair Labor Standards Amendments of 1949, Pub. L. No. 81-393, 63 Stat. 910 (1949). Section 213(b)(4) was eventually repealed in 1976. Fair Labor Standards Amendments of 1974, Pub. L. No. 93-259, §11(c), 88 Stat. 55, 64 (1974). </w:t>
      </w:r>
    </w:p>
    <w:p w14:paraId="000004EA" w14:textId="77777777" w:rsidR="00DC27AA" w:rsidRDefault="000F36B4">
      <w:pPr>
        <w:pBdr>
          <w:top w:val="nil"/>
          <w:left w:val="nil"/>
          <w:bottom w:val="nil"/>
          <w:right w:val="nil"/>
          <w:between w:val="nil"/>
        </w:pBdr>
        <w:spacing w:before="120" w:after="120" w:line="240" w:lineRule="auto"/>
        <w:ind w:left="90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In 1961, Congress inserted the word “propagating” after the word “taking” and inserted the following after the words “vegetable life”: “or in the first processing, canning or packing such marine products at sea as an incident to, or in conjunction with, such fishing operations.” Fair Labor Standards Amendments of 1961, Pub. L. No. 87-30, §9 (1961).</w:t>
      </w:r>
    </w:p>
  </w:footnote>
  <w:footnote w:id="195">
    <w:p w14:paraId="000004E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§784.106.</w:t>
      </w:r>
    </w:p>
  </w:footnote>
  <w:footnote w:id="196">
    <w:p w14:paraId="000004E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97">
    <w:p w14:paraId="000004E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279 F.3d 688, 7 WH Cases2d 1041 (9th Cir. 2002).</w:t>
      </w:r>
    </w:p>
  </w:footnote>
  <w:footnote w:id="198">
    <w:p w14:paraId="000004E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§784.106.</w:t>
      </w:r>
    </w:p>
  </w:footnote>
  <w:footnote w:id="199">
    <w:p w14:paraId="000004E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00">
    <w:p w14:paraId="000004F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§784.128;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Do</w:t>
      </w:r>
      <w:r>
        <w:rPr>
          <w:rFonts w:ascii="Times New Roman" w:eastAsia="Times New Roman" w:hAnsi="Times New Roman" w:cs="Times New Roman"/>
          <w:color w:val="000000"/>
          <w:sz w:val="20"/>
          <w:szCs w:val="20"/>
        </w:rPr>
        <w:t>, 279 F.3d at 693 (processing that occurred onboard fishing trawlers was conducted exactly as defined in regulations as “first processing”).</w:t>
      </w:r>
    </w:p>
  </w:footnote>
  <w:footnote w:id="201">
    <w:p w14:paraId="000004F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279 F.3d 688, 7 WH Cases2d 1041 (9th Cir. 2002).</w:t>
      </w:r>
    </w:p>
  </w:footnote>
  <w:footnote w:id="202">
    <w:p w14:paraId="000004F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279 F.3d at 692.</w:t>
      </w:r>
    </w:p>
  </w:footnote>
  <w:footnote w:id="203">
    <w:p w14:paraId="000004F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693.</w:t>
      </w:r>
    </w:p>
  </w:footnote>
  <w:footnote w:id="204">
    <w:p w14:paraId="000004F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796 F.2d 337, 27 WH Cases 1327 (9th Cir. 1986).</w:t>
      </w:r>
    </w:p>
  </w:footnote>
  <w:footnote w:id="205">
    <w:p w14:paraId="000004F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796 F.2d at 338; 29 C.F.R. §784.131.</w:t>
      </w:r>
    </w:p>
  </w:footnote>
  <w:footnote w:id="206">
    <w:p w14:paraId="000004F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§784.107.</w:t>
      </w:r>
    </w:p>
  </w:footnote>
  <w:footnote w:id="207">
    <w:p w14:paraId="000004F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§784.108.</w:t>
      </w:r>
    </w:p>
  </w:footnote>
  <w:footnote w:id="208">
    <w:p w14:paraId="000004F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§784.110, .111. As an enforcement policy, the DOL takes the position that a commodity contains a “substantial amount” of a non-enumerated product if it is made up of more than 20% of such a product.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§784.112.</w:t>
      </w:r>
    </w:p>
  </w:footnote>
  <w:footnote w:id="209">
    <w:p w14:paraId="000004F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§784.113.</w:t>
      </w:r>
    </w:p>
  </w:footnote>
  <w:footnote w:id="210">
    <w:p w14:paraId="000004F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§784.116.</w:t>
      </w:r>
    </w:p>
  </w:footnote>
  <w:footnote w:id="211">
    <w:p w14:paraId="000004F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12">
    <w:p w14:paraId="000004F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§213(a)(8). Much of this section was in the original version of the FLSA, except for the following:</w:t>
      </w:r>
    </w:p>
    <w:p w14:paraId="000004FD" w14:textId="77777777" w:rsidR="00DC27AA" w:rsidRDefault="000F36B4">
      <w:pPr>
        <w:pBdr>
          <w:top w:val="nil"/>
          <w:left w:val="nil"/>
          <w:bottom w:val="nil"/>
          <w:right w:val="nil"/>
          <w:between w:val="nil"/>
        </w:pBdr>
        <w:spacing w:before="120" w:after="120" w:line="240" w:lineRule="auto"/>
        <w:ind w:left="90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 xml:space="preserve">In 1949, the exemption added the words “or daily” after “semiweekly,” changed “three thousand” to “four thousand” and added the words “or counties contiguous thereto” after “published.” Fair Labor Standards Amendments of 1949, Pub. L. No. 81-393 (1949). </w:t>
      </w:r>
    </w:p>
    <w:p w14:paraId="000004FE" w14:textId="77777777" w:rsidR="00DC27AA" w:rsidRDefault="000F36B4">
      <w:pPr>
        <w:pBdr>
          <w:top w:val="nil"/>
          <w:left w:val="nil"/>
          <w:bottom w:val="nil"/>
          <w:right w:val="nil"/>
          <w:between w:val="nil"/>
        </w:pBdr>
        <w:spacing w:before="120" w:after="120" w:line="240" w:lineRule="auto"/>
        <w:ind w:left="90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In 1966, Congress substituted “where published” for “where printed and published.” Fair Labor Standards Amendments of 1966, Pub. L. No. 89-601, §205 (1966)</w:t>
      </w:r>
    </w:p>
  </w:footnote>
  <w:footnote w:id="213">
    <w:p w14:paraId="000004F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327 U.S. 186, 5 WH Cases 864 (1946). </w:t>
      </w:r>
    </w:p>
  </w:footnote>
  <w:footnote w:id="214">
    <w:p w14:paraId="0000050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327 U.S. at 193–95.</w:t>
      </w:r>
    </w:p>
  </w:footnote>
  <w:footnote w:id="215">
    <w:p w14:paraId="0000050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§23a00(b).</w:t>
      </w:r>
    </w:p>
  </w:footnote>
  <w:footnote w:id="216">
    <w:p w14:paraId="0000050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17">
    <w:p w14:paraId="0000050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§23a01.</w:t>
      </w:r>
    </w:p>
  </w:footnote>
  <w:footnote w:id="218">
    <w:p w14:paraId="0000050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§23a02.</w:t>
      </w:r>
    </w:p>
  </w:footnote>
  <w:footnote w:id="219">
    <w:p w14:paraId="0000050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§23a10.</w:t>
      </w:r>
    </w:p>
  </w:footnote>
  <w:footnote w:id="220">
    <w:p w14:paraId="0000050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§23a06.</w:t>
      </w:r>
    </w:p>
  </w:footnote>
  <w:footnote w:id="221">
    <w:p w14:paraId="0000050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§23a07.</w:t>
      </w:r>
    </w:p>
  </w:footnote>
  <w:footnote w:id="222">
    <w:p w14:paraId="0000050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Robinson v. North Ark. Printing Co., Inc., 71 F. Supp. 921, 923, 7 WH Cases 242, 245 (W.D. Ark. 1947).</w:t>
      </w:r>
    </w:p>
  </w:footnote>
  <w:footnote w:id="223">
    <w:p w14:paraId="0000050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§786.250;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FOH §23a05.</w:t>
      </w:r>
    </w:p>
  </w:footnote>
  <w:footnote w:id="224">
    <w:p w14:paraId="0000050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Admin. Op. 376 (June 29, 1965).</w:t>
      </w:r>
    </w:p>
  </w:footnote>
  <w:footnote w:id="225">
    <w:p w14:paraId="0000050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13 F.3d 685, 1 WH Cases2d 1313 (3d Cir. 1994). Gateway Press published 19 community newspapers serving the Pittsburg suburbs; the 19 papers had different mastheads and different local news items. 13 F.3d</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at 688. </w:t>
      </w:r>
    </w:p>
  </w:footnote>
  <w:footnote w:id="226">
    <w:p w14:paraId="0000050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696.</w:t>
      </w:r>
    </w:p>
  </w:footnote>
  <w:footnote w:id="227">
    <w:p w14:paraId="0000050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697.</w:t>
      </w:r>
    </w:p>
  </w:footnote>
  <w:footnote w:id="228">
    <w:p w14:paraId="0000050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229">
    <w:p w14:paraId="0000050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U.S.C. §213(a)(10). This exemption was not in the original version of the FLSA. In 1939, the language of this exemption was added to the statute as </w:t>
      </w:r>
      <w:r>
        <w:rPr>
          <w:rFonts w:ascii="Times New Roman" w:eastAsia="Times New Roman" w:hAnsi="Times New Roman" w:cs="Times New Roman"/>
          <w:color w:val="000000"/>
          <w:sz w:val="20"/>
          <w:szCs w:val="20"/>
        </w:rPr>
        <w:br/>
        <w:t>§213(a)(11). It provided that the switchboard operator had to be employed by a “public telephone exchange” with “less than 500 stations.” The Act of August 9, 1939, 53 Stat. 1266 (1939). Subsequent amendments to this section include the following:</w:t>
      </w:r>
    </w:p>
    <w:p w14:paraId="00000510" w14:textId="77777777" w:rsidR="00DC27AA" w:rsidRDefault="000F36B4">
      <w:pPr>
        <w:pBdr>
          <w:top w:val="nil"/>
          <w:left w:val="nil"/>
          <w:bottom w:val="nil"/>
          <w:right w:val="nil"/>
          <w:between w:val="nil"/>
        </w:pBdr>
        <w:spacing w:before="120" w:after="120" w:line="240" w:lineRule="auto"/>
        <w:ind w:left="90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In 1949 the number of stations was increased from 500 to “not more than 750 stations.” Fair Labor Standards Amendments of 1949, Pub. L. No. 81-393, §11 (1949).</w:t>
      </w:r>
    </w:p>
    <w:p w14:paraId="00000511" w14:textId="77777777" w:rsidR="00DC27AA" w:rsidRDefault="000F36B4">
      <w:pPr>
        <w:pBdr>
          <w:top w:val="nil"/>
          <w:left w:val="nil"/>
          <w:bottom w:val="nil"/>
          <w:right w:val="nil"/>
          <w:between w:val="nil"/>
        </w:pBdr>
        <w:spacing w:before="120" w:after="120" w:line="240" w:lineRule="auto"/>
        <w:ind w:left="90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In 1961, the words “by an independently owned public telephone company” were substituted for “is a public telephone exchange.” Fair Labor Standards Amendments of 1961, Pub. L. No. 87-30, §9 (1961).</w:t>
      </w:r>
    </w:p>
    <w:p w14:paraId="00000512" w14:textId="77777777" w:rsidR="00DC27AA" w:rsidRDefault="000F36B4">
      <w:pPr>
        <w:pBdr>
          <w:top w:val="nil"/>
          <w:left w:val="nil"/>
          <w:bottom w:val="nil"/>
          <w:right w:val="nil"/>
          <w:between w:val="nil"/>
        </w:pBdr>
        <w:spacing w:before="120" w:after="120" w:line="240" w:lineRule="auto"/>
        <w:ind w:left="900" w:hanging="18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ab/>
        <w:t>In 1966, Congress repealed this version of §213(a)(10), moved its subject matter to §209(d), and redesignated §213(a)(11) as §213(a)(10). Fair Labor Standards Amendments of 1966, Pub. L. No. 89-601, §§204(a), 215(b)(1) (1966).</w:t>
      </w:r>
    </w:p>
  </w:footnote>
  <w:footnote w:id="230">
    <w:p w14:paraId="0000051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Southern Bell Tel. &amp; Tel. Co. v. Davis, 202 S.W.2d 753, 754, 7 WH Cases 30, 31 (Ky. Ct. App. 1947).</w:t>
      </w:r>
    </w:p>
  </w:footnote>
  <w:footnote w:id="231">
    <w:p w14:paraId="0000051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Cherry Lake, Inc. v. Kearce, 26 So. 2d 434, 437, 6 WH Cases 322, 325 (Fla. 1946).</w:t>
      </w:r>
    </w:p>
  </w:footnote>
  <w:footnote w:id="232">
    <w:p w14:paraId="0000051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Mitchell v. Telephone Answering Serv., Inc., 183 F. Supp. 607, 617, 14 WH Cases 747, 754 (D.P.R. 1959), </w:t>
      </w:r>
      <w:r>
        <w:rPr>
          <w:rFonts w:ascii="Times New Roman" w:eastAsia="Times New Roman" w:hAnsi="Times New Roman" w:cs="Times New Roman"/>
          <w:i/>
          <w:color w:val="000000"/>
          <w:sz w:val="20"/>
          <w:szCs w:val="20"/>
        </w:rPr>
        <w:t>aff’d sub nom</w:t>
      </w:r>
      <w:r>
        <w:rPr>
          <w:rFonts w:ascii="Times New Roman" w:eastAsia="Times New Roman" w:hAnsi="Times New Roman" w:cs="Times New Roman"/>
          <w:color w:val="000000"/>
          <w:sz w:val="20"/>
          <w:szCs w:val="20"/>
        </w:rPr>
        <w:t>. Telephone Answering Serv., Inc. v. Goldberg, 290 F.2d 529, 15 WH Cases 67 (1st Cir. 1961).</w:t>
      </w:r>
    </w:p>
  </w:footnote>
  <w:footnote w:id="233">
    <w:p w14:paraId="0000051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§213(a)(12). As originally enacted in 1938, §213(a)(3) of the FLSA exempted from both the minimum wage and overtime pay requirements “any employee employed as a seaman.” Pub. L. No. 75-718, 52 Stat. 1050. In 1949, the exemption was renumbered as §213(a)(14). Fair Labor Standards Act, Pub. L. No. 81-393, 63 Stat. 910. In 1961, §213(a)(14) was amended by adding the words “on a vessel other than an American vessel,” Pub. L. No. 87-30, §9, and an overtime exemption was provided for seamen working on an American vessel (§213(b)(6)), providing therefore that those employed as seamen on an American vessel were brought within the minimum wage provisions of the Act. In 1966, Congress redesignated §213(a)(14) as §213(a)(12). Pub. L. No. 89-601, §206(b)(1).</w:t>
      </w:r>
    </w:p>
  </w:footnote>
  <w:footnote w:id="234">
    <w:p w14:paraId="0000051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Both “seaman” and “vessel” are fully discussed in §IV.D [Section 213(b) Exemptions From the Overtime Requirements of the FLSA; Employees Employed as Seamen] of this chapter. For a discussion of what constitutes an “American vessel,” see §IV.D.2 [Section 213(b) Exemptions From the Overtime Requirements of the FLSA; Employees Employed as Seamen; “Vessel”] of this chapter.</w:t>
      </w:r>
    </w:p>
  </w:footnote>
  <w:footnote w:id="235">
    <w:p w14:paraId="0000051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474 F. Supp. 2d 866 (S.D. Tex.),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504 F.3d 511, 523 (5th Cir. 2007) (affirming without addressing FLSA issue, Fifth Circuit said that “because we find that 46 U.S.C. §§10301 and 10501’s voyage requirements dispose of this appeal, we decline to venture into a discussion of the FLSA”).</w:t>
      </w:r>
    </w:p>
  </w:footnote>
  <w:footnote w:id="236">
    <w:p w14:paraId="0000051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474 F. Supp. 2d at 877.</w:t>
      </w:r>
    </w:p>
  </w:footnote>
  <w:footnote w:id="237">
    <w:p w14:paraId="0000051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Senegal v. Fairfield Indus., Inc., 2018 WL 6079354, at *8 (S.D. Tex. Nov. 21, 2018).</w:t>
      </w:r>
    </w:p>
  </w:footnote>
  <w:footnote w:id="238">
    <w:p w14:paraId="0000051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Cruz v. Chesapeake Shipping, Inc., 932 F.2d 218, 231 (3d Cir. 1991); Priyanto v. M/S Amsterdam, 2009 WL 650734, at *8 (C.D. Cal. Mar. 11, 2009)</w:t>
      </w:r>
      <w:r>
        <w:rPr>
          <w:rFonts w:ascii="Times New Roman" w:eastAsia="Times New Roman" w:hAnsi="Times New Roman" w:cs="Times New Roman"/>
          <w:color w:val="000000"/>
          <w:sz w:val="20"/>
          <w:szCs w:val="20"/>
          <w:vertAlign w:val="superscript"/>
        </w:rPr>
        <w:t xml:space="preserve"> </w:t>
      </w:r>
      <w:r>
        <w:rPr>
          <w:rFonts w:ascii="Times New Roman" w:eastAsia="Times New Roman" w:hAnsi="Times New Roman" w:cs="Times New Roman"/>
          <w:color w:val="000000"/>
          <w:sz w:val="20"/>
          <w:szCs w:val="20"/>
        </w:rPr>
        <w:t xml:space="preserve">(citing </w:t>
      </w:r>
      <w:r>
        <w:rPr>
          <w:rFonts w:ascii="Times New Roman" w:eastAsia="Times New Roman" w:hAnsi="Times New Roman" w:cs="Times New Roman"/>
          <w:i/>
          <w:color w:val="000000"/>
          <w:sz w:val="20"/>
          <w:szCs w:val="20"/>
        </w:rPr>
        <w:t>Cruz</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932 F.2d at 226);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Kaluom</w:t>
      </w:r>
      <w:r>
        <w:rPr>
          <w:rFonts w:ascii="Times New Roman" w:eastAsia="Times New Roman" w:hAnsi="Times New Roman" w:cs="Times New Roman"/>
          <w:color w:val="000000"/>
          <w:sz w:val="20"/>
          <w:szCs w:val="20"/>
        </w:rPr>
        <w:t>, 474 F. Supp. 2d 866.</w:t>
      </w:r>
    </w:p>
  </w:footnote>
  <w:footnote w:id="239">
    <w:p w14:paraId="0000051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§213(a)(15).</w:t>
      </w:r>
    </w:p>
  </w:footnote>
  <w:footnote w:id="240">
    <w:p w14:paraId="0000051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Where domestic service employees were employed by an enterprise engaged in commerce, they would be covered by the FLSA.</w:t>
      </w:r>
    </w:p>
  </w:footnote>
  <w:footnote w:id="241">
    <w:p w14:paraId="0000051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Corrales v. Bello, 2009 WL 302271, at *2 (S.D. Fla. Feb. 9, 2009) (finding that, given grammatical structure of §213(a)(15), term “casual basis” referred only to “babysitting services” and not to “companionship services”).</w:t>
      </w:r>
    </w:p>
  </w:footnote>
  <w:footnote w:id="242">
    <w:p w14:paraId="0000051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Pub. L. No. 93-259, §7, 88 Stat. 55, 62 (1974).</w:t>
      </w:r>
    </w:p>
  </w:footnote>
  <w:footnote w:id="243">
    <w:p w14:paraId="0000052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§213(b)(21). For a discussion of §213(b)(21), see §IV.I [Section 213(b) Exemptions From the Overtime Requirements of the FLSA; Domestic Servants Who Reside in a Household] of this chapter.</w:t>
      </w:r>
    </w:p>
  </w:footnote>
  <w:footnote w:id="244">
    <w:p w14:paraId="0000052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40 Fed. Reg. 7,404 (Feb. 20, 1975); 29 C.F.R. pt. 522.</w:t>
      </w:r>
    </w:p>
  </w:footnote>
  <w:footnote w:id="245">
    <w:p w14:paraId="0000052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29 C.F.R. §552.4, .5, .103, &amp; .104.</w:t>
      </w:r>
    </w:p>
  </w:footnote>
  <w:footnote w:id="246">
    <w:p w14:paraId="0000052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For a discussion of these regulatory changes, see §III.F.2 [Section 213(a) Exemptions From the Minimum Wage and Overtime Requirements of the FLSA; Casual-Basis Babysitters and Domestic Companionship Service Providers; Companionship Services] of this chapter.</w:t>
      </w:r>
    </w:p>
  </w:footnote>
  <w:footnote w:id="247">
    <w:p w14:paraId="0000052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§552.4.</w:t>
      </w:r>
    </w:p>
  </w:footnote>
  <w:footnote w:id="248">
    <w:p w14:paraId="0000052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“While such trained personnel do not qualify as babysitters, this fact does not remove them from the category of a covered domestic service employee when employed in or about a private household.”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49">
    <w:p w14:paraId="0000052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§552.5</w:t>
      </w:r>
    </w:p>
  </w:footnote>
  <w:footnote w:id="250">
    <w:p w14:paraId="0000052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§552.104(d).</w:t>
      </w:r>
    </w:p>
  </w:footnote>
  <w:footnote w:id="251">
    <w:p w14:paraId="0000052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§552.109(b).</w:t>
      </w:r>
    </w:p>
  </w:footnote>
  <w:footnote w:id="252">
    <w:p w14:paraId="0000052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53">
    <w:p w14:paraId="0000052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§552.5.</w:t>
      </w:r>
    </w:p>
  </w:footnote>
  <w:footnote w:id="254">
    <w:p w14:paraId="0000052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§552.104(c).</w:t>
      </w:r>
    </w:p>
  </w:footnote>
  <w:footnote w:id="255">
    <w:p w14:paraId="0000052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56">
    <w:p w14:paraId="0000052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§552.104(b).</w:t>
      </w:r>
    </w:p>
  </w:footnote>
  <w:footnote w:id="257">
    <w:p w14:paraId="0000052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58">
    <w:p w14:paraId="0000052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59">
    <w:p w14:paraId="0000053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60,454 (Oct. 1, 2013).</w:t>
      </w:r>
    </w:p>
  </w:footnote>
  <w:footnote w:id="260">
    <w:p w14:paraId="0000053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Home Care Ass’n of Am. v. Weil, 799 F.3d 1084 (D.C. Cir. 2015), </w:t>
      </w:r>
      <w:r>
        <w:rPr>
          <w:rFonts w:ascii="Times New Roman" w:eastAsia="Times New Roman" w:hAnsi="Times New Roman" w:cs="Times New Roman"/>
          <w:i/>
          <w:color w:val="000000"/>
          <w:sz w:val="20"/>
          <w:szCs w:val="20"/>
        </w:rPr>
        <w:t>cert</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denied</w:t>
      </w:r>
      <w:r>
        <w:rPr>
          <w:rFonts w:ascii="Times New Roman" w:eastAsia="Times New Roman" w:hAnsi="Times New Roman" w:cs="Times New Roman"/>
          <w:color w:val="000000"/>
          <w:sz w:val="20"/>
          <w:szCs w:val="20"/>
        </w:rPr>
        <w:t>, 136 S. Ct. 2506 (2016).</w:t>
      </w:r>
    </w:p>
  </w:footnote>
  <w:footnote w:id="261">
    <w:p w14:paraId="0000053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799 F.3d at 1087.</w:t>
      </w:r>
    </w:p>
  </w:footnote>
  <w:footnote w:id="262">
    <w:p w14:paraId="0000053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551 U.S. 158 (2007).</w:t>
      </w:r>
    </w:p>
  </w:footnote>
  <w:footnote w:id="263">
    <w:p w14:paraId="0000053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Weil</w:t>
      </w:r>
      <w:r>
        <w:rPr>
          <w:rFonts w:ascii="Times New Roman" w:eastAsia="Times New Roman" w:hAnsi="Times New Roman" w:cs="Times New Roman"/>
          <w:color w:val="000000"/>
          <w:sz w:val="20"/>
          <w:szCs w:val="20"/>
        </w:rPr>
        <w:t xml:space="preserve">, 799 F.3d at 1087. Following the D.C. Circuit’s decision in </w:t>
      </w:r>
      <w:r>
        <w:rPr>
          <w:rFonts w:ascii="Times New Roman" w:eastAsia="Times New Roman" w:hAnsi="Times New Roman" w:cs="Times New Roman"/>
          <w:i/>
          <w:color w:val="000000"/>
          <w:sz w:val="20"/>
          <w:szCs w:val="20"/>
        </w:rPr>
        <w:t>Weil</w:t>
      </w:r>
      <w:r>
        <w:rPr>
          <w:rFonts w:ascii="Times New Roman" w:eastAsia="Times New Roman" w:hAnsi="Times New Roman" w:cs="Times New Roman"/>
          <w:color w:val="000000"/>
          <w:sz w:val="20"/>
          <w:szCs w:val="20"/>
        </w:rPr>
        <w:t xml:space="preserve">, district courts disagreed as to whether the final rule’s original effective date of January 1, 2015, remained in place, or if the rule should be deemed effective only after the D.C. Circuit issued </w:t>
      </w:r>
      <w:r>
        <w:rPr>
          <w:rFonts w:ascii="Times New Roman" w:eastAsia="Times New Roman" w:hAnsi="Times New Roman" w:cs="Times New Roman"/>
          <w:i/>
          <w:color w:val="000000"/>
          <w:sz w:val="20"/>
          <w:szCs w:val="20"/>
        </w:rPr>
        <w:t>Weil</w:t>
      </w:r>
      <w:r>
        <w:rPr>
          <w:rFonts w:ascii="Times New Roman" w:eastAsia="Times New Roman" w:hAnsi="Times New Roman" w:cs="Times New Roman"/>
          <w:color w:val="000000"/>
          <w:sz w:val="20"/>
          <w:szCs w:val="20"/>
        </w:rPr>
        <w:t xml:space="preserve"> in October 2015. </w:t>
      </w:r>
      <w:r>
        <w:rPr>
          <w:rFonts w:ascii="Times New Roman" w:eastAsia="Times New Roman" w:hAnsi="Times New Roman" w:cs="Times New Roman"/>
          <w:i/>
          <w:color w:val="000000"/>
          <w:sz w:val="20"/>
          <w:szCs w:val="20"/>
        </w:rPr>
        <w:t>Compare</w:t>
      </w:r>
      <w:r>
        <w:rPr>
          <w:rFonts w:ascii="Times New Roman" w:eastAsia="Times New Roman" w:hAnsi="Times New Roman" w:cs="Times New Roman"/>
          <w:color w:val="000000"/>
          <w:sz w:val="20"/>
          <w:szCs w:val="20"/>
        </w:rPr>
        <w:t xml:space="preserve"> Bangoy v. Total Homecare Solutions, LLC, 2015 WL 12672727 (S.D. Ohio Dec. 21, 2015) (granting motion to dismiss claims seeking unpaid overtime for work performed prior to October 2015), </w:t>
      </w:r>
      <w:r>
        <w:rPr>
          <w:rFonts w:ascii="Times New Roman" w:eastAsia="Times New Roman" w:hAnsi="Times New Roman" w:cs="Times New Roman"/>
          <w:i/>
          <w:color w:val="000000"/>
          <w:sz w:val="20"/>
          <w:szCs w:val="20"/>
        </w:rPr>
        <w:t>with</w:t>
      </w:r>
      <w:r>
        <w:rPr>
          <w:rFonts w:ascii="Times New Roman" w:eastAsia="Times New Roman" w:hAnsi="Times New Roman" w:cs="Times New Roman"/>
          <w:color w:val="000000"/>
          <w:sz w:val="20"/>
          <w:szCs w:val="20"/>
        </w:rPr>
        <w:t xml:space="preserve"> Kinkead v. Humana, Inc., 206 F. Supp. 3d 751 (D. Conn. 2016) (denying motion to dismiss claims seeking unpaid overtime for work performed prior to October 2015). The Ninth Circuit held that the final rule’s original effective date of January 1, 2015, stands.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Ray v. County of L.A., 935 F.3d 703, 716 (9th Cir. 2019).</w:t>
      </w:r>
    </w:p>
  </w:footnote>
  <w:footnote w:id="264">
    <w:p w14:paraId="0000053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Fair Labor Standards Amendments of 1974, Pub. L. No. 93-259, §7, 88 Stat. 55, 62 (1974).</w:t>
      </w:r>
    </w:p>
  </w:footnote>
  <w:footnote w:id="265">
    <w:p w14:paraId="0000053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§552.2(b);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29 U.S.C. §206(f).</w:t>
      </w:r>
    </w:p>
  </w:footnote>
  <w:footnote w:id="266">
    <w:p w14:paraId="0000053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§552.2(b);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60 Fed. Reg. 46,767 (Sept. 8, 1995) (revising thresholds for purposes of §206(f) and making other technical corrections in pt. 552). Interestingly, the regulations take the position that overtime protection was extended only to those domestic service employees meeting the test of §206(f) for minimum wage coverage. However, §207(1) itself does not reference the coverage thresholds contained in §206(f).</w:t>
      </w:r>
    </w:p>
  </w:footnote>
  <w:footnote w:id="267">
    <w:p w14:paraId="0000053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Pub. L. No. 93-259, §207(b)(3), added §213(a)(15) to the statute.</w:t>
      </w:r>
    </w:p>
  </w:footnote>
  <w:footnote w:id="268">
    <w:p w14:paraId="0000053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Pub. L. No. 93-259, §207(b)(4), added §213(b)(21) to the statute.</w:t>
      </w:r>
    </w:p>
  </w:footnote>
  <w:footnote w:id="269">
    <w:p w14:paraId="0000053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78 Fed. Reg. 60,454, 60,457 (Oct. 1, 2013) (quoting </w:t>
      </w:r>
      <w:r>
        <w:rPr>
          <w:rFonts w:ascii="Times New Roman" w:eastAsia="Times New Roman" w:hAnsi="Times New Roman" w:cs="Times New Roman"/>
          <w:smallCaps/>
          <w:color w:val="000000"/>
          <w:sz w:val="20"/>
          <w:szCs w:val="20"/>
        </w:rPr>
        <w:t>S. Rep. No.</w:t>
      </w:r>
      <w:r>
        <w:rPr>
          <w:rFonts w:ascii="Times New Roman" w:eastAsia="Times New Roman" w:hAnsi="Times New Roman" w:cs="Times New Roman"/>
          <w:color w:val="000000"/>
          <w:sz w:val="20"/>
          <w:szCs w:val="20"/>
        </w:rPr>
        <w:t xml:space="preserve"> 93-690, at 20 (1974); H.R. </w:t>
      </w:r>
      <w:r>
        <w:rPr>
          <w:rFonts w:ascii="Times New Roman" w:eastAsia="Times New Roman" w:hAnsi="Times New Roman" w:cs="Times New Roman"/>
          <w:smallCaps/>
          <w:color w:val="000000"/>
          <w:sz w:val="20"/>
          <w:szCs w:val="20"/>
        </w:rPr>
        <w:t>Rep. No.</w:t>
      </w:r>
      <w:r>
        <w:rPr>
          <w:rFonts w:ascii="Times New Roman" w:eastAsia="Times New Roman" w:hAnsi="Times New Roman" w:cs="Times New Roman"/>
          <w:color w:val="000000"/>
          <w:sz w:val="20"/>
          <w:szCs w:val="20"/>
        </w:rPr>
        <w:t xml:space="preserve"> 93-913, at 36 (1974)).</w:t>
      </w:r>
    </w:p>
  </w:footnote>
  <w:footnote w:id="270">
    <w:p w14:paraId="0000053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29 U.S.C. §213(a)(15).</w:t>
      </w:r>
    </w:p>
  </w:footnote>
  <w:footnote w:id="271">
    <w:p w14:paraId="0000053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40 Fed. Reg. 7,404 (Feb. 20, 1975); 29 C.F.R. pt. 552.</w:t>
      </w:r>
    </w:p>
  </w:footnote>
  <w:footnote w:id="272">
    <w:p w14:paraId="0000053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78 Fed. Reg. at 60,457.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29 C.F.R. pt. 552, subpt. B, “Interpretations.”</w:t>
      </w:r>
    </w:p>
  </w:footnote>
  <w:footnote w:id="273">
    <w:p w14:paraId="0000053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§552.109.</w:t>
      </w:r>
    </w:p>
  </w:footnote>
  <w:footnote w:id="274">
    <w:p w14:paraId="0000053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60,454, 60,455 (Oct. 1, 2013).</w:t>
      </w:r>
    </w:p>
  </w:footnote>
  <w:footnote w:id="275">
    <w:p w14:paraId="0000054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60,458.</w:t>
      </w:r>
    </w:p>
  </w:footnote>
  <w:footnote w:id="276">
    <w:p w14:paraId="0000054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60,455.</w:t>
      </w:r>
    </w:p>
  </w:footnote>
  <w:footnote w:id="277">
    <w:p w14:paraId="0000054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The changes to this regulation are discussed in §IV.I [Section 213(b) Exemptions From the Overtime Requirements of the FLSA; Domestic Servants Who Reside in a Household] of this chapter.</w:t>
      </w:r>
    </w:p>
  </w:footnote>
  <w:footnote w:id="278">
    <w:p w14:paraId="0000054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at 60,455. See Chapter 14, Recordkeeping.</w:t>
      </w:r>
    </w:p>
  </w:footnote>
  <w:footnote w:id="279">
    <w:p w14:paraId="0000054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60,454, 60,460 (Oct. 1, 2013).</w:t>
      </w:r>
    </w:p>
  </w:footnote>
  <w:footnote w:id="280">
    <w:p w14:paraId="0000054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81">
    <w:p w14:paraId="0000054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82">
    <w:p w14:paraId="0000054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Additional conforming changes were also made to 29 C.F.R. §552.101(a).</w:t>
      </w:r>
    </w:p>
  </w:footnote>
  <w:footnote w:id="283">
    <w:p w14:paraId="0000054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§552.3.</w:t>
      </w:r>
    </w:p>
  </w:footnote>
  <w:footnote w:id="284">
    <w:p w14:paraId="0000054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also id.</w:t>
      </w:r>
      <w:r>
        <w:rPr>
          <w:rFonts w:ascii="Times New Roman" w:eastAsia="Times New Roman" w:hAnsi="Times New Roman" w:cs="Times New Roman"/>
          <w:color w:val="000000"/>
          <w:sz w:val="20"/>
          <w:szCs w:val="20"/>
        </w:rPr>
        <w:t xml:space="preserve"> §552.101.</w:t>
      </w:r>
    </w:p>
  </w:footnote>
  <w:footnote w:id="285">
    <w:p w14:paraId="0000054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§552.101(a).</w:t>
      </w:r>
    </w:p>
  </w:footnote>
  <w:footnote w:id="286">
    <w:p w14:paraId="0000054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87">
    <w:p w14:paraId="0000054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at §552.101(b).</w:t>
      </w:r>
    </w:p>
  </w:footnote>
  <w:footnote w:id="288">
    <w:p w14:paraId="0000054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289">
    <w:p w14:paraId="0000054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Palana v. Mission Bay, Inc., 2014 WL 5867430 (N.D. Cal. Nov. 11, 2014). </w:t>
      </w:r>
    </w:p>
  </w:footnote>
  <w:footnote w:id="290">
    <w:p w14:paraId="0000054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60,454, 60,461 (Oct. 1, 2013).</w:t>
      </w:r>
    </w:p>
  </w:footnote>
  <w:footnote w:id="291">
    <w:p w14:paraId="0000055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at 60,462 (citing WH Op. FLSA2006-13NA (June 23, 2006); WH Op. FLSA2001-14, 2001 WL 1869966 (May 14, 2001); WH Op., 2001 WL 15558952 (Feb. 9, 2001); WH Op., 1999 WL 1002387 (Apr. 8, 1999)).</w:t>
      </w:r>
    </w:p>
  </w:footnote>
  <w:footnote w:id="292">
    <w:p w14:paraId="0000055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78 Fed. Reg. at 60,463. </w:t>
      </w:r>
    </w:p>
  </w:footnote>
  <w:footnote w:id="293">
    <w:p w14:paraId="0000055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353 F.3d 1214, 9 WH Cases2d 1001 (10th Cir. 2004).</w:t>
      </w:r>
    </w:p>
  </w:footnote>
  <w:footnote w:id="294">
    <w:p w14:paraId="0000055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353 F.3d at 1218.</w:t>
      </w:r>
    </w:p>
  </w:footnote>
  <w:footnote w:id="295">
    <w:p w14:paraId="0000055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1219.</w:t>
      </w:r>
    </w:p>
  </w:footnote>
  <w:footnote w:id="296">
    <w:p w14:paraId="0000055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1219–20. </w:t>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w:t>
      </w:r>
    </w:p>
    <w:p w14:paraId="0000055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Third Circuit:</w:t>
      </w:r>
      <w:r>
        <w:rPr>
          <w:rFonts w:ascii="Times New Roman" w:eastAsia="Times New Roman" w:hAnsi="Times New Roman" w:cs="Times New Roman"/>
          <w:color w:val="000000"/>
          <w:sz w:val="20"/>
          <w:szCs w:val="20"/>
        </w:rPr>
        <w:t xml:space="preserve"> Madison v. Resources for Human Dev., Inc., 233 F.3d 175, 6 WH Cases2d 961 (3d Cir. 2000) (</w:t>
      </w:r>
      <w:r>
        <w:rPr>
          <w:rFonts w:ascii="Times New Roman" w:eastAsia="Times New Roman" w:hAnsi="Times New Roman" w:cs="Times New Roman"/>
          <w:i/>
          <w:color w:val="000000"/>
          <w:sz w:val="20"/>
          <w:szCs w:val="20"/>
        </w:rPr>
        <w:t>Madison II</w:t>
      </w:r>
      <w:r>
        <w:rPr>
          <w:rFonts w:ascii="Times New Roman" w:eastAsia="Times New Roman" w:hAnsi="Times New Roman" w:cs="Times New Roman"/>
          <w:color w:val="000000"/>
          <w:sz w:val="20"/>
          <w:szCs w:val="20"/>
        </w:rPr>
        <w:t>) (determining that residences were not private homes, even though homes rented by corporation were subleased to clients, where clients lacked possessory interest, control over access to homes, and complete freedom in daily activities).</w:t>
      </w:r>
    </w:p>
    <w:p w14:paraId="0000055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Sixth Circuit: </w:t>
      </w:r>
      <w:r>
        <w:rPr>
          <w:rFonts w:ascii="Times New Roman" w:eastAsia="Times New Roman" w:hAnsi="Times New Roman" w:cs="Times New Roman"/>
          <w:color w:val="000000"/>
          <w:sz w:val="20"/>
          <w:szCs w:val="20"/>
        </w:rPr>
        <w:t>Gay v. Extended Family Concepts,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102 F. Supp. 2d 449, 6 WH Cases2d 1061 (N.D. Ohio 2000) (holding that “shared-living facilities” were not private residences as provided by companion services exemption where they were organized for profit, community was designed to accommodate 96 people, residents did not maintain property, and residents did not have primary control over property).</w:t>
      </w:r>
    </w:p>
    <w:p w14:paraId="0000055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Tenth Circuit: </w:t>
      </w:r>
      <w:r>
        <w:rPr>
          <w:rFonts w:ascii="Times New Roman" w:eastAsia="Times New Roman" w:hAnsi="Times New Roman" w:cs="Times New Roman"/>
          <w:color w:val="000000"/>
          <w:sz w:val="20"/>
          <w:szCs w:val="20"/>
        </w:rPr>
        <w:t>Johnston v. Volunteers of Am., Inc., 213 F.3d 559, 6 WH Cases2d 65 (10th Cir. 2000) (holding that defendant did not conclusively establish that its facilities were “private residences” where patients were placed in group residence with other developmentally disabled individuals, controlled by staff instead of family, and subject to defendant’s right to appropriate their rooms for its own purposes).</w:t>
      </w:r>
    </w:p>
    <w:p w14:paraId="0000055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Terwilliger v. Home of Hope, Inc.,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21 F. Supp. 2d 1294, 4 WH Cases2d 1661 (N.D. Okla. 1998) (deeming residences of employer’s clients to be “private homes” because (1) 22% of clients’ homes were owned by client or client’s guardian while remaining residences were rented in clients’ names from third parties, (2) employer did not co-sign lease and had no property interest in client’s residence, (3) each client selected and purchased own furniture, (4) employer maintained set of keys to residences only for emergencies, (5) client chose whether he or she would have housemate and who that housemate would be, and (6) employer paid rent to landlord from client’s trust account); Bowler v. Deseret Village Ass’n, 922 P.2d 8, 14, 3 WH Cases2d 754 (Utah 1996) (holding that facility qualified as private home for purposes of exemption where it was originally financed and built by family members of residents, privately funded, not open to public, organized as nonprofit corporation, and housed 14 disabled residents)</w:t>
      </w:r>
    </w:p>
  </w:footnote>
  <w:footnote w:id="297">
    <w:p w14:paraId="0000055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Welding</w:t>
      </w:r>
      <w:r>
        <w:rPr>
          <w:rFonts w:ascii="Times New Roman" w:eastAsia="Times New Roman" w:hAnsi="Times New Roman" w:cs="Times New Roman"/>
          <w:color w:val="000000"/>
          <w:sz w:val="20"/>
          <w:szCs w:val="20"/>
        </w:rPr>
        <w:t>, 353 F.3d at 1219</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(citing Madison v. Resources for Human Dev., Inc., 39 F. Supp. 2d 542, 548 (E.D. Pa. 1999) (</w:t>
      </w:r>
      <w:r>
        <w:rPr>
          <w:rFonts w:ascii="Times New Roman" w:eastAsia="Times New Roman" w:hAnsi="Times New Roman" w:cs="Times New Roman"/>
          <w:i/>
          <w:color w:val="000000"/>
          <w:sz w:val="20"/>
          <w:szCs w:val="20"/>
        </w:rPr>
        <w:t>Madison I</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vacated on other grounds by</w:t>
      </w:r>
      <w:r>
        <w:rPr>
          <w:rFonts w:ascii="Times New Roman" w:eastAsia="Times New Roman" w:hAnsi="Times New Roman" w:cs="Times New Roman"/>
          <w:color w:val="000000"/>
          <w:sz w:val="20"/>
          <w:szCs w:val="20"/>
        </w:rPr>
        <w:t xml:space="preserve"> 233 F.3d 175 (3d Cir. 2000)).</w:t>
      </w:r>
    </w:p>
  </w:footnote>
  <w:footnote w:id="298">
    <w:p w14:paraId="0000055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Welding v. Bios Corp., 353 F.3d 1214, 1219, 9 WH Cases2d 1001 (10th Cir. 2004) (noting that if service provider leased unit, there was some indication that it was not private home).</w:t>
      </w:r>
    </w:p>
  </w:footnote>
  <w:footnote w:id="299">
    <w:p w14:paraId="0000055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353 F.3d</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at 1220 (“If both the client and/or the client’s family and the service provider provide these essentials, then the factor is more ambiguous.”)</w:t>
      </w:r>
    </w:p>
  </w:footnote>
  <w:footnote w:id="300">
    <w:p w14:paraId="0000055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 xml:space="preserve">(citing </w:t>
      </w:r>
      <w:r>
        <w:rPr>
          <w:rFonts w:ascii="Times New Roman" w:eastAsia="Times New Roman" w:hAnsi="Times New Roman" w:cs="Times New Roman"/>
          <w:i/>
          <w:color w:val="000000"/>
          <w:sz w:val="20"/>
          <w:szCs w:val="20"/>
        </w:rPr>
        <w:t>Madison II</w:t>
      </w:r>
      <w:r>
        <w:rPr>
          <w:rFonts w:ascii="Times New Roman" w:eastAsia="Times New Roman" w:hAnsi="Times New Roman" w:cs="Times New Roman"/>
          <w:color w:val="000000"/>
          <w:sz w:val="20"/>
          <w:szCs w:val="20"/>
        </w:rPr>
        <w:t>, 233 F.3d at 176 (relying on fact that clients could not remain in residence if they terminated relationship with service provider in holding that residences were not private homes)).</w:t>
      </w:r>
    </w:p>
  </w:footnote>
  <w:footnote w:id="301">
    <w:p w14:paraId="0000055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This factor is relevant to the issue of control</w:t>
      </w:r>
      <w:r>
        <w:rPr>
          <w:rFonts w:ascii="Times New Roman" w:eastAsia="Times New Roman" w:hAnsi="Times New Roman" w:cs="Times New Roman"/>
          <w:i/>
          <w:color w:val="000000"/>
          <w:sz w:val="20"/>
          <w:szCs w:val="20"/>
        </w:rPr>
        <w:t>. Welding</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353 F.3d at 1220. In remanding the case, the Tenth Circuit advised the district court that, using these factors, it must determine whether each living unit was a private residence for purposes of the §213(a)(15) exemption.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1219–21.</w:t>
      </w:r>
    </w:p>
  </w:footnote>
  <w:footnote w:id="302">
    <w:p w14:paraId="0000055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78 Fed. Reg. 60,454, 60,464 (Oct. 1, 2013). </w:t>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Johnston v. Volunteers of Am., Inc., 213 F.3d 559, 563–65, 6 WH Cases2d 65 (10th Cir. 2000); Linn v. Developmental Servs. of Tulsa, Inc., 891 F. Supp. 574 (N.D. Okla. 1995); Lott v. Rigby, 746 F. Supp. 1084 (N.D. Ga. 1990).</w:t>
      </w:r>
    </w:p>
  </w:footnote>
  <w:footnote w:id="303">
    <w:p w14:paraId="0000056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Lochiano v. Compassionate Care, LLC, 2012 WL 4059873 (W.D. Mo. Sept. 14, 2012). Relying also on </w:t>
      </w:r>
      <w:r>
        <w:rPr>
          <w:rFonts w:ascii="Times New Roman" w:eastAsia="Times New Roman" w:hAnsi="Times New Roman" w:cs="Times New Roman"/>
          <w:i/>
          <w:color w:val="000000"/>
          <w:sz w:val="20"/>
          <w:szCs w:val="20"/>
        </w:rPr>
        <w:t>Solis v. FirstCall Staffing Solutions, Inc.</w:t>
      </w:r>
      <w:r>
        <w:rPr>
          <w:rFonts w:ascii="Times New Roman" w:eastAsia="Times New Roman" w:hAnsi="Times New Roman" w:cs="Times New Roman"/>
          <w:color w:val="000000"/>
          <w:sz w:val="20"/>
          <w:szCs w:val="20"/>
        </w:rPr>
        <w:t>, 2009 WL3855702, at *5 (W.D. Mo. Nov. 18, 2009), the court analyzed each of the factors and found that the plaintiff was not covered by the companionship services exemption.</w:t>
      </w:r>
    </w:p>
  </w:footnote>
  <w:footnote w:id="304">
    <w:p w14:paraId="0000056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809 F.3d 1006 (8th Cir. 2016). </w:t>
      </w:r>
    </w:p>
  </w:footnote>
  <w:footnote w:id="305">
    <w:p w14:paraId="0000056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1010–11;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Tinsley v. Covenant Care Servs., LLC, 228 F. Supp. 3d 911 (E.D. Mo. 2017) (while distinguishing living arrangements from those in </w:t>
      </w:r>
      <w:r>
        <w:rPr>
          <w:rFonts w:ascii="Times New Roman" w:eastAsia="Times New Roman" w:hAnsi="Times New Roman" w:cs="Times New Roman"/>
          <w:i/>
          <w:color w:val="000000"/>
          <w:sz w:val="20"/>
          <w:szCs w:val="20"/>
        </w:rPr>
        <w:t>Fezard</w:t>
      </w:r>
      <w:r>
        <w:rPr>
          <w:rFonts w:ascii="Times New Roman" w:eastAsia="Times New Roman" w:hAnsi="Times New Roman" w:cs="Times New Roman"/>
          <w:color w:val="000000"/>
          <w:sz w:val="20"/>
          <w:szCs w:val="20"/>
        </w:rPr>
        <w:t xml:space="preserve">, court followed reasoning in </w:t>
      </w:r>
      <w:r>
        <w:rPr>
          <w:rFonts w:ascii="Times New Roman" w:eastAsia="Times New Roman" w:hAnsi="Times New Roman" w:cs="Times New Roman"/>
          <w:i/>
          <w:color w:val="000000"/>
          <w:sz w:val="20"/>
          <w:szCs w:val="20"/>
        </w:rPr>
        <w:t>Fezard</w:t>
      </w:r>
      <w:r>
        <w:rPr>
          <w:rFonts w:ascii="Times New Roman" w:eastAsia="Times New Roman" w:hAnsi="Times New Roman" w:cs="Times New Roman"/>
          <w:color w:val="000000"/>
          <w:sz w:val="20"/>
          <w:szCs w:val="20"/>
        </w:rPr>
        <w:t xml:space="preserve"> to determine that employees had provided services in “private home” because employer did not have control over residences of its independent senior-living clients). </w:t>
      </w:r>
    </w:p>
  </w:footnote>
  <w:footnote w:id="306">
    <w:p w14:paraId="0000056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Fezard</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809 F.3d at 1011.</w:t>
      </w:r>
    </w:p>
  </w:footnote>
  <w:footnote w:id="307">
    <w:p w14:paraId="0000056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60,454, 60,462 (Oct. 1, 2013) (citing WH Op. FLSA2006-13NA (June 23, 2006); WH Admin. Op. FLSA2001-14, 2001 WL 1869966 (May 14, 2001); WH Op., 2001 WL 15558952 (Feb. 9, 2001); WH Op., 1999 WL 1002387 (Apr. 8, 1999)).</w:t>
      </w:r>
    </w:p>
  </w:footnote>
  <w:footnote w:id="308">
    <w:p w14:paraId="0000056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§552.6.</w:t>
      </w:r>
    </w:p>
  </w:footnote>
  <w:footnote w:id="309">
    <w:p w14:paraId="0000056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at 60,463</w:t>
      </w:r>
      <w:r>
        <w:rPr>
          <w:rFonts w:ascii="Times New Roman" w:eastAsia="Times New Roman" w:hAnsi="Times New Roman" w:cs="Times New Roman"/>
          <w:i/>
          <w:color w:val="000000"/>
          <w:sz w:val="20"/>
          <w:szCs w:val="20"/>
        </w:rPr>
        <w:t>.</w:t>
      </w:r>
    </w:p>
  </w:footnote>
  <w:footnote w:id="310">
    <w:p w14:paraId="0000056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311">
    <w:p w14:paraId="0000056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312">
    <w:p w14:paraId="0000056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313">
    <w:p w14:paraId="0000056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§552.6(a).</w:t>
      </w:r>
    </w:p>
  </w:footnote>
  <w:footnote w:id="314">
    <w:p w14:paraId="0000056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315">
    <w:p w14:paraId="0000056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316">
    <w:p w14:paraId="0000056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60,454, 60,463 (Oct. 1, 2013).</w:t>
      </w:r>
    </w:p>
  </w:footnote>
  <w:footnote w:id="317">
    <w:p w14:paraId="0000056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60,464 (citing 119 </w:t>
      </w:r>
      <w:r>
        <w:rPr>
          <w:rFonts w:ascii="Times New Roman" w:eastAsia="Times New Roman" w:hAnsi="Times New Roman" w:cs="Times New Roman"/>
          <w:smallCaps/>
          <w:color w:val="000000"/>
          <w:sz w:val="20"/>
          <w:szCs w:val="20"/>
        </w:rPr>
        <w:t>Cong. Rec.</w:t>
      </w:r>
      <w:r>
        <w:rPr>
          <w:rFonts w:ascii="Times New Roman" w:eastAsia="Times New Roman" w:hAnsi="Times New Roman" w:cs="Times New Roman"/>
          <w:color w:val="000000"/>
          <w:sz w:val="20"/>
          <w:szCs w:val="20"/>
        </w:rPr>
        <w:t xml:space="preserve"> S24,773, S24,801 (daily ed. July 19, 1973)).</w:t>
      </w:r>
    </w:p>
  </w:footnote>
  <w:footnote w:id="318">
    <w:p w14:paraId="0000056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§552.6(b). </w:t>
      </w:r>
      <w:r>
        <w:rPr>
          <w:rFonts w:ascii="Times New Roman" w:eastAsia="Times New Roman" w:hAnsi="Times New Roman" w:cs="Times New Roman"/>
          <w:i/>
          <w:color w:val="000000"/>
          <w:sz w:val="20"/>
          <w:szCs w:val="20"/>
        </w:rPr>
        <w:t xml:space="preserve">See also </w:t>
      </w:r>
      <w:r>
        <w:rPr>
          <w:rFonts w:ascii="Times New Roman" w:eastAsia="Times New Roman" w:hAnsi="Times New Roman" w:cs="Times New Roman"/>
          <w:color w:val="000000"/>
          <w:sz w:val="20"/>
          <w:szCs w:val="20"/>
        </w:rPr>
        <w:t>78 Fed. Reg.</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at 60,464–65, 60,468.</w:t>
      </w:r>
    </w:p>
  </w:footnote>
  <w:footnote w:id="319">
    <w:p w14:paraId="0000057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at 60,464–65, 60,468. In the final rule regarding §552.6(b), the DOL chose to use the term “care” rather than “intimate personal care services,” which had been in the notice of proposed rulemaking (NPRM), “to make more explicit that care remains part of companionship services.”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60,465. The DOL decided to replace the proposed detailed list of intimate personal care services with the more commonly used industry phrases “activities of daily living” and “instrumental activities of daily living,” to simplify the transition to the new regulation.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60,466. </w:t>
      </w:r>
    </w:p>
  </w:footnote>
  <w:footnote w:id="320">
    <w:p w14:paraId="0000057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60,467 (citing 119 </w:t>
      </w:r>
      <w:r>
        <w:rPr>
          <w:rFonts w:ascii="Times New Roman" w:eastAsia="Times New Roman" w:hAnsi="Times New Roman" w:cs="Times New Roman"/>
          <w:smallCaps/>
          <w:color w:val="000000"/>
          <w:sz w:val="20"/>
          <w:szCs w:val="20"/>
        </w:rPr>
        <w:t>Cong. Rec.</w:t>
      </w:r>
      <w:r>
        <w:rPr>
          <w:rFonts w:ascii="Times New Roman" w:eastAsia="Times New Roman" w:hAnsi="Times New Roman" w:cs="Times New Roman"/>
          <w:color w:val="000000"/>
          <w:sz w:val="20"/>
          <w:szCs w:val="20"/>
        </w:rPr>
        <w:t xml:space="preserve"> S24,773, S24,801 (daily ed. July 19, 1973)).</w:t>
      </w:r>
    </w:p>
  </w:footnote>
  <w:footnote w:id="321">
    <w:p w14:paraId="0000057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See</w:t>
      </w:r>
    </w:p>
  </w:footnote>
  <w:footnote w:id="322">
    <w:p w14:paraId="0000057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218 F. Supp. 3d 978 (W.D. Ark. 2016). </w:t>
      </w:r>
    </w:p>
  </w:footnote>
  <w:footnote w:id="323">
    <w:p w14:paraId="0000057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984–85. Adopting the burden-shifting approach, the court in </w:t>
      </w:r>
      <w:r>
        <w:rPr>
          <w:rFonts w:ascii="Times New Roman" w:eastAsia="Times New Roman" w:hAnsi="Times New Roman" w:cs="Times New Roman"/>
          <w:i/>
          <w:color w:val="000000"/>
          <w:sz w:val="20"/>
          <w:szCs w:val="20"/>
        </w:rPr>
        <w:t>Stansbury v. Faulkner</w:t>
      </w:r>
      <w:r>
        <w:rPr>
          <w:rFonts w:ascii="Times New Roman" w:eastAsia="Times New Roman" w:hAnsi="Times New Roman" w:cs="Times New Roman"/>
          <w:color w:val="000000"/>
          <w:sz w:val="20"/>
          <w:szCs w:val="20"/>
        </w:rPr>
        <w:t xml:space="preserve">, 2020 WL 807540 (W.D. Tenn. Feb. 18, 2020), denied the defendant’s motion for summary judgment, finding that the plaintiff’s testimony that she performed care-related tasks that met the 20% threshold for the care exception precluded summary judgment. In support, the court cited three pre-2015 cases in which summary judgment was also denied, where the plaintiffs listed the household-related tasks that they performed and the amount of time spent on such tasks. Anglin v. Maxim Health Care Servs., Inc., 2009 WL 2473685, at *4 (M.D. Fla. Aug, 11, 2009); Fernandez v. Elder Care Option, Inc., 2005 WL 8165440, at *21 (S.D. Fla. Aug. 1, 2005); Terwilliger v. Home of Hope, Inc., 21 F. Supp. 2d 1294, 1301–02 (N.D. Okla. 1998). In the </w:t>
      </w:r>
      <w:r>
        <w:rPr>
          <w:rFonts w:ascii="Times New Roman" w:eastAsia="Times New Roman" w:hAnsi="Times New Roman" w:cs="Times New Roman"/>
          <w:i/>
          <w:color w:val="000000"/>
          <w:sz w:val="20"/>
          <w:szCs w:val="20"/>
        </w:rPr>
        <w:t>Stansbury</w:t>
      </w:r>
      <w:r>
        <w:rPr>
          <w:rFonts w:ascii="Times New Roman" w:eastAsia="Times New Roman" w:hAnsi="Times New Roman" w:cs="Times New Roman"/>
          <w:color w:val="000000"/>
          <w:sz w:val="20"/>
          <w:szCs w:val="20"/>
        </w:rPr>
        <w:t xml:space="preserve"> case, following a two-day trial, the court ultimately denied the plaintiff’s claim for failure to pay overtime under the FLSA.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Stansbury v. Faulkner, 2020 WL 3249983 (W.D. Tenn. June 16, 2020).</w:t>
      </w:r>
    </w:p>
  </w:footnote>
  <w:footnote w:id="324">
    <w:p w14:paraId="0000057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2021 BL 308527, 2021 WL 3619677 (S.D. Fla. Aug. 16, 2021).</w:t>
      </w:r>
    </w:p>
  </w:footnote>
  <w:footnote w:id="325">
    <w:p w14:paraId="0000057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§552.6(c).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78 Fed. Reg. 60,454, 60,469 (Oct. 1, 2013).</w:t>
      </w:r>
    </w:p>
  </w:footnote>
  <w:footnote w:id="326">
    <w:p w14:paraId="0000057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at 60,468.</w:t>
      </w:r>
    </w:p>
  </w:footnote>
  <w:footnote w:id="327">
    <w:p w14:paraId="0000057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60,469.</w:t>
      </w:r>
    </w:p>
  </w:footnote>
  <w:footnote w:id="328">
    <w:p w14:paraId="0000057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329">
    <w:p w14:paraId="0000057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330">
    <w:p w14:paraId="0000057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§552.6(d).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78 Fed. Reg. 60,454, 60,470 (Oct. 1, 2013).</w:t>
      </w:r>
    </w:p>
  </w:footnote>
  <w:footnote w:id="331">
    <w:p w14:paraId="0000057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§552.6(d). In its NPRM, the DOL proposed to revise its regulation regarding the provision of “medical care” by describing the medical care that was typically provided by trained personnel and offering examples of particular medical services rather than by naming occupations. But after reviewing comments received, and “for purposes of simplicity and clarity,” the DOL decided not to adopt the text as proposed. Rather, it adopted text closer to the prior version of the regulations. 78 Fed. Reg. at 60,471. </w:t>
      </w:r>
    </w:p>
  </w:footnote>
  <w:footnote w:id="332">
    <w:p w14:paraId="0000057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78 Fed. Reg. at 60,470. According to the final rule, the decision to add “certified nursing assistants” to the list of examples of “trained personnel” was based on the legislative history of §13(a)(15) and on the training and duties of the certified nursing assistants. “It is the Department’s view that [certified nursing assistants] are the sort of ‘trained personnel’ who provide direct care services as a vocation and thus are entitled to the protections of the FLSA.”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60,471.</w:t>
      </w:r>
    </w:p>
  </w:footnote>
  <w:footnote w:id="333">
    <w:p w14:paraId="0000057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60,472.</w:t>
      </w:r>
    </w:p>
  </w:footnote>
  <w:footnote w:id="334">
    <w:p w14:paraId="0000057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 xml:space="preserve">at 60,480. The DOL uses the term “third party employer” to refer to an employer of a direct care worker other than the individual receiving services or his or her family or household. </w:t>
      </w:r>
      <w:r>
        <w:rPr>
          <w:rFonts w:ascii="Times New Roman" w:eastAsia="Times New Roman" w:hAnsi="Times New Roman" w:cs="Times New Roman"/>
          <w:i/>
          <w:color w:val="000000"/>
          <w:sz w:val="20"/>
          <w:szCs w:val="20"/>
        </w:rPr>
        <w:t>Id.</w:t>
      </w:r>
    </w:p>
  </w:footnote>
  <w:footnote w:id="335">
    <w:p w14:paraId="0000058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60,482. </w:t>
      </w:r>
    </w:p>
  </w:footnote>
  <w:footnote w:id="336">
    <w:p w14:paraId="0000058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551 U.S. 158 (2007). In </w:t>
      </w:r>
      <w:r>
        <w:rPr>
          <w:rFonts w:ascii="Times New Roman" w:eastAsia="Times New Roman" w:hAnsi="Times New Roman" w:cs="Times New Roman"/>
          <w:i/>
          <w:color w:val="000000"/>
          <w:sz w:val="20"/>
          <w:szCs w:val="20"/>
        </w:rPr>
        <w:t>Long Island Care</w:t>
      </w:r>
      <w:r>
        <w:rPr>
          <w:rFonts w:ascii="Times New Roman" w:eastAsia="Times New Roman" w:hAnsi="Times New Roman" w:cs="Times New Roman"/>
          <w:color w:val="000000"/>
          <w:sz w:val="20"/>
          <w:szCs w:val="20"/>
        </w:rPr>
        <w:t xml:space="preserve">, the Court addressed the distinction between a general regulation and an interpretive regulation. 29 C.F.R. §552.3 was a “general regulation” that defined the statutory term “domestic service employment.” A second regulation, 29 C.F.R. §552.109(a), found in a later subsection of Part 552, subpart B, entitled “Interpretations,” provided that the companionship exemption could be applied to workers who were employed by an employer or agency other than the family using their services. The respondent argued that this “third party” regulation was an interpretive regulation and should not be given deference under </w:t>
      </w:r>
      <w:r>
        <w:rPr>
          <w:rFonts w:ascii="Times New Roman" w:eastAsia="Times New Roman" w:hAnsi="Times New Roman" w:cs="Times New Roman"/>
          <w:i/>
          <w:color w:val="000000"/>
          <w:sz w:val="20"/>
          <w:szCs w:val="20"/>
        </w:rPr>
        <w:t>Chevron U.S.A., Inc. v. Natural Resources Defense Council, Inc.</w:t>
      </w:r>
      <w:r>
        <w:rPr>
          <w:rFonts w:ascii="Times New Roman" w:eastAsia="Times New Roman" w:hAnsi="Times New Roman" w:cs="Times New Roman"/>
          <w:color w:val="000000"/>
          <w:sz w:val="20"/>
          <w:szCs w:val="20"/>
        </w:rPr>
        <w:t xml:space="preserve">, 467 U.S. 837 (1984). The Supreme Court did not agree. It noted that “when promulgating this [regulation] the agency used full public notice-and-comment procedures, which under the Administrative Procedure Act an agency need not use when producing an ‘interpretive’ rule.’” </w:t>
      </w:r>
      <w:r>
        <w:rPr>
          <w:rFonts w:ascii="Times New Roman" w:eastAsia="Times New Roman" w:hAnsi="Times New Roman" w:cs="Times New Roman"/>
          <w:i/>
          <w:color w:val="000000"/>
          <w:sz w:val="20"/>
          <w:szCs w:val="20"/>
        </w:rPr>
        <w:t>Coke</w:t>
      </w:r>
      <w:r>
        <w:rPr>
          <w:rFonts w:ascii="Times New Roman" w:eastAsia="Times New Roman" w:hAnsi="Times New Roman" w:cs="Times New Roman"/>
          <w:color w:val="000000"/>
          <w:sz w:val="20"/>
          <w:szCs w:val="20"/>
        </w:rPr>
        <w:t xml:space="preserve">, 551 U.S. at 173. The Court also noted that the subpart B heading “Interpretations” “could well refer to the fact that Subpart B contains matters of detail, interpreting and applying the more general definitions of Subpart A.”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For these reasons the Court deferred to the interpretive regulation holding that the §213(a)(15) exemption applied to workers employed by third parties as well as to workers employed by the family or household of the one receiving services.</w:t>
      </w:r>
    </w:p>
  </w:footnote>
  <w:footnote w:id="337">
    <w:p w14:paraId="0000058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 Fed. Reg. 60,454, 60,482 (Oct. 1, 2013) (citing U.S. Dep’t of Labor, Wage &amp; Hour Div., Advisory Memo. 2005-1 (Dec. 1, 2005), http://www.dol.gov/whd/FieldBulletins/AdvisoryMemoranda2005.pdf).</w:t>
      </w:r>
    </w:p>
  </w:footnote>
  <w:footnote w:id="338">
    <w:p w14:paraId="0000058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https://www.dol.gov/sites/dolgov/files/WHD/legacy/files/whdfs79.pdf (Sept. 2013).</w:t>
      </w:r>
    </w:p>
  </w:footnote>
  <w:footnote w:id="339">
    <w:p w14:paraId="0000058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https://www.dol.gov/sites/dolgov/files/WHD/legacy/files/whdfs79a.pdf (Sept. 2013).</w:t>
      </w:r>
    </w:p>
  </w:footnote>
  <w:footnote w:id="340">
    <w:p w14:paraId="0000058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https://www.dol.gov/sites/dolgov/files/WHD/legacy/files/whdfs79b.pdf (Sept. 2013).</w:t>
      </w:r>
    </w:p>
  </w:footnote>
  <w:footnote w:id="341">
    <w:p w14:paraId="0000058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https://www.dol.gov/sites/dolgov/files/WHD/legacy/files/whdfs79c.pdf (Sept. 2013).</w:t>
      </w:r>
    </w:p>
  </w:footnote>
  <w:footnote w:id="342">
    <w:p w14:paraId="0000058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https://www.dol.gov/sites/dolgov/files/WHD/legacy/files/whdfs79d.pdf (Apr. 2016).</w:t>
      </w:r>
    </w:p>
  </w:footnote>
  <w:footnote w:id="343">
    <w:p w14:paraId="0000058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See </w:t>
      </w:r>
      <w:r>
        <w:rPr>
          <w:rFonts w:ascii="Times New Roman" w:eastAsia="Times New Roman" w:hAnsi="Times New Roman" w:cs="Times New Roman"/>
          <w:color w:val="000000"/>
          <w:sz w:val="20"/>
          <w:szCs w:val="20"/>
        </w:rPr>
        <w:t xml:space="preserve">https://kdads.ks.gov/docs/default-source/CSP/HCBS/CMS/peior-to-july-2015/joint-employment-fact-sheet.pdf?sfvrsn=0. </w:t>
      </w:r>
    </w:p>
  </w:footnote>
  <w:footnote w:id="344">
    <w:p w14:paraId="0000058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https://www.dol.gov/sites/dolgov/files/WHD/legacy/files/whdfs79f.pdf (updated June 2014).</w:t>
      </w:r>
    </w:p>
  </w:footnote>
  <w:footnote w:id="345">
    <w:p w14:paraId="0000058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https://www.dol.gov/sites/dolgov/files/WHD/legacy/files/whdfs79g.pdf (Mar. 2014).</w:t>
      </w:r>
    </w:p>
  </w:footnote>
  <w:footnote w:id="346">
    <w:p w14:paraId="0000058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Act of June 25, 1938, ch. 676, 52 Stat. 1068 (codified as amended at 29 U.S.C. §213(b)(1), (2)).</w:t>
      </w:r>
    </w:p>
  </w:footnote>
  <w:footnote w:id="347">
    <w:p w14:paraId="0000058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generally</w:t>
      </w:r>
      <w:r>
        <w:rPr>
          <w:rFonts w:ascii="Times New Roman" w:eastAsia="Times New Roman" w:hAnsi="Times New Roman" w:cs="Times New Roman"/>
          <w:color w:val="000000"/>
          <w:sz w:val="20"/>
          <w:szCs w:val="20"/>
        </w:rPr>
        <w:t xml:space="preserve"> 29 U.S.C.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§213(b). The overtime requirements of the FLSA are found in 29 U.S.C. §207.</w:t>
      </w:r>
    </w:p>
  </w:footnote>
  <w:footnote w:id="348">
    <w:p w14:paraId="0000058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§213(b)(1).</w:t>
      </w:r>
    </w:p>
  </w:footnote>
  <w:footnote w:id="349">
    <w:p w14:paraId="0000058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§213(b)(2).</w:t>
      </w:r>
    </w:p>
  </w:footnote>
  <w:footnote w:id="350">
    <w:p w14:paraId="0000058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§213(b)(3).</w:t>
      </w:r>
    </w:p>
  </w:footnote>
  <w:footnote w:id="351">
    <w:p w14:paraId="0000059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§213(b)(6).</w:t>
      </w:r>
    </w:p>
  </w:footnote>
  <w:footnote w:id="352">
    <w:p w14:paraId="0000059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§213(b)(9).</w:t>
      </w:r>
    </w:p>
  </w:footnote>
  <w:footnote w:id="353">
    <w:p w14:paraId="0000059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§213(b)(10)(A).</w:t>
      </w:r>
    </w:p>
  </w:footnote>
  <w:footnote w:id="354">
    <w:p w14:paraId="0000059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§213(b)(10)(B).</w:t>
      </w:r>
    </w:p>
  </w:footnote>
  <w:footnote w:id="355">
    <w:p w14:paraId="0000059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§213(b)(11).</w:t>
      </w:r>
    </w:p>
  </w:footnote>
  <w:footnote w:id="356">
    <w:p w14:paraId="0000059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§213(b)(17).</w:t>
      </w:r>
    </w:p>
  </w:footnote>
  <w:footnote w:id="357">
    <w:p w14:paraId="0000059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§213(b)(21).</w:t>
      </w:r>
    </w:p>
  </w:footnote>
  <w:footnote w:id="358">
    <w:p w14:paraId="0000059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§213(b)(24).</w:t>
      </w:r>
    </w:p>
  </w:footnote>
  <w:footnote w:id="359">
    <w:p w14:paraId="0000059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§213(b)(27).</w:t>
      </w:r>
    </w:p>
  </w:footnote>
  <w:footnote w:id="360">
    <w:p w14:paraId="0000059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§213(b)(29).</w:t>
      </w:r>
    </w:p>
  </w:footnote>
  <w:footnote w:id="361">
    <w:p w14:paraId="0000059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§206.</w:t>
      </w:r>
    </w:p>
  </w:footnote>
  <w:footnote w:id="362">
    <w:p w14:paraId="0000059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The MCA referred to in this section appears in various places in Title 49 of the </w:t>
      </w:r>
      <w:r>
        <w:rPr>
          <w:rFonts w:ascii="Times New Roman" w:eastAsia="Times New Roman" w:hAnsi="Times New Roman" w:cs="Times New Roman"/>
          <w:i/>
          <w:color w:val="000000"/>
          <w:sz w:val="20"/>
          <w:szCs w:val="20"/>
        </w:rPr>
        <w:t>United States Code</w:t>
      </w:r>
      <w:r>
        <w:rPr>
          <w:rFonts w:ascii="Times New Roman" w:eastAsia="Times New Roman" w:hAnsi="Times New Roman" w:cs="Times New Roman"/>
          <w:color w:val="000000"/>
          <w:sz w:val="20"/>
          <w:szCs w:val="20"/>
        </w:rPr>
        <w:t xml:space="preserve">. In 1966, all of the functions, powers, and duties of the Interstate Commerce Commission (ICC) were invested in the Secretary of Transportation to the extent they relate to qualifications and maximum hours of service of employees and safety of operations and equipment. Pub. L. No. 89-670 (1966). Therefore, decisions that predate this transfer of authority refer to the ICC as opposed to the Secretary of Transportation.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29 C.F.R. §782.0.</w:t>
      </w:r>
    </w:p>
  </w:footnote>
  <w:footnote w:id="363">
    <w:p w14:paraId="0000059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U.S. Dep’t of Labor, Wage &amp; Hour Div., Fact Sheet #19: The Motor Carrier Exemption Under the Fair Labor Standards Act (FLSA) (Nov. 2009), https://www.dol.gov/sites/dolgov/files/WHD/legacy/files/whdfs19.pdf.</w:t>
      </w:r>
    </w:p>
  </w:footnote>
  <w:footnote w:id="364">
    <w:p w14:paraId="0000059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This section incorporates both case law issued after the statutory changes and earlier case law where there was no statutory change to coverage under §213(b)(1).</w:t>
      </w:r>
    </w:p>
  </w:footnote>
  <w:footnote w:id="365">
    <w:p w14:paraId="0000059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Turk v. Buffets, Inc., 940 F. Supp. 1255, 1258–59 (N.D. Ill. 1996). Congress created this exemption to eliminate any conflict between the jurisdiction exercised by the DOL over the FLSA and the mutually exclusive jurisdiction exercised by the DOT over the MCA.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Spires v. Ben Hill Cnty.,</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980 F.2d 683, 686, 1 WH Cases2d 300 (11th Cir. 1993).</w:t>
      </w:r>
    </w:p>
  </w:footnote>
  <w:footnote w:id="366">
    <w:p w14:paraId="0000059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p>
    <w:p w14:paraId="000005A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Supreme Court:</w:t>
      </w:r>
      <w:r>
        <w:rPr>
          <w:rFonts w:ascii="Times New Roman" w:eastAsia="Times New Roman" w:hAnsi="Times New Roman" w:cs="Times New Roman"/>
          <w:color w:val="000000"/>
          <w:sz w:val="20"/>
          <w:szCs w:val="20"/>
        </w:rPr>
        <w:t xml:space="preserve"> Morris v. McComb, 332 U.S. 422, 434–37, 7 WH Cases 423, 428 (1947) (holding that existence of ICC authority (now Secretary of Transportation authority) to regulate safety was test for whether exemption applied).</w:t>
      </w:r>
    </w:p>
    <w:p w14:paraId="000005A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Brennan v. Schwerman Trucking Co., 540 F.2d 1200, 1204, 22 WH Cases 983, 987 (4th Cir. 1976) (finding that carrier may not be subjected simultaneously to regulation by Secretaries of Labor and Transportation).</w:t>
      </w:r>
    </w:p>
    <w:p w14:paraId="000005A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Shew v. Southland Corp., 370 F.2d 376, 380, 17 WH Cases 552, 555 (5th Cir. 1966) (holding that there was no concurrent jurisdiction between FLSA and MCA).</w:t>
      </w:r>
    </w:p>
    <w:p w14:paraId="000005A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Spires</w:t>
      </w:r>
      <w:r>
        <w:rPr>
          <w:rFonts w:ascii="Times New Roman" w:eastAsia="Times New Roman" w:hAnsi="Times New Roman" w:cs="Times New Roman"/>
          <w:color w:val="000000"/>
          <w:sz w:val="20"/>
          <w:szCs w:val="20"/>
        </w:rPr>
        <w:t>, 980 F.2d at 686, 1 WH Cases2d at 303 (finding that there was no concurrent jurisdiction between FLSA and MCA)</w:t>
      </w:r>
    </w:p>
  </w:footnote>
  <w:footnote w:id="367">
    <w:p w14:paraId="000005A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49 U.S.C. §13102.</w:t>
      </w:r>
    </w:p>
  </w:footnote>
  <w:footnote w:id="368">
    <w:p w14:paraId="000005A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Pub. L. No. 109-59, 23 U.S.C. §101 (2005), </w:t>
      </w:r>
      <w:r>
        <w:rPr>
          <w:rFonts w:ascii="Times New Roman" w:eastAsia="Times New Roman" w:hAnsi="Times New Roman" w:cs="Times New Roman"/>
          <w:i/>
          <w:color w:val="000000"/>
          <w:sz w:val="20"/>
          <w:szCs w:val="20"/>
        </w:rPr>
        <w:t>amended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by</w:t>
      </w:r>
      <w:r>
        <w:rPr>
          <w:rFonts w:ascii="Times New Roman" w:eastAsia="Times New Roman" w:hAnsi="Times New Roman" w:cs="Times New Roman"/>
          <w:color w:val="000000"/>
          <w:sz w:val="20"/>
          <w:szCs w:val="20"/>
        </w:rPr>
        <w:t xml:space="preserve"> Pub. L. No. 109-163, div. C, tit. XXXV, 119 Stat. 3557, §3508 (2006). </w:t>
      </w:r>
    </w:p>
  </w:footnote>
  <w:footnote w:id="369">
    <w:p w14:paraId="000005A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Section 4142 of SAFETEA-LU reads as follows: “(a) Definitions Relating to Motor Carriers.—Paragraphs (6), (7), (12), and (13) of section 13102 of title 49, United States Code, are each amended by striking ‘motor vehicle’ and inserting ‘commercial motor vehicle as defined in section 31132’.” Pub. L. No. 109-59, §4142, 119 Stat. 1747.</w:t>
      </w:r>
    </w:p>
  </w:footnote>
  <w:footnote w:id="370">
    <w:p w14:paraId="000005A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49 U.S.C. §31132(1).</w:t>
      </w:r>
    </w:p>
  </w:footnote>
  <w:footnote w:id="371">
    <w:p w14:paraId="000005A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mallCaps/>
          <w:color w:val="000000"/>
          <w:sz w:val="20"/>
          <w:szCs w:val="20"/>
        </w:rPr>
        <w:t>U.S. Dep’t of Labor, Wage &amp; Hour Div., Field Assistance Bull. No</w:t>
      </w:r>
      <w:r>
        <w:rPr>
          <w:rFonts w:ascii="Times New Roman" w:eastAsia="Times New Roman" w:hAnsi="Times New Roman" w:cs="Times New Roman"/>
          <w:color w:val="000000"/>
          <w:sz w:val="20"/>
          <w:szCs w:val="20"/>
        </w:rPr>
        <w:t>. 2007-2 (May 23, 2007).</w:t>
      </w:r>
    </w:p>
  </w:footnote>
  <w:footnote w:id="372">
    <w:p w14:paraId="000005A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153 </w:t>
      </w:r>
      <w:r>
        <w:rPr>
          <w:rFonts w:ascii="Times New Roman" w:eastAsia="Times New Roman" w:hAnsi="Times New Roman" w:cs="Times New Roman"/>
          <w:smallCaps/>
          <w:color w:val="000000"/>
          <w:sz w:val="20"/>
          <w:szCs w:val="20"/>
        </w:rPr>
        <w:t>Cong Rec.</w:t>
      </w:r>
      <w:r>
        <w:rPr>
          <w:rFonts w:ascii="Times New Roman" w:eastAsia="Times New Roman" w:hAnsi="Times New Roman" w:cs="Times New Roman"/>
          <w:color w:val="000000"/>
          <w:sz w:val="20"/>
          <w:szCs w:val="20"/>
        </w:rPr>
        <w:t xml:space="preserve"> H3041, H3052 (daily ed. Mar. 26, 2007) (statement of Rep. Duncan).</w:t>
      </w:r>
    </w:p>
  </w:footnote>
  <w:footnote w:id="373">
    <w:p w14:paraId="000005A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Letter from International Brotherhood of Teamsters to Senate Appropriations Subcommittee regarding H.R. 5576 (July 17, 2006).</w:t>
      </w:r>
    </w:p>
  </w:footnote>
  <w:footnote w:id="374">
    <w:p w14:paraId="000005AB" w14:textId="3C1FFF5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18"/>
          <w:szCs w:val="18"/>
        </w:rPr>
        <w:t xml:space="preserve">Pub. L. No. 110-244, §306, 122 Stat. 1572 (2008). </w:t>
      </w:r>
    </w:p>
  </w:footnote>
  <w:footnote w:id="375">
    <w:p w14:paraId="000005A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The TCA also reverted to use of the term “motor vehicle” instead of “commercial motor vehicle” in some, but not all, of the provisions amended by SAFETEA-LU. Pub. L. No. 110-244, §305, 122 Stat. 1620 (2008) (“(c) Definitions Relating to Motor Carriers.—Paragraphs (6)(B), (7)(B), (14), and (15) of section 13102 of such title are each amended by striking ‘commercial motor vehicle (as defined in section 31132)’ and inserting ‘motor vehicle’.”).</w:t>
      </w:r>
    </w:p>
  </w:footnote>
  <w:footnote w:id="376">
    <w:p w14:paraId="000005AD" w14:textId="18E47BD1"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Pub. L. No. 110-244, §306, 122 Stat. 1572 (2008). </w:t>
      </w:r>
    </w:p>
  </w:footnote>
  <w:footnote w:id="377">
    <w:p w14:paraId="000005A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The FOH discusses the transportation of explosives and other dangerous materials, noting that the MCA and the Explosives and Other Dangerous Articles Act, which governs interstate and foreign shipment of explosives and other dangerous articles, are separate pieces of legislation. As a result, application of the exemption under §213(b)(1) shall be determined under the normal course.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FOH §24a07.</w:t>
      </w:r>
    </w:p>
  </w:footnote>
  <w:footnote w:id="378">
    <w:p w14:paraId="000005A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2013 WL 656327 (M.D. Fla. Feb. 22, 2013).</w:t>
      </w:r>
    </w:p>
  </w:footnote>
  <w:footnote w:id="379">
    <w:p w14:paraId="000005B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The analysis discussed in this section also applies to vehicles that transport at least 8 passengers for compensation or 15 passengers without compensation, regardless of weight. Passenger vehicles satisfying these minimum capacities are not covered by the small vehicle exception in the TCA. For further discussion of the small vehicle exception, see §IV.A.3 [Section 213(b) Exemptions From the Overtime Requirements of the FLSA; Employees Covered Under the Motor Carrier Act; Small Vehicle Exception (for Vehicles of 10,000 Pounds or Less)] of this chapter.</w:t>
      </w:r>
    </w:p>
  </w:footnote>
  <w:footnote w:id="380">
    <w:p w14:paraId="000005B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§782.2(a)(1). Several cases cited in this section predate passage of SAFETEA-LU and involve vehicles weighing less than 10,000 pounds that no longer fit the definition of “commercial vehicle.” However, the analysis regarding the performance of duties that affect safety remains applicable regardless of weight. For further discussion, see §IV.A.3 [Section 213(b) Exemptions From the Overtime Requirements of the FLSA; Employees Covered Under the Motor Carrier Act; Small Vehicle Exception (for Vehicles of 10,000 Pounds or Less)] of this chapter.</w:t>
      </w:r>
    </w:p>
  </w:footnote>
  <w:footnote w:id="381">
    <w:p w14:paraId="000005B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§782.2(a)(2).</w:t>
      </w:r>
    </w:p>
  </w:footnote>
  <w:footnote w:id="382">
    <w:p w14:paraId="000005B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§782.2(a)(2), (e).</w:t>
      </w:r>
    </w:p>
  </w:footnote>
  <w:footnote w:id="383">
    <w:p w14:paraId="000005B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49 U.S.C. §13501(1)(A), (B), (E).</w:t>
      </w:r>
    </w:p>
  </w:footnote>
  <w:footnote w:id="384">
    <w:p w14:paraId="000005B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A “motor private carrier” is defined as “a person, other than a motor carrier, transporting property by motor vehicle when—(A) the transportation is as provided in section 13501 of this title; (B) the person is the owner, lessee, or bailee of the property being transported; and (C) the property is being transported for sale, lease, rent, or bailment or to further a commercial enterprise.” 49 U.S.C. §13102(15).</w:t>
      </w:r>
    </w:p>
  </w:footnote>
  <w:footnote w:id="385">
    <w:p w14:paraId="000005B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FOH §24a01(a); </w:t>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Boutell v. Walling, 327 U.S. 463, 467 (1946) (not extending exemption to mechanics employed by trucking service company even though work performed was supplied to carrier because service company itself was not carrier); Piazza v. Associated Wholesale Grocers Inc., 2019 WL 1862644 (E.D. La. Apr. 25, 2019) (holding that distribution warehouse did not qualify as motor private carrier when hiring contractor to transport goods); Ahle v. Veracity Research Co., 738 F. Supp. 2d 896, 913 (D. Minn. 2010) (finding that insurance investigators were not covered by MCA exemption because employer did not qualify as “motor private carrier” where employee, not employer, owned vehicles and most of property transported over state lines belonged to investigator and not employer).</w:t>
      </w:r>
    </w:p>
  </w:footnote>
  <w:footnote w:id="386">
    <w:p w14:paraId="000005B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§24a01(a).</w:t>
      </w:r>
    </w:p>
  </w:footnote>
  <w:footnote w:id="387">
    <w:p w14:paraId="000005B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i/>
          <w:color w:val="000000"/>
          <w:sz w:val="20"/>
          <w:szCs w:val="20"/>
        </w:rPr>
        <w:t>Id. See also</w:t>
      </w:r>
    </w:p>
    <w:p w14:paraId="000005B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First Circuit:</w:t>
      </w:r>
      <w:r>
        <w:rPr>
          <w:rFonts w:ascii="Times New Roman" w:eastAsia="Times New Roman" w:hAnsi="Times New Roman" w:cs="Times New Roman"/>
          <w:color w:val="000000"/>
          <w:sz w:val="20"/>
          <w:szCs w:val="20"/>
        </w:rPr>
        <w:t xml:space="preserve"> Tidd v. Adecco USA, Inc., 2010 WL 996769, at *2 (D. Mass. Mar. 16, 2010) (holding that Secretary of Transportation’s power applies to leasing company that employed plaintiff drivers in joint employment relationship and thus met requirements of 29 C.F.R. §782.2(a)(1)).</w:t>
      </w:r>
    </w:p>
    <w:p w14:paraId="000005B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Third Circuit:</w:t>
      </w:r>
      <w:r>
        <w:rPr>
          <w:rFonts w:ascii="Times New Roman" w:eastAsia="Times New Roman" w:hAnsi="Times New Roman" w:cs="Times New Roman"/>
          <w:color w:val="000000"/>
          <w:sz w:val="20"/>
          <w:szCs w:val="20"/>
        </w:rPr>
        <w:t xml:space="preserve"> Moore v. Universal Coordinators, Inc., 423 F.2d 96, 99–100 (3d Cir. 1970) (same).</w:t>
      </w:r>
    </w:p>
    <w:p w14:paraId="000005B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Songer v. Dillon Res., Inc., 618 F.3d 467, 473 (5th Cir. 2010) (same)</w:t>
      </w:r>
    </w:p>
  </w:footnote>
  <w:footnote w:id="388">
    <w:p w14:paraId="000005B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§24a01(b).</w:t>
      </w:r>
    </w:p>
  </w:footnote>
  <w:footnote w:id="389">
    <w:p w14:paraId="000005B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Walters v. American Coach Lines of Miami, Inc., 576 F.3d 1221, 1227 (11th Cir. 2009).</w:t>
      </w:r>
    </w:p>
  </w:footnote>
  <w:footnote w:id="390">
    <w:p w14:paraId="000005B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Guyton v. Schwan Food Co., 2004 WL 533942 (D. Minn. Mar. 16, 2004).</w:t>
      </w:r>
    </w:p>
  </w:footnote>
  <w:footnote w:id="391">
    <w:p w14:paraId="000005B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§782.1(a) (citing Morris v. McComb, 332 U.S. 422 (1947); Pyramid Motor Freight Corp. v. Ispass, 330 U.S. 695 (1947); Levinson v. Spector Motor Serv., 330 U.S. 649 (1947); Boutell v. Walling, 327 U.S. 463 (1946); Southland Gasoline Co. v. Bayley, 319 U.S. 44 (1943)).</w:t>
      </w:r>
    </w:p>
  </w:footnote>
  <w:footnote w:id="392">
    <w:p w14:paraId="000005C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id.; see also</w:t>
      </w:r>
    </w:p>
    <w:p w14:paraId="000005C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Supreme Court: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Morris</w:t>
      </w:r>
      <w:r>
        <w:rPr>
          <w:rFonts w:ascii="Times New Roman" w:eastAsia="Times New Roman" w:hAnsi="Times New Roman" w:cs="Times New Roman"/>
          <w:color w:val="000000"/>
          <w:sz w:val="20"/>
          <w:szCs w:val="20"/>
        </w:rPr>
        <w:t xml:space="preserve">, 332 U.S. at 434; </w:t>
      </w:r>
      <w:r>
        <w:rPr>
          <w:rFonts w:ascii="Times New Roman" w:eastAsia="Times New Roman" w:hAnsi="Times New Roman" w:cs="Times New Roman"/>
          <w:i/>
          <w:color w:val="000000"/>
          <w:sz w:val="20"/>
          <w:szCs w:val="20"/>
        </w:rPr>
        <w:t>Ispass</w:t>
      </w:r>
      <w:r>
        <w:rPr>
          <w:rFonts w:ascii="Times New Roman" w:eastAsia="Times New Roman" w:hAnsi="Times New Roman" w:cs="Times New Roman"/>
          <w:color w:val="000000"/>
          <w:sz w:val="20"/>
          <w:szCs w:val="20"/>
        </w:rPr>
        <w:t xml:space="preserve">, 330 U.S. at 708; </w:t>
      </w:r>
      <w:r>
        <w:rPr>
          <w:rFonts w:ascii="Times New Roman" w:eastAsia="Times New Roman" w:hAnsi="Times New Roman" w:cs="Times New Roman"/>
          <w:i/>
          <w:color w:val="000000"/>
          <w:sz w:val="20"/>
          <w:szCs w:val="20"/>
        </w:rPr>
        <w:t>Levinson</w:t>
      </w:r>
      <w:r>
        <w:rPr>
          <w:rFonts w:ascii="Times New Roman" w:eastAsia="Times New Roman" w:hAnsi="Times New Roman" w:cs="Times New Roman"/>
          <w:color w:val="000000"/>
          <w:sz w:val="20"/>
          <w:szCs w:val="20"/>
        </w:rPr>
        <w:t xml:space="preserve">, 330 U.S. at 678; </w:t>
      </w:r>
      <w:r>
        <w:rPr>
          <w:rFonts w:ascii="Times New Roman" w:eastAsia="Times New Roman" w:hAnsi="Times New Roman" w:cs="Times New Roman"/>
          <w:i/>
          <w:color w:val="000000"/>
          <w:sz w:val="20"/>
          <w:szCs w:val="20"/>
        </w:rPr>
        <w:t>Boutell</w:t>
      </w:r>
      <w:r>
        <w:rPr>
          <w:rFonts w:ascii="Times New Roman" w:eastAsia="Times New Roman" w:hAnsi="Times New Roman" w:cs="Times New Roman"/>
          <w:color w:val="000000"/>
          <w:sz w:val="20"/>
          <w:szCs w:val="20"/>
        </w:rPr>
        <w:t xml:space="preserve">, 327 U.S. at 467; </w:t>
      </w:r>
      <w:r>
        <w:rPr>
          <w:rFonts w:ascii="Times New Roman" w:eastAsia="Times New Roman" w:hAnsi="Times New Roman" w:cs="Times New Roman"/>
          <w:i/>
          <w:color w:val="000000"/>
          <w:sz w:val="20"/>
          <w:szCs w:val="20"/>
        </w:rPr>
        <w:t>Southland Gasoline Co.</w:t>
      </w:r>
      <w:r>
        <w:rPr>
          <w:rFonts w:ascii="Times New Roman" w:eastAsia="Times New Roman" w:hAnsi="Times New Roman" w:cs="Times New Roman"/>
          <w:color w:val="000000"/>
          <w:sz w:val="20"/>
          <w:szCs w:val="20"/>
        </w:rPr>
        <w:t>, 319 U.S. at 47.</w:t>
      </w:r>
    </w:p>
    <w:p w14:paraId="000005C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Third Circuit: </w:t>
      </w:r>
      <w:r>
        <w:rPr>
          <w:rFonts w:ascii="Times New Roman" w:eastAsia="Times New Roman" w:hAnsi="Times New Roman" w:cs="Times New Roman"/>
          <w:color w:val="000000"/>
          <w:sz w:val="20"/>
          <w:szCs w:val="20"/>
        </w:rPr>
        <w:t>Friedrich v. U.S. Computer Servs., 974 F.2d 409, 410 (3d Cir. 1992).</w:t>
      </w:r>
    </w:p>
    <w:p w14:paraId="000005C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Brennan v. Schwerman Trucking Co., 540 F.2d 1200, 1202, 22 WH Cases 983, 986 (4th Cir. 1976).</w:t>
      </w:r>
    </w:p>
    <w:p w14:paraId="000005C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White v. U.S. Corr., LLC, 996 F.3d 302, 308 (5th Cir. 2021) (holding private prisoner transport company governed by Interstate Transportation of Dangerous Criminals Act of 2000 still subject to regulatory power of Secretary of Transportation; authority of Attorney General to regulate transportation of violent prisoners does not obviate authority of Secretary of Transportation to regulate employees of motor carriers or motor private carriers); Shew v. Southland Corp., 370 F.2d 376, 17 WH Cases 552 (5th Cir. 1966).</w:t>
      </w:r>
    </w:p>
    <w:p w14:paraId="000005C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Bensen v. Universal Ambulance Serv., 675 F.2d 783, 785, 25 WH Cases 485, 486 (6th Cir. 1982); Baird v. Wagoner Transp. Co., 425 F.2d 407, 410, 19 WH Cases 450, 453 (6th Cir. 1970).</w:t>
      </w:r>
    </w:p>
    <w:p w14:paraId="000005C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Ninth Circuit:</w:t>
      </w:r>
      <w:r>
        <w:rPr>
          <w:rFonts w:ascii="Times New Roman" w:eastAsia="Times New Roman" w:hAnsi="Times New Roman" w:cs="Times New Roman"/>
          <w:color w:val="000000"/>
          <w:sz w:val="20"/>
          <w:szCs w:val="20"/>
        </w:rPr>
        <w:t xml:space="preserve"> Klitzke v. Steiner, 110 F.3d 1465, 1469 (9th Cir. 1997)</w:t>
      </w:r>
    </w:p>
  </w:footnote>
  <w:footnote w:id="393">
    <w:p w14:paraId="000005C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Klitzke</w:t>
      </w:r>
      <w:r>
        <w:rPr>
          <w:rFonts w:ascii="Times New Roman" w:eastAsia="Times New Roman" w:hAnsi="Times New Roman" w:cs="Times New Roman"/>
          <w:color w:val="000000"/>
          <w:sz w:val="20"/>
          <w:szCs w:val="20"/>
        </w:rPr>
        <w:t>, 110 F.3d at 1469 (noting that Secretary declined regulatory authority over laundry service route salesmen).</w:t>
      </w:r>
    </w:p>
  </w:footnote>
  <w:footnote w:id="394">
    <w:p w14:paraId="000005C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Bilyou v. Dutchess Beer Distribs., Inc., 300 F.3d 217, 7 WH Cases2d 1793 (2d Cir. 2002) (upholding exemption despite fact that employer failed to comply with applicable DOT regulations and pointing out that exemption flowed from DOT authority, not from its exercise of that authority or from employer’s compliance); Bumgarner v. Joe Brown Co., 376 F.2d 749, 750, 18 WH Cases 26, 27 (10th Cir. 1967) (holding that exemption applies despite employer’s failure to obtain certificate of exemption under MCA); </w:t>
      </w:r>
      <w:r>
        <w:rPr>
          <w:rFonts w:ascii="Times New Roman" w:eastAsia="Times New Roman" w:hAnsi="Times New Roman" w:cs="Times New Roman"/>
          <w:i/>
          <w:color w:val="000000"/>
          <w:sz w:val="20"/>
          <w:szCs w:val="20"/>
        </w:rPr>
        <w:t>cf.</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Wagoner Transp.</w:t>
      </w:r>
      <w:r>
        <w:rPr>
          <w:rFonts w:ascii="Times New Roman" w:eastAsia="Times New Roman" w:hAnsi="Times New Roman" w:cs="Times New Roman"/>
          <w:color w:val="000000"/>
          <w:sz w:val="20"/>
          <w:szCs w:val="20"/>
        </w:rPr>
        <w:t>, 425 F.2d at 409, 19 WH Cases at 453 (determining that mere possession of interstate commerce certificate alone did not give ICC (now Secretary of Transportation) power over company and thereby exempt it from FLSA coverage).</w:t>
      </w:r>
    </w:p>
  </w:footnote>
  <w:footnote w:id="395">
    <w:p w14:paraId="000005C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49 U.S.C. §13506.</w:t>
      </w:r>
    </w:p>
  </w:footnote>
  <w:footnote w:id="396">
    <w:p w14:paraId="000005C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§13506(a)(2);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Cariani v. D.L.C. Limousine Serv., Inc., 363 F. Supp. 2d 637, 10 WH Cases2d 819 (S.D.N.Y. 2005) (addressing relationship between taxicab exemption and MCA and finding that while taxicab exemption applied, MCA exemption was alternate ground of exemption).</w:t>
      </w:r>
    </w:p>
  </w:footnote>
  <w:footnote w:id="397">
    <w:p w14:paraId="000005C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49 U.S.C. §13506(a)(1) (“Neither the Secretary nor the Board has jurisdiction under this part over a motor vehicle transporting only school children and teachers to or from school.”);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Mielke v. Laidlaw Transit, Inc., 102 F. Supp. 2d 988, 6 WH Cases2d 869 (N.D. Ill. 2000) (holding that because Secretary did not have jurisdiction over school bus operations, school bus drivers were not exempt under MCA). </w:t>
      </w:r>
      <w:r>
        <w:rPr>
          <w:rFonts w:ascii="Times New Roman" w:eastAsia="Times New Roman" w:hAnsi="Times New Roman" w:cs="Times New Roman"/>
          <w:i/>
          <w:color w:val="000000"/>
          <w:sz w:val="20"/>
          <w:szCs w:val="20"/>
        </w:rPr>
        <w:t xml:space="preserve">But see </w:t>
      </w:r>
      <w:r>
        <w:rPr>
          <w:rFonts w:ascii="Times New Roman" w:eastAsia="Times New Roman" w:hAnsi="Times New Roman" w:cs="Times New Roman"/>
          <w:color w:val="000000"/>
          <w:sz w:val="20"/>
          <w:szCs w:val="20"/>
        </w:rPr>
        <w:t xml:space="preserve">Almy v. Kickert Sch. Bus Line, 2009 WL 2972487 (N.D. Ill. Sept. 11, 2009) (finding that because §13506 of MCA was designed as exemption from economic regulations but not safety regulations, Secretary of Transportation was not deprived of authority to regulate maximum hours of school bus drivers and exemption applied),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722 F.3d 1069 (7th Cir. 2013).</w:t>
      </w:r>
    </w:p>
  </w:footnote>
  <w:footnote w:id="398">
    <w:p w14:paraId="000005C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49 C.F.R. §390.3(g)(4);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Smith v. F-M Ambulance Serv., Inc., 914 F. Supp. 359, 2 WH Cases2d 1682 (D.N.D. 1995) (holding that ambulance service not exempt from FLSA and employees were entitled to proceed on claims for overtime compensation); Bayles v. American Med. Response of Colo., Inc., 937 F. Supp. 1477, 3 WH Cases2d 845 (D. Colo. 1996) (finding that ambulance service did not fall within motor carrier exemption and was subject to FLSA requirements), </w:t>
      </w:r>
      <w:r>
        <w:rPr>
          <w:rFonts w:ascii="Times New Roman" w:eastAsia="Times New Roman" w:hAnsi="Times New Roman" w:cs="Times New Roman"/>
          <w:i/>
          <w:color w:val="000000"/>
          <w:sz w:val="20"/>
          <w:szCs w:val="20"/>
        </w:rPr>
        <w:t>reconsideration granted in part</w:t>
      </w:r>
      <w:r>
        <w:rPr>
          <w:rFonts w:ascii="Times New Roman" w:eastAsia="Times New Roman" w:hAnsi="Times New Roman" w:cs="Times New Roman"/>
          <w:color w:val="000000"/>
          <w:sz w:val="20"/>
          <w:szCs w:val="20"/>
        </w:rPr>
        <w:t>, 950 F. Supp. 1053, 3 WH Cases2d 1317 (D. Colo. 1996); WH Op. Ltr., 1994 WL 975106 (Aug. 15, 1994); FOH §24c08.</w:t>
      </w:r>
    </w:p>
  </w:footnote>
  <w:footnote w:id="399">
    <w:p w14:paraId="000005C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84 F. Supp. 2d 470, 7 WH Cases2d 1366 (S.D.N.Y. 2000).</w:t>
      </w:r>
    </w:p>
  </w:footnote>
  <w:footnote w:id="400">
    <w:p w14:paraId="000005C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Klitzke v. Steiner, 110 F.3d 1465 (9th Cir. 1997) (§13505 of MCA does not exempt employees of non-transportation companies from cross application of federal labor laws, but rather limits authority to impose certain licensing, permit, and certificate requirements on interstate motor carriers—requirements completely different from Secretary of Transportation’s regulation of working hours and safety); Friedrich v. U.S. Computer Servs., 974 F.2d 409 (3d Cir. 1992) (computer repairmen who used vans to deliver supplies to carry out repairs at clients’ places of business were covered by MCA). </w:t>
      </w:r>
    </w:p>
  </w:footnote>
  <w:footnote w:id="401">
    <w:p w14:paraId="000005C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McGuiggan</w:t>
      </w:r>
      <w:r>
        <w:rPr>
          <w:rFonts w:ascii="Times New Roman" w:eastAsia="Times New Roman" w:hAnsi="Times New Roman" w:cs="Times New Roman"/>
          <w:color w:val="000000"/>
          <w:sz w:val="20"/>
          <w:szCs w:val="20"/>
        </w:rPr>
        <w:t>, 84 F. Supp. 2d at 483.</w:t>
      </w:r>
    </w:p>
  </w:footnote>
  <w:footnote w:id="402">
    <w:p w14:paraId="000005D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For a discussion of seating capacity and vehicle modifications to seating capacity, see §IV.A.3.b [Section 213(b) Exemptions From the Overtime Requirements of the FLSA; Employees Covered Under the Motor Carrier Act; Small Vehicle Exception (for Vehicles of 10,000 Pounds or Less); Vehicle Modifications] of this chapter.</w:t>
      </w:r>
    </w:p>
  </w:footnote>
  <w:footnote w:id="403">
    <w:p w14:paraId="000005D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418 F.3d 246 (3d Cir. 2005).</w:t>
      </w:r>
    </w:p>
  </w:footnote>
  <w:footnote w:id="404">
    <w:p w14:paraId="000005D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258.</w:t>
      </w:r>
    </w:p>
  </w:footnote>
  <w:footnote w:id="405">
    <w:p w14:paraId="000005D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248–49.</w:t>
      </w:r>
    </w:p>
  </w:footnote>
  <w:footnote w:id="406">
    <w:p w14:paraId="000005D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332 U.S. 218 (1947).</w:t>
      </w:r>
    </w:p>
  </w:footnote>
  <w:footnote w:id="407">
    <w:p w14:paraId="000005D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231.</w:t>
      </w:r>
    </w:p>
  </w:footnote>
  <w:footnote w:id="408">
    <w:p w14:paraId="000005D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Walters v. American Coach Lines of Miami, Inc., 576 F.3d 1221, 1228–31 (11th Cir. 2009). Under either part of the analysis, “the Secretary of Transportation’s jurisdiction (over either the employer’s transportation business or the employee’s activities) turns on the scope of the MCA’s interstate commerce requirement.” Abel v. Southern Shuttle Servs., Inc., 631 F.3d 1210, 1215 (11th Cir. 2011). See also discussion at §IV.A.2.c.iii [Section 213(b) Exemptions From the Overtime Requirements of the FLSA; Employees Covered Under the Motor Carrier Act; Application of the Exemption (for Vehicles in Excess of 10,000 Pounds); Transportation in Interstate Commerce; Intrastate Transportation] of this chapter.</w:t>
      </w:r>
    </w:p>
  </w:footnote>
  <w:footnote w:id="409">
    <w:p w14:paraId="000005D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Southern Shuttle</w:t>
      </w:r>
      <w:r>
        <w:rPr>
          <w:rFonts w:ascii="Times New Roman" w:eastAsia="Times New Roman" w:hAnsi="Times New Roman" w:cs="Times New Roman"/>
          <w:color w:val="000000"/>
          <w:sz w:val="20"/>
          <w:szCs w:val="20"/>
        </w:rPr>
        <w:t xml:space="preserve">, 631 F.3d at 1217; </w:t>
      </w:r>
      <w:r>
        <w:rPr>
          <w:rFonts w:ascii="Times New Roman" w:eastAsia="Times New Roman" w:hAnsi="Times New Roman" w:cs="Times New Roman"/>
          <w:i/>
          <w:color w:val="000000"/>
          <w:sz w:val="20"/>
          <w:szCs w:val="20"/>
        </w:rPr>
        <w:t>Walters</w:t>
      </w:r>
      <w:r>
        <w:rPr>
          <w:rFonts w:ascii="Times New Roman" w:eastAsia="Times New Roman" w:hAnsi="Times New Roman" w:cs="Times New Roman"/>
          <w:color w:val="000000"/>
          <w:sz w:val="20"/>
          <w:szCs w:val="20"/>
        </w:rPr>
        <w:t xml:space="preserve">, 576 F.3d at 1230; Packard v. Pittsburgh Transp. Co., 418 F.3d 246, 258 (3d Cir. 2005). When a motor carrier engages in both intrastate and interstate travel, courts may also consider the number of interstate trips made or the amount of revenue received from its interstate operations in determining application of the MCA. </w:t>
      </w:r>
      <w:r>
        <w:rPr>
          <w:rFonts w:ascii="Times New Roman" w:eastAsia="Times New Roman" w:hAnsi="Times New Roman" w:cs="Times New Roman"/>
          <w:i/>
          <w:color w:val="000000"/>
          <w:sz w:val="20"/>
          <w:szCs w:val="20"/>
        </w:rPr>
        <w:t>Walters</w:t>
      </w:r>
      <w:r>
        <w:rPr>
          <w:rFonts w:ascii="Times New Roman" w:eastAsia="Times New Roman" w:hAnsi="Times New Roman" w:cs="Times New Roman"/>
          <w:color w:val="000000"/>
          <w:sz w:val="20"/>
          <w:szCs w:val="20"/>
        </w:rPr>
        <w:t xml:space="preserve">, 576 F.3d at 1227–28.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Morris v. McComb, 332 U.S. 422 (1947) (business was subject to MCA jurisdiction when about 4% of total trips and revenue stemmed from interstate commerce); Fonseca v. AllTour Am. Transp., Inc., 750 F. App’x 883, 887 (11th Cir. 2018) (holding that MCA exemption applied where shuttle drivers were engaged in interstate transport for 20% of total work time); Turk v. Buffets, Inc., 940 F. Supp. 1255, 1261–62 (N.D. Ill. 1996) (summarizing cases). </w:t>
      </w:r>
      <w:r>
        <w:rPr>
          <w:rFonts w:ascii="Times New Roman" w:eastAsia="Times New Roman" w:hAnsi="Times New Roman" w:cs="Times New Roman"/>
          <w:i/>
          <w:color w:val="000000"/>
          <w:sz w:val="20"/>
          <w:szCs w:val="20"/>
        </w:rPr>
        <w:t>Cf.</w:t>
      </w:r>
      <w:r>
        <w:rPr>
          <w:rFonts w:ascii="Times New Roman" w:eastAsia="Times New Roman" w:hAnsi="Times New Roman" w:cs="Times New Roman"/>
          <w:color w:val="000000"/>
          <w:sz w:val="20"/>
          <w:szCs w:val="20"/>
        </w:rPr>
        <w:t xml:space="preserve"> Rossi v. Associated Limousine Servs., Inc., 438 F. Supp. 2d 1354, 1361 (S.D. Fla. 2006) (company’s interstate business is de minimis if it constitutes less than 1% of overall trips taken by company). </w:t>
      </w:r>
    </w:p>
  </w:footnote>
  <w:footnote w:id="410">
    <w:p w14:paraId="000005D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mallCaps/>
          <w:color w:val="000000"/>
          <w:sz w:val="20"/>
          <w:szCs w:val="20"/>
        </w:rPr>
        <w:t>U.S. Dep’t of Labor, Wage &amp; Hour Div., Fact Sheet #19: The Motor Carrier Exemption Under the Fair Labor Standards Act (FLSA)</w:t>
      </w:r>
      <w:r>
        <w:rPr>
          <w:rFonts w:ascii="Times New Roman" w:eastAsia="Times New Roman" w:hAnsi="Times New Roman" w:cs="Times New Roman"/>
          <w:color w:val="000000"/>
          <w:sz w:val="20"/>
          <w:szCs w:val="20"/>
        </w:rPr>
        <w:t xml:space="preserve"> (Nov. 2009), https://www.dol.gov/sites/dolgov/files/WHD/legacy/files/whdfs19.pdf;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29 C.F.R. §782.2(a); Levinson v. Spector Motor Serv., 330 U.S. 649, 652, 6 WH Cases 731, 734 (1947); United States v. American Trucking Ass’ns, 310 U.S. 534, 535, 1 WH Cases 64, 65 (1940); WH Op. FLSA2004-10NA, 2004 WL 3177909 (Aug. 17, 2004) (opining that sales representatives of food manufacturer were exempt employees under §13(b)(1) because as drivers transporting job-related items, they engaged in activity directly affecting safety under 29 C.F.R. §782.2(a)).</w:t>
      </w:r>
    </w:p>
  </w:footnote>
  <w:footnote w:id="411">
    <w:p w14:paraId="000005D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§782.2(b)(2) and (3);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Morris v. McComb, 332 U.S. 422, 7 WH Cases 423 (1947); Pyramid Motor Freight Corp. v. Ispass, 330 U.S. 695, 6 WH Cases 749 (1947); </w:t>
      </w:r>
      <w:r>
        <w:rPr>
          <w:rFonts w:ascii="Times New Roman" w:eastAsia="Times New Roman" w:hAnsi="Times New Roman" w:cs="Times New Roman"/>
          <w:i/>
          <w:color w:val="000000"/>
          <w:sz w:val="20"/>
          <w:szCs w:val="20"/>
        </w:rPr>
        <w:t>Levinson</w:t>
      </w:r>
      <w:r>
        <w:rPr>
          <w:rFonts w:ascii="Times New Roman" w:eastAsia="Times New Roman" w:hAnsi="Times New Roman" w:cs="Times New Roman"/>
          <w:color w:val="000000"/>
          <w:sz w:val="20"/>
          <w:szCs w:val="20"/>
        </w:rPr>
        <w:t>, 330 U.S. 649; Smith v. United Parcel Serv., 890 F. Supp. 323, 2 WH Cases2d 1387, 1389–90 (S.D. W. Va. 1995) (finding that package drivers, feeder drivers, and mechanics were exempt).</w:t>
      </w:r>
    </w:p>
  </w:footnote>
  <w:footnote w:id="412">
    <w:p w14:paraId="000005D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§782.2(b)(2) (citing cases).</w:t>
      </w:r>
    </w:p>
  </w:footnote>
  <w:footnote w:id="413">
    <w:p w14:paraId="000005D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Third Circuit:</w:t>
      </w:r>
      <w:r>
        <w:rPr>
          <w:rFonts w:ascii="Times New Roman" w:eastAsia="Times New Roman" w:hAnsi="Times New Roman" w:cs="Times New Roman"/>
          <w:color w:val="000000"/>
          <w:sz w:val="20"/>
          <w:szCs w:val="20"/>
        </w:rPr>
        <w:t xml:space="preserve"> Friedrich v. U.S. Computer Servs., 974 F.2d 409, 416–18, 30 WH Cases 1729, 1734 (3d Cir. 1992) (holding that exemption applied even though employees may have devoted more time to field service than to transportation of property).</w:t>
      </w:r>
    </w:p>
    <w:p w14:paraId="000005D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Ninth Circuit:</w:t>
      </w:r>
      <w:r>
        <w:rPr>
          <w:rFonts w:ascii="Times New Roman" w:eastAsia="Times New Roman" w:hAnsi="Times New Roman" w:cs="Times New Roman"/>
          <w:color w:val="000000"/>
          <w:sz w:val="20"/>
          <w:szCs w:val="20"/>
        </w:rPr>
        <w:t xml:space="preserve"> Reich v. American Driver Serv., 33 F.3d 1153, 1155, 2 WH Cases2d 417, 419 (9th Cir. 1994) (finding that minor involvement in interstate commerce as regular part of employee’s duties can subject employee to Secretary of Transportation’s power); Shoemaker v. United Parcel Servs., Inc., 2011 WL 836998, at *8–11 (D. Idaho Feb. 10, 2011) (finding that supervisor who provided hands-on training to drivers engaged in activities directly affecting safety exempt under MCA).</w:t>
      </w:r>
    </w:p>
    <w:p w14:paraId="000005D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Wilson v. Notheis, Inc., 1999 WL 1142531, 5 WH Cases2d 1287 (N.D. Ga. Nov. 16, 1999) (applying exemption to employees who drove hostler-tractors to move trailers because employees performed safety checks on trailers)</w:t>
      </w:r>
    </w:p>
  </w:footnote>
  <w:footnote w:id="414">
    <w:p w14:paraId="000005D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§782.2(b)(3);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Shoemaker</w:t>
      </w:r>
      <w:r>
        <w:rPr>
          <w:rFonts w:ascii="Times New Roman" w:eastAsia="Times New Roman" w:hAnsi="Times New Roman" w:cs="Times New Roman"/>
          <w:color w:val="000000"/>
          <w:sz w:val="20"/>
          <w:szCs w:val="20"/>
        </w:rPr>
        <w:t>, 2011 WL 836998 (finding that supervisor who spent majority of his time on road with drivers either training or observing them and spent de minimis amount of time driving vehicles was exempt from overtime under MCA exemption because de minimis principle should seldom if ever be applied).</w:t>
      </w:r>
    </w:p>
  </w:footnote>
  <w:footnote w:id="415">
    <w:p w14:paraId="000005D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§782.3(a); 49 C.F.R. §390.5.</w:t>
      </w:r>
    </w:p>
  </w:footnote>
  <w:footnote w:id="416">
    <w:p w14:paraId="000005E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§782.3(a).</w:t>
      </w:r>
    </w:p>
  </w:footnote>
  <w:footnote w:id="417">
    <w:p w14:paraId="000005E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418">
    <w:p w14:paraId="000005E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 See also</w:t>
      </w:r>
    </w:p>
    <w:p w14:paraId="000005E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Eighth Circuit:</w:t>
      </w:r>
      <w:r>
        <w:rPr>
          <w:rFonts w:ascii="Times New Roman" w:eastAsia="Times New Roman" w:hAnsi="Times New Roman" w:cs="Times New Roman"/>
          <w:color w:val="000000"/>
          <w:sz w:val="20"/>
          <w:szCs w:val="20"/>
        </w:rPr>
        <w:t xml:space="preserve"> Guyton v. Schwan Food Co., 2004 WL 533942 (D. Minn. Mar. 16, 2004) (finding that sales managers who operated route delivery trucks occasionally when route managers were unavailable were exempt).</w:t>
      </w:r>
    </w:p>
    <w:p w14:paraId="000005E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Ninth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Shoemaker</w:t>
      </w:r>
      <w:r>
        <w:rPr>
          <w:rFonts w:ascii="Times New Roman" w:eastAsia="Times New Roman" w:hAnsi="Times New Roman" w:cs="Times New Roman"/>
          <w:color w:val="000000"/>
          <w:sz w:val="20"/>
          <w:szCs w:val="20"/>
        </w:rPr>
        <w:t>, 2011 WL 836998 (finding that supervisor who spent majority of his time on road with drivers either training or observing them and spent de minimis amount of time driving vehicles was exempt from overtime under MCA exemption because de minimis principle should seldom if ever be applied).</w:t>
      </w:r>
    </w:p>
    <w:p w14:paraId="000005E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Tenth Circuit:</w:t>
      </w:r>
      <w:r>
        <w:rPr>
          <w:rFonts w:ascii="Times New Roman" w:eastAsia="Times New Roman" w:hAnsi="Times New Roman" w:cs="Times New Roman"/>
          <w:color w:val="000000"/>
          <w:sz w:val="20"/>
          <w:szCs w:val="20"/>
        </w:rPr>
        <w:t xml:space="preserve"> Bowe v. SMC Elec. Prods., Inc., 935 F. Supp. 1126, 1132–33, 3 WH Cases2d 710 (D. Colo. 1996) (finding that if defendant could show that sales/service representative transported tools, parts, and equipment in interstate commerce, then instructors would qualify for MCA exemption), </w:t>
      </w:r>
      <w:r>
        <w:rPr>
          <w:rFonts w:ascii="Times New Roman" w:eastAsia="Times New Roman" w:hAnsi="Times New Roman" w:cs="Times New Roman"/>
          <w:i/>
          <w:color w:val="000000"/>
          <w:sz w:val="20"/>
          <w:szCs w:val="20"/>
        </w:rPr>
        <w:t>opinion adhered to on reconsideration</w:t>
      </w:r>
      <w:r>
        <w:rPr>
          <w:rFonts w:ascii="Times New Roman" w:eastAsia="Times New Roman" w:hAnsi="Times New Roman" w:cs="Times New Roman"/>
          <w:color w:val="000000"/>
          <w:sz w:val="20"/>
          <w:szCs w:val="20"/>
        </w:rPr>
        <w:t>, 945 F. Supp. 1482, 3 WH Cases2d 1310 (D. Colo. 1996).</w:t>
      </w:r>
    </w:p>
    <w:p w14:paraId="000005E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McIntyre v. FLX of Miami, Inc., 2008 WL 4541017, at *7 (S.D. Fla. Oct. 8, 2008) (concluding that truck dispatcher whose duties included calling mechanics for stranded truckers, assigning particular drivers and trucks based on safety issues, and verifying that vehicles were in safe operating condition before they were used affected safety and operation of motor vehicles and thus was exempt from overtime requirements under MCA exemption); Hutson v. Rent-A-Center, Inc., 209 F. Supp. 2d 1353 (M.D. Ga. 2001) (finding that driver who made intrastate deliveries of goods ordered from out-of-state vendors, including intrastate deliveries of goods specially ordered from out of state for local customers, sufficed to meet interstate commerce test); Wilson v. Notheis, Inc., 1999 WL 1142531, 5 WH Cases2d 1287 (N.D. Ga. Nov. 16, 1999) (determining that hostler-tractor drivers that moved trailers from distribution center to staging areas of clients were covered by MCA and therefore exempt where they took various safety measures and performed multiple safety checks on trailers)</w:t>
      </w:r>
    </w:p>
  </w:footnote>
  <w:footnote w:id="419">
    <w:p w14:paraId="000005E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Bethel v. Lazer Spot, Inc., 2022 BL 184975, 2022 WL 1683738, at *6 (N.D. Ga. Mar. 28, 2022) (“yard driver” restricted to moving trailers around a private yard, even if cross-trained to drive on public roads, was not covered under MCA); </w:t>
      </w:r>
      <w:r>
        <w:rPr>
          <w:rFonts w:ascii="Times New Roman" w:eastAsia="Times New Roman" w:hAnsi="Times New Roman" w:cs="Times New Roman"/>
          <w:i/>
          <w:color w:val="000000"/>
          <w:sz w:val="20"/>
          <w:szCs w:val="20"/>
        </w:rPr>
        <w:t>cf.</w:t>
      </w:r>
      <w:r>
        <w:rPr>
          <w:rFonts w:ascii="Times New Roman" w:eastAsia="Times New Roman" w:hAnsi="Times New Roman" w:cs="Times New Roman"/>
          <w:color w:val="000000"/>
          <w:sz w:val="20"/>
          <w:szCs w:val="20"/>
        </w:rPr>
        <w:t xml:space="preserve"> Green v. Lazer Spot, Inc., 2021 BL 488333, 2021 WL 6063590, at *5 (M.D. Pa. Dec. 22, 2021) (finding “yard jockey” who only drove intrastate and only occasionally on public roads was a driver under the MCA because, “[b]y moving loaded trailers, [plaintiff] acts as an intermediate, intrastate step in the goods’ ultimate interstate journey”). </w:t>
      </w:r>
    </w:p>
  </w:footnote>
  <w:footnote w:id="420">
    <w:p w14:paraId="000005E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Barefoot v. Mid-America Dairymen, Inc., 826 F. Supp. 1046, 1050, 1 WH Cases2d 924, 926 (N.D. Tex. 1993).</w:t>
      </w:r>
    </w:p>
  </w:footnote>
  <w:footnote w:id="421">
    <w:p w14:paraId="000005E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§782.4;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Opelika Royal Crown Bottling Co. v. Goldberg, 299 F.2d 37, 15 WH Cases 321 (5th Cir. 1962).</w:t>
      </w:r>
    </w:p>
  </w:footnote>
  <w:footnote w:id="422">
    <w:p w14:paraId="000005E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§782.4(a).</w:t>
      </w:r>
    </w:p>
  </w:footnote>
  <w:footnote w:id="423">
    <w:p w14:paraId="000005E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Relief drivers who actually drive may come within the driver category.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§782.3(a).</w:t>
      </w:r>
    </w:p>
  </w:footnote>
  <w:footnote w:id="424">
    <w:p w14:paraId="000005E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p>
    <w:p w14:paraId="000005E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Texas Farm Prods. Co. v. Williams, 406 S.W.2d 256, 262, 18 WH Cases 84, 85 (Tex. Civ. App. 1966) (deeming that “swamper” who rode with driver to provide assistance was exempt, even where very little safety-affecting work was performed).</w:t>
      </w:r>
    </w:p>
    <w:p w14:paraId="000005E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Walling v. Silver Fleet Motor Express, 67 F. Supp. 846, 854, 6 WH Cases 392, 397 (W.D. Ky. 1946) (finding that drivers’ helpers performed work that directly related to safety of operation).</w:t>
      </w:r>
    </w:p>
    <w:p w14:paraId="000005E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Hernandez v. Brink’s, Inc., 2009 WL 113406, at *4 (S.D. Fla. Jan. 15, 2009) (holding that messengers and automatic teller machine technicians for armored vehicle transportation protection and security company qualified as drivers’ helpers because they helped direct drivers when trucks were in reverse or making tight turns)</w:t>
      </w:r>
    </w:p>
  </w:footnote>
  <w:footnote w:id="425">
    <w:p w14:paraId="000005F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§782.4(c).</w:t>
      </w:r>
    </w:p>
  </w:footnote>
  <w:footnote w:id="426">
    <w:p w14:paraId="000005F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§24b03.</w:t>
      </w:r>
    </w:p>
  </w:footnote>
  <w:footnote w:id="427">
    <w:p w14:paraId="000005F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§782.4(c);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Gordon’s Transports, Inc., v. Walling, 162 F.2d 203, 6 WH Cases 831 (6th Cir. 1947) (determining that “breakout men,” “hostlers,” and “wheelers” were not engaged in safety-related tasks and not covered by exemption).</w:t>
      </w:r>
    </w:p>
  </w:footnote>
  <w:footnote w:id="428">
    <w:p w14:paraId="000005F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§782.4(c).</w:t>
      </w:r>
    </w:p>
  </w:footnote>
  <w:footnote w:id="429">
    <w:p w14:paraId="000005F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§782.5(a).</w:t>
      </w:r>
    </w:p>
  </w:footnote>
  <w:footnote w:id="430">
    <w:p w14:paraId="000005F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431">
    <w:p w14:paraId="000005F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 See, e.g.,</w:t>
      </w:r>
    </w:p>
    <w:p w14:paraId="000005F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Supreme Court:</w:t>
      </w:r>
      <w:r>
        <w:rPr>
          <w:rFonts w:ascii="Times New Roman" w:eastAsia="Times New Roman" w:hAnsi="Times New Roman" w:cs="Times New Roman"/>
          <w:color w:val="000000"/>
          <w:sz w:val="20"/>
          <w:szCs w:val="20"/>
        </w:rPr>
        <w:t xml:space="preserve"> Pyramid Motor Freight Corp. v. Ispass, 330 U.S. 695, 708 (1947) (ruling that for exemption to apply, loading activities must be of character that affects safety of operations); Levinson v. Spector Motor Serv., 330 U.S. 649, 656 (1947) (holding that as long as substantial part of activity is “loading,” exemption applies).</w:t>
      </w:r>
    </w:p>
    <w:p w14:paraId="000005F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Fifth Circuit: </w:t>
      </w:r>
      <w:r>
        <w:rPr>
          <w:rFonts w:ascii="Times New Roman" w:eastAsia="Times New Roman" w:hAnsi="Times New Roman" w:cs="Times New Roman"/>
          <w:color w:val="000000"/>
          <w:sz w:val="20"/>
          <w:szCs w:val="20"/>
        </w:rPr>
        <w:t>Brewer’s, Inc. v. Wirtz, 375 F.2d 911, 914, 17 WH Cases 664, 665 (5th Cir. 1967) (applying exemption to employees who unloaded furniture shipped to warehouse from out of state).</w:t>
      </w:r>
    </w:p>
    <w:p w14:paraId="000005F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Vaughn v. Watkins Motor Lines, Inc., 291 F.3d 900, 7 WH Cases2d 1478 (6th Cir. 2002) (finding that dockworkers who loaded trailers were exempt even where supervisor always checked trailer before it departed).</w:t>
      </w:r>
    </w:p>
    <w:p w14:paraId="000005F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Eighth Circuit: </w:t>
      </w:r>
      <w:r>
        <w:rPr>
          <w:rFonts w:ascii="Times New Roman" w:eastAsia="Times New Roman" w:hAnsi="Times New Roman" w:cs="Times New Roman"/>
          <w:color w:val="000000"/>
          <w:sz w:val="20"/>
          <w:szCs w:val="20"/>
        </w:rPr>
        <w:t>Williams v. Central Transp. Int’l, Inc., 830 F.3d 773 (8th Cir. 2016) (affirming district court that because substantial part of plaintiff’s time during relevant period was spent loading defendants’ trailers for interstate transportation, MCA exemption applied).</w:t>
      </w:r>
    </w:p>
    <w:p w14:paraId="000005F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Tenth Circuit:</w:t>
      </w:r>
      <w:r>
        <w:rPr>
          <w:rFonts w:ascii="Times New Roman" w:eastAsia="Times New Roman" w:hAnsi="Times New Roman" w:cs="Times New Roman"/>
          <w:color w:val="000000"/>
          <w:sz w:val="20"/>
          <w:szCs w:val="20"/>
        </w:rPr>
        <w:t xml:space="preserve"> Vanartsdalen</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v. Deffenbaugh Indus., Inc</w:t>
      </w:r>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2011 WL 1002027, at *3 (D. Kan. Mar. 18, 2011) (finding plaintiff to be loader because he exercised discretion in determining what trash to load into trucks).</w:t>
      </w:r>
    </w:p>
    <w:p w14:paraId="000005F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Eleventh Circuit: </w:t>
      </w:r>
      <w:r>
        <w:rPr>
          <w:rFonts w:ascii="Times New Roman" w:eastAsia="Times New Roman" w:hAnsi="Times New Roman" w:cs="Times New Roman"/>
          <w:color w:val="000000"/>
          <w:sz w:val="20"/>
          <w:szCs w:val="20"/>
        </w:rPr>
        <w:t>Lewis v. Eskridge Trucking Co., 449 F. App’x 780, 781 (11th Cir. 2011) (affirming summary judgment for defendant where loader filled trailers with wood shavings and spent substantial part of time ensuring loads were balanced).</w:t>
      </w:r>
    </w:p>
    <w:p w14:paraId="000005F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Accord</w:t>
      </w:r>
    </w:p>
    <w:p w14:paraId="000005F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Chaohui Tang v. Wing Keung Enters., Inc., 210 F. Supp. 3d 376 (E.D.N.Y. 2016) (determining that plaintiffs’ acknowledged responsibility in loading and unloading freight was sufficient to qualify them as “loaders” within meaning of MCA); McBeth v. Gabrielli Truck Sales Ltd., 768 F. Supp. 2d 383, 388 (E.D.N.Y. 2010) (ruling plaintiff was not “loader” despite fact that he loaded batteries on truck because he did not have requisite discretion to affect safety of truck during travel).</w:t>
      </w:r>
    </w:p>
    <w:p w14:paraId="000005F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Fourth Circuit: </w:t>
      </w:r>
      <w:r>
        <w:rPr>
          <w:rFonts w:ascii="Times New Roman" w:eastAsia="Times New Roman" w:hAnsi="Times New Roman" w:cs="Times New Roman"/>
          <w:color w:val="000000"/>
          <w:sz w:val="20"/>
          <w:szCs w:val="20"/>
        </w:rPr>
        <w:t>Veney v. John W. Clarke, Inc., 28 F. Supp. 3d 435, 442 (D. Md. 2014) (finding that plaintiffs’ activities in picking up trash and throwing it onto truck affected safety of operation because plaintiffs were instructed not to pick up items that could be hazardous to operation of truck).</w:t>
      </w:r>
    </w:p>
    <w:p w14:paraId="0000060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Eighth Circuit:</w:t>
      </w:r>
      <w:r>
        <w:rPr>
          <w:rFonts w:ascii="Times New Roman" w:eastAsia="Times New Roman" w:hAnsi="Times New Roman" w:cs="Times New Roman"/>
          <w:color w:val="000000"/>
          <w:sz w:val="20"/>
          <w:szCs w:val="20"/>
        </w:rPr>
        <w:t xml:space="preserve"> Graham v. Town &amp; Country Disposal of W. Mo., Inc., 865 F. Supp. 2d 952, 960 (W.D. Mo. 2011).</w:t>
      </w:r>
    </w:p>
    <w:p w14:paraId="0000060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Williams v. R.W. Cannon, Inc., 2008 WL 4097613, at *11 (S.D. Fla. Sept. 4, 2008) (denying summary judgment in favor of defendant on issue of whether plaintiff was a “loader” within the meaning of MCA where issues of fact remained regarding whether plaintiff’s loading duties consisted of providing physical labor in lifting and moving of goods pursuant to supervisor’s direction, or whether plaintiff was exercising independent judgment and discretion when doing so)</w:t>
      </w:r>
    </w:p>
  </w:footnote>
  <w:footnote w:id="432">
    <w:p w14:paraId="00000602" w14:textId="7BB07D55"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§782.5(b). </w:t>
      </w:r>
      <w:r w:rsidR="00924CB3">
        <w:rPr>
          <w:rFonts w:ascii="Times New Roman" w:eastAsia="Times New Roman" w:hAnsi="Times New Roman" w:cs="Times New Roman"/>
          <w:i/>
          <w:iCs/>
          <w:color w:val="000000"/>
          <w:sz w:val="20"/>
          <w:szCs w:val="20"/>
        </w:rPr>
        <w:t xml:space="preserve">Compare </w:t>
      </w:r>
      <w:r>
        <w:rPr>
          <w:rFonts w:ascii="Times New Roman" w:eastAsia="Times New Roman" w:hAnsi="Times New Roman" w:cs="Times New Roman"/>
          <w:color w:val="000000"/>
          <w:sz w:val="20"/>
          <w:szCs w:val="20"/>
        </w:rPr>
        <w:t xml:space="preserve">Crum v. Forward Air Sols., Inc., 2023 WL 1788533 (N.D. Ala. Feb. 6, 2023) (holding dock supervisor exempt when loading trucks and supervising subordinates even if </w:t>
      </w:r>
      <w:r w:rsidR="00924CB3">
        <w:rPr>
          <w:rFonts w:ascii="Times New Roman" w:eastAsia="Times New Roman" w:hAnsi="Times New Roman" w:cs="Times New Roman"/>
          <w:color w:val="000000"/>
          <w:sz w:val="20"/>
          <w:szCs w:val="20"/>
        </w:rPr>
        <w:t xml:space="preserve">the supervisor paid </w:t>
      </w:r>
      <w:r>
        <w:rPr>
          <w:rFonts w:ascii="Times New Roman" w:eastAsia="Times New Roman" w:hAnsi="Times New Roman" w:cs="Times New Roman"/>
          <w:color w:val="000000"/>
          <w:sz w:val="20"/>
          <w:szCs w:val="20"/>
        </w:rPr>
        <w:t>little to no attention</w:t>
      </w:r>
      <w:r w:rsidR="00924CB3">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to safe loading practices)</w:t>
      </w:r>
      <w:r w:rsidR="00924CB3">
        <w:rPr>
          <w:rFonts w:ascii="Times New Roman" w:eastAsia="Times New Roman" w:hAnsi="Times New Roman" w:cs="Times New Roman"/>
          <w:color w:val="000000"/>
          <w:sz w:val="20"/>
          <w:szCs w:val="20"/>
        </w:rPr>
        <w:t xml:space="preserve"> </w:t>
      </w:r>
      <w:r w:rsidR="00924CB3">
        <w:rPr>
          <w:rFonts w:ascii="Times New Roman" w:eastAsia="Times New Roman" w:hAnsi="Times New Roman" w:cs="Times New Roman"/>
          <w:i/>
          <w:iCs/>
          <w:color w:val="000000"/>
          <w:sz w:val="20"/>
          <w:szCs w:val="20"/>
        </w:rPr>
        <w:t>with</w:t>
      </w:r>
      <w:r>
        <w:rPr>
          <w:rFonts w:ascii="Times New Roman" w:eastAsia="Times New Roman" w:hAnsi="Times New Roman" w:cs="Times New Roman"/>
          <w:color w:val="000000"/>
          <w:sz w:val="20"/>
          <w:szCs w:val="20"/>
        </w:rPr>
        <w:t xml:space="preserve"> Yellow Transit Freight Lines v. Balven, 320 F.2d 495, 499, 16 WH Cases 93, 96 (8th Cir. 1963) (holding that dock foreman was nonexempt where duties had no substantial bearing on safety of motor vehicles operating in interstate commerce). </w:t>
      </w:r>
    </w:p>
  </w:footnote>
  <w:footnote w:id="433">
    <w:p w14:paraId="0000060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§782.5(c). </w:t>
      </w:r>
      <w:r>
        <w:rPr>
          <w:rFonts w:ascii="Times New Roman" w:eastAsia="Times New Roman" w:hAnsi="Times New Roman" w:cs="Times New Roman"/>
          <w:i/>
          <w:color w:val="000000"/>
          <w:sz w:val="20"/>
          <w:szCs w:val="20"/>
        </w:rPr>
        <w:t>See also</w:t>
      </w:r>
    </w:p>
    <w:p w14:paraId="0000060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Supreme Court: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Ispass</w:t>
      </w:r>
      <w:r>
        <w:rPr>
          <w:rFonts w:ascii="Times New Roman" w:eastAsia="Times New Roman" w:hAnsi="Times New Roman" w:cs="Times New Roman"/>
          <w:color w:val="000000"/>
          <w:sz w:val="20"/>
          <w:szCs w:val="20"/>
        </w:rPr>
        <w:t>, 330 U.S. at 708, 6 WH Cases at 754 (holding that exemption does not apply if loading activities do not come within safety-affecting category).</w:t>
      </w:r>
    </w:p>
    <w:p w14:paraId="0000060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Opelika Royal Crown Bottling Co. v. Goldberg, 299 F.2d 37, 42, 15 WH Cases 321, 325 (5th Cir. 1962) (finding that warehouseman who only occasionally assisted with loading was not exempt); Foremost Dairies v. Ivey, 204 F.2d 186, 170, 11 WH Cases 405, 407 (5th Cir. 1953) (ruling that loaders who did not exercise discretion with regard to how trucks were loaded did not qualify for exemption).</w:t>
      </w:r>
    </w:p>
    <w:p w14:paraId="0000060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Eighth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Balven</w:t>
      </w:r>
      <w:r>
        <w:rPr>
          <w:rFonts w:ascii="Times New Roman" w:eastAsia="Times New Roman" w:hAnsi="Times New Roman" w:cs="Times New Roman"/>
          <w:color w:val="000000"/>
          <w:sz w:val="20"/>
          <w:szCs w:val="20"/>
        </w:rPr>
        <w:t>, 320 F.2d at 499, 16 WH Cases at 96 (holding that load checker should not receive exemption because he did not affect safety of truck).</w:t>
      </w:r>
    </w:p>
    <w:p w14:paraId="0000060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Cf.</w:t>
      </w:r>
    </w:p>
    <w:p w14:paraId="0000060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Troutt v. Stavola Bros., Inc. 107 F.3d 1104, 3 WH Cases2d 1400 (4th Cir. 1997) (finding that employee of race car team responsible for moving equipment to end of transporter, where it was secured by someone else, could not be said to affect safety of operations).</w:t>
      </w:r>
    </w:p>
    <w:p w14:paraId="0000060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Wirtz v. C &amp; P Shoe Corp., 336 F.2d 21, 25, 16 WH Cases 624, 629–30 (5th Cir. 1964) (determining that warehouse manager and assistant manager were not exempt where loading followed “last out, first in” order and only incidentally related to safety of vehicles).</w:t>
      </w:r>
    </w:p>
    <w:p w14:paraId="0000060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West Ky. Coal Co. v. Walling, 153 F.2d 582, 584, 5 WH Cases 880, 883 (6th Cir. 1946) (holding that employees who lifted packages to tailboard of truck and helped employees to “stack and pile” freight into vehicle were not exempt)</w:t>
      </w:r>
    </w:p>
  </w:footnote>
  <w:footnote w:id="434">
    <w:p w14:paraId="0000060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§782.5(c). </w:t>
      </w:r>
      <w:r>
        <w:rPr>
          <w:rFonts w:ascii="Times New Roman" w:eastAsia="Times New Roman" w:hAnsi="Times New Roman" w:cs="Times New Roman"/>
          <w:i/>
          <w:color w:val="000000"/>
          <w:sz w:val="20"/>
          <w:szCs w:val="20"/>
        </w:rPr>
        <w:t>See also</w:t>
      </w:r>
    </w:p>
    <w:p w14:paraId="0000060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Supreme Court: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Ispass</w:t>
      </w:r>
      <w:r>
        <w:rPr>
          <w:rFonts w:ascii="Times New Roman" w:eastAsia="Times New Roman" w:hAnsi="Times New Roman" w:cs="Times New Roman"/>
          <w:color w:val="000000"/>
          <w:sz w:val="20"/>
          <w:szCs w:val="20"/>
        </w:rPr>
        <w:t xml:space="preserve">, 330 U.S. at 708, 6 WH Cases at 753 (finding that substantial period of loaders’ time must be spent performing safety-affecting work to qualify for exemption); </w:t>
      </w:r>
      <w:r>
        <w:rPr>
          <w:rFonts w:ascii="Times New Roman" w:eastAsia="Times New Roman" w:hAnsi="Times New Roman" w:cs="Times New Roman"/>
          <w:i/>
          <w:color w:val="000000"/>
          <w:sz w:val="20"/>
          <w:szCs w:val="20"/>
        </w:rPr>
        <w:t>Levinson</w:t>
      </w:r>
      <w:r>
        <w:rPr>
          <w:rFonts w:ascii="Times New Roman" w:eastAsia="Times New Roman" w:hAnsi="Times New Roman" w:cs="Times New Roman"/>
          <w:color w:val="000000"/>
          <w:sz w:val="20"/>
          <w:szCs w:val="20"/>
        </w:rPr>
        <w:t xml:space="preserve">, 330 U.S. at 651, 6 WH Cases at 732 (same). </w:t>
      </w:r>
    </w:p>
    <w:p w14:paraId="0000060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Khan v. IBI Armored Servs., Inc., 474 F. Supp. 2d 448 (E.D.N.Y. 2007) (concluding that plaintiff did not meet motor carrier exemption where he spent 75% of his time inventorying valuables as they were removed from armored trucks and remainder of time loading pallets and bins to be placed on trucks by someone else).</w:t>
      </w:r>
    </w:p>
    <w:p w14:paraId="0000060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Troutt v. Stavola Bros., Inc., 905 F. Supp. 295, 2 WH Cases2d 1359, 1360–61 (M.D.N.C. 1995).</w:t>
      </w:r>
    </w:p>
    <w:p w14:paraId="0000060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Ninth Circuit:</w:t>
      </w:r>
      <w:r>
        <w:rPr>
          <w:rFonts w:ascii="Times New Roman" w:eastAsia="Times New Roman" w:hAnsi="Times New Roman" w:cs="Times New Roman"/>
          <w:color w:val="000000"/>
          <w:sz w:val="20"/>
          <w:szCs w:val="20"/>
        </w:rPr>
        <w:t xml:space="preserve"> Coast Van Lines v. Armstrong, 167 F.2d 705, 707, 7 WH Cases 969, 971 (9th Cir. 1948) (holding that employer had burden to prove quantum of employee activities that affected safety of operation).</w:t>
      </w:r>
    </w:p>
    <w:p w14:paraId="0000061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Tenth Circuit: </w:t>
      </w:r>
      <w:r>
        <w:rPr>
          <w:rFonts w:ascii="Times New Roman" w:eastAsia="Times New Roman" w:hAnsi="Times New Roman" w:cs="Times New Roman"/>
          <w:color w:val="000000"/>
          <w:sz w:val="20"/>
          <w:szCs w:val="20"/>
        </w:rPr>
        <w:t>Porter v. Poindexter, 158 F.2d 759, 761, 6 WH Cases 586, 588 (10th Cir. 1947) (ruling that duties of freight checker and bill collector did not qualify as loader activities under exemption)</w:t>
      </w:r>
    </w:p>
  </w:footnote>
  <w:footnote w:id="435">
    <w:p w14:paraId="0000061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Amaya v. NOYPI Movers, LLC, 741 F. App’x 203, 207 (5th Cir. 2018) (holding that triable issue of fact remained as to whether installers’ loading activities were too casual or occasional to quality them as loaders); Hopkins v. Texas Mast Climbers, LLC, 2005 WL 3435033 (S.D. Tex. Dec. 14, 2005) (finding that exemption did not apply where employee’s primary duty was to erect and dismantle scaffolding for construction projects, and employee rarely assisted with loading of equipment onto trucks but did so at direction of driver).</w:t>
      </w:r>
    </w:p>
  </w:footnote>
  <w:footnote w:id="436">
    <w:p w14:paraId="0000061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FLSA2001-9 (May 5, 2001).</w:t>
      </w:r>
    </w:p>
  </w:footnote>
  <w:footnote w:id="437">
    <w:p w14:paraId="0000061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438">
    <w:p w14:paraId="0000061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439">
    <w:p w14:paraId="0000061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(quoting 29 C.F.R. §782.5(c)).</w:t>
      </w:r>
    </w:p>
  </w:footnote>
  <w:footnote w:id="440">
    <w:p w14:paraId="0000061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§782.6(a).</w:t>
      </w:r>
    </w:p>
  </w:footnote>
  <w:footnote w:id="441">
    <w:p w14:paraId="0000061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 See also</w:t>
      </w:r>
    </w:p>
    <w:p w14:paraId="0000061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Third Circuit:</w:t>
      </w:r>
      <w:r>
        <w:rPr>
          <w:rFonts w:ascii="Times New Roman" w:eastAsia="Times New Roman" w:hAnsi="Times New Roman" w:cs="Times New Roman"/>
          <w:color w:val="000000"/>
          <w:sz w:val="20"/>
          <w:szCs w:val="20"/>
        </w:rPr>
        <w:t xml:space="preserve"> McComb v. New York &amp; New Brunswick Auto Express Co., 95 F. Supp. 636, 642, 9 WH Cases 379, 384 (D.N.J. 1950) (holding that although mechanic who filled oil, gas, and water did not qualify for exemption, mechanic’s helper who worked on truck bodies and fifth wheels did qualify).</w:t>
      </w:r>
    </w:p>
    <w:p w14:paraId="00000619" w14:textId="3CC525B5"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Cunningham v. Circle 8 Crane Servs., L.L.C., 64 F.4th 597 (5th Cir. 2023) (holding that MCA exemption applied to mechanics who repaired cranes </w:t>
      </w:r>
      <w:r w:rsidR="00A30023">
        <w:rPr>
          <w:rFonts w:ascii="Times New Roman" w:eastAsia="Times New Roman" w:hAnsi="Times New Roman" w:cs="Times New Roman"/>
          <w:color w:val="000000"/>
          <w:sz w:val="20"/>
          <w:szCs w:val="20"/>
        </w:rPr>
        <w:t>and</w:t>
      </w:r>
      <w:r>
        <w:rPr>
          <w:rFonts w:ascii="Times New Roman" w:eastAsia="Times New Roman" w:hAnsi="Times New Roman" w:cs="Times New Roman"/>
          <w:color w:val="000000"/>
          <w:sz w:val="20"/>
          <w:szCs w:val="20"/>
        </w:rPr>
        <w:t xml:space="preserve"> parts of the trucks attached to cranes including trucks’ horns, brakes, lights, wheels and axles); Wirtz v. Tyler Pipe &amp; Foundry Co., 369 F.2d 927, 930, 17 WH Cases 549, 551 (5th Cir. 1966) (holding that MCA exemption requires that repairs be to trucks operating in interstate commerce).</w:t>
      </w:r>
    </w:p>
    <w:p w14:paraId="0000061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Tobin v. Mason &amp; Dixon Lines, 102 F. Supp. 466, 470, 10 WH Cases 517, 518–19 (E.D. Tenn. 1951) (holding that where repairs took place in shop away from vehicle, mechanic did not qualify for exemption).</w:t>
      </w:r>
    </w:p>
    <w:p w14:paraId="0000061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Tenth Circuit:</w:t>
      </w:r>
      <w:r>
        <w:rPr>
          <w:rFonts w:ascii="Times New Roman" w:eastAsia="Times New Roman" w:hAnsi="Times New Roman" w:cs="Times New Roman"/>
          <w:color w:val="000000"/>
          <w:sz w:val="20"/>
          <w:szCs w:val="20"/>
        </w:rPr>
        <w:t xml:space="preserve"> Shultz v. Kelley, 431 F.2d 1364, 1371, 19 WH Cases 699, 704 (10th Cir. 1970) (holding that for MCA exemption to apply, repairs must affect safety of vehicle operating on highways); Buckner v. Voss Truck Lines, 92 F. Supp. 483, 487, 9 WH Cases 582, 585 (W.D. Okla. 1950) (finding that mechanics who overhauled/repaired glass, lights, fenders, and fifth wheels qualified for exemption).</w:t>
      </w:r>
    </w:p>
    <w:p w14:paraId="0000061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Williams v. R.W. Cannon, Inc., 2008 WL 4097613, at *12 (S.D. Fla. Sept. 4, 2008) (finding that mechanic was not exempt because he did not maintain safety of trucks, but rather simply reported to owner all concerns about conditions of trucks such as low air in tires)</w:t>
      </w:r>
    </w:p>
  </w:footnote>
  <w:footnote w:id="442">
    <w:p w14:paraId="0000061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§782.6(a) (citing cases).</w:t>
      </w:r>
    </w:p>
  </w:footnote>
  <w:footnote w:id="443">
    <w:p w14:paraId="0000061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444">
    <w:p w14:paraId="0000061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§24b02.</w:t>
      </w:r>
    </w:p>
  </w:footnote>
  <w:footnote w:id="445">
    <w:p w14:paraId="0000062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§782.6(b);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FOH §24b01.</w:t>
      </w:r>
    </w:p>
  </w:footnote>
  <w:footnote w:id="446">
    <w:p w14:paraId="0000062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§24b01(b).</w:t>
      </w:r>
    </w:p>
  </w:footnote>
  <w:footnote w:id="447">
    <w:p w14:paraId="0000062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§782.6(c)(1)–(3).</w:t>
      </w:r>
    </w:p>
  </w:footnote>
  <w:footnote w:id="448">
    <w:p w14:paraId="0000062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§782.6(c)(3); Tobin v. Mason &amp; Dixon Lines, 102 F. Supp. 466, 470, 10 WH Cases 517, 519 (E.D. Tenn. 1951) (holding that repairs done entirely away from vehicles did not qualify as exempt work of “mechanic”).</w:t>
      </w:r>
    </w:p>
  </w:footnote>
  <w:footnote w:id="449">
    <w:p w14:paraId="0000062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§782.6(c)(2) (stating that errors in judgment by dispatchers are not proximate causes of vehicle accidents, and that dispatchers engage in no activities that directly affect safety of operation of motor vehicles in interstate or foreign commerce).</w:t>
      </w:r>
    </w:p>
  </w:footnote>
  <w:footnote w:id="450">
    <w:p w14:paraId="0000062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2008 WL 4541017, at *7 (S.D. Fla. Oct. 8, 2008).</w:t>
      </w:r>
    </w:p>
  </w:footnote>
  <w:footnote w:id="451">
    <w:p w14:paraId="0000062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§782.7(a);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Herman v. Hector I. Nieves Transp., Inc., 244 F.3d 32, 34, 6 WH Cases2d 1441 (1st Cir. 2001) (ruling, in case of first impression, that motor carrier exemption did not apply to trucking company whose routes were entirely within boundaries of Puerto Rico and that Secretary of Transportation had no power to “establish qualifications and maximum hours of service pursuant to the provisions of [49 U.S.C. §31502]” for intra-island transportation).</w:t>
      </w:r>
    </w:p>
  </w:footnote>
  <w:footnote w:id="452">
    <w:p w14:paraId="0000062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§782.7(a).</w:t>
      </w:r>
    </w:p>
  </w:footnote>
  <w:footnote w:id="453">
    <w:p w14:paraId="0000062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Reich v. American Driver Serv., Inc., 33 F.3d 1153, 1157, 2 WH Cases2d 417, 419 (9th Cir. 1994) (reversing district court and finding that from beginning of each harvesting season and continuing until one of its drivers actually engaged in interstate commerce, defendant was not engaged in interstate commerce and thus not subject to jurisdiction of Secretary of Transportation; therefore, drivers were not covered by MCA exemption).</w:t>
      </w:r>
    </w:p>
  </w:footnote>
  <w:footnote w:id="454">
    <w:p w14:paraId="0000062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For a detailed discussion of individual coverage under the FLSA, see Chapter 4, Employer Coverage, §II [Individual Coverage].</w:t>
      </w:r>
    </w:p>
  </w:footnote>
  <w:footnote w:id="455">
    <w:p w14:paraId="0000062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§782.7(a);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Richardson v. James Gibbons Co., 132 F.2d 627, 630 (4th Cir.) (applying exemption to haulers of asphalt because employees drove product in interstate commerce, but not because of activity of constructing highway),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xml:space="preserve">, 319 U.S. 44, 2 WH Cases 72 (1942). </w:t>
      </w:r>
      <w:r>
        <w:rPr>
          <w:rFonts w:ascii="Times New Roman" w:eastAsia="Times New Roman" w:hAnsi="Times New Roman" w:cs="Times New Roman"/>
          <w:i/>
          <w:color w:val="000000"/>
          <w:sz w:val="20"/>
          <w:szCs w:val="20"/>
        </w:rPr>
        <w:t>See also</w:t>
      </w:r>
    </w:p>
    <w:p w14:paraId="0000062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Supreme Court:</w:t>
      </w:r>
      <w:r>
        <w:rPr>
          <w:rFonts w:ascii="Times New Roman" w:eastAsia="Times New Roman" w:hAnsi="Times New Roman" w:cs="Times New Roman"/>
          <w:color w:val="000000"/>
          <w:sz w:val="20"/>
          <w:szCs w:val="20"/>
        </w:rPr>
        <w:t xml:space="preserve"> Levinson v. Spector Motor Servs., 330 U.S. 649, 653, 6 WH Cases 731, 735 (1947) (holding that employees who qualified for coverage under MCA were not entitled to overtime).</w:t>
      </w:r>
    </w:p>
    <w:p w14:paraId="0000062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Thompson v. Daugherty, 40 F. Supp. 279, 282–83, 1 WH Cases 679, 684–85 (D. Md. 1941) (finding that contract mail carriers were covered by FLSA but not by MCA).</w:t>
      </w:r>
    </w:p>
    <w:p w14:paraId="0000062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Galbreath v. Gulf Oil Corp., 413 F.2d 941, 945, 19 WH Cases 66, 70 (5th Cir. 1969) (deeming that petroleum products moved on regular basis and not commingled or processed remained in interstate commerce and drivers who delivered such products were exempt).</w:t>
      </w:r>
    </w:p>
    <w:p w14:paraId="0000062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Secretary of Labor v. Timberline S., LLC, 925 F.3d 838 (6th Cir. 2019) (holding that exemption did not apply where defendant had no control over whether timber shipped across state lines); Baird v. Wagoner Transp. Co., 425 F.2d 407, 412, 19 WH Cases 450, 453 (6th Cir. 1970) (holding that exemption did not apply because petroleum products were no longer moving in interstate commerce when local drivers began delivery).</w:t>
      </w:r>
    </w:p>
    <w:p w14:paraId="0000062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Seventh Circuit:</w:t>
      </w:r>
      <w:r>
        <w:rPr>
          <w:rFonts w:ascii="Times New Roman" w:eastAsia="Times New Roman" w:hAnsi="Times New Roman" w:cs="Times New Roman"/>
          <w:color w:val="000000"/>
          <w:sz w:val="20"/>
          <w:szCs w:val="20"/>
        </w:rPr>
        <w:t xml:space="preserve"> Hager v. Brinks, Inc., 6 WH Cases 262, 263–64 (N.D. Ill. 1946) (explaining that situations may exist where employee was covered by FLSA but not MCA).</w:t>
      </w:r>
    </w:p>
    <w:p w14:paraId="0000063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Opinion Letters:</w:t>
      </w:r>
      <w:r>
        <w:rPr>
          <w:rFonts w:ascii="Times New Roman" w:eastAsia="Times New Roman" w:hAnsi="Times New Roman" w:cs="Times New Roman"/>
          <w:color w:val="000000"/>
          <w:sz w:val="20"/>
          <w:szCs w:val="20"/>
        </w:rPr>
        <w:t xml:space="preserve"> WH Op. FLSA2006-3 (Jan. 13, 2006) (observing that large beverage distributor qualified for motor carrier exemption where slightly less than half of beverages sold by distributor were from out of state); WH Op. Ltr., 1999 WL 1002402 (May 17, 1999) (holding that employer in business of repossessing leased and financed property from defaulting parties was entitled to exemption under §213(b)(1) where agents flew to locations where property was repossessed, picked up truck and collected property, and returned property to home office, doing approximately 90% of their work in field and crossing state lines routinely).</w:t>
      </w:r>
    </w:p>
    <w:p w14:paraId="0000063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But see</w:t>
      </w:r>
    </w:p>
    <w:p w14:paraId="0000063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James Gibbons Co.</w:t>
      </w:r>
      <w:r>
        <w:rPr>
          <w:rFonts w:ascii="Times New Roman" w:eastAsia="Times New Roman" w:hAnsi="Times New Roman" w:cs="Times New Roman"/>
          <w:color w:val="000000"/>
          <w:sz w:val="20"/>
          <w:szCs w:val="20"/>
        </w:rPr>
        <w:t>, 132 F.2d at 630, 2 WH Cases at 241 (finding that haulers of asphalt were covered by both FLSA and MCA).</w:t>
      </w:r>
    </w:p>
    <w:p w14:paraId="0000063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Mitchell v. Independent Ice &amp; Cold Storage Co., 294 F.2d 186, 189, 15 WH Cases 203, 206 (5th Cir. 1961) (determining that producers of ice for packing goods to be delivered in commerce were covered by FLSA but not by §213(b)(1)); American Fed’n of State, Cnty. &amp; Mun. Emps. v. Louisiana, 2001 WL 29999 (E.D. La. Jan. 9, 2001) (holding that plaintiff sergeant of Louisiana Department of Wildlife and Fisheries Covert Section of Enforcement Division, who occasionally drove to Mississippi to pretend he was legitimate seller or purchaser of fish and game illegally caught in State of Louisiana, was not exempt under §213(b)(1) because travel was primarily related to plaintiff’s duties as law enforcement officer and was not related to interstate commerce); Walton v. Louisiana Compressor Maint., 1997 WL 129393, 3 WH Cases2d 1630 (E.D. La. Mar. 19, 1997) (finding that repair technician required to transport equipment interstate was exempt).</w:t>
      </w:r>
    </w:p>
    <w:p w14:paraId="0000063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Seventh Circuit:</w:t>
      </w:r>
      <w:r>
        <w:rPr>
          <w:rFonts w:ascii="Times New Roman" w:eastAsia="Times New Roman" w:hAnsi="Times New Roman" w:cs="Times New Roman"/>
          <w:color w:val="000000"/>
          <w:sz w:val="20"/>
          <w:szCs w:val="20"/>
        </w:rPr>
        <w:t xml:space="preserve"> Cederblade v. Parmelee Transp. Co., 166 F.2d 554, 556–57, 7 WH Cases 751, 753 (7th Cir. 1948) (deeming transportation of goods delivered by rail to be covered by both FLSA and MCA).</w:t>
      </w:r>
    </w:p>
  </w:footnote>
  <w:footnote w:id="456">
    <w:p w14:paraId="0000063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§24c00(a).</w:t>
      </w:r>
    </w:p>
  </w:footnote>
  <w:footnote w:id="457">
    <w:p w14:paraId="0000063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§782.7(a); FOH §24c00(a). Under this enforcement policy, it will ordinarily be assumed by the WHD Administrator that the interstate commerce requirements of the §213(b)(1) exemption are satisfied where it appears that a motor carrier employee is engaged as a driver, driver’s helper, loader, or mechanic in transportation by motor vehicle that, although confined to a single state, is a part of an interstate movement of the goods or persons being transported.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458">
    <w:p w14:paraId="0000063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§782.7(b)(1); </w:t>
      </w:r>
      <w:r>
        <w:rPr>
          <w:rFonts w:ascii="Times New Roman" w:eastAsia="Times New Roman" w:hAnsi="Times New Roman" w:cs="Times New Roman"/>
          <w:i/>
          <w:color w:val="000000"/>
          <w:sz w:val="20"/>
          <w:szCs w:val="20"/>
        </w:rPr>
        <w:t>cf</w:t>
      </w:r>
      <w:r>
        <w:rPr>
          <w:rFonts w:ascii="Times New Roman" w:eastAsia="Times New Roman" w:hAnsi="Times New Roman" w:cs="Times New Roman"/>
          <w:color w:val="000000"/>
          <w:sz w:val="20"/>
          <w:szCs w:val="20"/>
        </w:rPr>
        <w:t>. Kautsch v. Premier Comm’cns, 502 F. Supp. 2d 1007 (W.D. Mo. 2007) (denying employer’s motion for summary judgment where plaintiffs did not use commercial vehicles as defined by SAFETEA-LU).</w:t>
      </w:r>
    </w:p>
  </w:footnote>
  <w:footnote w:id="459">
    <w:p w14:paraId="0000063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Ballou v. DET Distrib. Co., 2006 WL 2035729, 11 WH Cases2d 1188 (M.D. Tenn. July 17, 2006) (determining that employees who drove in interstate commerce on “as needed” basis were exempt under MCA because their licenses and driving activities were regulated by DOT safety regulations). </w:t>
      </w:r>
      <w:r>
        <w:rPr>
          <w:rFonts w:ascii="Times New Roman" w:eastAsia="Times New Roman" w:hAnsi="Times New Roman" w:cs="Times New Roman"/>
          <w:i/>
          <w:color w:val="000000"/>
          <w:sz w:val="20"/>
          <w:szCs w:val="20"/>
        </w:rPr>
        <w:t>See also</w:t>
      </w:r>
    </w:p>
    <w:p w14:paraId="0000063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Third Circuit: </w:t>
      </w:r>
      <w:r>
        <w:rPr>
          <w:rFonts w:ascii="Times New Roman" w:eastAsia="Times New Roman" w:hAnsi="Times New Roman" w:cs="Times New Roman"/>
          <w:color w:val="000000"/>
          <w:sz w:val="20"/>
          <w:szCs w:val="20"/>
        </w:rPr>
        <w:t>Resch v. Krapf’s Coaches, Inc., 785 F.3d 869 (3d Cir. 2015) (finding that drivers could reasonably expect to drive interstate where they trained on all available routes and employer retained discretion to assign them to interstate routes at any time and disciplined drivers who refused such routes).</w:t>
      </w:r>
    </w:p>
    <w:p w14:paraId="0000063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Roberts v. Cowan Distrib. Servs., LLC, 58 F. Supp. 3d 593 (E.D. Va. 2014) (finding that employer’s effort to comply with federal requirements, information conveyed from employer to employee, treatment of entire group of employees, and actual job performance of individual employee all played important role in determining whether employee had reasonable expectation to be called on to drive in interstate commerce).</w:t>
      </w:r>
    </w:p>
    <w:p w14:paraId="0000063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Allen v. Coil Tubing Servs., LLC, 755 F.3d 279 (5th Cir. 2014) (affirming district court’s decision to measure interstate activities of drivers by looking at companywide basis rather than employee-by-employee basis; some drivers’ engagement in interstate travel gave rise to reasonable expectation that other drivers might drive across state lines); Songer v. Dillon Res., Inc., 618 F.3d 467, 474 (5th Cir. 2010) (holding that drivers who had never traveled interstate during employment but could have been expected to drive in interstate commerce consistent with job duties were exempt from overtime under MCA exemption); Garza v. Smith Int’l, Inc., 2011 WL 835820 (S.D. Tex. Mar. 7, 2011) (relying on </w:t>
      </w:r>
      <w:r>
        <w:rPr>
          <w:rFonts w:ascii="Times New Roman" w:eastAsia="Times New Roman" w:hAnsi="Times New Roman" w:cs="Times New Roman"/>
          <w:i/>
          <w:color w:val="000000"/>
          <w:sz w:val="20"/>
          <w:szCs w:val="20"/>
        </w:rPr>
        <w:t>Songer</w:t>
      </w:r>
      <w:r>
        <w:rPr>
          <w:rFonts w:ascii="Times New Roman" w:eastAsia="Times New Roman" w:hAnsi="Times New Roman" w:cs="Times New Roman"/>
          <w:color w:val="000000"/>
          <w:sz w:val="20"/>
          <w:szCs w:val="20"/>
        </w:rPr>
        <w:t xml:space="preserve"> and finding that, regardless of whether they frequently drove commercial motor vehicles outside Texas, drivers were hired as employees who might be called on from time to time to perform safety-affecting activities of driver).</w:t>
      </w:r>
    </w:p>
    <w:p w14:paraId="0000063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Eighth Circuit:</w:t>
      </w:r>
      <w:r>
        <w:rPr>
          <w:rFonts w:ascii="Times New Roman" w:eastAsia="Times New Roman" w:hAnsi="Times New Roman" w:cs="Times New Roman"/>
          <w:color w:val="000000"/>
          <w:sz w:val="20"/>
          <w:szCs w:val="20"/>
        </w:rPr>
        <w:t xml:space="preserve"> Chao v. Gary Bauerly, LLC, 2005 WL 1923716 (D. Minn. 2005) (holding that reasonable expectation of driving in interstate commerce might be sufficient even if employee had not actually done so); Guyton v. Schwan Food Co., 2004 WL 533942 (D. Minn. Mar. 16, 2004) (finding that sales managers who only operated route delivery trucks when route managers were unavailable were exempt).</w:t>
      </w:r>
    </w:p>
    <w:p w14:paraId="0000063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Little v. Groome Transp. of Ga., Inc., 2008 WL 4280362, at *9 (N.D. Ga. Sept. 15, 2008) (holding that drivers were engaged in interstate ­transportation where they were advised they could be assigned any company route, which included routes across state lines)</w:t>
      </w:r>
    </w:p>
  </w:footnote>
  <w:footnote w:id="460">
    <w:p w14:paraId="0000063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Supreme Court:</w:t>
      </w:r>
      <w:r>
        <w:rPr>
          <w:rFonts w:ascii="Times New Roman" w:eastAsia="Times New Roman" w:hAnsi="Times New Roman" w:cs="Times New Roman"/>
          <w:color w:val="000000"/>
          <w:sz w:val="20"/>
          <w:szCs w:val="20"/>
        </w:rPr>
        <w:t xml:space="preserve"> Morris v. McComb, 332 U.S. 422, 433, 7 WH Cases at 430 (1947) (applying exemption where driver made one or more interstate trips each week); Levinson v. Spector Motor Serv., 330 U.S. 649, 651, 652, 6 WH Cases 731, 734 (1947) (applying exemption where some “terminal foreman” activities each workweek were devoted to direction of loading interstate motor freight carriers).</w:t>
      </w:r>
    </w:p>
    <w:p w14:paraId="0000063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Chaohui Tang v. Wing Keung Enters., Inc., 210 F. Supp. 3d 376 (E.D.N.Y. 2016) (applying week-by-week approach to determine whether employees were assigned to intrastate routes and determining that plaintiffs were not likely to be engaged in activities affecting safety of operations in interstate commerce during those periods).</w:t>
      </w:r>
    </w:p>
    <w:p w14:paraId="0000064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Richardson v. James Gibbons Co., 132 F.2d 627, 630, 2 WH Cases 238, 240 (4th Cir.) (applying exemption where part of workweek required hauling in interstate commerce),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319 U.S. 44, 2 WH Cases 72 (1942).</w:t>
      </w:r>
    </w:p>
    <w:p w14:paraId="0000064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Eighth Circuit:</w:t>
      </w:r>
      <w:r>
        <w:rPr>
          <w:rFonts w:ascii="Times New Roman" w:eastAsia="Times New Roman" w:hAnsi="Times New Roman" w:cs="Times New Roman"/>
          <w:color w:val="000000"/>
          <w:sz w:val="20"/>
          <w:szCs w:val="20"/>
        </w:rPr>
        <w:t xml:space="preserve"> Alexander v. Tutle &amp; Tutle Trucking, Inc., 834 F.3d 866 (8th Cir. 2016) (holding that drivers had sufficient connection to interstate commerce where they spent majority of their time driving within Arkansas, because drivers were subject to being assigned interstate trip at any time, and 9 of 11 plaintiffs drove at least one interstate route during relevant time period); King v. Asset Appraisal Servs., Inc., 470 F. Supp. 2d 1025, 1032 (D. Neb. 2006) (holding that exemption did not apply on week-by-week basis due to MCA’s safety requirement, which emphasizes “the effect of the duties on safety operation rather than the proportion of time spent in doing those activities”).</w:t>
      </w:r>
    </w:p>
    <w:p w14:paraId="0000064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Crooker v. Sexton Motors, 469 F.2d 206, 211, 20 WH Cases 963, 966 (1st Cir. 1972) (finding that failure to operate truck in interstate or foreign commerce in any week precluded application of exemption and entitled driver to overtime pay)</w:t>
      </w:r>
    </w:p>
  </w:footnote>
  <w:footnote w:id="461">
    <w:p w14:paraId="0000064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Coleman v. Jiffy June Farms, 324 F. Supp. 664, 668, 19 WH Cases 927, 931 (S.D. Ala. 1970) (finding that minimal interstate activity did not have character of safety-affecting nature),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xml:space="preserve">, 458 F.2d 1139, 20 WH Cases 321 (5th Cir. 1972). </w:t>
      </w:r>
      <w:r>
        <w:rPr>
          <w:rFonts w:ascii="Times New Roman" w:eastAsia="Times New Roman" w:hAnsi="Times New Roman" w:cs="Times New Roman"/>
          <w:i/>
          <w:color w:val="000000"/>
          <w:sz w:val="20"/>
          <w:szCs w:val="20"/>
        </w:rPr>
        <w:t>See also</w:t>
      </w:r>
    </w:p>
    <w:p w14:paraId="0000064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Griffin v. Consolidated Foods Corp., 771 F.2d 826, 828, 829, 27 WH Cases 533, 534 (4th Cir. 1985) (determining that, where sales routes were indiscriminately assigned and some routes crossed state lines, all route delivery employees were “in interstate commerce”).</w:t>
      </w:r>
    </w:p>
    <w:p w14:paraId="0000064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Fifth Circuit: </w:t>
      </w:r>
      <w:r>
        <w:rPr>
          <w:rFonts w:ascii="Times New Roman" w:eastAsia="Times New Roman" w:hAnsi="Times New Roman" w:cs="Times New Roman"/>
          <w:color w:val="000000"/>
          <w:sz w:val="20"/>
          <w:szCs w:val="20"/>
        </w:rPr>
        <w:t>Olibas v. Barclay, 838 F.3d 442 (5th Cir. 2016) (holding that substantial evidence supported jury’s finding as to inapplicability of MCA exemption where employer was unable to produce any documentary evidence conclusively showing interstate travel by driver); Kline v. Wirtz, 373 F.2d 281, 282, 17 WH Cases 94, 96 (5th Cir. 1967) (holding that cessation of interstate movement resulted in loss of exemption for local drivers); Shew v. Southland Corp., 370 F.2d 376, 380, 17 WH Cases 552, 555 (5th Cir. 1966) (finding that substantial movement of commodities in interstate commerce resulted in coverage under MCA).</w:t>
      </w:r>
    </w:p>
    <w:p w14:paraId="0000064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Seventh Circuit:</w:t>
      </w:r>
      <w:r>
        <w:rPr>
          <w:rFonts w:ascii="Times New Roman" w:eastAsia="Times New Roman" w:hAnsi="Times New Roman" w:cs="Times New Roman"/>
          <w:color w:val="000000"/>
          <w:sz w:val="20"/>
          <w:szCs w:val="20"/>
        </w:rPr>
        <w:t xml:space="preserve"> Turk v. Buffets, Inc., 940 F. Supp. 1255, 3 WH Cases2d 867 (N.D. Ill. 1996) (applying motor carrier exemption to restaurant service technicians even though interstate driving consumed less of their time than did other duties).</w:t>
      </w:r>
    </w:p>
    <w:p w14:paraId="0000064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Quartararo v. J. Kings Food Serv. Prof’ls, Inc., 2021 BL 120250, 2021 WL 1209716, at *11–12 (E.D.N.Y. Mar. 31, 2021) (denying application of exemption on summary judgment where employer did not assign interstate routes indiscriminately such that pool of drivers could expect to be assigned interstate routes at any time). </w:t>
      </w:r>
    </w:p>
  </w:footnote>
  <w:footnote w:id="462">
    <w:p w14:paraId="0000064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§782.7(b)(2) (citing Ex parte No. MC-48, Determination of Jurisdiction Over Transp. of Petroleum Prods. by Motor Carriers Within Single State, 71 M.C.C. 17, 29 (1957)).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Baird v. Wagoner Transp. Co., 425 F.2d 407 (6th Cir. 1970).</w:t>
      </w:r>
    </w:p>
  </w:footnote>
  <w:footnote w:id="463">
    <w:p w14:paraId="0000064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ICC Policy Statement, Motor Carrier Interstate Transportation: From Out-of-State Through Warehouses to Points in Same State, Ex Parte No. MC-207, 57 Fed. Reg. 19,812 (May 8, 1992).</w:t>
      </w:r>
    </w:p>
  </w:footnote>
  <w:footnote w:id="464">
    <w:p w14:paraId="0000064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57 Fed. Reg. at 19,813.</w:t>
      </w:r>
    </w:p>
  </w:footnote>
  <w:footnote w:id="465">
    <w:p w14:paraId="0000064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466">
    <w:p w14:paraId="0000064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FLSA2005-10 (Jan. 11, 2005).</w:t>
      </w:r>
    </w:p>
  </w:footnote>
  <w:footnote w:id="467">
    <w:p w14:paraId="0000064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(citing Martin v. Coyne Int’l Enters., Inc., 966 F.2d 61 (2d Cir. 1992)).</w:t>
      </w:r>
    </w:p>
  </w:footnote>
  <w:footnote w:id="468">
    <w:p w14:paraId="0000064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(noting that specific criteria in 29 C.F.R. §782.7(b)(2) have been supplemented for specific situations by more recent interpretation from DOT).</w:t>
      </w:r>
    </w:p>
  </w:footnote>
  <w:footnote w:id="469">
    <w:p w14:paraId="0000064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Ehrlich v. Rich Prods. Corp., 767 F. App’x 845, 848–50 (11th Cir. 2019) (holding that defendant intended continuity of product movement and maintained control over product, rejecting plaintiffs’ argument that storage of product in third-party warehouse interrupted stream of commerce); Billings v. Rolling Frito-Lay Sales, L.P., 413 F. Supp. 2d 817 (S.D. Tex. 2006) (“totality of the circumstances” test best summarized in DOT’s Policy Statement of 1992).</w:t>
      </w:r>
    </w:p>
  </w:footnote>
  <w:footnote w:id="470">
    <w:p w14:paraId="0000065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Collins v. Heritage Wine Cellars, Ltd., 589 F.3d 895, 899–901 (7th Cir. 2009) (applying four criteria from 1992 DOT Policy Statement while criticizing test’s overall approach).</w:t>
      </w:r>
    </w:p>
  </w:footnote>
  <w:footnote w:id="471">
    <w:p w14:paraId="0000065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p>
    <w:p w14:paraId="0000065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Third Circuit:</w:t>
      </w:r>
      <w:r>
        <w:rPr>
          <w:rFonts w:ascii="Times New Roman" w:eastAsia="Times New Roman" w:hAnsi="Times New Roman" w:cs="Times New Roman"/>
          <w:color w:val="000000"/>
          <w:sz w:val="20"/>
          <w:szCs w:val="20"/>
        </w:rPr>
        <w:t xml:space="preserve"> Atlantic Indep. Union v. Sunoco, Inc., 2004 WL 1368808, at *7–8 (E.D. Pa. June 16, 2004) (many reasons compel application of more recent test delineated by DOT).</w:t>
      </w:r>
    </w:p>
    <w:p w14:paraId="0000065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Veney v. John W. Clarke, Inc., 28 F. Supp. 3d 435, 442 (D. Md. 2014) (citing DOT Policy Statement, court found that defendants’ evidence fell far short of establishing “fixed and persisting intent” that trash and recyclables they transported to dumping facilities in Maryland were to be delivered to destination outside of Maryland, relying largely on case law to reach conclusion).</w:t>
      </w:r>
    </w:p>
    <w:p w14:paraId="0000065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Billings</w:t>
      </w:r>
      <w:r>
        <w:rPr>
          <w:rFonts w:ascii="Times New Roman" w:eastAsia="Times New Roman" w:hAnsi="Times New Roman" w:cs="Times New Roman"/>
          <w:color w:val="000000"/>
          <w:sz w:val="20"/>
          <w:szCs w:val="20"/>
        </w:rPr>
        <w:t>, 413 F. Supp. 2d 817 (holding that delivery methods utilized by Frito-Lay met all but one of DOT Policy Statement factors).</w:t>
      </w:r>
    </w:p>
    <w:p w14:paraId="0000065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Finn v. Dean Transp., Inc., 53 F. Supp. 3d 1043, 1055 (S.D. Ohio 2014) (agreeing with </w:t>
      </w:r>
      <w:r>
        <w:rPr>
          <w:rFonts w:ascii="Times New Roman" w:eastAsia="Times New Roman" w:hAnsi="Times New Roman" w:cs="Times New Roman"/>
          <w:i/>
          <w:color w:val="000000"/>
          <w:sz w:val="20"/>
          <w:szCs w:val="20"/>
        </w:rPr>
        <w:t>Musarra v</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Digital Dish, Inc</w:t>
      </w:r>
      <w:r>
        <w:rPr>
          <w:rFonts w:ascii="Times New Roman" w:eastAsia="Times New Roman" w:hAnsi="Times New Roman" w:cs="Times New Roman"/>
          <w:color w:val="000000"/>
          <w:sz w:val="20"/>
          <w:szCs w:val="20"/>
        </w:rPr>
        <w:t>. that “in the face of modern advancements and new shipping techniques, MC-48 is no longer sufficient to determine a shipper’s intent accurately”; applying ICC Policy Statement, Motor Carrier Interstate Transportation: From Out-of-State Through Warehouses to Points in Same State, Ex Parte No. MC-207, 57 Fed. Reg. 19,812 (May 8, 1992), standard, court found that driver transported dairy products in interstate commerce); Musarra v. Digital Dish, Inc., 454 F. Supp. 2d 692, 723 (S.D. Ohio 2006) (finding that delivery methods employed by DISH Network and Digital Dish met most of DOT’s seven criteria).</w:t>
      </w:r>
    </w:p>
    <w:p w14:paraId="0000065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Seventh Circuit:</w:t>
      </w:r>
      <w:r>
        <w:rPr>
          <w:rFonts w:ascii="Times New Roman" w:eastAsia="Times New Roman" w:hAnsi="Times New Roman" w:cs="Times New Roman"/>
          <w:color w:val="000000"/>
          <w:sz w:val="20"/>
          <w:szCs w:val="20"/>
        </w:rPr>
        <w:t xml:space="preserve"> Craft v. Ray’s, LLC, 2009 WL 3163148, at *7 (S.D. Ind. Sept. 29, 2009) (applying test in DOT’s 1992 Policy Statement to find that defendants were entitled to summary judgment as matter of law).</w:t>
      </w:r>
    </w:p>
    <w:p w14:paraId="0000065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Ninth Circuit:</w:t>
      </w:r>
      <w:r>
        <w:rPr>
          <w:rFonts w:ascii="Times New Roman" w:eastAsia="Times New Roman" w:hAnsi="Times New Roman" w:cs="Times New Roman"/>
          <w:color w:val="000000"/>
          <w:sz w:val="20"/>
          <w:szCs w:val="20"/>
        </w:rPr>
        <w:t xml:space="preserve"> Montoya v. 3PD, Inc., 2015 WL 1469752 (D. Ariz. Mar. 31, 2015) (following reasoning in </w:t>
      </w:r>
      <w:r>
        <w:rPr>
          <w:rFonts w:ascii="Times New Roman" w:eastAsia="Times New Roman" w:hAnsi="Times New Roman" w:cs="Times New Roman"/>
          <w:i/>
          <w:color w:val="000000"/>
          <w:sz w:val="20"/>
          <w:szCs w:val="20"/>
        </w:rPr>
        <w:t>Ruiz v</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Affinity Logistics Corp</w:t>
      </w:r>
      <w:r>
        <w:rPr>
          <w:rFonts w:ascii="Times New Roman" w:eastAsia="Times New Roman" w:hAnsi="Times New Roman" w:cs="Times New Roman"/>
          <w:color w:val="000000"/>
          <w:sz w:val="20"/>
          <w:szCs w:val="20"/>
        </w:rPr>
        <w:t>., court applied seven factors in DOT Policy Statement to find that plaintiffs engaged in interstate commerce); Ruiz v. Affinity Logistics Corp.,</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2006 WL 3712942, at *11 (S.D. Cal. Nov. 9, 2006) (applying test in DOT’s 1992 Policy Statement over test in 29 C.F.R. §782.7(b)(2) to find that defendant met burden of showing “fixed and persistent intent” to ship products in interstate commerce).</w:t>
      </w:r>
    </w:p>
    <w:p w14:paraId="0000065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Williams v. Kenco Logistic Servs., Inc., 2010 WL 2670852 (M.D. Fla. July 2, 2010) (applying factors set forth in 1992 DOT Policy Statement, court held that Whirlpool met burden of establishing intent that stay at distribution center did not interrupt journey of appliances in interstate commerce).</w:t>
      </w:r>
    </w:p>
    <w:p w14:paraId="0000065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But see </w:t>
      </w:r>
      <w:r>
        <w:rPr>
          <w:rFonts w:ascii="Times New Roman" w:eastAsia="Times New Roman" w:hAnsi="Times New Roman" w:cs="Times New Roman"/>
          <w:color w:val="000000"/>
          <w:sz w:val="20"/>
          <w:szCs w:val="20"/>
        </w:rPr>
        <w:t>Mena v. McArthur Dairy, LLC, 352 F. App’x 303, 307 (11th Cir. 2009) (affirming summary judgment for defendants by applying “totality of circumstances” test without reference to DOT’s 1992 Policy Statement test)</w:t>
      </w:r>
    </w:p>
  </w:footnote>
  <w:footnote w:id="472">
    <w:p w14:paraId="0000065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§782.7(b)(1) (citing cases). </w:t>
      </w:r>
      <w:r>
        <w:rPr>
          <w:rFonts w:ascii="Times New Roman" w:eastAsia="Times New Roman" w:hAnsi="Times New Roman" w:cs="Times New Roman"/>
          <w:i/>
          <w:color w:val="000000"/>
          <w:sz w:val="20"/>
          <w:szCs w:val="20"/>
        </w:rPr>
        <w:t>See also</w:t>
      </w:r>
    </w:p>
    <w:p w14:paraId="0000065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First Circuit:</w:t>
      </w:r>
      <w:r>
        <w:rPr>
          <w:rFonts w:ascii="Times New Roman" w:eastAsia="Times New Roman" w:hAnsi="Times New Roman" w:cs="Times New Roman"/>
          <w:color w:val="000000"/>
          <w:sz w:val="20"/>
          <w:szCs w:val="20"/>
        </w:rPr>
        <w:t xml:space="preserve"> Noll v. Flowers Foods Inc., 442 F. Supp. 3d 345 (D. Me. 2020) (finding where shipper has fixed and persistent intent to transport products interstate to fulfill existing orders of identifiable customers, employees who drive intrastate legs of journey in commercial vehicles are subject to MCA).</w:t>
      </w:r>
    </w:p>
    <w:p w14:paraId="0000065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Kennedy v. Equity Transp. Co., Inc., 663 F. App’x 38 (2d Cir. 2016) (affirming lower court and holding that even if driver does not transport across state lines, interstate commerce requirement is satisfied if goods that are transported within borders of one state are involved in practical continuity of movement in flow of interstate commerce); Bilyou v. Dutchess Beer Distribs., Inc., 300 F.3d 217, 223 (2d Cir. 2002) (interstate commerce present when “the property is carried to a selected destination for out of state travel”); McGuiggan v. CPC Int’l, Inc., 84 F. Supp. 2d 470, 7 WH Cases2d 1366 (S.D.N.Y. 2000) (finding that distributors who picked up baked goods in same state where they delivered goods were nonetheless subject to regulation by DOT where goods being delivered were baked in another state).</w:t>
      </w:r>
    </w:p>
    <w:p w14:paraId="0000065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Third Circuit:</w:t>
      </w:r>
      <w:r>
        <w:rPr>
          <w:rFonts w:ascii="Times New Roman" w:eastAsia="Times New Roman" w:hAnsi="Times New Roman" w:cs="Times New Roman"/>
          <w:color w:val="000000"/>
          <w:sz w:val="20"/>
          <w:szCs w:val="20"/>
        </w:rPr>
        <w:t xml:space="preserve"> Friedrich v. U.S. Computer Servs., 974 F.2d 409, 419 (3d Cir. 1992) (holding that computer repairmen who used vans to deliver supplies to carry out repairs at clients’ places of business were covered by exemption); Walling v. American Stores Co., 133 F.2d 840, 844, 3 WH Cases 52, 57 (3d Cir. 1943) (determining that warehouse where retail goods were stored until shipment to retail stores did not break movement in interstate commerce); Badgett v. Rent-Way, Inc.,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350 F. Supp. 2d 642 (W.D. Pa. 2004) (defendant produced evidence that it occasionally filled special order for customers from merchandise supplied by out-of-state vendors); Atlantic Indep. Union v. SUNOCO, Inc</w:t>
      </w:r>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2004 WL 1368808 (E.D. Pa. June 16, 2004) (because defendant determined how much product to ship via pipeline and when to ship it based on customer demand projections that took into consideration historical need and anticipated weather projections, these factors among others indicated that there was continuity of movement from out-of-state location to ultimate destination).</w:t>
      </w:r>
    </w:p>
    <w:p w14:paraId="2EC13AD6" w14:textId="252ACDE8" w:rsidR="00A30023" w:rsidRPr="00A30023" w:rsidRDefault="00A30023">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iCs/>
          <w:color w:val="000000"/>
          <w:sz w:val="20"/>
          <w:szCs w:val="20"/>
        </w:rPr>
        <w:t>Fourth Circuit:</w:t>
      </w:r>
      <w:r>
        <w:rPr>
          <w:rFonts w:ascii="Times New Roman" w:eastAsia="Times New Roman" w:hAnsi="Times New Roman" w:cs="Times New Roman"/>
          <w:color w:val="000000"/>
          <w:sz w:val="20"/>
          <w:szCs w:val="20"/>
        </w:rPr>
        <w:t xml:space="preserve"> </w:t>
      </w:r>
      <w:r w:rsidRPr="00A30023">
        <w:rPr>
          <w:rFonts w:ascii="Times New Roman" w:eastAsia="Times New Roman" w:hAnsi="Times New Roman" w:cs="Times New Roman"/>
          <w:color w:val="000000"/>
          <w:sz w:val="20"/>
          <w:szCs w:val="20"/>
        </w:rPr>
        <w:t>Haynes v. S. Carolina Waste LLC, 633 F. Supp. 3d 769 (D.S.C. 2022) (holding MCA inapplicable where waste hauling truckers were involved in wholly intrastate activity and defendant had no intent for items shipped to enter interstate commerce)</w:t>
      </w:r>
      <w:r>
        <w:rPr>
          <w:rFonts w:ascii="Times New Roman" w:eastAsia="Times New Roman" w:hAnsi="Times New Roman" w:cs="Times New Roman"/>
          <w:color w:val="000000"/>
          <w:sz w:val="20"/>
          <w:szCs w:val="20"/>
        </w:rPr>
        <w:t>.</w:t>
      </w:r>
    </w:p>
    <w:p w14:paraId="0000065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Olibas v. Barclay, 838 F.3d 442 (5th Cir. 2016) (holding that substantial evidence supported jury’s finding as to inapplicability of MCA exemption where employer was unable to produce any documentary evidence, such as customer orders, to support interstate commerce); Shew v. Southland Corp., 370 F.2d 376, 380 (5th Cir. 1966); Opelika Royal Crown Bottling Co. v. Goldberg, 299 F.2d 37 (5th Cir. 1962) (holding that although employees themselves traveled only intrastate, cargo being transported was destined for neighboring state and therefore drivers were exempt from overtime under §213(b)(1)); Vallejo v. Garda CL Sw., Inc., 56 F. Supp. 3d 862 (S.D. Tex. 2014) (finding that because regular course of plaintiffs’ duties as armored car drivers/messengers/guards was to engage in transport of checks and currency from retailers and automated teller machines to financial institutions, those activities formed part of practical continuity of movement across state lines); Billings v. Rolling Frito-Lay Sales, LP, 413 F. Supp. 2d 817 (S.D. Tex. 2006) (holding that route salespersons delivering snack foods from Frito-Lay–owned distribution center to local retailers were engaged in interstate commerce); Pearse v. Interstate Brands Corp., 2 WH Cases2d 1402, 1405–06 (E.D. La. 1995) (holding that employer was not entitled to summary judgment with respect to route salesman’s overtime claim, even though 14–22% of products handled and sold had been produced outside of state, where salesman claimed he never traveled across state lines); Barefoot v. Mid-America Dairymen, 826 F. Supp. 1046, 1049, 1 WH Cases2d 924, 925 (N.D. Tex. 1993) (deeming that temporary storage of unprocessed milk in silos for shipment to customers outside of state was not sufficient break in flow of commerce to warrant application of FLSA to drivers).</w:t>
      </w:r>
    </w:p>
    <w:p w14:paraId="0000065F" w14:textId="450DA2A6"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Secretary of Labor v. Timberline S., LLC, 925 F.3d 838 (6th Cir. 2019) (absent evidence that drivers transported goods as part of practical continuity of movement in interstate commerce, MCA exemption did not apply); Baird v. Wagoner Transp. Co., 425 F.2d 407, 410 (6th Cir. 1970) (holding that because (1) “specific quantity” to be shipped to given destination was not fixed at time of shipment to terminal storage; (2) goods at terminal were inventory-in-store for actual orders to be placed by Standard’s customers; and (3) no portion of any of products shipped had been allocated before they arrived in Muskegon terminal, in-state transportation did not have interstate continuity). </w:t>
      </w:r>
    </w:p>
    <w:p w14:paraId="0000066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Seventh Circuit:</w:t>
      </w:r>
      <w:r>
        <w:rPr>
          <w:rFonts w:ascii="Times New Roman" w:eastAsia="Times New Roman" w:hAnsi="Times New Roman" w:cs="Times New Roman"/>
          <w:color w:val="000000"/>
          <w:sz w:val="20"/>
          <w:szCs w:val="20"/>
        </w:rPr>
        <w:t xml:space="preserve"> Jones v. Centurion Inv. Assocs., Inc., 268 F. Supp. 2d 1004 (N.D. Ill. 2003) (holding that drivers who delivered bread products on plastic delivery trays from warehouse to customers in state still were exempt where plastic delivery trays returned to bakery out of state); Barron v. Lee Enters., Inc., 183 F. Supp. 2d 1077 (C.D. Ill. 2002) (holding that drivers who delivered newspapers on daily basis that included preprinted and dated supplements shipped to employer by paying advertisers were engaged in “interstate commerce”).</w:t>
      </w:r>
    </w:p>
    <w:p w14:paraId="0000066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Eighth Circuit:</w:t>
      </w:r>
      <w:r>
        <w:rPr>
          <w:rFonts w:ascii="Times New Roman" w:eastAsia="Times New Roman" w:hAnsi="Times New Roman" w:cs="Times New Roman"/>
          <w:color w:val="000000"/>
          <w:sz w:val="20"/>
          <w:szCs w:val="20"/>
        </w:rPr>
        <w:t xml:space="preserve"> Walling v. Mutual Wholesale Food &amp; Supply Co.,</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141 F.2d 331, 334, 4 WH Cases 277, 285 (8th Cir. 1944) (finding that goods stored temporarily in warehouse for distribution to chain of grocery stores remained in interstate commerce); Guyton v. Schwan Food Co., 2004 WL 533942 (D. Minn. Mar. 16, 2004) (holding that defendant had fixed and persisting intent to ship its products beyond its in-state depots).</w:t>
      </w:r>
    </w:p>
    <w:p w14:paraId="0000066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Ninth Circuit:</w:t>
      </w:r>
      <w:r>
        <w:rPr>
          <w:rFonts w:ascii="Times New Roman" w:eastAsia="Times New Roman" w:hAnsi="Times New Roman" w:cs="Times New Roman"/>
          <w:color w:val="000000"/>
          <w:sz w:val="20"/>
          <w:szCs w:val="20"/>
        </w:rPr>
        <w:t xml:space="preserve"> Watkins v. Ameripride Servs., 375 F.3d 821 (9th Cir. 2004) (holding that because intrastate warehouse was only designated destination at time of shipment from out of state to in state for future delivery to customers yet to be identified, there was pause in practical continuity of movement and commerce was intrastate); Reich v. American Driver Serv., Inc., 33 F.3d 1153, 1155 n.3 (9th Cir. 1994) (wholly intrastate commerce satisfies interstate requirement when part of “continuing transportation”).</w:t>
      </w:r>
    </w:p>
    <w:p w14:paraId="0000066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Tenth Circuit:</w:t>
      </w:r>
      <w:r>
        <w:rPr>
          <w:rFonts w:ascii="Times New Roman" w:eastAsia="Times New Roman" w:hAnsi="Times New Roman" w:cs="Times New Roman"/>
          <w:color w:val="000000"/>
          <w:sz w:val="20"/>
          <w:szCs w:val="20"/>
        </w:rPr>
        <w:t xml:space="preserve"> Compton v. Rent-A-Center, Inc., 2008 WL 4899221, at *7 (W.D. Okla. Nov. 12, 2008),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350 F. App’x 216 (10th Cir. 2009) (furniture and appliances shipped from out of state to particular store where order originated and plaintiff delivered items intrastate in company truck; exemption applied because goods moved in interstate commerce); Foxworthy v. Hiland Dairy Co., 997 F.2d 670, 672 (10th Cir. 1993) (“Transportation within a single state may remain ‘interstate’ in character when it forms a part of a ‘practical continuity of movement’ across state lines from the point of origin to the point of destination.”).</w:t>
      </w:r>
    </w:p>
    <w:p w14:paraId="0000066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Abel v. Southern Shuttle Servs., Inc., 631 F.3d 1210, 1217 (11th Cir. 2011) (“Southern Shuttle’s local transport of these package-deal travelers has a ‘practical continuity of movement’ with the overall interstate journey.”); Walters v. American Coach Lines of Miami, Inc., 575 F.3d 1221 (11th Cir. 2009) (holding that passengers on “through ticketing arrangement” for airport to seaport routes shared practical continuity of movement with interstate or international travel of cruise lines); Baez v. Wells Fargo Armored Serv. Corp., 938 F.2d 180, 181–82 (11th Cir. 1991); Williams v. Kenco Logistic Servs., Inc., 2010 WL 2670852 (M.D. Fla. July 2, 2010) (holding that Whirlpool appliances’ stay at regional distribution center did not interrupt journey of appliances in interstate commerce); Hernandez v. Brink’s, Inc., 2009 WL 113406, at *3 (S.D. Fla. Jan. 15, 2009) (holding that defendant met interstate commerce requirement even though plaintiffs did not engage in interstate travel because plaintiffs transported checks and other property destined at time of shipment for delivery to specific locations out of state); McIntyre v. FLX of Miami, Inc., 2008 WL 4541017, at *5 (S.D. Fla. Oct. 8, 2008) (finding that defendant’s secretary and president attested to fact that defendant’s deliveries within Florida completed deliveries in Florida of shipments from another state or completed deliveries originating in Florida to travel outside Florida); Alvarado v. I.G.W.T. Delivery Sys., Inc., 410 F. Supp. 2d 1272, 1277 (S.D. Fla. 2006) (holding that drivers played key intermediary role in fulfillment of preexisting orders by delivering letters and packages to and from DHL terminal for travel to ultimate interstate or international destination)</w:t>
      </w:r>
    </w:p>
  </w:footnote>
  <w:footnote w:id="473">
    <w:p w14:paraId="0000066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Bilyou</w:t>
      </w:r>
      <w:r>
        <w:rPr>
          <w:rFonts w:ascii="Times New Roman" w:eastAsia="Times New Roman" w:hAnsi="Times New Roman" w:cs="Times New Roman"/>
          <w:color w:val="000000"/>
          <w:sz w:val="20"/>
          <w:szCs w:val="20"/>
        </w:rPr>
        <w:t>, 300 F.3d at 225 (pick-up of empty containers destined for out-of-state bottling facilities and delivery to in-state storage facility was found to be “interstate commerce”).</w:t>
      </w:r>
    </w:p>
    <w:p w14:paraId="0000066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Third Circuit:</w:t>
      </w:r>
      <w:r>
        <w:rPr>
          <w:rFonts w:ascii="Times New Roman" w:eastAsia="Times New Roman" w:hAnsi="Times New Roman" w:cs="Times New Roman"/>
          <w:color w:val="000000"/>
          <w:sz w:val="20"/>
          <w:szCs w:val="20"/>
        </w:rPr>
        <w:t xml:space="preserve"> Green v. Lazer Spot, Inc., 2021 BL 488333, 2021 WL 6063590, at *2–5 (M.D. Pa. Dec. 22, 2021) (yard jockey who moved loaded and empty trailers in and out of loading bays and occasionally over public roads served as intrastate step of a larger interstate journey, thereby participating in interstate commerce).</w:t>
      </w:r>
    </w:p>
    <w:p w14:paraId="0000066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Opelika Royal Crown Bottling Co. v. Goldberg, 299 F.2d 37, 42–43, 15 WH Cases 321 (5th Cir. 1962) (distributor’s pick-up and return of empties to out-of-state brewery was part of interstate movement of goods, where it was clear from moment of pick-up that empties had intended final destination to specific out-of-state brewery).</w:t>
      </w:r>
    </w:p>
    <w:p w14:paraId="0000066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Seventh Circuit:</w:t>
      </w:r>
      <w:r>
        <w:rPr>
          <w:rFonts w:ascii="Times New Roman" w:eastAsia="Times New Roman" w:hAnsi="Times New Roman" w:cs="Times New Roman"/>
          <w:color w:val="000000"/>
          <w:sz w:val="20"/>
          <w:szCs w:val="20"/>
        </w:rPr>
        <w:t xml:space="preserve"> Burlaka v. Contract Transp. Servs. LLC, 971 F.3d 718 (7th Cir. 2020) (spotters who drove loaded or empty trailers intrastate between corrugated box facilities, warehouses, and loading docks participated in goods’ interstate journey); </w:t>
      </w:r>
      <w:r>
        <w:rPr>
          <w:rFonts w:ascii="Times New Roman" w:eastAsia="Times New Roman" w:hAnsi="Times New Roman" w:cs="Times New Roman"/>
          <w:i/>
          <w:color w:val="000000"/>
          <w:sz w:val="20"/>
          <w:szCs w:val="20"/>
        </w:rPr>
        <w:t>Jones</w:t>
      </w:r>
      <w:r>
        <w:rPr>
          <w:rFonts w:ascii="Times New Roman" w:eastAsia="Times New Roman" w:hAnsi="Times New Roman" w:cs="Times New Roman"/>
          <w:color w:val="000000"/>
          <w:sz w:val="20"/>
          <w:szCs w:val="20"/>
        </w:rPr>
        <w:t>, 268 F. Supp. 2d 1004, 1009 (“defendant’s bread and trays were shipped from the Indiana bakery to Illinois stores and in the case of the trays, back to Indiana, in a ‘practical continuity of movement’ so as to constitute transportation in interstate commerce”).</w:t>
      </w:r>
    </w:p>
    <w:p w14:paraId="0000066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Tenth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Foxworthy</w:t>
      </w:r>
      <w:r>
        <w:rPr>
          <w:rFonts w:ascii="Times New Roman" w:eastAsia="Times New Roman" w:hAnsi="Times New Roman" w:cs="Times New Roman"/>
          <w:color w:val="000000"/>
          <w:sz w:val="20"/>
          <w:szCs w:val="20"/>
        </w:rPr>
        <w:t>, 997 F.2d at 672 (pick-up and deposit of empty milk crates at distribution center that were then shipped to out-of-state processing plant exempted employee drivers from FLSA overtime provisions); Thomas v. Wichita Coca-Cola Bottling Co., 968 F.2d 1022, 1025, 30 WH Cases 1606 (10th Cir. 1992).</w:t>
      </w:r>
    </w:p>
    <w:p w14:paraId="0000066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FOH Chapter 24, which lists the following examples of “interstate commerce” when the travel involved was “intrastate”: vending machine servicepersons (FOH §24c03); transportation of checks drawn on out-of-state banks (FOH §24c10(a)–(b)); drivers delivering newspapers within the state (FOH §24d00(a)–(b)); and drivers of buses/shuttle services/limousines (FOH §24c04). </w:t>
      </w:r>
    </w:p>
  </w:footnote>
  <w:footnote w:id="474">
    <w:p w14:paraId="0000066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Fonseca v. AllTour Am. Transp., Inc., 750 F. App’x 883, 887 (11th Cir. 2018); Abel v. Southern Shuttle Servs., Inc., 631 F.3d 1210, 1214 (11th Cir. 2011); Walters v. American Coach Lines, 575 F.3d 1221, 1229 (11th Cir. 2009). </w:t>
      </w:r>
    </w:p>
  </w:footnote>
  <w:footnote w:id="475">
    <w:p w14:paraId="0000066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575 F.3d 1221 (11th Cir. 2009).</w:t>
      </w:r>
    </w:p>
  </w:footnote>
  <w:footnote w:id="476">
    <w:p w14:paraId="0000066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1229–30.</w:t>
      </w:r>
    </w:p>
  </w:footnote>
  <w:footnote w:id="477">
    <w:p w14:paraId="0000066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 xml:space="preserve">at 1230. </w:t>
      </w:r>
    </w:p>
  </w:footnote>
  <w:footnote w:id="478">
    <w:p w14:paraId="0000066F" w14:textId="3725A4EE"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 23 U.S.C §306. </w:t>
      </w:r>
    </w:p>
  </w:footnote>
  <w:footnote w:id="479">
    <w:p w14:paraId="00000673" w14:textId="229E88AC" w:rsidR="00DC27AA" w:rsidRDefault="000F36B4" w:rsidP="009153B9">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w:t>
      </w:r>
      <w:r w:rsidR="00A30023">
        <w:rPr>
          <w:rFonts w:ascii="Times New Roman" w:eastAsia="Times New Roman" w:hAnsi="Times New Roman" w:cs="Times New Roman"/>
          <w:iCs/>
          <w:color w:val="000000"/>
          <w:sz w:val="20"/>
          <w:szCs w:val="20"/>
        </w:rPr>
        <w:t xml:space="preserve"> </w:t>
      </w:r>
      <w:r w:rsidR="00A30023" w:rsidRPr="00A30023">
        <w:rPr>
          <w:rFonts w:ascii="Times New Roman" w:eastAsia="Times New Roman" w:hAnsi="Times New Roman" w:cs="Times New Roman"/>
          <w:iCs/>
          <w:color w:val="000000"/>
          <w:sz w:val="20"/>
          <w:szCs w:val="20"/>
        </w:rPr>
        <w:t>Noll v. Flowers Foods Inc., 478 F. Supp. 3d 59 (D. Me. 2020) (holding transportation of stale bakery products in personal vehicles falls within the small vehicle exception)</w:t>
      </w:r>
      <w:r w:rsidR="00A30023">
        <w:rPr>
          <w:rFonts w:ascii="Times New Roman" w:eastAsia="Times New Roman" w:hAnsi="Times New Roman" w:cs="Times New Roman"/>
          <w:iCs/>
          <w:color w:val="000000"/>
          <w:sz w:val="20"/>
          <w:szCs w:val="20"/>
        </w:rPr>
        <w:t xml:space="preserve">; </w:t>
      </w:r>
      <w:r>
        <w:rPr>
          <w:rFonts w:ascii="Times New Roman" w:eastAsia="Times New Roman" w:hAnsi="Times New Roman" w:cs="Times New Roman"/>
          <w:color w:val="000000"/>
          <w:sz w:val="20"/>
          <w:szCs w:val="20"/>
        </w:rPr>
        <w:t xml:space="preserve">Westberry v. William Joule Marine Transport, Inc., 2013 WL 656327 (M.D. Fla. Feb. 22, 2013) (finding that escort drivers driving vehicles less than 10,000 pounds were not exempt under TCA despite following and assisting semi-trucks weighing more than 10,000 pounds). </w:t>
      </w:r>
      <w:r w:rsidR="009153B9" w:rsidRPr="002A5EB4">
        <w:rPr>
          <w:rFonts w:ascii="Times New Roman" w:eastAsia="Times New Roman" w:hAnsi="Times New Roman" w:cs="Times New Roman"/>
          <w:i/>
          <w:iCs/>
          <w:color w:val="000000"/>
          <w:sz w:val="20"/>
          <w:szCs w:val="20"/>
        </w:rPr>
        <w:t>But see</w:t>
      </w:r>
      <w:r w:rsidR="009153B9">
        <w:rPr>
          <w:rFonts w:ascii="Times New Roman" w:eastAsia="Times New Roman" w:hAnsi="Times New Roman" w:cs="Times New Roman"/>
          <w:color w:val="000000"/>
          <w:sz w:val="20"/>
          <w:szCs w:val="20"/>
        </w:rPr>
        <w:t xml:space="preserve"> </w:t>
      </w:r>
      <w:r w:rsidR="009153B9" w:rsidRPr="00A30023">
        <w:rPr>
          <w:rFonts w:ascii="Times New Roman" w:eastAsia="Times New Roman" w:hAnsi="Times New Roman" w:cs="Times New Roman"/>
          <w:iCs/>
          <w:color w:val="000000"/>
          <w:sz w:val="20"/>
          <w:szCs w:val="20"/>
        </w:rPr>
        <w:t xml:space="preserve">Tucker v. Oscar Mike, Inc., 671 F. Supp. 3d 1313 (N.D. Ala. 2023) (holding diesel mechanic </w:t>
      </w:r>
      <w:r w:rsidR="009153B9">
        <w:rPr>
          <w:rFonts w:ascii="Times New Roman" w:eastAsia="Times New Roman" w:hAnsi="Times New Roman" w:cs="Times New Roman"/>
          <w:iCs/>
          <w:color w:val="000000"/>
          <w:sz w:val="20"/>
          <w:szCs w:val="20"/>
        </w:rPr>
        <w:t xml:space="preserve">exempt </w:t>
      </w:r>
      <w:r w:rsidR="009153B9" w:rsidRPr="00A30023">
        <w:rPr>
          <w:rFonts w:ascii="Times New Roman" w:eastAsia="Times New Roman" w:hAnsi="Times New Roman" w:cs="Times New Roman"/>
          <w:iCs/>
          <w:color w:val="000000"/>
          <w:sz w:val="20"/>
          <w:szCs w:val="20"/>
        </w:rPr>
        <w:t>who drove a vehicle weighing less than 10,001 pounds to repair vehicles weighing more than 10,000 pounds did not fall within the small vehicle exception)</w:t>
      </w:r>
      <w:r w:rsidR="009153B9">
        <w:rPr>
          <w:rFonts w:ascii="Times New Roman" w:eastAsia="Times New Roman" w:hAnsi="Times New Roman" w:cs="Times New Roman"/>
          <w:iCs/>
          <w:color w:val="000000"/>
          <w:sz w:val="20"/>
          <w:szCs w:val="20"/>
        </w:rPr>
        <w:t>.</w:t>
      </w:r>
    </w:p>
  </w:footnote>
  <w:footnote w:id="480">
    <w:p w14:paraId="0000067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White v. U.S. Corr., LLC, 2022 BL 163683, 2022 WL 1491349 (W.D. Tex. May 11, 2022) (vehicle designed or used to transport more than eight passengers for compensation satisfies definition of commercial motor vehicle regardless of weight); Fiveash v. South E. Pers. Leasing, Inc., 2022 BL 128246, 2022 WL 1105750, at *4 (W.D. Tex. Apr. 13, 2022) (holding that vehicle need only satisfy weight or passenger requirements to meet exception, not both); Avery v. Chariots for Hire, 748 F. Supp. 2d 492, 499 (D. Md. 2010).</w:t>
      </w:r>
    </w:p>
  </w:footnote>
  <w:footnote w:id="481">
    <w:p w14:paraId="0000067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890 F.3d 575 (5th Cir. 2018). </w:t>
      </w:r>
    </w:p>
  </w:footnote>
  <w:footnote w:id="482">
    <w:p w14:paraId="0000067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580;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Rychorcewicz v. Welltec, Inc., 768 F. App’x 252, 256 (5th Cir. 2019) (recognizing that website links to GVWR were insufficient to prove weight of actual vehicles driven by plaintiffs); Martinez v. Environmental Oil Recovery, Inc., 2022 BL 8441, 2022 WL 98003 (E.D. Tex. Jan. 10, 2022) (accepting recommended grant of summary judgment in favor of defendant because plaintiff’s declaration in opposition lacked specificity such as VIN numbers or vehicles’ GVWR). </w:t>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Carlton v. JHook Invs., Inc., 2019 WL 4784801 (E.D. Ark. Sept. 30, 2019) (regardless of which party bears the burden of proof, plaintiff satisfied it by testifying that he drove vehicles with a GVWR of 10,000 pounds or less at various locations of defendant).</w:t>
      </w:r>
    </w:p>
  </w:footnote>
  <w:footnote w:id="483">
    <w:p w14:paraId="0000067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890 F.3d at 582.</w:t>
      </w:r>
    </w:p>
  </w:footnote>
  <w:footnote w:id="484">
    <w:p w14:paraId="0000067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McCall v. Disabled Am. Veterans, 723 F.3d 962, 966 (8th Cir. 2013) (evolution of statute supports conclusion that GVWR is proper measure of weight). </w:t>
      </w:r>
    </w:p>
  </w:footnote>
  <w:footnote w:id="485">
    <w:p w14:paraId="0000067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Skidmore v. Swift &amp; Co., 323 U.S. 134 (1944).</w:t>
      </w:r>
    </w:p>
  </w:footnote>
  <w:footnote w:id="486">
    <w:p w14:paraId="0000067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mallCaps/>
          <w:color w:val="000000"/>
          <w:sz w:val="20"/>
          <w:szCs w:val="20"/>
        </w:rPr>
        <w:t>U.S. Dep’t of Labor, Wage &amp; Hour Div., Field Assistance Bull. No.</w:t>
      </w:r>
      <w:r>
        <w:rPr>
          <w:rFonts w:ascii="Times New Roman" w:eastAsia="Times New Roman" w:hAnsi="Times New Roman" w:cs="Times New Roman"/>
          <w:color w:val="000000"/>
          <w:sz w:val="20"/>
          <w:szCs w:val="20"/>
        </w:rPr>
        <w:t xml:space="preserve"> 2010-2 (Nov. 4, 2010).</w:t>
      </w:r>
    </w:p>
  </w:footnote>
  <w:footnote w:id="487">
    <w:p w14:paraId="0000067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444 F. App’x 788 (5th Cir. 2011). </w:t>
      </w:r>
    </w:p>
  </w:footnote>
  <w:footnote w:id="488">
    <w:p w14:paraId="0000067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799–800;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Benavidez v. Oil Patch Grp., Inc., 2022 BL 195019, 2022 WL 2903119 (W.D. Tex. Apr. 14, 2022) (granting summary judgment in favor of defendant where plaintiff failed to establish workweeks during which he drove a vehicle without a trailer that would have weighed less than 10,001 pounds); Glanville v. Dupar, Inc., 2009 BL 204879, 2009 WL 3255292, at *5 (S.D. Tex. Sept. 25, 2009).</w:t>
      </w:r>
    </w:p>
  </w:footnote>
  <w:footnote w:id="489">
    <w:p w14:paraId="0000067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mallCaps/>
          <w:color w:val="000000"/>
          <w:sz w:val="20"/>
          <w:szCs w:val="20"/>
        </w:rPr>
        <w:t>Field Assistance Bull. No.</w:t>
      </w:r>
      <w:r>
        <w:rPr>
          <w:rFonts w:ascii="Times New Roman" w:eastAsia="Times New Roman" w:hAnsi="Times New Roman" w:cs="Times New Roman"/>
          <w:color w:val="000000"/>
          <w:sz w:val="20"/>
          <w:szCs w:val="20"/>
        </w:rPr>
        <w:t xml:space="preserve"> 2010-2. </w:t>
      </w:r>
    </w:p>
  </w:footnote>
  <w:footnote w:id="490">
    <w:p w14:paraId="0000067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856 F.3d 571 (8th Cir. 2017). </w:t>
      </w:r>
    </w:p>
  </w:footnote>
  <w:footnote w:id="491">
    <w:p w14:paraId="0000067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Berry v. Best Transp., Inc., 2018 WL 6830097 (E.D. Mo. Dec. 27, 2018) (holding that alteration to vans (removing bench seat) was not so significant as to change “design” of vans, therefore drivers’ work was not covered by TCA exception to MCA exemption). </w:t>
      </w:r>
    </w:p>
  </w:footnote>
  <w:footnote w:id="492">
    <w:p w14:paraId="0000068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Avery v. Chariots for Hire, 748 F. Supp. 2d 492, 499 (D. Md. 2010); Hernandez v. Brink’s, Inc., 2009 WL 113406, at *5–6 (S.D. Fla. Jan. 15, 2009).</w:t>
      </w:r>
    </w:p>
  </w:footnote>
  <w:footnote w:id="493">
    <w:p w14:paraId="0000068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Pub. L. No. 110-244, §306, 122 Stat. 1572 (2008).</w:t>
      </w:r>
    </w:p>
  </w:footnote>
  <w:footnote w:id="494">
    <w:p w14:paraId="0000068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mallCaps/>
          <w:color w:val="000000"/>
          <w:sz w:val="20"/>
          <w:szCs w:val="20"/>
        </w:rPr>
        <w:t>U.S. Dep’t of Labor, Wage &amp; Hour Div., Field Assistance Bull. No.</w:t>
      </w:r>
      <w:r>
        <w:rPr>
          <w:rFonts w:ascii="Times New Roman" w:eastAsia="Times New Roman" w:hAnsi="Times New Roman" w:cs="Times New Roman"/>
          <w:color w:val="000000"/>
          <w:sz w:val="20"/>
          <w:szCs w:val="20"/>
        </w:rPr>
        <w:t xml:space="preserve"> 2010-2 (Nov. 4, 2010). The field assistance bulletin also addressed application of the “four-month” rule in any workweek an employee was covered by the TCA. </w:t>
      </w:r>
    </w:p>
  </w:footnote>
  <w:footnote w:id="495">
    <w:p w14:paraId="0000068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Bedoya v. Aventura Limousine &amp; Transp. Serv., Inc.,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2012 WL 3962935, at *4 (S.D. Fla. Sept. 11, 2012) (TCA applies so long as plaintiff’s work on noncommercial vehicles is considered more than de minimis); Hernandez v. Alpine Logistics, LLC, 2011 WL 3800031, at *14, 17–18 (W.D.N.Y. Aug. 29, 2011) (even if MCA exemption applied to certain drivers, those drivers would still be entitled to overtime compensation if they qualified as “covered employees” because §306 clearly and unmistakably provides that, notwithstanding existence of MCA exemption, “employees who work on exclusively or in part on [non-commercial vehicles] are entitled to overtime compensation”); Mayan v. Rydbom Express, Inc., 2009 WL 3152136, at *4 (E.D. Pa. Sept. 30, 2009) (employee working on 10,001 pound vehicle two days per week and 5,000 pound vehicle remaining days of week appeared to satisfy TCA).</w:t>
      </w:r>
    </w:p>
  </w:footnote>
  <w:footnote w:id="496">
    <w:p w14:paraId="0000068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780 F.3d 167 (3d Cir. 2015). </w:t>
      </w:r>
    </w:p>
  </w:footnote>
  <w:footnote w:id="497">
    <w:p w14:paraId="0000068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170 (citing language of TCA).</w:t>
      </w:r>
    </w:p>
  </w:footnote>
  <w:footnote w:id="498">
    <w:p w14:paraId="0000068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(citations omitted).</w:t>
      </w:r>
    </w:p>
  </w:footnote>
  <w:footnote w:id="499">
    <w:p w14:paraId="0000068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170–71 (discussing Allen v. Coil Tubing Servs., LLC, 755 F.3d 279 (5th Cir. 2014); McCall v. Disabled Am. Veterans, 723 F.3d 962 (8th Cir. 2013)).</w:t>
      </w:r>
    </w:p>
  </w:footnote>
  <w:footnote w:id="500">
    <w:p w14:paraId="0000068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589 F.3d 895 (7th Cir. 2009). </w:t>
      </w:r>
    </w:p>
  </w:footnote>
  <w:footnote w:id="501">
    <w:p w14:paraId="0000068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at 901. </w:t>
      </w:r>
    </w:p>
  </w:footnote>
  <w:footnote w:id="502">
    <w:p w14:paraId="0000068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McMaster v. Eastern Armored Servs., Inc., 780 F.3d 167, 172 (3d Cir. 2015). </w:t>
      </w:r>
    </w:p>
  </w:footnote>
  <w:footnote w:id="503">
    <w:p w14:paraId="0000068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755 F.3d 279 (5th Cir. 2014).</w:t>
      </w:r>
    </w:p>
  </w:footnote>
  <w:footnote w:id="504">
    <w:p w14:paraId="0000068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at 705 (emphasis added).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Rychorcewicz v. Welltec, Inc., 768 F. App’x 252, 256 (5th Cir. 2019) (occasional use of personal and rental vehicles less than 10,001 pounds considered de minimis); Benavidez v. Oil Patch Grp., Inc., 2022 BL 195019, 2022 WL 2903119 (W.D. Tex. Apr. 14, 2022) (granting summary judgment in favor of defendant where plaintiff failed to establish workweeks during which he drove a vehicle weighing less than 10,001 pounds on more than a de minimis basis); Moore v. Performance Pressure Pumping Servs., LLC, 2017 WL 1501436 (W.D. Tex. Apr. 26, 2017) (citing </w:t>
      </w:r>
      <w:r>
        <w:rPr>
          <w:rFonts w:ascii="Times New Roman" w:eastAsia="Times New Roman" w:hAnsi="Times New Roman" w:cs="Times New Roman"/>
          <w:i/>
          <w:color w:val="000000"/>
          <w:sz w:val="20"/>
          <w:szCs w:val="20"/>
        </w:rPr>
        <w:t>Allen</w:t>
      </w:r>
      <w:r>
        <w:rPr>
          <w:rFonts w:ascii="Times New Roman" w:eastAsia="Times New Roman" w:hAnsi="Times New Roman" w:cs="Times New Roman"/>
          <w:color w:val="000000"/>
          <w:sz w:val="20"/>
          <w:szCs w:val="20"/>
        </w:rPr>
        <w:t>, holding that TCA applied so long as plaintiffs’ work on noncommercial vehicles was considered more than de minimis; denying summary judgment where record reflected disputed facts on whether plaintiffs’ use of smaller, TCA-covered vehicles rose above de minimis</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standard). </w:t>
      </w:r>
    </w:p>
  </w:footnote>
  <w:footnote w:id="505">
    <w:p w14:paraId="0000068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391 F. Supp. 3d 466 (E.D. Pa. 2019). </w:t>
      </w:r>
    </w:p>
  </w:footnote>
  <w:footnote w:id="506">
    <w:p w14:paraId="0000068E" w14:textId="636C1936"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472–74 (considering de minimis principles applied in </w:t>
      </w:r>
      <w:r>
        <w:rPr>
          <w:rFonts w:ascii="Times New Roman" w:eastAsia="Times New Roman" w:hAnsi="Times New Roman" w:cs="Times New Roman"/>
          <w:i/>
          <w:color w:val="000000"/>
          <w:sz w:val="20"/>
          <w:szCs w:val="20"/>
        </w:rPr>
        <w:t>Resch v. Krapf’s Coaches, Inc.</w:t>
      </w:r>
      <w:r>
        <w:rPr>
          <w:rFonts w:ascii="Times New Roman" w:eastAsia="Times New Roman" w:hAnsi="Times New Roman" w:cs="Times New Roman"/>
          <w:color w:val="000000"/>
          <w:sz w:val="20"/>
          <w:szCs w:val="20"/>
        </w:rPr>
        <w:t xml:space="preserve">, 785 F.3d 869 (3d Cir. 2015), which addressed the amount of qualifying work required by employees for application of the MCA exemption); </w:t>
      </w:r>
      <w:r w:rsidRPr="002A5EB4">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Guy v. Absopure Water Co., LLC, 2023 WL 3361148 (E.D. Mich. May 10, 2023) (</w:t>
      </w:r>
      <w:r w:rsidR="00A30023">
        <w:rPr>
          <w:rFonts w:ascii="Times New Roman" w:eastAsia="Times New Roman" w:hAnsi="Times New Roman" w:cs="Times New Roman"/>
          <w:color w:val="000000"/>
          <w:sz w:val="20"/>
          <w:szCs w:val="20"/>
        </w:rPr>
        <w:t>agreeing with</w:t>
      </w:r>
      <w:r>
        <w:rPr>
          <w:rFonts w:ascii="Times New Roman" w:eastAsia="Times New Roman" w:hAnsi="Times New Roman" w:cs="Times New Roman"/>
          <w:color w:val="000000"/>
          <w:sz w:val="20"/>
          <w:szCs w:val="20"/>
        </w:rPr>
        <w:t xml:space="preserve"> interpretation of de minimis such that 9% of routes driven in small vehicles was considered beyond trivial or insignificant).</w:t>
      </w:r>
    </w:p>
  </w:footnote>
  <w:footnote w:id="507">
    <w:p w14:paraId="0000068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Vanzzini v. Action Meat Distributors, Inc., 995 F. Supp. 2d 703 (S.D. Tex. 2014) (rejecting such requirement); Aikins v. Warrior Energy Servs. Corp., 2014 WL 1221255 (S.D. Tex. Mar. 17, 2015) (finding that “meaningful work standard” seemed to require no more than that covered employees’ work on vehicles weighing 10,000 pounds or less be more than de minimis). </w:t>
      </w:r>
    </w:p>
  </w:footnote>
  <w:footnote w:id="508">
    <w:p w14:paraId="0000069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U.S.C. §213(b)(2). </w:t>
      </w:r>
    </w:p>
  </w:footnote>
  <w:footnote w:id="509">
    <w:p w14:paraId="0000069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In 1978, when the ICA was revised, Part I was subsumed in subtitle IV of Title 49 of the United States Code. Pub. L. No. 95-473, 92 Stat. 1337 (1978). Today, an employee is exempt from the overtime requirements of the FLSA under §213(b)(2) if the employer is engaged in the operation of a rail carrier subject to part A of subtitle IV of Title 49.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Cederblade v. Parmelee Transp. Co., 166 F.2d 554, 555 (7th Cir. 1948) (providing legislative history of §213(b)(2) exemption); </w:t>
      </w:r>
      <w:r>
        <w:rPr>
          <w:rFonts w:ascii="Times New Roman" w:eastAsia="Times New Roman" w:hAnsi="Times New Roman" w:cs="Times New Roman"/>
          <w:i/>
          <w:color w:val="000000"/>
          <w:sz w:val="20"/>
          <w:szCs w:val="20"/>
        </w:rPr>
        <w:t xml:space="preserve">see also </w:t>
      </w:r>
      <w:r>
        <w:rPr>
          <w:rFonts w:ascii="Times New Roman" w:eastAsia="Times New Roman" w:hAnsi="Times New Roman" w:cs="Times New Roman"/>
          <w:color w:val="000000"/>
          <w:sz w:val="20"/>
          <w:szCs w:val="20"/>
        </w:rPr>
        <w:t>Keele v. Union Pac. R.R. Co., 78 F. Supp. 678 (S.D. Cal. 1948) (same).</w:t>
      </w:r>
    </w:p>
  </w:footnote>
  <w:footnote w:id="510">
    <w:p w14:paraId="0000069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Tews v. Renzenberger, Inc., 592 F. Supp. 2d 1331, 1338 (D. Kan. 2009) (citing </w:t>
      </w:r>
      <w:r>
        <w:rPr>
          <w:rFonts w:ascii="Times New Roman" w:eastAsia="Times New Roman" w:hAnsi="Times New Roman" w:cs="Times New Roman"/>
          <w:i/>
          <w:color w:val="000000"/>
          <w:sz w:val="20"/>
          <w:szCs w:val="20"/>
        </w:rPr>
        <w:t>Keele</w:t>
      </w:r>
      <w:r>
        <w:rPr>
          <w:rFonts w:ascii="Times New Roman" w:eastAsia="Times New Roman" w:hAnsi="Times New Roman" w:cs="Times New Roman"/>
          <w:color w:val="000000"/>
          <w:sz w:val="20"/>
          <w:szCs w:val="20"/>
        </w:rPr>
        <w:t>, 78 F. Supp. at 682–83 (rail carrier exemption “means exactly what it says” and plaintiffs clearly exempt because defendant regulated under pt. I of ICA)).</w:t>
      </w:r>
    </w:p>
  </w:footnote>
  <w:footnote w:id="511">
    <w:p w14:paraId="0000069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54 F. Supp. 342 (D.S.C. 1944).</w:t>
      </w:r>
    </w:p>
  </w:footnote>
  <w:footnote w:id="512">
    <w:p w14:paraId="0000069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347; </w:t>
      </w:r>
      <w:r>
        <w:rPr>
          <w:rFonts w:ascii="Times New Roman" w:eastAsia="Times New Roman" w:hAnsi="Times New Roman" w:cs="Times New Roman"/>
          <w:i/>
          <w:color w:val="000000"/>
          <w:sz w:val="20"/>
          <w:szCs w:val="20"/>
        </w:rPr>
        <w:t>accord</w:t>
      </w:r>
      <w:r>
        <w:rPr>
          <w:rFonts w:ascii="Times New Roman" w:eastAsia="Times New Roman" w:hAnsi="Times New Roman" w:cs="Times New Roman"/>
          <w:color w:val="000000"/>
          <w:sz w:val="20"/>
          <w:szCs w:val="20"/>
        </w:rPr>
        <w:t xml:space="preserve"> McComb v. Southern Weighing &amp; Inspection Bureau, 170 F.2d 526, 529 (4th Cir. 1948) (“It was manifestly intended that exclusive power to regulate hours of labor for employees of railroads should rest with the Interstate Commerce Commission and that there should be no division of responsibility for supervising the operations of interstate carriers, a matter where unity of control was of the utmost importance and where it had been exercised by the commission for a long period to the entire satisfaction of the country at large.”).</w:t>
      </w:r>
    </w:p>
  </w:footnote>
  <w:footnote w:id="513">
    <w:p w14:paraId="0000069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§24i01(b) provides context to the words “common control, management, or arrangement.”</w:t>
      </w:r>
    </w:p>
  </w:footnote>
  <w:footnote w:id="514">
    <w:p w14:paraId="0000069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49 U.S.C. §§101 </w:t>
      </w:r>
      <w:r>
        <w:rPr>
          <w:rFonts w:ascii="Times New Roman" w:eastAsia="Times New Roman" w:hAnsi="Times New Roman" w:cs="Times New Roman"/>
          <w:i/>
          <w:color w:val="000000"/>
          <w:sz w:val="20"/>
          <w:szCs w:val="20"/>
        </w:rPr>
        <w:t>et seq</w:t>
      </w:r>
      <w:r>
        <w:rPr>
          <w:rFonts w:ascii="Times New Roman" w:eastAsia="Times New Roman" w:hAnsi="Times New Roman" w:cs="Times New Roman"/>
          <w:color w:val="000000"/>
          <w:sz w:val="20"/>
          <w:szCs w:val="20"/>
        </w:rPr>
        <w:t>.; FOH §24i01(a). This “common control, management, or arrangement” requirement is met when there is a common understanding between carriers as to traffic policy, even where there are distinct and separate corporate identities. FOH §24i01(b).</w:t>
      </w:r>
    </w:p>
  </w:footnote>
  <w:footnote w:id="515">
    <w:p w14:paraId="0000069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§24i01(a).</w:t>
      </w:r>
    </w:p>
  </w:footnote>
  <w:footnote w:id="516">
    <w:p w14:paraId="0000069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§24i01(c). </w:t>
      </w:r>
      <w:r>
        <w:rPr>
          <w:rFonts w:ascii="Times New Roman" w:eastAsia="Times New Roman" w:hAnsi="Times New Roman" w:cs="Times New Roman"/>
          <w:i/>
          <w:color w:val="000000"/>
          <w:sz w:val="20"/>
          <w:szCs w:val="20"/>
        </w:rPr>
        <w:t>See</w:t>
      </w:r>
    </w:p>
    <w:p w14:paraId="0000069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Brittan v. Hudson &amp; Manhattan R.R., 50 F. Supp. 37, 38 (S.D.N.Y. 1943) (applying exemption to elevator operators, maintenance men, and watchmen employed in office building operated by railroad but not directly involved in operation of railroad).</w:t>
      </w:r>
    </w:p>
    <w:p w14:paraId="0000069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Southern Weighing &amp; Inspection Bureau</w:t>
      </w:r>
      <w:r>
        <w:rPr>
          <w:rFonts w:ascii="Times New Roman" w:eastAsia="Times New Roman" w:hAnsi="Times New Roman" w:cs="Times New Roman"/>
          <w:color w:val="000000"/>
          <w:sz w:val="20"/>
          <w:szCs w:val="20"/>
        </w:rPr>
        <w:t>, 170 F.2d at 530 (applying exemption to employees of bureau organized to inspect and supervise transportation of freight by rail).</w:t>
      </w:r>
    </w:p>
    <w:p w14:paraId="0000069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Seventh Circuit: </w:t>
      </w:r>
      <w:r>
        <w:rPr>
          <w:rFonts w:ascii="Times New Roman" w:eastAsia="Times New Roman" w:hAnsi="Times New Roman" w:cs="Times New Roman"/>
          <w:color w:val="000000"/>
          <w:sz w:val="20"/>
          <w:szCs w:val="20"/>
        </w:rPr>
        <w:t>Cederblade v. Parmelee Transp. Co., 166 F.2d 554, 556–57 (7th Cir. 1948) (applying exemption to bus and truck drivers transporting passengers and baggage for railroads); Walling v. Western Weighing &amp; Inspection Bureau, 160 F.2d 47, 51 (7th Cir. 1946) (applying exemption to employees of weighing and inspection bureau); Williams v. Alex’s Transp., 969 F. Supp. 1142 (N.D. Ill. 1997) (applying exemption to employer who provided crew hauling services to railroads entitled to reply on exemption).</w:t>
      </w:r>
    </w:p>
    <w:p w14:paraId="0000069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Eighth Circuit:</w:t>
      </w:r>
      <w:r>
        <w:rPr>
          <w:rFonts w:ascii="Times New Roman" w:eastAsia="Times New Roman" w:hAnsi="Times New Roman" w:cs="Times New Roman"/>
          <w:color w:val="000000"/>
          <w:sz w:val="20"/>
          <w:szCs w:val="20"/>
        </w:rPr>
        <w:t xml:space="preserve"> McComb v. McKay, 164 F.2d 40, 49 (8th Cir. 1947) (applying exemption to yard workers who manufactured, repaired, and stored temporary grain and coal doors for freight cars)</w:t>
      </w:r>
    </w:p>
  </w:footnote>
  <w:footnote w:id="517">
    <w:p w14:paraId="0000069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§24i01(d).</w:t>
      </w:r>
    </w:p>
  </w:footnote>
  <w:footnote w:id="518">
    <w:p w14:paraId="0000069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§24i01(e).</w:t>
      </w:r>
    </w:p>
  </w:footnote>
  <w:footnote w:id="519">
    <w:p w14:paraId="0000069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§24i01(g). The fact that a railroad contractor may be subject to the Railway Labor Act is not a criterion for determining the application of the §213(b)(2) exemption. </w:t>
      </w:r>
      <w:r>
        <w:rPr>
          <w:rFonts w:ascii="Times New Roman" w:eastAsia="Times New Roman" w:hAnsi="Times New Roman" w:cs="Times New Roman"/>
          <w:i/>
          <w:color w:val="000000"/>
          <w:sz w:val="20"/>
          <w:szCs w:val="20"/>
        </w:rPr>
        <w:t>Id.</w:t>
      </w:r>
    </w:p>
  </w:footnote>
  <w:footnote w:id="520">
    <w:p w14:paraId="000006A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§24i02(a).</w:t>
      </w:r>
    </w:p>
  </w:footnote>
  <w:footnote w:id="521">
    <w:p w14:paraId="000006A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§24i02(b).</w:t>
      </w:r>
    </w:p>
  </w:footnote>
  <w:footnote w:id="522">
    <w:p w14:paraId="000006A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§24i03(a)(4).</w:t>
      </w:r>
    </w:p>
  </w:footnote>
  <w:footnote w:id="523">
    <w:p w14:paraId="000006A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§24i03(a)(5).</w:t>
      </w:r>
    </w:p>
  </w:footnote>
  <w:footnote w:id="524">
    <w:p w14:paraId="000006A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§24i03(a)(6).</w:t>
      </w:r>
    </w:p>
  </w:footnote>
  <w:footnote w:id="525">
    <w:p w14:paraId="000006A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§24i04.</w:t>
      </w:r>
    </w:p>
  </w:footnote>
  <w:footnote w:id="526">
    <w:p w14:paraId="000006A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§24i03(a)(2).</w:t>
      </w:r>
    </w:p>
  </w:footnote>
  <w:footnote w:id="527">
    <w:p w14:paraId="000006A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§24i03(a)(3).</w:t>
      </w:r>
    </w:p>
  </w:footnote>
  <w:footnote w:id="528">
    <w:p w14:paraId="000006A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Pub. L. No. 104–88, §702, 109 Stat. 803 (1995).</w:t>
      </w:r>
    </w:p>
  </w:footnote>
  <w:footnote w:id="529">
    <w:p w14:paraId="000006A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§340.</w:t>
      </w:r>
    </w:p>
  </w:footnote>
  <w:footnote w:id="530">
    <w:p w14:paraId="000006A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49 U.S.C. §10501(a) (STB has jurisdiction over transportation by rail carrier).</w:t>
      </w:r>
    </w:p>
  </w:footnote>
  <w:footnote w:id="531">
    <w:p w14:paraId="000006A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49 U.S.C. §13503(b)(1) and (2) (transportation by motor vehicle in terminal area is subject to jurisdiction under ch. 105 when provided for rail carrier).</w:t>
      </w:r>
    </w:p>
  </w:footnote>
  <w:footnote w:id="532">
    <w:p w14:paraId="000006A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Tews v. Renzenberger, Inc., 592 F. Supp. 2d 1331, 1339 (D. Kan. 2009) (citing Town of Babylon &amp; Pinelawn Cemetery, STB Fin. Dkt. No. 35057, 2008 WL 275697, at *3 (Feb. 1, 2008)).</w:t>
      </w:r>
    </w:p>
  </w:footnote>
  <w:footnote w:id="533">
    <w:p w14:paraId="000006A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49 U.S.C. §10102(9).</w:t>
      </w:r>
    </w:p>
  </w:footnote>
  <w:footnote w:id="534">
    <w:p w14:paraId="000006A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§10102(5).</w:t>
      </w:r>
    </w:p>
  </w:footnote>
  <w:footnote w:id="535">
    <w:p w14:paraId="000006A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Association of P &amp; C Dock Longshoremen v. Pittsburgh &amp; Conneaut Dock Co., 8 I.C.C.2d 280, 293–94 (1992).</w:t>
      </w:r>
    </w:p>
  </w:footnote>
  <w:footnote w:id="536">
    <w:p w14:paraId="000006B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H &amp; M Int’l Transp., Inc., STB Fin. Dkt. No. 3427, 2003 WL 22674651, at *3 (Nov. 10, 2003).</w:t>
      </w:r>
    </w:p>
  </w:footnote>
  <w:footnote w:id="537">
    <w:p w14:paraId="000006B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592 F. Supp. 2d 1331 (D. Kan. 2009).</w:t>
      </w:r>
    </w:p>
  </w:footnote>
  <w:footnote w:id="538">
    <w:p w14:paraId="000006B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1340 (citing </w:t>
      </w:r>
      <w:r>
        <w:rPr>
          <w:rFonts w:ascii="Times New Roman" w:eastAsia="Times New Roman" w:hAnsi="Times New Roman" w:cs="Times New Roman"/>
          <w:i/>
          <w:color w:val="000000"/>
          <w:sz w:val="20"/>
          <w:szCs w:val="20"/>
        </w:rPr>
        <w:t>P &amp; C Dock Longshoremen</w:t>
      </w:r>
      <w:r>
        <w:rPr>
          <w:rFonts w:ascii="Times New Roman" w:eastAsia="Times New Roman" w:hAnsi="Times New Roman" w:cs="Times New Roman"/>
          <w:color w:val="000000"/>
          <w:sz w:val="20"/>
          <w:szCs w:val="20"/>
        </w:rPr>
        <w:t xml:space="preserve">., 8 I.C.C. 2d at 293–94, and acknowledging </w:t>
      </w:r>
      <w:r>
        <w:rPr>
          <w:rFonts w:ascii="Times New Roman" w:eastAsia="Times New Roman" w:hAnsi="Times New Roman" w:cs="Times New Roman"/>
          <w:i/>
          <w:color w:val="000000"/>
          <w:sz w:val="20"/>
          <w:szCs w:val="20"/>
        </w:rPr>
        <w:t>H &amp; M Int’l Transp., Inc.</w:t>
      </w:r>
      <w:r>
        <w:rPr>
          <w:rFonts w:ascii="Times New Roman" w:eastAsia="Times New Roman" w:hAnsi="Times New Roman" w:cs="Times New Roman"/>
          <w:color w:val="000000"/>
          <w:sz w:val="20"/>
          <w:szCs w:val="20"/>
        </w:rPr>
        <w:t>, STB Fin. Dkt. No. 34277, 2003 WL 22674651, at *3 (“To be considered a rail carrier under the statute, there must be a holding out to the public to provide common carrier service.”)).</w:t>
      </w:r>
    </w:p>
  </w:footnote>
  <w:footnote w:id="539">
    <w:p w14:paraId="000006B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(quoting </w:t>
      </w:r>
      <w:r>
        <w:rPr>
          <w:rFonts w:ascii="Times New Roman" w:eastAsia="Times New Roman" w:hAnsi="Times New Roman" w:cs="Times New Roman"/>
          <w:i/>
          <w:color w:val="000000"/>
          <w:sz w:val="20"/>
          <w:szCs w:val="20"/>
        </w:rPr>
        <w:t>P &amp; C Dock Longshoremen</w:t>
      </w:r>
      <w:r>
        <w:rPr>
          <w:rFonts w:ascii="Times New Roman" w:eastAsia="Times New Roman" w:hAnsi="Times New Roman" w:cs="Times New Roman"/>
          <w:color w:val="000000"/>
          <w:sz w:val="20"/>
          <w:szCs w:val="20"/>
        </w:rPr>
        <w:t>, 8 I.C.C. 2d at 294).</w:t>
      </w:r>
    </w:p>
  </w:footnote>
  <w:footnote w:id="540">
    <w:p w14:paraId="000006B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1341 (citing Town of Milford, STB Fin. Dkt No. 34444, 2004 WL 1802301 (Aug. 12, 2004) (STB lacked jurisdiction over non-carrier operating rail yard where it transloaded steel pursuant to agreement with carrier but transloading services were not offered as part of common carrier services offered to public)).</w:t>
      </w:r>
    </w:p>
  </w:footnote>
  <w:footnote w:id="541">
    <w:p w14:paraId="000006B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49 U.S.C. §13503(b).</w:t>
      </w:r>
    </w:p>
  </w:footnote>
  <w:footnote w:id="542">
    <w:p w14:paraId="000006B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166 F.2d 554 (7th Cir. 1948). The historical background of the terminal area exception was set forth in this decision.</w:t>
      </w:r>
    </w:p>
  </w:footnote>
  <w:footnote w:id="543">
    <w:p w14:paraId="000006B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556. </w:t>
      </w:r>
    </w:p>
  </w:footnote>
  <w:footnote w:id="544">
    <w:p w14:paraId="000006B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969 F. Supp. 1142 (N.D. Ill. 1997).</w:t>
      </w:r>
    </w:p>
  </w:footnote>
  <w:footnote w:id="545">
    <w:p w14:paraId="000006B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1143–46.</w:t>
      </w:r>
    </w:p>
  </w:footnote>
  <w:footnote w:id="546">
    <w:p w14:paraId="000006B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592 F. Supp. 2d 1331 (D. Kan. 2009).</w:t>
      </w:r>
    </w:p>
  </w:footnote>
  <w:footnote w:id="547">
    <w:p w14:paraId="000006B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1342.</w:t>
      </w:r>
    </w:p>
  </w:footnote>
  <w:footnote w:id="548">
    <w:p w14:paraId="000006B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549">
    <w:p w14:paraId="000006B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550">
    <w:p w14:paraId="000006B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Farley v. Metro-North Commuter R.R., 865 F.2d 33, 35 (2d Cir. 1989).</w:t>
      </w:r>
    </w:p>
  </w:footnote>
  <w:footnote w:id="551">
    <w:p w14:paraId="000006B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552">
    <w:p w14:paraId="000006C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553">
    <w:p w14:paraId="000006C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554">
    <w:p w14:paraId="000006C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Farley v. Metro-North Commuter R.R., 865 F.2d 33, 36 (2d Cir. 1989).</w:t>
      </w:r>
    </w:p>
  </w:footnote>
  <w:footnote w:id="555">
    <w:p w14:paraId="000006C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556">
    <w:p w14:paraId="000006C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n.2 (citing Metro-North Commuter R.R. Co.—Exemption From 49 U.S.C. Subtitle IV, I.C.C. Fin. Dkt. No. 30063 (Nov. 24, 1982)).</w:t>
      </w:r>
    </w:p>
  </w:footnote>
  <w:footnote w:id="557">
    <w:p w14:paraId="000006C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34.</w:t>
      </w:r>
    </w:p>
  </w:footnote>
  <w:footnote w:id="558">
    <w:p w14:paraId="000006C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865 F.2d 33 (2d Cir. 1989).</w:t>
      </w:r>
    </w:p>
  </w:footnote>
  <w:footnote w:id="559">
    <w:p w14:paraId="000006C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36.</w:t>
      </w:r>
    </w:p>
  </w:footnote>
  <w:footnote w:id="560">
    <w:p w14:paraId="000006C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(citing 49 U.S.C. §10505(d) (1982)).</w:t>
      </w:r>
    </w:p>
  </w:footnote>
  <w:footnote w:id="561">
    <w:p w14:paraId="000006C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§213(b)(3). This provision was added to the FLSA in 1949, and its language has not changed since its enactment. Pub. L. No. 81-393, 63 Stat. 910 (1949).</w:t>
      </w:r>
    </w:p>
  </w:footnote>
  <w:footnote w:id="562">
    <w:p w14:paraId="000006C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FOH §24j01 (1974) (quoting Title II of the Railway Labor Act, 45 U.S.C. §181); </w:t>
      </w:r>
      <w:r>
        <w:rPr>
          <w:rFonts w:ascii="Times New Roman" w:eastAsia="Times New Roman" w:hAnsi="Times New Roman" w:cs="Times New Roman"/>
          <w:i/>
          <w:color w:val="000000"/>
          <w:sz w:val="20"/>
          <w:szCs w:val="20"/>
        </w:rPr>
        <w:t>cf</w:t>
      </w:r>
      <w:r>
        <w:rPr>
          <w:rFonts w:ascii="Times New Roman" w:eastAsia="Times New Roman" w:hAnsi="Times New Roman" w:cs="Times New Roman"/>
          <w:color w:val="000000"/>
          <w:sz w:val="20"/>
          <w:szCs w:val="20"/>
        </w:rPr>
        <w:t>. WH Op. FLSA2004-9NA (Aug. 17, 2004) (holding that employees of private employer that maintained several aircraft used in transporting company executives, senior managers, and occasionally customers, but not in business of providing air carrier service to public, were not subject to RLA, and therefore not exempt under §213(b)(3)).</w:t>
      </w:r>
    </w:p>
  </w:footnote>
  <w:footnote w:id="563">
    <w:p w14:paraId="000006C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§24j02.</w:t>
      </w:r>
    </w:p>
  </w:footnote>
  <w:footnote w:id="564">
    <w:p w14:paraId="000006C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§24j03.</w:t>
      </w:r>
    </w:p>
  </w:footnote>
  <w:footnote w:id="565">
    <w:p w14:paraId="000006C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§24j04. </w:t>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Roca v. Alphatech Aviation Servs., Inc., 961 F. Supp. 2d 1234 (S.D. Fla. 2013) (court granted summary judgment to cleaning company employee, finding that §213(b)(3) exemption did not apply because defendants failed to produce evidence from which reasonable factfinder could conclude that air carriers exercised requisite control over cleaning company’s business).</w:t>
      </w:r>
    </w:p>
  </w:footnote>
  <w:footnote w:id="566">
    <w:p w14:paraId="000006C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305 F.3d 1283 (11th Cir. 2002).</w:t>
      </w:r>
    </w:p>
  </w:footnote>
  <w:footnote w:id="567">
    <w:p w14:paraId="000006C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1287.</w:t>
      </w:r>
    </w:p>
  </w:footnote>
  <w:footnote w:id="568">
    <w:p w14:paraId="000006D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569">
    <w:p w14:paraId="000006D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328 F.3d 742, 8 WH Cases2d 1063 (5th Cir. 2003).</w:t>
      </w:r>
    </w:p>
  </w:footnote>
  <w:footnote w:id="570">
    <w:p w14:paraId="000006D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221 F.3d 1353 (10th Cir. 2000).</w:t>
      </w:r>
    </w:p>
  </w:footnote>
  <w:footnote w:id="571">
    <w:p w14:paraId="000006D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Riegelsberger v. Air Evac EMS, Inc., 970 F.3d 1061 (8th Cir. 2020) (affirming district court’s finding that air ambulance service was a common carrier by air under the exemption); Osbourne v. Enchantment Aviation, Inc., 2004 WL 2287765 (10th Cir. Oct. 12, 2004) (same).</w:t>
      </w:r>
    </w:p>
  </w:footnote>
  <w:footnote w:id="572">
    <w:p w14:paraId="000006D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The NMB is a federal agency in charge of labor–management relations under the RLA. Cunningham v. Electronic Data Sys. Corp., 2010 WL 1223084, at *4 (S.D.N.Y. Mar. 30, 2010) (</w:t>
      </w:r>
      <w:r>
        <w:rPr>
          <w:rFonts w:ascii="Times New Roman" w:eastAsia="Times New Roman" w:hAnsi="Times New Roman" w:cs="Times New Roman"/>
          <w:i/>
          <w:color w:val="000000"/>
          <w:sz w:val="20"/>
          <w:szCs w:val="20"/>
        </w:rPr>
        <w:t>Cunningham II</w:t>
      </w:r>
      <w:r>
        <w:rPr>
          <w:rFonts w:ascii="Times New Roman" w:eastAsia="Times New Roman" w:hAnsi="Times New Roman" w:cs="Times New Roman"/>
          <w:color w:val="000000"/>
          <w:sz w:val="20"/>
          <w:szCs w:val="20"/>
        </w:rPr>
        <w:t xml:space="preserve">). Courts generally defer to the NMB’s construction of the law.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Cunningham v. Electronic Data Sys. Corp., 579 F. Supp. 2d 538, 542 (S.D.N.Y. 2008) (</w:t>
      </w:r>
      <w:r>
        <w:rPr>
          <w:rFonts w:ascii="Times New Roman" w:eastAsia="Times New Roman" w:hAnsi="Times New Roman" w:cs="Times New Roman"/>
          <w:i/>
          <w:color w:val="000000"/>
          <w:sz w:val="20"/>
          <w:szCs w:val="20"/>
        </w:rPr>
        <w:t>Cunningham I</w:t>
      </w:r>
      <w:r>
        <w:rPr>
          <w:rFonts w:ascii="Times New Roman" w:eastAsia="Times New Roman" w:hAnsi="Times New Roman" w:cs="Times New Roman"/>
          <w:color w:val="000000"/>
          <w:sz w:val="20"/>
          <w:szCs w:val="20"/>
        </w:rPr>
        <w:t xml:space="preserve">). </w:t>
      </w:r>
    </w:p>
  </w:footnote>
  <w:footnote w:id="573">
    <w:p w14:paraId="000006D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In re</w:t>
      </w:r>
      <w:r>
        <w:rPr>
          <w:rFonts w:ascii="Times New Roman" w:eastAsia="Times New Roman" w:hAnsi="Times New Roman" w:cs="Times New Roman"/>
          <w:color w:val="000000"/>
          <w:sz w:val="20"/>
          <w:szCs w:val="20"/>
        </w:rPr>
        <w:t xml:space="preserve"> International Cargo Mktg. Consultants, 31 NMB 396, 406 (June 18, 2004). </w:t>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Roca v. Alphatech Aviation Servs., Inc., 960 F. Supp. 2d 1368, 1372 n.2 (S.D. Fla. 2013) (“While lower courts have adopted the NMB’s function-and-control test and treat NMB analyses of the test [as] persuasive in certain instances, courts are not bound by the categorical determinations made by the NMB under this test.”). </w:t>
      </w:r>
    </w:p>
  </w:footnote>
  <w:footnote w:id="574">
    <w:p w14:paraId="000006D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Roca</w:t>
      </w:r>
      <w:r>
        <w:rPr>
          <w:rFonts w:ascii="Times New Roman" w:eastAsia="Times New Roman" w:hAnsi="Times New Roman" w:cs="Times New Roman"/>
          <w:color w:val="000000"/>
          <w:sz w:val="20"/>
          <w:szCs w:val="20"/>
        </w:rPr>
        <w:t xml:space="preserve">, 960 F. Supp. 2d at 1372;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Standard Office Bldg. Corp. v. United States, 819 F.2d 1371, 1373 (7th Cir. 1987). </w:t>
      </w:r>
    </w:p>
  </w:footnote>
  <w:footnote w:id="575">
    <w:p w14:paraId="000006D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Cunningham II</w:t>
      </w:r>
      <w:r>
        <w:rPr>
          <w:rFonts w:ascii="Times New Roman" w:eastAsia="Times New Roman" w:hAnsi="Times New Roman" w:cs="Times New Roman"/>
          <w:color w:val="000000"/>
          <w:sz w:val="20"/>
          <w:szCs w:val="20"/>
        </w:rPr>
        <w:t xml:space="preserve">, 2010 WL 1223084, at *5 (quoting In re </w:t>
      </w:r>
      <w:r>
        <w:rPr>
          <w:rFonts w:ascii="Times New Roman" w:eastAsia="Times New Roman" w:hAnsi="Times New Roman" w:cs="Times New Roman"/>
          <w:i/>
          <w:color w:val="000000"/>
          <w:sz w:val="20"/>
          <w:szCs w:val="20"/>
        </w:rPr>
        <w:t>International Cargo</w:t>
      </w:r>
      <w:r>
        <w:rPr>
          <w:rFonts w:ascii="Times New Roman" w:eastAsia="Times New Roman" w:hAnsi="Times New Roman" w:cs="Times New Roman"/>
          <w:color w:val="000000"/>
          <w:sz w:val="20"/>
          <w:szCs w:val="20"/>
        </w:rPr>
        <w:t xml:space="preserve">, 31 NMB at 406). </w:t>
      </w:r>
    </w:p>
  </w:footnote>
  <w:footnote w:id="576">
    <w:p w14:paraId="000006D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p>
  </w:footnote>
  <w:footnote w:id="577">
    <w:p w14:paraId="000006D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Verrett v. SABRE Grp., Inc., 70 F. Supp. 2d 1277 (N.D. Okla. 1999) (monitoring of computer operations critical to scheduling and related activities qualified for coverage under RLA). </w:t>
      </w:r>
    </w:p>
  </w:footnote>
  <w:footnote w:id="578">
    <w:p w14:paraId="000006D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In re</w:t>
      </w:r>
      <w:r>
        <w:rPr>
          <w:rFonts w:ascii="Times New Roman" w:eastAsia="Times New Roman" w:hAnsi="Times New Roman" w:cs="Times New Roman"/>
          <w:color w:val="000000"/>
          <w:sz w:val="20"/>
          <w:szCs w:val="20"/>
        </w:rPr>
        <w:t xml:space="preserve"> International Total Servs./Servs. &amp; Sys. Ltd., 9 NMB 392 (May 24, 1982). </w:t>
      </w:r>
    </w:p>
  </w:footnote>
  <w:footnote w:id="579">
    <w:p w14:paraId="000006D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In re</w:t>
      </w:r>
      <w:r>
        <w:rPr>
          <w:rFonts w:ascii="Times New Roman" w:eastAsia="Times New Roman" w:hAnsi="Times New Roman" w:cs="Times New Roman"/>
          <w:color w:val="000000"/>
          <w:sz w:val="20"/>
          <w:szCs w:val="20"/>
        </w:rPr>
        <w:t xml:space="preserve"> Milepost Indus., 27 NMB 362 (May 9, 2000). </w:t>
      </w:r>
    </w:p>
  </w:footnote>
  <w:footnote w:id="580">
    <w:p w14:paraId="000006D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In re</w:t>
      </w:r>
      <w:r>
        <w:rPr>
          <w:rFonts w:ascii="Times New Roman" w:eastAsia="Times New Roman" w:hAnsi="Times New Roman" w:cs="Times New Roman"/>
          <w:color w:val="000000"/>
          <w:sz w:val="20"/>
          <w:szCs w:val="20"/>
        </w:rPr>
        <w:t xml:space="preserve"> Dalfort Aerospace, LP., 27 NMB 196, 211 (Feb. 3, 2000). </w:t>
      </w:r>
    </w:p>
  </w:footnote>
  <w:footnote w:id="581">
    <w:p w14:paraId="000006D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Horkan v. Command Sec. Corp., 728 N.Y.S.2d 495 (N.Y. App. Div. 2001) (NMB decisions are persuasive authority with respect to scope of §213(b)(3) exemption, citing with approval two NMB decisions on security officers––</w:t>
      </w:r>
      <w:r>
        <w:rPr>
          <w:rFonts w:ascii="Times New Roman" w:eastAsia="Times New Roman" w:hAnsi="Times New Roman" w:cs="Times New Roman"/>
          <w:i/>
          <w:color w:val="000000"/>
          <w:sz w:val="20"/>
          <w:szCs w:val="20"/>
        </w:rPr>
        <w:t>Matter of Frain Services</w:t>
      </w:r>
      <w:r>
        <w:rPr>
          <w:rFonts w:ascii="Times New Roman" w:eastAsia="Times New Roman" w:hAnsi="Times New Roman" w:cs="Times New Roman"/>
          <w:color w:val="000000"/>
          <w:sz w:val="20"/>
          <w:szCs w:val="20"/>
        </w:rPr>
        <w:t xml:space="preserve">, 19 NMB 161 (1992), and </w:t>
      </w:r>
      <w:r>
        <w:rPr>
          <w:rFonts w:ascii="Times New Roman" w:eastAsia="Times New Roman" w:hAnsi="Times New Roman" w:cs="Times New Roman"/>
          <w:i/>
          <w:color w:val="000000"/>
          <w:sz w:val="20"/>
          <w:szCs w:val="20"/>
        </w:rPr>
        <w:t>Matter of Command Security Corp</w:t>
      </w:r>
      <w:r>
        <w:rPr>
          <w:rFonts w:ascii="Times New Roman" w:eastAsia="Times New Roman" w:hAnsi="Times New Roman" w:cs="Times New Roman"/>
          <w:color w:val="000000"/>
          <w:sz w:val="20"/>
          <w:szCs w:val="20"/>
        </w:rPr>
        <w:t xml:space="preserve">., 27 NMB 581 (2000)). </w:t>
      </w:r>
    </w:p>
  </w:footnote>
  <w:footnote w:id="582">
    <w:p w14:paraId="000006D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Verrett v. SABRE Grp., Inc., 70 F. Supp. 2d 1277, 1282 (N.D. Okla. 1999) (“specialized information technology services for airline flight operations, airport passenger processing, crew scheduling, passenger reservations, accounting, and related functions for [the carrier] and other airlines were an integral part of the air carriers’ transportation function”). </w:t>
      </w:r>
    </w:p>
  </w:footnote>
  <w:footnote w:id="583">
    <w:p w14:paraId="000006D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Cunningham II</w:t>
      </w:r>
      <w:r>
        <w:rPr>
          <w:rFonts w:ascii="Times New Roman" w:eastAsia="Times New Roman" w:hAnsi="Times New Roman" w:cs="Times New Roman"/>
          <w:color w:val="000000"/>
          <w:sz w:val="20"/>
          <w:szCs w:val="20"/>
        </w:rPr>
        <w:t>, 2010 WL 1223084, at *1 (S.D.N.Y. Mar. 30, 2010) (information technology services “touch[ed] upon virtually every area of [the carrier’s] business, including flight planning and operations, pilot communications, in-flight catering, airplane maintenance, [and] flight reservations”).</w:t>
      </w:r>
    </w:p>
  </w:footnote>
  <w:footnote w:id="584">
    <w:p w14:paraId="000006E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2016 WL 5349723 (D. Me. Sept. 23, 2016).</w:t>
      </w:r>
    </w:p>
  </w:footnote>
  <w:footnote w:id="585">
    <w:p w14:paraId="000006E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 xml:space="preserve">at *9. </w:t>
      </w:r>
    </w:p>
  </w:footnote>
  <w:footnote w:id="586">
    <w:p w14:paraId="000006E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Cunningham II</w:t>
      </w:r>
      <w:r>
        <w:rPr>
          <w:rFonts w:ascii="Times New Roman" w:eastAsia="Times New Roman" w:hAnsi="Times New Roman" w:cs="Times New Roman"/>
          <w:color w:val="000000"/>
          <w:sz w:val="20"/>
          <w:szCs w:val="20"/>
        </w:rPr>
        <w:t xml:space="preserve">, 2010 WL 1223084, at *5 (“Electronic Data Systems does not claim to be owned by or under common ownership with a carrier, so it can only satisfy this prong of the test by showing that it is ‘controlled by’ American [Airlines]”). </w:t>
      </w:r>
    </w:p>
  </w:footnote>
  <w:footnote w:id="587">
    <w:p w14:paraId="000006E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Cunningham I</w:t>
      </w:r>
      <w:r>
        <w:rPr>
          <w:rFonts w:ascii="Times New Roman" w:eastAsia="Times New Roman" w:hAnsi="Times New Roman" w:cs="Times New Roman"/>
          <w:color w:val="000000"/>
          <w:sz w:val="20"/>
          <w:szCs w:val="20"/>
        </w:rPr>
        <w:t xml:space="preserve">, 579 F. Supp. 2d 538, 542 (S.D.N.Y. 2008). </w:t>
      </w:r>
    </w:p>
  </w:footnote>
  <w:footnote w:id="588">
    <w:p w14:paraId="000006E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Cunningham II</w:t>
      </w:r>
      <w:r>
        <w:rPr>
          <w:rFonts w:ascii="Times New Roman" w:eastAsia="Times New Roman" w:hAnsi="Times New Roman" w:cs="Times New Roman"/>
          <w:color w:val="000000"/>
          <w:sz w:val="20"/>
          <w:szCs w:val="20"/>
        </w:rPr>
        <w:t>, 2010 WL 1223084, at *7 (applying last two factors, court concluded that there were significant gaps in evidence presented on those issues such that EDS did not meet its burden with respect to “control prong,” and thus it denied summary judgment).</w:t>
      </w:r>
    </w:p>
  </w:footnote>
  <w:footnote w:id="589">
    <w:p w14:paraId="000006E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§786.1.</w:t>
      </w:r>
    </w:p>
  </w:footnote>
  <w:footnote w:id="590">
    <w:p w14:paraId="000006E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591">
    <w:p w14:paraId="000006E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§24j01(a).</w:t>
      </w:r>
    </w:p>
  </w:footnote>
  <w:footnote w:id="592">
    <w:p w14:paraId="000006E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§213(b)(6). As originally enacted in 1938, §213(a)(3) exempted “any employee employed as a seaman” from both the minimum wage and overtime pay requirements. Act of June 25, 1938, ch. 676, 52 Stat. 1067. In 1949, the language of the exemption was not changed but it was renumbered as §213(a)(14). Pub. L. No. 81-393, 63 Stat. 910 (1949).</w:t>
      </w:r>
    </w:p>
    <w:p w14:paraId="000006E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In 1961, §213(a)(14) was amended by adding the words “on a vessel other than an American vessel,” Pub. L. No. 87-30, §9, 75 Stat. 72, and an overtime exemption was provided for seamen working on an American vessel. The enactment of</w:t>
      </w:r>
      <w:r>
        <w:rPr>
          <w:rFonts w:ascii="Times New Roman" w:eastAsia="Times New Roman" w:hAnsi="Times New Roman" w:cs="Times New Roman"/>
          <w:color w:val="000000"/>
          <w:sz w:val="20"/>
          <w:szCs w:val="20"/>
        </w:rPr>
        <w:br/>
        <w:t xml:space="preserve">§213(b)(6) meant that those employed as seamen on American vessels were brought within the minimum wage provisions of the FLSA.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29 C.F.R. §783.28.</w:t>
      </w:r>
    </w:p>
  </w:footnote>
  <w:footnote w:id="593">
    <w:p w14:paraId="000006E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§24k00–05.</w:t>
      </w:r>
    </w:p>
  </w:footnote>
  <w:footnote w:id="594">
    <w:p w14:paraId="000006E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See </w:t>
      </w:r>
      <w:r>
        <w:rPr>
          <w:rFonts w:ascii="Times New Roman" w:eastAsia="Times New Roman" w:hAnsi="Times New Roman" w:cs="Times New Roman"/>
          <w:color w:val="000000"/>
          <w:sz w:val="20"/>
          <w:szCs w:val="20"/>
        </w:rPr>
        <w:t>29 C.F.R. §283.24–.51.</w:t>
      </w:r>
    </w:p>
  </w:footnote>
  <w:footnote w:id="595">
    <w:p w14:paraId="000006E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§783.28.</w:t>
      </w:r>
    </w:p>
  </w:footnote>
  <w:footnote w:id="596">
    <w:p w14:paraId="000006E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§783.27. Although the term “vessel” does not appear in §213(b)(6), the regulations make clear that the exemption is to be interpreted together with Section 206(a)(4), which extends the minimum wage provisions of the FLSA to employees “employed as a seaman on an American vessel.” 29 U.S.C. §206(a)(4); 29 C.F.R. §783.26 &amp; .27.</w:t>
      </w:r>
    </w:p>
  </w:footnote>
  <w:footnote w:id="597">
    <w:p w14:paraId="000006E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598">
    <w:p w14:paraId="000006E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§783.32.</w:t>
      </w:r>
    </w:p>
  </w:footnote>
  <w:footnote w:id="599">
    <w:p w14:paraId="000006F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Martin v. Bedell, 955 F.2d 1029, 1035 (5th Cir. 1992) (“[E]mployment on seagoing vessels does not necessarily make one a ‘seaman.’ ”).</w:t>
      </w:r>
    </w:p>
  </w:footnote>
  <w:footnote w:id="600">
    <w:p w14:paraId="000006F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Walling v. W.D. Haden Co., 153 F.2d 196, 199 (5th Cir. 1946) (holding that employee working on vessel in job titled “seaman” did not qualify for exemption because dominant portion of work was mining and handling of shells as distinguished from maritime work).</w:t>
      </w:r>
    </w:p>
  </w:footnote>
  <w:footnote w:id="601">
    <w:p w14:paraId="000006F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McLaughlin v. King Welding, Inc., 1988 WL 81539, 28 WH Cases 1054, 1056 (C.D. Cal. 1988) (finding that workers licensed as seamen by U.S. Coast Guard did not qualify for exemption because their work was primarily and substantially industrial rather than maritime in nature).</w:t>
      </w:r>
    </w:p>
  </w:footnote>
  <w:footnote w:id="602">
    <w:p w14:paraId="000006F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Walling v. Bay State Dredging &amp; Contracting Co., 149 F.2d 346, 349 (1st Cir. 1945) (deeming that merely performing limited maritime duties on vessel was insufficient to qualify for exemption); Anderson v. Manhattan Lighterage Corp., 148 F.2d 971, 972 (2d Cir. 1945) (holding that lighter captains who performed few strictly nautical duties and for most part loaded and unloaded cargo did not qualify as FLSA-exempt seamen).</w:t>
      </w:r>
    </w:p>
  </w:footnote>
  <w:footnote w:id="603">
    <w:p w14:paraId="000006F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§783.33, .48 (“Whether a particular employee is exempt depends on what he does.”); </w:t>
      </w:r>
      <w:r>
        <w:rPr>
          <w:rFonts w:ascii="Times New Roman" w:eastAsia="Times New Roman" w:hAnsi="Times New Roman" w:cs="Times New Roman"/>
          <w:i/>
          <w:color w:val="000000"/>
          <w:sz w:val="20"/>
          <w:szCs w:val="20"/>
        </w:rPr>
        <w:t>see also Bedell</w:t>
      </w:r>
      <w:r>
        <w:rPr>
          <w:rFonts w:ascii="Times New Roman" w:eastAsia="Times New Roman" w:hAnsi="Times New Roman" w:cs="Times New Roman"/>
          <w:color w:val="000000"/>
          <w:sz w:val="20"/>
          <w:szCs w:val="20"/>
        </w:rPr>
        <w:t xml:space="preserve">, 955 F.2d at 1035 (“[W]hether an employee is ‘employed as a seaman,’ within the meaning of the Act, depends upon the character of the work he actually performs and not on what it is called or the place it is performed.”); </w:t>
      </w:r>
      <w:r>
        <w:rPr>
          <w:rFonts w:ascii="Times New Roman" w:eastAsia="Times New Roman" w:hAnsi="Times New Roman" w:cs="Times New Roman"/>
          <w:i/>
          <w:color w:val="000000"/>
          <w:sz w:val="20"/>
          <w:szCs w:val="20"/>
        </w:rPr>
        <w:t>W.D. Haden Co</w:t>
      </w:r>
      <w:r>
        <w:rPr>
          <w:rFonts w:ascii="Times New Roman" w:eastAsia="Times New Roman" w:hAnsi="Times New Roman" w:cs="Times New Roman"/>
          <w:color w:val="000000"/>
          <w:sz w:val="20"/>
          <w:szCs w:val="20"/>
        </w:rPr>
        <w:t>., 153 F.2d at 199 (holding that shell miners engaged principally in industrial rather than ship work did not qualify as seamen, explaining that exemption requires court “to look to what employees do, and not to rest on a mere matter of a name or the place of their work”).</w:t>
      </w:r>
    </w:p>
  </w:footnote>
  <w:footnote w:id="604">
    <w:p w14:paraId="000006F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The Jones Act is a maritime statute that provides a negligence cause of action for any seaman injured in the course of employment. Chandris, Inc. v. Latsis, 515 U.S. 347, 354 (1995);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46 U.S.C. §30104.</w:t>
      </w:r>
    </w:p>
  </w:footnote>
  <w:footnote w:id="605">
    <w:p w14:paraId="000006F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Martin v. Bedell, 955 F.2d 1029, 1035 (5th Cir. 1992) (remanding for determination of whether cooks aboard boats servicing offshore oil rigs fell within “narrow” seaman exemption).</w:t>
      </w:r>
    </w:p>
  </w:footnote>
  <w:footnote w:id="606">
    <w:p w14:paraId="000006F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(“When a worker performs both seaman’s work and nonseaman’s work, he is a seaman unless his nonseaman’s work is substantial in amount; we remand so that the district court may determine if the cooks spend more than 20% of their time preparing food for non-crew members. If they do, they are not seamen under the FLSA.”).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Adams v. All Coast, LLC, 15 F.4th 365, 376–77 (5th Cir. 2021) (finding genuine issue of material fact existed regarding the amount of time lifeboat cooks spent preparing food for crew when they were not performing seamen’s work, and how much time they spent preparing food for non-crew members). </w:t>
      </w:r>
    </w:p>
  </w:footnote>
  <w:footnote w:id="607">
    <w:p w14:paraId="000006F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§783.31–.37, .51; Halle v. Galliano Marine Servs., LLC, 855 F.3d 290, 293 (5th Cir. 2017) (definition of “seaman” in Jones Act is not equivalent to that in FLSA); Dole v. Petroleum Treaters, Inc., 876 F.2d 518, 524 (5th Cir. 1989) (explaining that “seaman” for purposes of FLSA has narrower meaning than for purposes of Jones Act, 45 U.S.C. §688); Worthington v. Icicle Seafoods, 749 F.2d 1409, 1411–12 (9th Cir. 1984) (construing “seaman” narrowly to include only employees primarily aiding in vessel navigation). For a discussion on the textual interpretation of FLSA exemptions, and particularly the rule of narrow construction in light of </w:t>
      </w:r>
      <w:r>
        <w:rPr>
          <w:rFonts w:ascii="Times New Roman" w:eastAsia="Times New Roman" w:hAnsi="Times New Roman" w:cs="Times New Roman"/>
          <w:i/>
          <w:color w:val="000000"/>
          <w:sz w:val="20"/>
          <w:szCs w:val="20"/>
        </w:rPr>
        <w:t>Encino Motorcars, LLC v. Navarro</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Encino II</w:t>
      </w:r>
      <w:r>
        <w:rPr>
          <w:rFonts w:ascii="Times New Roman" w:eastAsia="Times New Roman" w:hAnsi="Times New Roman" w:cs="Times New Roman"/>
          <w:color w:val="000000"/>
          <w:sz w:val="20"/>
          <w:szCs w:val="20"/>
        </w:rPr>
        <w:t xml:space="preserve">), 138 S. Ct. 1134 (2018), see §IV.F [Section 213(b) Exemptions From the Overtime Requirements of the FLSA; Certain Employees of Automobile, Truck, or Farm Implement Dealers; Salespersons of Trailers, Boats, and Aircraft] of this chapter. </w:t>
      </w:r>
    </w:p>
  </w:footnote>
  <w:footnote w:id="608">
    <w:p w14:paraId="000006F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§783.32; McLaughlin v. Boston Harbor Cruise Lines, LLC, 419 F.3d 47 (1st Cir. 2005); </w:t>
      </w:r>
      <w:r>
        <w:rPr>
          <w:rFonts w:ascii="Times New Roman" w:eastAsia="Times New Roman" w:hAnsi="Times New Roman" w:cs="Times New Roman"/>
          <w:i/>
          <w:color w:val="000000"/>
          <w:sz w:val="20"/>
          <w:szCs w:val="20"/>
        </w:rPr>
        <w:t>see also Petroleum Treaters</w:t>
      </w:r>
      <w:r>
        <w:rPr>
          <w:rFonts w:ascii="Times New Roman" w:eastAsia="Times New Roman" w:hAnsi="Times New Roman" w:cs="Times New Roman"/>
          <w:color w:val="000000"/>
          <w:sz w:val="20"/>
          <w:szCs w:val="20"/>
        </w:rPr>
        <w:t>, 876 F.2d 518 (explaining that “seaman” for purposes of FLSA has narrower meaning than it does for purposes of Jones Act, 46 U.S.C. §688).</w:t>
      </w:r>
    </w:p>
  </w:footnote>
  <w:footnote w:id="609">
    <w:p w14:paraId="000006F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§783.32–.33; </w:t>
      </w:r>
      <w:r>
        <w:rPr>
          <w:rFonts w:ascii="Times New Roman" w:eastAsia="Times New Roman" w:hAnsi="Times New Roman" w:cs="Times New Roman"/>
          <w:i/>
          <w:color w:val="000000"/>
          <w:sz w:val="20"/>
          <w:szCs w:val="20"/>
        </w:rPr>
        <w:t>see also</w:t>
      </w:r>
    </w:p>
    <w:p w14:paraId="000006F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Levesque v. F.H. McGraw &amp; Co., 165 F.2d 585, 586 (2d Cir. 1948) (barge navigators).</w:t>
      </w:r>
    </w:p>
    <w:p w14:paraId="000006F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Third Circuit:</w:t>
      </w:r>
      <w:r>
        <w:rPr>
          <w:rFonts w:ascii="Times New Roman" w:eastAsia="Times New Roman" w:hAnsi="Times New Roman" w:cs="Times New Roman"/>
          <w:color w:val="000000"/>
          <w:sz w:val="20"/>
          <w:szCs w:val="20"/>
        </w:rPr>
        <w:t xml:space="preserve"> Bailey v. Pilots’ Ass’n, 406 F. Supp. 1302, 1307 (E.D. Pa. 1976) (finding that pilot apprentice who ran motor launches to and from vessels, performed general maintenance, and stood watch in navigable waters was exempt “seaman”).</w:t>
      </w:r>
    </w:p>
    <w:p w14:paraId="000006F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Louviere v. Standard Dredging Corp., 239 F.2d 164, 165 (5th Cir. 1956) (holding that tug deckhand assisting in vessel operation qualified as “seaman”).</w:t>
      </w:r>
    </w:p>
    <w:p w14:paraId="000006F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Weaver v. Pittsburgh S.S. Co., 153 F.2d 597, 600–601 (6th Cir. 1946) (steamship firefighter).</w:t>
      </w:r>
    </w:p>
    <w:p w14:paraId="000006F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Seventh Circuit:</w:t>
      </w:r>
      <w:r>
        <w:rPr>
          <w:rFonts w:ascii="Times New Roman" w:eastAsia="Times New Roman" w:hAnsi="Times New Roman" w:cs="Times New Roman"/>
          <w:color w:val="000000"/>
          <w:sz w:val="20"/>
          <w:szCs w:val="20"/>
        </w:rPr>
        <w:t xml:space="preserve"> Harkins v. Riverboat Serv., Inc., 385 F.3d 109 (7th Cir. 2004) (ruling that crewmembers of stationary casino boat moored in Mississippi River who primarily performed cleaning duties met criteria for seaman exemption).</w:t>
      </w:r>
    </w:p>
    <w:p w14:paraId="0000070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Adams v. All Coast, LLC, 15 F.4th 365 (5th Cir. 2021) (denying en banc review and reversing summary judgment on the status of cooks as seamen; directing district court on remand to determine how much time cooks spend preparing food for liftboat operators not engaged in seaman’s work and how much time cooks spend preparing food for non-crew members); Godard v. Alabama Pilot, Inc., 485 F. Supp. 2d 1284 (S.D. Ala. 2007) (denying summary judgment due to questions regarding whether time spent by launch operators doing work not related to navigation exceeded 20% of their total work time).</w:t>
      </w:r>
    </w:p>
  </w:footnote>
  <w:footnote w:id="610">
    <w:p w14:paraId="0000070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§783.35.</w:t>
      </w:r>
    </w:p>
  </w:footnote>
  <w:footnote w:id="611">
    <w:p w14:paraId="0000070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§783.36; Martin v. McAllister Lighterage Line, 205 F.2d 623, 624–25 (2d Cir. 1953) (holding that deck scow captains principally engaged in attending to vessel welfare qualified as seamen); Gale v. Union Bag &amp; Paper Corp., 116 F.2d 27, 28 (5th Cir. 1940) (finding that crew members of towed barges responsible for barge welfare qualified as seamen).</w:t>
      </w:r>
    </w:p>
  </w:footnote>
  <w:footnote w:id="612">
    <w:p w14:paraId="0000070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29 C.F.R. §783.33–.36.</w:t>
      </w:r>
    </w:p>
  </w:footnote>
  <w:footnote w:id="613">
    <w:p w14:paraId="0000070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Harkins v. Riverboat Servs., Inc., 385 F.3d 1099, 1103 (7th Cir. 2004);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McLaughlin v. Boston Harbor Cruise Lines, LLC, 419 F.3d 47, 58 (1st Cir. 2005) (Lipez, J., concurring).</w:t>
      </w:r>
    </w:p>
  </w:footnote>
  <w:footnote w:id="614">
    <w:p w14:paraId="0000070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2009 WL 650734 (C.D. Cal. Mar. 11, 2009).</w:t>
      </w:r>
    </w:p>
  </w:footnote>
  <w:footnote w:id="615">
    <w:p w14:paraId="0000070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*7;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Harkins</w:t>
      </w:r>
      <w:r>
        <w:rPr>
          <w:rFonts w:ascii="Times New Roman" w:eastAsia="Times New Roman" w:hAnsi="Times New Roman" w:cs="Times New Roman"/>
          <w:color w:val="000000"/>
          <w:sz w:val="20"/>
          <w:szCs w:val="20"/>
        </w:rPr>
        <w:t>, 385 F.3d at 1104 (“We can ask the question this way: do the plaintiffs spend their time performing duties that are necessary to the operation of the Showboat because it is a ship or because it is a casino?”).</w:t>
      </w:r>
    </w:p>
  </w:footnote>
  <w:footnote w:id="616">
    <w:p w14:paraId="0000070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§783.32. </w:t>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xml:space="preserve">, Owens v. SeaRiver Maritime, Inc., 272 F.3d 698, 700 (5th Cir. 2001) (holding that member of land-based team responsible for loading and unloading barges was not seaman where he was not crewmember of tow and not tied to particular vessel for voyage, but rather worked on “unattended or ‘tramp’ barges that were neither towed by SeaRiver boats nor attended by SeaRiver crews”); Coffin v. Blessey Marine Servs., Inc., 771 F.3d 276 (5th Cir. 2014) (distinguishing </w:t>
      </w:r>
      <w:r>
        <w:rPr>
          <w:rFonts w:ascii="Times New Roman" w:eastAsia="Times New Roman" w:hAnsi="Times New Roman" w:cs="Times New Roman"/>
          <w:i/>
          <w:color w:val="000000"/>
          <w:sz w:val="20"/>
          <w:szCs w:val="20"/>
        </w:rPr>
        <w:t>Owens</w:t>
      </w:r>
      <w:r>
        <w:rPr>
          <w:rFonts w:ascii="Times New Roman" w:eastAsia="Times New Roman" w:hAnsi="Times New Roman" w:cs="Times New Roman"/>
          <w:color w:val="000000"/>
          <w:sz w:val="20"/>
          <w:szCs w:val="20"/>
        </w:rPr>
        <w:t xml:space="preserve"> and finding that vessel-based tankermen were seamen while loading and unloading vessel because, as vessel-based, their loading and unloading duties were integrated within their many other duties); Adams v. All Coast, LLC, 15 F.4th 365 (5th Cir. 2021) (rehearing en banc denied; distinguishing </w:t>
      </w:r>
      <w:r>
        <w:rPr>
          <w:rFonts w:ascii="Times New Roman" w:eastAsia="Times New Roman" w:hAnsi="Times New Roman" w:cs="Times New Roman"/>
          <w:i/>
          <w:color w:val="000000"/>
          <w:sz w:val="20"/>
          <w:szCs w:val="20"/>
        </w:rPr>
        <w:t>Coffin</w:t>
      </w:r>
      <w:r>
        <w:rPr>
          <w:rFonts w:ascii="Times New Roman" w:eastAsia="Times New Roman" w:hAnsi="Times New Roman" w:cs="Times New Roman"/>
          <w:color w:val="000000"/>
          <w:sz w:val="20"/>
          <w:szCs w:val="20"/>
        </w:rPr>
        <w:t xml:space="preserve"> and finding that liftboat operator was not engaged in seaman’s work while operating hydraulic crane when the liftboat was jacked up out of the water, which was discrete from the nautical tasks performed while the liftboat was underway).</w:t>
      </w:r>
    </w:p>
  </w:footnote>
  <w:footnote w:id="617">
    <w:p w14:paraId="0000070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§783.35.</w:t>
      </w:r>
    </w:p>
  </w:footnote>
  <w:footnote w:id="618">
    <w:p w14:paraId="0000070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§783.51.</w:t>
      </w:r>
    </w:p>
  </w:footnote>
  <w:footnote w:id="619">
    <w:p w14:paraId="0000070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§783.31;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Martin v. Bedell, 955 F.2d 1029, 1035 (5th Cir. 1992) (holding that employees spending more than 20% of time preparing food for non-crew members would not qualify as “seamen”), </w:t>
      </w:r>
      <w:r>
        <w:rPr>
          <w:rFonts w:ascii="Times New Roman" w:eastAsia="Times New Roman" w:hAnsi="Times New Roman" w:cs="Times New Roman"/>
          <w:i/>
          <w:color w:val="000000"/>
          <w:sz w:val="20"/>
          <w:szCs w:val="20"/>
        </w:rPr>
        <w:t>on remand sub nom</w:t>
      </w:r>
      <w:r>
        <w:rPr>
          <w:rFonts w:ascii="Times New Roman" w:eastAsia="Times New Roman" w:hAnsi="Times New Roman" w:cs="Times New Roman"/>
          <w:color w:val="000000"/>
          <w:sz w:val="20"/>
          <w:szCs w:val="20"/>
        </w:rPr>
        <w:t>. Reich v. Bedell, 1 WH Cases2d 691 (E.D. La. 1993); Worthington v. Icicle Seafoods, 749 F.2d 1409, 1412 (9th Cir. 1984) (deeming occasional maritime duties insufficient when dominant employment was industrial maintenance); Donovan v. Nekton, Inc., 703 F.2d 1148, 1151–52 (9th Cir. 1983) (holding that marine and electronic technicians primarily operating and caring for research vessels’ electronic and seismic gear did not qualify as seamen even though they performed duties in connection with vessel transportation operations); Priyanto v. M/S Amsterdam, 2009 WL 650734, at *7 (C.D. Cal. Mar. 11, 2009) (holding that stateroom cleaner on cruise ship did not perform “service which is rendered primarily as an aid in the operation” of vessels on which he worked and therefore did not fall under FLSA’s seamen exemption).</w:t>
      </w:r>
    </w:p>
  </w:footnote>
  <w:footnote w:id="620">
    <w:p w14:paraId="0000070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§783.37, .49;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WH Op. FLSA2006-44, 2006 WL 3832995 (Nov. 30, 2006) (opining that boat captain would be exempt under §213(b)(6) during workweeks where at least 80% of duties performed were those of seaman under 29 C.F.R. §783.31).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Godard v. Alabama Pilot, Inc., 485 F. Supp. 2d 1284, 1292 (S.D. Ala. 2007). </w:t>
      </w:r>
    </w:p>
  </w:footnote>
  <w:footnote w:id="621">
    <w:p w14:paraId="0000070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Harkins v. Riverboat Servs., Inc., 385 F.2d 1099 (7th Cir. 2004);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Tate v. Showboat Marina Casino P’ship, 431 F.3d 580 (7th Cir. 2005) (applying </w:t>
      </w:r>
      <w:r>
        <w:rPr>
          <w:rFonts w:ascii="Times New Roman" w:eastAsia="Times New Roman" w:hAnsi="Times New Roman" w:cs="Times New Roman"/>
          <w:i/>
          <w:color w:val="000000"/>
          <w:sz w:val="20"/>
          <w:szCs w:val="20"/>
        </w:rPr>
        <w:t>Harkins</w:t>
      </w:r>
      <w:r>
        <w:rPr>
          <w:rFonts w:ascii="Times New Roman" w:eastAsia="Times New Roman" w:hAnsi="Times New Roman" w:cs="Times New Roman"/>
          <w:color w:val="000000"/>
          <w:sz w:val="20"/>
          <w:szCs w:val="20"/>
        </w:rPr>
        <w:t xml:space="preserve"> presumption).</w:t>
      </w:r>
    </w:p>
  </w:footnote>
  <w:footnote w:id="622">
    <w:p w14:paraId="0000070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p>
    <w:p w14:paraId="0000070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McMahan v. Adept Process Servs., Inc., 786 F. Supp. 2d 1128, 1137 (E.D. Va. 2011) (applying 20% test under 29 C.F.R. §783.37 but rejecting plaintiffs’ argument that time waiting to perform seamen’s duties constituted non-seamen work exceeding 20% threshold).</w:t>
      </w:r>
    </w:p>
    <w:p w14:paraId="0000070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Owens v. SeaRiver Maritime, Inc., 272 F.3d 698 n.5 (5th Cir. 2001) (holding that crewmembers did not lose seaman status for weeks in which they spent more than 20% of time performing non-seaman work, so long as basic assignments or positions did not change).</w:t>
      </w:r>
    </w:p>
    <w:p w14:paraId="00000710" w14:textId="53F58C9D"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sidRPr="002A5EB4">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Curran v. Wepfer Marine Servs., Inc., </w:t>
      </w:r>
      <w:r w:rsidR="003F0E0E" w:rsidRPr="003F0E0E">
        <w:rPr>
          <w:rFonts w:ascii="Times New Roman" w:eastAsia="Times New Roman" w:hAnsi="Times New Roman" w:cs="Times New Roman"/>
          <w:color w:val="000000"/>
          <w:sz w:val="20"/>
          <w:szCs w:val="20"/>
        </w:rPr>
        <w:t>2023 BL 40109</w:t>
      </w:r>
      <w:r w:rsidR="00F3002B">
        <w:rPr>
          <w:rFonts w:ascii="Times New Roman" w:eastAsia="Times New Roman" w:hAnsi="Times New Roman" w:cs="Times New Roman"/>
          <w:color w:val="000000"/>
          <w:sz w:val="20"/>
          <w:szCs w:val="20"/>
        </w:rPr>
        <w:t>,</w:t>
      </w:r>
      <w:r w:rsidR="00385C87">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2023 WL 1790075 (W.D. Tenn. Jan. 9, 2023) (holding that occasional performance of non-seaman activities could not overcome great weight of seaman duties occurring daily).</w:t>
      </w:r>
    </w:p>
    <w:p w14:paraId="0000071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Selby v. Yacht Starship, Inc., 624 F. Supp. 2d 1367 (M.D. Fla. 2008) (applying 20% test under 29 C.F.R. §783.37 but rejecting plaintiffs’ argument that time waiting to perform seamen’s duties constituted non-seamen work exceeding 20% threshold); Godard v. Alabama Pilot, Inc., 485 F. Supp. 2d at 1292 (same).</w:t>
      </w:r>
    </w:p>
  </w:footnote>
  <w:footnote w:id="623">
    <w:p w14:paraId="0000071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§783.33, .36;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Knudsen v. Lee &amp; Simmons, Inc., 163 F.2d 95, 96 (2d Cir. 1947) (finding that lighter bargee performing stevedoring services did not qualify); McCarthy v. Wright &amp; Cobb Lighterage Co., 163 F.2d 92, 94 (2d Cir. 1947) (holding that barge employees principally performing loading, unloading, and custodial duties did not qualify as “seamen”); Anderson v. Manhattan Lighterage Corp., 148 F.2d 971, 973 (2d Cir. 1945) (reversing and remanding for trial on exemption issue where lighter captains performed longshoreman duties 95% of time); McLaughlin v. King Welding, Inc., 28 WH Cases 1054, 1056 (C.D. Cal. 1988) (finding that oil barge tankermen and deck hands primarily engaged in barge loading and unloading did not qualify as “seamen”).</w:t>
      </w:r>
    </w:p>
  </w:footnote>
  <w:footnote w:id="624">
    <w:p w14:paraId="0000071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Desper v. Starved Rock Ferry Co., 342 U.S. 187, 191 (1952) (holding that workers who repaired vessels between trips did not qualify as seamen). </w:t>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Walling v. Keansburg Steamboat Co., 162 F.2d 405, 407 (3d Cir. 1947) (holding that employee who repaired vessel at dock and was employed during ensuing navigation period qualified as “seaman”).</w:t>
      </w:r>
    </w:p>
  </w:footnote>
  <w:footnote w:id="625">
    <w:p w14:paraId="0000071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§783.35; </w:t>
      </w:r>
      <w:r>
        <w:rPr>
          <w:rFonts w:ascii="Times New Roman" w:eastAsia="Times New Roman" w:hAnsi="Times New Roman" w:cs="Times New Roman"/>
          <w:i/>
          <w:color w:val="000000"/>
          <w:sz w:val="20"/>
          <w:szCs w:val="20"/>
        </w:rPr>
        <w:t>see also Starved Rock Ferry Co</w:t>
      </w:r>
      <w:r>
        <w:rPr>
          <w:rFonts w:ascii="Times New Roman" w:eastAsia="Times New Roman" w:hAnsi="Times New Roman" w:cs="Times New Roman"/>
          <w:color w:val="000000"/>
          <w:sz w:val="20"/>
          <w:szCs w:val="20"/>
        </w:rPr>
        <w:t>., 342 U.S. at 191 (holding that employee who rendered watchman services during lengthy port stop did not qualify as FLSA-exempt seaman).</w:t>
      </w:r>
    </w:p>
  </w:footnote>
  <w:footnote w:id="626">
    <w:p w14:paraId="0000071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Dole v. Petroleum Treaters, Inc., 876 F.2d 518, 521 (5th Cir. 1989) (finding that oil well service employees who spent at least half time maintaining and servicing wells did not qualify for seaman exemption).</w:t>
      </w:r>
    </w:p>
  </w:footnote>
  <w:footnote w:id="627">
    <w:p w14:paraId="0000071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Sternberg Dredging Co. v. Walling, 158 F.2d 678, 681 (8th Cir. 1946) (holding that dredge workers principally engaged in industrial, as distinguished from maritime, work did not qualify for seaman exemption); Walling v. Great Lakes Dredge &amp; Dock Co., 149 F.2d 9, 11 (7th Cir. 1945) (finding that dredge workers primarily engaged in industrial work did not qualify for exemption).</w:t>
      </w:r>
    </w:p>
  </w:footnote>
  <w:footnote w:id="628">
    <w:p w14:paraId="0000071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Woods Lumber Co. v. Tobin, 199 F.2d 455, 456 (6th Cir. 1952) (holding that workers primarily engaged in lumbering and foresting duties did not qualify for seaman exemption).</w:t>
      </w:r>
    </w:p>
  </w:footnote>
  <w:footnote w:id="629">
    <w:p w14:paraId="0000071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Walling v. Bay State Dredging &amp; Contracting Co., 149 F.2d 346, 352 (1st Cir. 1945); </w:t>
      </w:r>
      <w:r>
        <w:rPr>
          <w:rFonts w:ascii="Times New Roman" w:eastAsia="Times New Roman" w:hAnsi="Times New Roman" w:cs="Times New Roman"/>
          <w:i/>
          <w:color w:val="000000"/>
          <w:sz w:val="20"/>
          <w:szCs w:val="20"/>
        </w:rPr>
        <w:t>Great Lakes Dredge &amp; Dock Co</w:t>
      </w:r>
      <w:r>
        <w:rPr>
          <w:rFonts w:ascii="Times New Roman" w:eastAsia="Times New Roman" w:hAnsi="Times New Roman" w:cs="Times New Roman"/>
          <w:color w:val="000000"/>
          <w:sz w:val="20"/>
          <w:szCs w:val="20"/>
        </w:rPr>
        <w:t>., 149 F.2d at 10–11 (holding that dredge workers primarily engaged in construction-related work did not qualify as FLSA-exempt seamen).</w:t>
      </w:r>
    </w:p>
  </w:footnote>
  <w:footnote w:id="630">
    <w:p w14:paraId="0000071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§783.34;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Knudsen v. Lee &amp; Simmons, Inc., 163 F.2d 95, 98 (2d Cir. 1947) (holding that barge worker who spent most of time loading and unloading cargo did not qualify as seaman); Walling v. W.D. Haden Co., 153 F.2d 196, 199 (5th Cir. 1946) (determining that miners principally engaged in industrial work did not qualify for seaman exemption).</w:t>
      </w:r>
    </w:p>
  </w:footnote>
  <w:footnote w:id="631">
    <w:p w14:paraId="0000071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Helena Glendale Ferry Co. v. Walling, 132 F.2d 616, 619 (8th Cir. 1942) (finding that cashiers on barge connected with shore principally engaged to sell tickets, issue receipts, and collect charges did not qualify for exemption as seamen).</w:t>
      </w:r>
    </w:p>
  </w:footnote>
  <w:footnote w:id="632">
    <w:p w14:paraId="0000071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855 F.3d 290 (5th Cir. 2017).</w:t>
      </w:r>
    </w:p>
  </w:footnote>
  <w:footnote w:id="633">
    <w:p w14:paraId="0000071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293 (citing Coffin v. Blessey Marine Servs., Inc., 771 F.3d 276, 281 (5th Cir. 2014)).</w:t>
      </w:r>
    </w:p>
  </w:footnote>
  <w:footnote w:id="634">
    <w:p w14:paraId="0000071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296. </w:t>
      </w:r>
    </w:p>
  </w:footnote>
  <w:footnote w:id="635">
    <w:p w14:paraId="0000071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 U.S.C. §3 (definition of “vessel”); 29 C.F.R. §783.39.</w:t>
      </w:r>
    </w:p>
  </w:footnote>
  <w:footnote w:id="636">
    <w:p w14:paraId="0000071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The Fifth Circuit in </w:t>
      </w:r>
      <w:r>
        <w:rPr>
          <w:rFonts w:ascii="Times New Roman" w:eastAsia="Times New Roman" w:hAnsi="Times New Roman" w:cs="Times New Roman"/>
          <w:i/>
          <w:color w:val="000000"/>
          <w:sz w:val="20"/>
          <w:szCs w:val="20"/>
        </w:rPr>
        <w:t>Halle v. Galliano Marine Services, LLC</w:t>
      </w:r>
      <w:r>
        <w:rPr>
          <w:rFonts w:ascii="Times New Roman" w:eastAsia="Times New Roman" w:hAnsi="Times New Roman" w:cs="Times New Roman"/>
          <w:color w:val="000000"/>
          <w:sz w:val="20"/>
          <w:szCs w:val="20"/>
        </w:rPr>
        <w:t>, 855 F.3d 290 (5th Cir. 2017), held that the defendants provided no evidence to suggest that ROVs were “vessels.”</w:t>
      </w:r>
    </w:p>
  </w:footnote>
  <w:footnote w:id="637">
    <w:p w14:paraId="0000072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Gale v. Union Bag &amp; Paper Corp., 116 F.2d 27, 28, 1 WH Cases 97, 98 (5th Cir. 1940) (holding that powerless barge towed and steered by tug qualified as “vessel”); </w:t>
      </w:r>
      <w:r>
        <w:rPr>
          <w:rFonts w:ascii="Times New Roman" w:eastAsia="Times New Roman" w:hAnsi="Times New Roman" w:cs="Times New Roman"/>
          <w:i/>
          <w:color w:val="000000"/>
          <w:sz w:val="20"/>
          <w:szCs w:val="20"/>
        </w:rPr>
        <w:t>cf</w:t>
      </w:r>
      <w:r>
        <w:rPr>
          <w:rFonts w:ascii="Times New Roman" w:eastAsia="Times New Roman" w:hAnsi="Times New Roman" w:cs="Times New Roman"/>
          <w:color w:val="000000"/>
          <w:sz w:val="20"/>
          <w:szCs w:val="20"/>
        </w:rPr>
        <w:t>. Owens v. SeaRiver Maritime, Inc., 272 F.3d 698 (5th Cir. 2001) (finding that member of shore-based strike-team assigned to stationary landing barge to do loading and unloading work was not seaman).</w:t>
      </w:r>
    </w:p>
  </w:footnote>
  <w:footnote w:id="638">
    <w:p w14:paraId="0000072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Tate v. Showboat Marina Casino P’ship, 431 F.3d 580, 584 (7th Cir. 2005) (finding present case materially identical to </w:t>
      </w:r>
      <w:r>
        <w:rPr>
          <w:rFonts w:ascii="Times New Roman" w:eastAsia="Times New Roman" w:hAnsi="Times New Roman" w:cs="Times New Roman"/>
          <w:i/>
          <w:color w:val="000000"/>
          <w:sz w:val="20"/>
          <w:szCs w:val="20"/>
        </w:rPr>
        <w:t>Harkins</w:t>
      </w:r>
      <w:r>
        <w:rPr>
          <w:rFonts w:ascii="Times New Roman" w:eastAsia="Times New Roman" w:hAnsi="Times New Roman" w:cs="Times New Roman"/>
          <w:color w:val="000000"/>
          <w:sz w:val="20"/>
          <w:szCs w:val="20"/>
        </w:rPr>
        <w:t>—it involved same boat, same job titles, overlapping time period, and same plaintiff’s lawyer—court found stare decisis applicable; holding as exempt operating crew of “gambling boat that is not permanently moored”); Harkins v. Riverboat Servs., Inc., 385 F.3d 1099 (7th Cir. 2004) (members of operating crew of gambling boat that is most of the time moored rather than sailing found to be “seamen” because they were responsible for operation of ship and safety of passengers).</w:t>
      </w:r>
    </w:p>
  </w:footnote>
  <w:footnote w:id="639">
    <w:p w14:paraId="0000072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FOH §24k05.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Halle v. Galliano Marine Services, LLC, 855 F.3d 290, 293 (5th Cir. 2017) (finding no evidence to suggest that ROVs were vessels).</w:t>
      </w:r>
    </w:p>
  </w:footnote>
  <w:footnote w:id="640">
    <w:p w14:paraId="0000072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§783.38.</w:t>
      </w:r>
    </w:p>
  </w:footnote>
  <w:footnote w:id="641">
    <w:p w14:paraId="0000072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§203(p); 29 C.F.R. §783.17, .38.</w:t>
      </w:r>
    </w:p>
  </w:footnote>
  <w:footnote w:id="642">
    <w:p w14:paraId="0000072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§783.40.</w:t>
      </w:r>
    </w:p>
  </w:footnote>
  <w:footnote w:id="643">
    <w:p w14:paraId="0000072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§783.41. </w:t>
      </w:r>
      <w:r>
        <w:rPr>
          <w:rFonts w:ascii="Times New Roman" w:eastAsia="Times New Roman" w:hAnsi="Times New Roman" w:cs="Times New Roman"/>
          <w:i/>
          <w:color w:val="000000"/>
          <w:sz w:val="20"/>
          <w:szCs w:val="20"/>
        </w:rPr>
        <w:t xml:space="preserve">See </w:t>
      </w:r>
      <w:r>
        <w:rPr>
          <w:rFonts w:ascii="Times New Roman" w:eastAsia="Times New Roman" w:hAnsi="Times New Roman" w:cs="Times New Roman"/>
          <w:color w:val="000000"/>
          <w:sz w:val="20"/>
          <w:szCs w:val="20"/>
        </w:rPr>
        <w:t>Pub. L. No. 85-911, 72 Stat. 1754 (Sept. 2, 1958).</w:t>
      </w:r>
    </w:p>
  </w:footnote>
  <w:footnote w:id="644">
    <w:p w14:paraId="0000072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§783.42.</w:t>
      </w:r>
    </w:p>
  </w:footnote>
  <w:footnote w:id="645">
    <w:p w14:paraId="0000072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§783.38–.42.</w:t>
      </w:r>
    </w:p>
  </w:footnote>
  <w:footnote w:id="646">
    <w:p w14:paraId="0000072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§213(b)(9).</w:t>
      </w:r>
    </w:p>
  </w:footnote>
  <w:footnote w:id="647">
    <w:p w14:paraId="0000072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§793.4.</w:t>
      </w:r>
    </w:p>
  </w:footnote>
  <w:footnote w:id="648">
    <w:p w14:paraId="0000072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§793.4(a), .10.</w:t>
      </w:r>
    </w:p>
  </w:footnote>
  <w:footnote w:id="649">
    <w:p w14:paraId="0000072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§793.7.</w:t>
      </w:r>
    </w:p>
  </w:footnote>
  <w:footnote w:id="650">
    <w:p w14:paraId="0000072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§793.8;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FOH §23d04 (defining “news editor” classification).</w:t>
      </w:r>
    </w:p>
  </w:footnote>
  <w:footnote w:id="651">
    <w:p w14:paraId="0000072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§793.9;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FOH §23d05 (defining “chief engineer” classification).</w:t>
      </w:r>
    </w:p>
  </w:footnote>
  <w:footnote w:id="652">
    <w:p w14:paraId="0000072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§793.10.</w:t>
      </w:r>
    </w:p>
  </w:footnote>
  <w:footnote w:id="653">
    <w:p w14:paraId="0000073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§793.11.</w:t>
      </w:r>
    </w:p>
  </w:footnote>
  <w:footnote w:id="654">
    <w:p w14:paraId="0000073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§793.4(b), .14.</w:t>
      </w:r>
    </w:p>
  </w:footnote>
  <w:footnote w:id="655">
    <w:p w14:paraId="0000073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§793.16. A cable television system qualifies for the exemption only if it is licensed by the FCC as a television broadcasting station.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FOH §23d03.</w:t>
      </w:r>
    </w:p>
  </w:footnote>
  <w:footnote w:id="656">
    <w:p w14:paraId="0000073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§793.4(c), .17, &amp; .18.</w:t>
      </w:r>
    </w:p>
  </w:footnote>
  <w:footnote w:id="657">
    <w:p w14:paraId="0000073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§793.17.</w:t>
      </w:r>
    </w:p>
  </w:footnote>
  <w:footnote w:id="658">
    <w:p w14:paraId="0000073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§213(b)(9); 29 C.F.R. §793.18(a).</w:t>
      </w:r>
    </w:p>
  </w:footnote>
  <w:footnote w:id="659">
    <w:p w14:paraId="0000073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§793.18(b);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Kollmeyter v. WTVA, Inc., 2004 WL 1254313 (5th Cir. June 8, 2004) (holding that television station qualified for “small market” exemption where town had population of 34,211 residents and was not part of any standard metropolitan statistical area), </w:t>
      </w:r>
      <w:r>
        <w:rPr>
          <w:rFonts w:ascii="Times New Roman" w:eastAsia="Times New Roman" w:hAnsi="Times New Roman" w:cs="Times New Roman"/>
          <w:i/>
          <w:color w:val="000000"/>
          <w:sz w:val="20"/>
          <w:szCs w:val="20"/>
        </w:rPr>
        <w:t>aff’g</w:t>
      </w:r>
      <w:r>
        <w:rPr>
          <w:rFonts w:ascii="Times New Roman" w:eastAsia="Times New Roman" w:hAnsi="Times New Roman" w:cs="Times New Roman"/>
          <w:color w:val="000000"/>
          <w:sz w:val="20"/>
          <w:szCs w:val="20"/>
        </w:rPr>
        <w:t xml:space="preserve"> 297 F. Supp. 2d 894 (N.D. Miss. 2003).</w:t>
      </w:r>
    </w:p>
  </w:footnote>
  <w:footnote w:id="660">
    <w:p w14:paraId="0000073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§793.18(c).</w:t>
      </w:r>
    </w:p>
  </w:footnote>
  <w:footnote w:id="661">
    <w:p w14:paraId="0000073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§793.18(d), (e) (listing sources, including booklet published by Bureau of the Budget entitled “Standard Metropolitan Statistical Areas,” and statistical information provided by Census Bureau).</w:t>
      </w:r>
    </w:p>
  </w:footnote>
  <w:footnote w:id="662">
    <w:p w14:paraId="0000073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§793.18(f).</w:t>
      </w:r>
    </w:p>
  </w:footnote>
  <w:footnote w:id="663">
    <w:p w14:paraId="0000073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§213(b)(10). In 1961, Section 213(a)(19) exempted from minimum wage and overtime “any employee of a retail or service establishment which is primarily engaged in the business of selling automobiles, trucks, or farm implements.” Pub. L. No. 87-30, §9 (1961). This exemption was repealed in 1966 and its subject matter was moved to Section 213(b)(10). Pub. L. No. 89-601, §§209(b), 212(a) (1966). At that time, only a Part A existed, which included the terms “trailers” and “aircraft.” Part B was added to the FLSA in 1974, which now includes salesmen selling trailers, boats, and aircraft. Pub. L. No. 93-259, §14 (1974).</w:t>
      </w:r>
    </w:p>
  </w:footnote>
  <w:footnote w:id="664">
    <w:p w14:paraId="0000073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Pub. L. No. 89-601, §209, 80 Stat. 836. The 1966 legislation repealed the blanket exemption from the FLSA’s minimum wage and overtime provisions for all automobile dealership employees. Pub. L. No. 87-30, §9, 75 Stat. 73. The 1966 amendments “narrowed” the exemption to cover only “any salesman, partsman, or mechanic.” </w:t>
      </w:r>
    </w:p>
  </w:footnote>
  <w:footnote w:id="665">
    <w:p w14:paraId="0000073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Pub. L. No. 93-259, §14, 88 Stat. 65. </w:t>
      </w:r>
    </w:p>
  </w:footnote>
  <w:footnote w:id="666">
    <w:p w14:paraId="0000073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Encino Motorcars, LLC v. Navarro (</w:t>
      </w:r>
      <w:r>
        <w:rPr>
          <w:rFonts w:ascii="Times New Roman" w:eastAsia="Times New Roman" w:hAnsi="Times New Roman" w:cs="Times New Roman"/>
          <w:i/>
          <w:color w:val="000000"/>
          <w:sz w:val="20"/>
          <w:szCs w:val="20"/>
        </w:rPr>
        <w:t>Encino I</w:t>
      </w:r>
      <w:r>
        <w:rPr>
          <w:rFonts w:ascii="Times New Roman" w:eastAsia="Times New Roman" w:hAnsi="Times New Roman" w:cs="Times New Roman"/>
          <w:color w:val="000000"/>
          <w:sz w:val="20"/>
          <w:szCs w:val="20"/>
        </w:rPr>
        <w:t>), 136 S. Ct. 2117, 2123 (2016).</w:t>
      </w:r>
    </w:p>
  </w:footnote>
  <w:footnote w:id="667">
    <w:p w14:paraId="0000073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35 Fed. Reg. 5,855 (1970) (codified at 29 C.F.R. §779.372(c)). “The Department intended its regulation as a mere interpretive rule explaining its views, rather than as a legislative rule with the force and effect of law; and so the Department did not issue the regulation through the notice-and-comment procedures of the Administrative Procedure Act.” </w:t>
      </w:r>
      <w:r>
        <w:rPr>
          <w:rFonts w:ascii="Times New Roman" w:eastAsia="Times New Roman" w:hAnsi="Times New Roman" w:cs="Times New Roman"/>
          <w:i/>
          <w:color w:val="000000"/>
          <w:sz w:val="20"/>
          <w:szCs w:val="20"/>
        </w:rPr>
        <w:t>Encino I</w:t>
      </w:r>
      <w:r>
        <w:rPr>
          <w:rFonts w:ascii="Times New Roman" w:eastAsia="Times New Roman" w:hAnsi="Times New Roman" w:cs="Times New Roman"/>
          <w:color w:val="000000"/>
          <w:sz w:val="20"/>
          <w:szCs w:val="20"/>
        </w:rPr>
        <w:t>, 136 S. Ct. at 2122.</w:t>
      </w:r>
    </w:p>
  </w:footnote>
  <w:footnote w:id="668">
    <w:p w14:paraId="0000073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35 Fed. Reg. at 5,878 (amended in 1974 to include “trailers” and “aircraft”).</w:t>
      </w:r>
    </w:p>
  </w:footnote>
  <w:footnote w:id="669">
    <w:p w14:paraId="0000074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§779.372(c)(1).</w:t>
      </w:r>
    </w:p>
  </w:footnote>
  <w:footnote w:id="670">
    <w:p w14:paraId="0000074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§779.372(c)(2).</w:t>
      </w:r>
    </w:p>
  </w:footnote>
  <w:footnote w:id="671">
    <w:p w14:paraId="0000074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§779.372(c)(3).</w:t>
      </w:r>
    </w:p>
  </w:footnote>
  <w:footnote w:id="672">
    <w:p w14:paraId="0000074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§779.372(d).</w:t>
      </w:r>
    </w:p>
  </w:footnote>
  <w:footnote w:id="673">
    <w:p w14:paraId="0000074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§24L03(a).</w:t>
      </w:r>
    </w:p>
  </w:footnote>
  <w:footnote w:id="674">
    <w:p w14:paraId="0000074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§779.372(c)(4). This section was deleted in 76 Fed. Reg. 18,832–33 (Apr. 5, 2011).</w:t>
      </w:r>
    </w:p>
  </w:footnote>
  <w:footnote w:id="675">
    <w:p w14:paraId="0000074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Brennan v. Deel Motors, Inc.,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475 F.2d 1095 (5th Cir. 1973); Yenney v. Cass Cnty.</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Motors, 1977 WL 1678 (D. Neb. 1977); Brennan v. North Bros. Ford, Inc</w:t>
      </w:r>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xml:space="preserve">, 1975 WL 1074 (E.D. Mich. 1975), </w:t>
      </w:r>
      <w:r>
        <w:rPr>
          <w:rFonts w:ascii="Times New Roman" w:eastAsia="Times New Roman" w:hAnsi="Times New Roman" w:cs="Times New Roman"/>
          <w:i/>
          <w:color w:val="000000"/>
          <w:sz w:val="20"/>
          <w:szCs w:val="20"/>
        </w:rPr>
        <w:t>aff’d sub nom.</w:t>
      </w:r>
      <w:r>
        <w:rPr>
          <w:rFonts w:ascii="Times New Roman" w:eastAsia="Times New Roman" w:hAnsi="Times New Roman" w:cs="Times New Roman"/>
          <w:color w:val="000000"/>
          <w:sz w:val="20"/>
          <w:szCs w:val="20"/>
        </w:rPr>
        <w:t xml:space="preserve"> Dunlop v. North Bros. Ford, Inc., 529 F.2d 524 (6th Cir. 1976) (table); Brennan v. Import Volkswagen, Inc</w:t>
      </w:r>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1975 WL 1248 (D. Kan. 1975).</w:t>
      </w:r>
    </w:p>
  </w:footnote>
  <w:footnote w:id="676">
    <w:p w14:paraId="0000074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No. 1520 (WH-467, 1978). </w:t>
      </w:r>
    </w:p>
  </w:footnote>
  <w:footnote w:id="677">
    <w:p w14:paraId="0000074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678">
    <w:p w14:paraId="0000074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§24L04-4(k) (Oct. 20, 1987).</w:t>
      </w:r>
    </w:p>
  </w:footnote>
  <w:footnote w:id="679">
    <w:p w14:paraId="0000074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680">
    <w:p w14:paraId="0000074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681">
    <w:p w14:paraId="0000074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73 Fed. Reg. 43,654 (July 28, 2008).</w:t>
      </w:r>
    </w:p>
  </w:footnote>
  <w:footnote w:id="682">
    <w:p w14:paraId="0000074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76 Fed. Reg. 18,832, 18,833 (Apr. 5, 2011).</w:t>
      </w:r>
    </w:p>
  </w:footnote>
  <w:footnote w:id="683">
    <w:p w14:paraId="0000074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18,859. </w:t>
      </w:r>
    </w:p>
  </w:footnote>
  <w:footnote w:id="684">
    <w:p w14:paraId="0000074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18,838.</w:t>
      </w:r>
    </w:p>
  </w:footnote>
  <w:footnote w:id="685">
    <w:p w14:paraId="0000075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136 S. Ct. 2117 (2016). </w:t>
      </w:r>
    </w:p>
  </w:footnote>
  <w:footnote w:id="686">
    <w:p w14:paraId="0000075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Navarro v. Encino Motorcars, LLC, 780 F.3d 1267 (9th Cir. 2015). </w:t>
      </w:r>
    </w:p>
  </w:footnote>
  <w:footnote w:id="687">
    <w:p w14:paraId="0000075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1274 (citing, inter alia, Walton v. Greenbrier Ford, Inc., 370 F.3d 446 (4th Cir. 2004); Brennan v. Deel Motors, Inc., 475 F.2d 1095 (5th Cir. 1973); Thompson v. J.C. Billion, Inc., 368 Mont. 299, 294 P.3d 397 (2013)).</w:t>
      </w:r>
    </w:p>
  </w:footnote>
  <w:footnote w:id="688">
    <w:p w14:paraId="0000075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Chevron, U.S.A., Inc. v. Natural Res. Def. Council, Inc., 467 U.S. 837, 844 (1984).</w:t>
      </w:r>
    </w:p>
  </w:footnote>
  <w:footnote w:id="689">
    <w:p w14:paraId="0000075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780 F.3d at 1277.</w:t>
      </w:r>
    </w:p>
  </w:footnote>
  <w:footnote w:id="690">
    <w:p w14:paraId="0000075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Encino Motorcars, LLC v. Navarro (</w:t>
      </w:r>
      <w:r>
        <w:rPr>
          <w:rFonts w:ascii="Times New Roman" w:eastAsia="Times New Roman" w:hAnsi="Times New Roman" w:cs="Times New Roman"/>
          <w:i/>
          <w:color w:val="000000"/>
          <w:sz w:val="20"/>
          <w:szCs w:val="20"/>
        </w:rPr>
        <w:t>Encino I</w:t>
      </w:r>
      <w:r>
        <w:rPr>
          <w:rFonts w:ascii="Times New Roman" w:eastAsia="Times New Roman" w:hAnsi="Times New Roman" w:cs="Times New Roman"/>
          <w:color w:val="000000"/>
          <w:sz w:val="20"/>
          <w:szCs w:val="20"/>
        </w:rPr>
        <w:t xml:space="preserve">), 136 S. Ct. 2117 (2016). </w:t>
      </w:r>
    </w:p>
  </w:footnote>
  <w:footnote w:id="691">
    <w:p w14:paraId="0000075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at 2126. </w:t>
      </w:r>
    </w:p>
  </w:footnote>
  <w:footnote w:id="692">
    <w:p w14:paraId="0000075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2125–26 (quoting National Cable &amp; Telecomms. Ass’n v. Brand X Internet Servs., 545 U.S. 967, 981 (2005)).</w:t>
      </w:r>
    </w:p>
  </w:footnote>
  <w:footnote w:id="693">
    <w:p w14:paraId="0000075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2126.</w:t>
      </w:r>
    </w:p>
  </w:footnote>
  <w:footnote w:id="694">
    <w:p w14:paraId="0000075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Encino Motorcars, LLC v. Navarro, 845 F.3d 925 (9th Cir. 2017). </w:t>
      </w:r>
    </w:p>
  </w:footnote>
  <w:footnote w:id="695">
    <w:p w14:paraId="0000075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Encino Motorcars, LLC v. Navarro (</w:t>
      </w:r>
      <w:r>
        <w:rPr>
          <w:rFonts w:ascii="Times New Roman" w:eastAsia="Times New Roman" w:hAnsi="Times New Roman" w:cs="Times New Roman"/>
          <w:i/>
          <w:color w:val="000000"/>
          <w:sz w:val="20"/>
          <w:szCs w:val="20"/>
        </w:rPr>
        <w:t>Encino II</w:t>
      </w:r>
      <w:r>
        <w:rPr>
          <w:rFonts w:ascii="Times New Roman" w:eastAsia="Times New Roman" w:hAnsi="Times New Roman" w:cs="Times New Roman"/>
          <w:color w:val="000000"/>
          <w:sz w:val="20"/>
          <w:szCs w:val="20"/>
        </w:rPr>
        <w:t xml:space="preserve">), 138 S. Ct. 1134 (2018). </w:t>
      </w:r>
    </w:p>
  </w:footnote>
  <w:footnote w:id="696">
    <w:p w14:paraId="0000075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1140.</w:t>
      </w:r>
    </w:p>
  </w:footnote>
  <w:footnote w:id="697">
    <w:p w14:paraId="0000075C" w14:textId="1743F518"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1141. </w:t>
      </w:r>
      <w:r w:rsidR="00A30023">
        <w:rPr>
          <w:rFonts w:ascii="Times New Roman" w:eastAsia="Times New Roman" w:hAnsi="Times New Roman" w:cs="Times New Roman"/>
          <w:i/>
          <w:color w:val="000000"/>
          <w:sz w:val="20"/>
          <w:szCs w:val="20"/>
        </w:rPr>
        <w:t>Cf.</w:t>
      </w:r>
      <w:r>
        <w:rPr>
          <w:rFonts w:ascii="Times New Roman" w:eastAsia="Times New Roman" w:hAnsi="Times New Roman" w:cs="Times New Roman"/>
          <w:color w:val="000000"/>
          <w:sz w:val="20"/>
          <w:szCs w:val="20"/>
        </w:rPr>
        <w:t xml:space="preserve"> Spikes v. Schumacher Auto Grp., Inc.,</w:t>
      </w:r>
      <w:r>
        <w:rPr>
          <w:rFonts w:ascii="Arial" w:eastAsia="Arial" w:hAnsi="Arial" w:cs="Arial"/>
          <w:color w:val="000000"/>
          <w:sz w:val="20"/>
          <w:szCs w:val="20"/>
        </w:rPr>
        <w:t xml:space="preserve"> </w:t>
      </w:r>
      <w:r w:rsidR="00385C87" w:rsidRPr="00385C87">
        <w:rPr>
          <w:rFonts w:ascii="Times New Roman" w:eastAsia="Times New Roman" w:hAnsi="Times New Roman" w:cs="Times New Roman"/>
          <w:color w:val="000000"/>
          <w:sz w:val="20"/>
          <w:szCs w:val="20"/>
        </w:rPr>
        <w:t>2022 BL 474775</w:t>
      </w:r>
      <w:r w:rsidR="00F3002B">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2022 WL 18402565 (S.D. Fla. Dec. 20, 2022) (holding call center workers of automobile dealership were not salespeople within the exemption because they made appointments for customers to meet with a manager, who then assigned customers to salespeople, whose job was to sell automobiles). </w:t>
      </w:r>
    </w:p>
  </w:footnote>
  <w:footnote w:id="698">
    <w:p w14:paraId="0000075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1140–41.</w:t>
      </w:r>
    </w:p>
  </w:footnote>
  <w:footnote w:id="699">
    <w:p w14:paraId="0000075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1141.</w:t>
      </w:r>
    </w:p>
  </w:footnote>
  <w:footnote w:id="700">
    <w:p w14:paraId="0000075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1142 (citation omitted). In dissent, Justice Ginsburg, along with Justices Breyer, Sotomayor, and Kagan, criticized the majority for rejecting the theory of narrowly construing exemptions.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1148 n.7 (“In a single paragraph, the Court ‘reject[s]’ this longstanding principle as applied to the FLSA, without even acknowledging that it unsettles more than half a century of our precedent.”). </w:t>
      </w:r>
    </w:p>
  </w:footnote>
  <w:footnote w:id="701">
    <w:p w14:paraId="0000076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§213(b)(11). This exemption was introduced into the FLSA in 1961. Pub. L. No. 87-30, §9. There have been no changes to the language of the exemption since its enactment.</w:t>
      </w:r>
    </w:p>
  </w:footnote>
  <w:footnote w:id="702">
    <w:p w14:paraId="0000076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§551.2–.5.</w:t>
      </w:r>
    </w:p>
  </w:footnote>
  <w:footnote w:id="703">
    <w:p w14:paraId="0000076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§516.15.</w:t>
      </w:r>
    </w:p>
  </w:footnote>
  <w:footnote w:id="704">
    <w:p w14:paraId="0000076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§551.8(d). To qualify as a driver or driver’s helper for purposes of the §213(b)(11) exemption, an employee must be engaged in making local deliveries for at least 80% of his or her work hours in a workweek.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§551.8(e).</w:t>
      </w:r>
    </w:p>
  </w:footnote>
  <w:footnote w:id="705">
    <w:p w14:paraId="0000076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§551.8(d).</w:t>
      </w:r>
    </w:p>
  </w:footnote>
  <w:footnote w:id="706">
    <w:p w14:paraId="0000076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§551.8(f).</w:t>
      </w:r>
    </w:p>
  </w:footnote>
  <w:footnote w:id="707">
    <w:p w14:paraId="0000076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§551.3.</w:t>
      </w:r>
    </w:p>
  </w:footnote>
  <w:footnote w:id="708">
    <w:p w14:paraId="0000076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§551.5 for a description of the information that must be included in the petition.</w:t>
      </w:r>
    </w:p>
  </w:footnote>
  <w:footnote w:id="709">
    <w:p w14:paraId="0000076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§551.6(a).</w:t>
      </w:r>
    </w:p>
  </w:footnote>
  <w:footnote w:id="710">
    <w:p w14:paraId="0000076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11">
    <w:p w14:paraId="0000076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p>
  </w:footnote>
  <w:footnote w:id="712">
    <w:p w14:paraId="0000076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§551.6(b). </w:t>
      </w:r>
    </w:p>
  </w:footnote>
  <w:footnote w:id="713">
    <w:p w14:paraId="0000076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§551.7(a). “The finding shall include such terms and conditions and such limitations with respect to its application as the Administrator shall deem necessary to ensure that no exemption will be based thereon in the event of any significant change in any of the essential supporting facts.”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14">
    <w:p w14:paraId="0000076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§551.7(b).</w:t>
      </w:r>
    </w:p>
  </w:footnote>
  <w:footnote w:id="715">
    <w:p w14:paraId="0000076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U.S.C. §213(b)(17). This exemption was first introduced into the Act in 1949 as §213(a)(12). Pub. L. No. 81-393, §11. In 1966, the subject matter of the exemption was moved to §213(b)(27), applying solely to overtime requirements. Pub. L. 89-601, §206. </w:t>
      </w:r>
    </w:p>
  </w:footnote>
  <w:footnote w:id="716">
    <w:p w14:paraId="0000076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§24h01</w:t>
      </w:r>
      <w:r>
        <w:rPr>
          <w:rFonts w:ascii="Times New Roman" w:eastAsia="Times New Roman" w:hAnsi="Times New Roman" w:cs="Times New Roman"/>
          <w:i/>
          <w:color w:val="000000"/>
          <w:sz w:val="20"/>
          <w:szCs w:val="20"/>
        </w:rPr>
        <w:t>.</w:t>
      </w:r>
    </w:p>
  </w:footnote>
  <w:footnote w:id="717">
    <w:p w14:paraId="0000077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§24h02.</w:t>
      </w:r>
    </w:p>
  </w:footnote>
  <w:footnote w:id="718">
    <w:p w14:paraId="0000077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§24h03.</w:t>
      </w:r>
    </w:p>
  </w:footnote>
  <w:footnote w:id="719">
    <w:p w14:paraId="0000077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§24h06(b)(1). </w:t>
      </w:r>
    </w:p>
  </w:footnote>
  <w:footnote w:id="720">
    <w:p w14:paraId="0000077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§24h04; 29 C.F.R. §786.200.</w:t>
      </w:r>
    </w:p>
  </w:footnote>
  <w:footnote w:id="721">
    <w:p w14:paraId="0000077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Mascol v. E &amp; L Transp., Inc., 2005 WL 1123936 (E.D.N.Y. May 9, 2005) (determining ambulettes and taxicabs to be different because (1) ambulettes were used specifically to transport mobility-limited passengers; (2) ambulettes were not licensed as taxicabs; (3) 95% of ambulette business was subsidized by the New York State Department of Health through its Medicaid program; (4) ambulettes were not metered; and (5) ambulette per-trip flat rates were predetermined); </w:t>
      </w:r>
      <w:r>
        <w:rPr>
          <w:rFonts w:ascii="Times New Roman" w:eastAsia="Times New Roman" w:hAnsi="Times New Roman" w:cs="Times New Roman"/>
          <w:i/>
          <w:color w:val="000000"/>
          <w:sz w:val="20"/>
          <w:szCs w:val="20"/>
        </w:rPr>
        <w:t>accord</w:t>
      </w:r>
      <w:r>
        <w:rPr>
          <w:rFonts w:ascii="Times New Roman" w:eastAsia="Times New Roman" w:hAnsi="Times New Roman" w:cs="Times New Roman"/>
          <w:color w:val="000000"/>
          <w:sz w:val="20"/>
          <w:szCs w:val="20"/>
        </w:rPr>
        <w:t xml:space="preserve"> Herman v. Brewah Cab, Inc., 992 F. Supp. 1054 (E.D. Wis. 1998) (finding that company that provided transportation to elderly and disabled individuals did not fall within taxicab exemption).</w:t>
      </w:r>
    </w:p>
  </w:footnote>
  <w:footnote w:id="722">
    <w:p w14:paraId="0000077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Wirtz v. Cincinnati, Newport &amp; Covington Transp. Co., 375 F.2d 513, 515, 17 WH Cases 657, 658 (6th Cir. 1967) (deeming that limousine service drivers were not exempt where service functioned under contract with air carriers, trips were unmetered, vehicles did not have vacancy signs and were not advertised as taxicabs, and drivers did not operate freely and with initiative); </w:t>
      </w:r>
      <w:r>
        <w:rPr>
          <w:rFonts w:ascii="Times New Roman" w:eastAsia="Times New Roman" w:hAnsi="Times New Roman" w:cs="Times New Roman"/>
          <w:i/>
          <w:color w:val="000000"/>
          <w:sz w:val="20"/>
          <w:szCs w:val="20"/>
        </w:rPr>
        <w:t>accord</w:t>
      </w:r>
      <w:r>
        <w:rPr>
          <w:rFonts w:ascii="Times New Roman" w:eastAsia="Times New Roman" w:hAnsi="Times New Roman" w:cs="Times New Roman"/>
          <w:color w:val="000000"/>
          <w:sz w:val="20"/>
          <w:szCs w:val="20"/>
        </w:rPr>
        <w:t xml:space="preserve"> Abel v. Southern Shuttle Serv., Inc., 301 F. App’x 856, 861 (11th Cir. 2008) (holding that drivers of airport shuttle services did not fall under taxicab exemption); Schulman v. Southern Shuttle Serv., Inc., 2009 WL 331550, at *2 (S.D. Fla. Feb. 10, 2009) (same); Rossi v. Associated Limousine Servs., Inc., 438 F. Supp. 2d 1354 (S.D. Fla. 2006) (finding that limousine company did not operate taxicabs within plain meaning of statute and exemption did not apply).</w:t>
      </w:r>
    </w:p>
  </w:footnote>
  <w:footnote w:id="723">
    <w:p w14:paraId="0000077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904 F.3d 208 (2d Cir. 2018). </w:t>
      </w:r>
    </w:p>
  </w:footnote>
  <w:footnote w:id="724">
    <w:p w14:paraId="0000077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216; John v. All Star Limousine Serv., Ltd., 2022 BL 1615, 2022 WL 36219 (E.D.N.Y. Jan. 4, 2022) (notwithstanding 40 to 43% of defendant’s business resulting from recurrent transportation, exemption still applicable where service remains available for hire by general public). </w:t>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Blan v. Classic Limousine Transp., LLC, 2021 BL 113422, 2021 WL 1176063 (W.D. Pa. Mar. 29, 2021) (distinguishing facts of </w:t>
      </w:r>
      <w:r>
        <w:rPr>
          <w:rFonts w:ascii="Times New Roman" w:eastAsia="Times New Roman" w:hAnsi="Times New Roman" w:cs="Times New Roman"/>
          <w:i/>
          <w:color w:val="000000"/>
          <w:sz w:val="20"/>
          <w:szCs w:val="20"/>
        </w:rPr>
        <w:t>Munoz-Gonzalez</w:t>
      </w:r>
      <w:r>
        <w:rPr>
          <w:rFonts w:ascii="Times New Roman" w:eastAsia="Times New Roman" w:hAnsi="Times New Roman" w:cs="Times New Roman"/>
          <w:color w:val="000000"/>
          <w:sz w:val="20"/>
          <w:szCs w:val="20"/>
        </w:rPr>
        <w:t xml:space="preserve"> and finding taxicab exemption did not apply because substantial portion of defendant’s business came from recurrent contracts, non-negligible portion of business followed fixed routes, vehicles were unmetered and did not have vacancy signs, and passengers typically reserved rides in advance). </w:t>
      </w:r>
    </w:p>
  </w:footnote>
  <w:footnote w:id="725">
    <w:p w14:paraId="0000077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§213(b)(21). Section 213(b)(21) was added to the FLSA in 1974. Pub. L. No. 93-259, §7(b)(4). Although there has been no change to the statutory language since its enactment in 1975, the DOL promulgated both “General Regulations,” 29 C.F.R. §552.1–.6, and “Interpretations,” 29 C.F.R. §552.99–.110, to describe its view of how the exemptions under §213(a)(15) and §213(b)(21) should be interpreted. For historical background on the 1975 regulations, including the 2013 final rule, see §III.F.2 [Section 213(a) Exemptions From the Minimum Wage and Overtime Requirements of the FLSA; Casual-Basis Babysitters and Domestic Companionship Service Providers; Companionship Services] of this chapter.</w:t>
      </w:r>
    </w:p>
  </w:footnote>
  <w:footnote w:id="726">
    <w:p w14:paraId="0000077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§552.102.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78 Fed. Reg. 60,454, 60,557 (Oct. 1, 2013).</w:t>
      </w:r>
    </w:p>
  </w:footnote>
  <w:footnote w:id="727">
    <w:p w14:paraId="0000077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78 Fed. Reg. at 60,474.</w:t>
      </w:r>
    </w:p>
  </w:footnote>
  <w:footnote w:id="728">
    <w:p w14:paraId="0000077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29 C.F.R. §785.23; FOH §31b20; WH Op. FLSA2004-7, 2004 WL 2146927 (July 27, 2004).</w:t>
      </w:r>
    </w:p>
  </w:footnote>
  <w:footnote w:id="729">
    <w:p w14:paraId="0000077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78 Fed. Reg. at 60,474 (citation omitted). </w:t>
      </w:r>
    </w:p>
  </w:footnote>
  <w:footnote w:id="730">
    <w:p w14:paraId="0000077D" w14:textId="5DE5ED1E"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w:t>
      </w:r>
      <w:r w:rsidRPr="002A5EB4">
        <w:rPr>
          <w:rFonts w:ascii="Times New Roman" w:eastAsia="Times New Roman" w:hAnsi="Times New Roman" w:cs="Times New Roman"/>
          <w:iCs/>
          <w:color w:val="000000"/>
          <w:sz w:val="20"/>
          <w:szCs w:val="20"/>
        </w:rPr>
        <w:t xml:space="preserve"> </w:t>
      </w:r>
      <w:r w:rsidR="000F6EC1" w:rsidRPr="002A5EB4">
        <w:rPr>
          <w:rFonts w:ascii="Times New Roman" w:eastAsia="Times New Roman" w:hAnsi="Times New Roman" w:cs="Times New Roman"/>
          <w:iCs/>
          <w:color w:val="000000"/>
          <w:sz w:val="20"/>
          <w:szCs w:val="20"/>
        </w:rPr>
        <w:t xml:space="preserve">Blanco v. Samuel, 91 F.4th 1061, 1077 (11th Cir. 2024) (extended period of time not found where nanny did not remain at the house during </w:t>
      </w:r>
      <w:r w:rsidR="000F6EC1">
        <w:rPr>
          <w:rFonts w:ascii="Times New Roman" w:eastAsia="Times New Roman" w:hAnsi="Times New Roman" w:cs="Times New Roman"/>
          <w:iCs/>
          <w:color w:val="000000"/>
          <w:sz w:val="20"/>
          <w:szCs w:val="20"/>
        </w:rPr>
        <w:t>daytime hours</w:t>
      </w:r>
      <w:r w:rsidR="000F6EC1" w:rsidRPr="002A5EB4">
        <w:rPr>
          <w:rFonts w:ascii="Times New Roman" w:eastAsia="Times New Roman" w:hAnsi="Times New Roman" w:cs="Times New Roman"/>
          <w:iCs/>
          <w:color w:val="000000"/>
          <w:sz w:val="20"/>
          <w:szCs w:val="20"/>
        </w:rPr>
        <w:t xml:space="preserve"> between consecutive nights on duty);</w:t>
      </w:r>
      <w:r w:rsidR="000F6EC1">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Romero v. Diaz-Fox, 2021 BL 308527, 2021 WL 3619677 (S.D. Fla. Aug. 16, 2021) (because it was undisputed that plaintiff worked from 5:00 p.m. to 8:30 a.m. Monday to Friday, and only slept at the employer’s home when she worked a double shift on Saturdays and Sundays, holding that sleeping in the employer’s home two nights a week did not qualify as an extended period of time).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29 C.F.R. §785.23.</w:t>
      </w:r>
    </w:p>
  </w:footnote>
  <w:footnote w:id="731">
    <w:p w14:paraId="0000077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§552.110.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smallCaps/>
          <w:color w:val="000000"/>
          <w:sz w:val="20"/>
          <w:szCs w:val="20"/>
        </w:rPr>
        <w:t>U.S. Dep’t of Labor, Wage &amp; Hour Div., Field Assistance Bull. No.</w:t>
      </w:r>
      <w:r>
        <w:rPr>
          <w:rFonts w:ascii="Times New Roman" w:eastAsia="Times New Roman" w:hAnsi="Times New Roman" w:cs="Times New Roman"/>
          <w:color w:val="000000"/>
          <w:sz w:val="20"/>
          <w:szCs w:val="20"/>
        </w:rPr>
        <w:t xml:space="preserve"> 2015-1 (Dec. 17, 2015), for DOL guidance regarding recordkeeping requirements for employers claiming a §203(m) credit for lodging provided to employees.</w:t>
      </w:r>
    </w:p>
  </w:footnote>
  <w:footnote w:id="732">
    <w:p w14:paraId="0000077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§552.109(c).</w:t>
      </w:r>
    </w:p>
  </w:footnote>
  <w:footnote w:id="733">
    <w:p w14:paraId="0000078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34">
    <w:p w14:paraId="0000078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U.S.C. §213(b)(24); Pub. L. No. 93-259, §17. Although the statutory language uses the disjunctive term “or” rather than the conjunctive term “and” between elements (A) and (B), the legislative history indicates that “and” was intended, requiring satisfaction of both elements.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120 </w:t>
      </w:r>
      <w:r>
        <w:rPr>
          <w:rFonts w:ascii="Times New Roman" w:eastAsia="Times New Roman" w:hAnsi="Times New Roman" w:cs="Times New Roman"/>
          <w:smallCaps/>
          <w:color w:val="000000"/>
          <w:sz w:val="20"/>
          <w:szCs w:val="20"/>
        </w:rPr>
        <w:t>Cong. Rec.</w:t>
      </w:r>
      <w:r>
        <w:rPr>
          <w:rFonts w:ascii="Times New Roman" w:eastAsia="Times New Roman" w:hAnsi="Times New Roman" w:cs="Times New Roman"/>
          <w:color w:val="000000"/>
          <w:sz w:val="20"/>
          <w:szCs w:val="20"/>
        </w:rPr>
        <w:t xml:space="preserve"> H8600 (daily ed. Mar. 28, 1974) (statement of Rep. Dent). The FOH acknowledges this distinction by italicizing term.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FOH §25p00.</w:t>
      </w:r>
    </w:p>
  </w:footnote>
  <w:footnote w:id="735">
    <w:p w14:paraId="0000078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§25p02.</w:t>
      </w:r>
    </w:p>
  </w:footnote>
  <w:footnote w:id="736">
    <w:p w14:paraId="0000078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FLSA2005-52, 2005 WL 3308623 (Nov. 14, 2005). The issue of individual coverage of house parents is addressed in Chapter 4, Employer Coverage, §II.B.2 [Individual Coverage; “Engaged in Commerce”; Regular Use of the Channels of Commerce].</w:t>
      </w:r>
    </w:p>
  </w:footnote>
  <w:footnote w:id="737">
    <w:p w14:paraId="0000078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U.S.C. §213(b)(27). This exemption was enacted in 1966, as §213(a)(9). Pub. L. No. 89-601, §207 (1966). In 1977, the subject matter of the exemption was moved to §213(b)(27), limiting the exemption to the overtime requirements only. Although 29 C.F.R. §779.384 interprets the exemption for motion picture theater employees, it inaccurately refers to the 1966 version of §213(a)(9) as providing an exemption from the FLSA’s minimum wage and overtime requirements for employees of motion picture theaters. In 1974, Congress amended the FLSA to, inter alia, convert the §213(a)(9) exemption into §213(b)(27), which provides an exemption only from overtime requirements.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Pub. L. No. 93-259 (1974). The language of the exemption has not changed since its enactment. For a discussion of the term “establishment,” see §II [The Establishment Requirement] of this chapter.</w:t>
      </w:r>
    </w:p>
  </w:footnote>
  <w:footnote w:id="738">
    <w:p w14:paraId="0000078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§779.384.</w:t>
      </w:r>
    </w:p>
  </w:footnote>
  <w:footnote w:id="739">
    <w:p w14:paraId="0000078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40">
    <w:p w14:paraId="0000078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41">
    <w:p w14:paraId="0000078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42">
    <w:p w14:paraId="0000078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§21i01.</w:t>
      </w:r>
    </w:p>
  </w:footnote>
  <w:footnote w:id="743">
    <w:p w14:paraId="0000078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WH Op. FLSA2018-23, 2018 WL 4562933 (Aug. 28. 2018) (citing WH Op. FLSA2003-1, 2003 WL 23374597, at *3 (Mar. 17, 2003)).</w:t>
      </w:r>
    </w:p>
  </w:footnote>
  <w:footnote w:id="744">
    <w:p w14:paraId="0000078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45">
    <w:p w14:paraId="0000078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On some occasions, this requirement was waived. </w:t>
      </w:r>
      <w:r>
        <w:rPr>
          <w:rFonts w:ascii="Times New Roman" w:eastAsia="Times New Roman" w:hAnsi="Times New Roman" w:cs="Times New Roman"/>
          <w:i/>
          <w:color w:val="000000"/>
          <w:sz w:val="20"/>
          <w:szCs w:val="20"/>
        </w:rPr>
        <w:t>Id.</w:t>
      </w:r>
    </w:p>
  </w:footnote>
  <w:footnote w:id="746">
    <w:p w14:paraId="0000078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 </w:t>
      </w:r>
    </w:p>
  </w:footnote>
  <w:footnote w:id="747">
    <w:p w14:paraId="0000078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 (citing 29 C.F.R. §779.305). </w:t>
      </w:r>
    </w:p>
  </w:footnote>
  <w:footnote w:id="748">
    <w:p w14:paraId="0000078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 The same employees who provided food services also worked as ushers and cashiers.</w:t>
      </w:r>
    </w:p>
  </w:footnote>
  <w:footnote w:id="749">
    <w:p w14:paraId="0000079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50">
    <w:p w14:paraId="0000079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§213(b)(29). This exemption was added to the statute in 1977. Pub. L. No. 95-151, §4, 91 Stat. 1245 (1977). The term “establishment” is discussed in §II [The Establishment Requirement] of this chapter. The term “amusement or recreational establishment” is discussed in §III.A [Section 213(a) Exemptions From the Minimum Wage and Overtime Requirements of the FLSA; Employees Employed by Amusement or Recreational Establishments, Organized Camps, or Religious or Nonprofit Educational Conferences] of this chapter.</w:t>
      </w:r>
    </w:p>
  </w:footnote>
  <w:footnote w:id="751">
    <w:p w14:paraId="0000079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Chessin v. Keystone Resort Mgmt.,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184 F.3d 1188, 1195 (10th Cir. 1999) (“Section 213(b)(29)—which consists of two conditions joined by the word ‘and’—is meaningless if an employer does not have to satisfy both conditions.”).</w:t>
      </w:r>
    </w:p>
  </w:footnote>
  <w:footnote w:id="752">
    <w:p w14:paraId="0000079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1193 (recognizing that “our inquiry centers on whether lodging and other services like restaurants and retail shops, viewed in the context of Keystone’s operations on or near national forest land, have a recreational nature”).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Brennan v. Yellowstone Park Lines, Inc., 478 F.2d 285, 287 (10th Cir. 1973) (where parties stipulated that if various establishments in Yellowstone National Park were “separate,” seasonal recreational exemption 29 U.S.C. §213(a)(3) would apply).</w:t>
      </w:r>
    </w:p>
  </w:footnote>
  <w:footnote w:id="753">
    <w:p w14:paraId="0000079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§213(b)(29).</w:t>
      </w:r>
    </w:p>
  </w:footnote>
  <w:footnote w:id="754">
    <w:p w14:paraId="0000079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H.R. </w:t>
      </w:r>
      <w:r>
        <w:rPr>
          <w:rFonts w:ascii="Times New Roman" w:eastAsia="Times New Roman" w:hAnsi="Times New Roman" w:cs="Times New Roman"/>
          <w:smallCaps/>
          <w:color w:val="000000"/>
          <w:sz w:val="20"/>
          <w:szCs w:val="20"/>
        </w:rPr>
        <w:t>Rep. No</w:t>
      </w:r>
      <w:r>
        <w:rPr>
          <w:rFonts w:ascii="Times New Roman" w:eastAsia="Times New Roman" w:hAnsi="Times New Roman" w:cs="Times New Roman"/>
          <w:color w:val="000000"/>
          <w:sz w:val="20"/>
          <w:szCs w:val="20"/>
        </w:rPr>
        <w:t xml:space="preserve">. 95-521, at 34 (1977), </w:t>
      </w:r>
      <w:r>
        <w:rPr>
          <w:rFonts w:ascii="Times New Roman" w:eastAsia="Times New Roman" w:hAnsi="Times New Roman" w:cs="Times New Roman"/>
          <w:i/>
          <w:color w:val="000000"/>
          <w:sz w:val="20"/>
          <w:szCs w:val="20"/>
        </w:rPr>
        <w:t>reprinted in</w:t>
      </w:r>
      <w:r>
        <w:rPr>
          <w:rFonts w:ascii="Times New Roman" w:eastAsia="Times New Roman" w:hAnsi="Times New Roman" w:cs="Times New Roman"/>
          <w:color w:val="000000"/>
          <w:sz w:val="20"/>
          <w:szCs w:val="20"/>
        </w:rPr>
        <w:t xml:space="preserve"> 1977 U.S.C.C.A.N. 3201, 3235.</w:t>
      </w:r>
    </w:p>
  </w:footnote>
  <w:footnote w:id="755">
    <w:p w14:paraId="0000079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184 F.3d 1188, 5 WH Cases2d 739 (10th Cir. 1999).</w:t>
      </w:r>
    </w:p>
  </w:footnote>
  <w:footnote w:id="756">
    <w:p w14:paraId="0000079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184 F.3d at 1194.</w:t>
      </w:r>
    </w:p>
  </w:footnote>
  <w:footnote w:id="757">
    <w:p w14:paraId="0000079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1194–95.</w:t>
      </w:r>
    </w:p>
  </w:footnote>
  <w:footnote w:id="758">
    <w:p w14:paraId="0000079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For a discussion of §207(j), see Chapter 10, Overtime Compensation, §VIII.B [Special Overtime Provisions; Hospital and Residential Care Establishments].</w:t>
      </w:r>
    </w:p>
  </w:footnote>
  <w:footnote w:id="759">
    <w:p w14:paraId="0000079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For a discussion of §207(k) and (p), see Chapter 11, Government Employment, §§III.C–E [Public Sector Exemptions From FLSA Overtime Requirements; Section 207(p)(1): Special Detail Work by Fire Protection and Law Enforcement Personnel; Section 207(p)(2): Occasional or Sporadic Employment; Section 207(p)(3): Voluntary Substitution], and V [Special Provisions That Apply to Fire Protection and Law Enforcement Employees].</w:t>
      </w:r>
    </w:p>
  </w:footnote>
  <w:footnote w:id="760">
    <w:p w14:paraId="0000079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Section 207(l) of the FLSA applies the overtime requirements of the Act to domestic service employees, except for those specifically exempted under </w:t>
      </w:r>
      <w:r>
        <w:rPr>
          <w:rFonts w:ascii="Times New Roman" w:eastAsia="Times New Roman" w:hAnsi="Times New Roman" w:cs="Times New Roman"/>
          <w:color w:val="000000"/>
          <w:sz w:val="20"/>
          <w:szCs w:val="20"/>
        </w:rPr>
        <w:br/>
        <w:t>§213(a)(15), 213(b)(21), and 213(b)(24). For a discussion of these exemptions, see §§III.F [Section 213(a) Exemptions From the Minimum Wage and Overtime Requirements of the FLSA; Casual-Basis Babysitters and Domestic Companionship Service Providers], IV.I [Section 213(b) Exemptions From the Overtime Requirements of the FLSA; Domestic Servants Who Reside in a Household], and IV.J [Section 213(b) Exemptions From the Overtime Requirements of the FLSA; Husbands and Wives Who Serve as House Parents] of this chapter.</w:t>
      </w:r>
    </w:p>
  </w:footnote>
  <w:footnote w:id="761">
    <w:p w14:paraId="0000079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For a discussion of §207(m), see Chapter 7, Agricultural Exemptions, §VI.D [Partial Overtime Exemptions Regarding Cotton, Sugar, and Tobacco; Activities Exempt Under Section 207(m): Employees Providing Services for Tobacco Auctions].</w:t>
      </w:r>
    </w:p>
  </w:footnote>
  <w:footnote w:id="762">
    <w:p w14:paraId="0000079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For a discussion of §207(o), see Chapter 11, Government Employment, §III.A [Public Sector Exemptions From FLSA Overtime Requirements; Section 207(o): Compensatory Time].</w:t>
      </w:r>
    </w:p>
  </w:footnote>
  <w:footnote w:id="763">
    <w:p w14:paraId="0000079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For a discussion of §207(q), see Chapter 10, Overtime Compensation, §VIII.C [Special Overtime Provisions; Employees Receiving Remedial Education].</w:t>
      </w:r>
    </w:p>
  </w:footnote>
  <w:footnote w:id="764">
    <w:p w14:paraId="0000079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§207(s).</w:t>
      </w:r>
    </w:p>
  </w:footnote>
  <w:footnote w:id="765">
    <w:p w14:paraId="000007A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§207(b)(1), (2).</w:t>
      </w:r>
    </w:p>
  </w:footnote>
  <w:footnote w:id="766">
    <w:p w14:paraId="000007A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§778.602(a) (emphasis added).</w:t>
      </w:r>
    </w:p>
  </w:footnote>
  <w:footnote w:id="767">
    <w:p w14:paraId="000007A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§778.602(b).</w:t>
      </w:r>
    </w:p>
  </w:footnote>
  <w:footnote w:id="768">
    <w:p w14:paraId="000007A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id.</w:t>
      </w:r>
    </w:p>
  </w:footnote>
  <w:footnote w:id="769">
    <w:p w14:paraId="000007A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id</w:t>
      </w:r>
      <w:r>
        <w:rPr>
          <w:rFonts w:ascii="Times New Roman" w:eastAsia="Times New Roman" w:hAnsi="Times New Roman" w:cs="Times New Roman"/>
          <w:color w:val="000000"/>
          <w:sz w:val="20"/>
          <w:szCs w:val="20"/>
        </w:rPr>
        <w:t xml:space="preserve">. (providing example under $5.20/hour minimum wage). </w:t>
      </w:r>
    </w:p>
  </w:footnote>
  <w:footnote w:id="770">
    <w:p w14:paraId="000007A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139 F.2d 853, 4 WH Cases 156 (7th Cir. 1944).</w:t>
      </w:r>
    </w:p>
  </w:footnote>
  <w:footnote w:id="771">
    <w:p w14:paraId="000007A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72">
    <w:p w14:paraId="000007A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§207(b)(1), (2). Note that this certification is not the same as the NLRB’s certification of exclusive representative under §9 of the National Labor Relations Act.</w:t>
      </w:r>
    </w:p>
  </w:footnote>
  <w:footnote w:id="773">
    <w:p w14:paraId="000007A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§32L00.</w:t>
      </w:r>
    </w:p>
  </w:footnote>
  <w:footnote w:id="774">
    <w:p w14:paraId="000007A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FLSA2004-9 (Sept. 9, 2004).</w:t>
      </w:r>
    </w:p>
  </w:footnote>
  <w:footnote w:id="775">
    <w:p w14:paraId="000007A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 </w:t>
      </w:r>
    </w:p>
  </w:footnote>
  <w:footnote w:id="776">
    <w:p w14:paraId="000007A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p>
  </w:footnote>
  <w:footnote w:id="777">
    <w:p w14:paraId="000007A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§516.20.</w:t>
      </w:r>
    </w:p>
  </w:footnote>
  <w:footnote w:id="778">
    <w:p w14:paraId="000007A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§207(b)(3).</w:t>
      </w:r>
    </w:p>
  </w:footnote>
  <w:footnote w:id="779">
    <w:p w14:paraId="000007A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§794.2.</w:t>
      </w:r>
    </w:p>
  </w:footnote>
  <w:footnote w:id="780">
    <w:p w14:paraId="000007A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§207(b)(3); 29 C.F.R. §794.100.</w:t>
      </w:r>
    </w:p>
  </w:footnote>
  <w:footnote w:id="781">
    <w:p w14:paraId="000007B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82">
    <w:p w14:paraId="000007B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§794.101.</w:t>
      </w:r>
    </w:p>
  </w:footnote>
  <w:footnote w:id="783">
    <w:p w14:paraId="000007B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§794.103 (internal citations and emphasis omitted). </w:t>
      </w:r>
    </w:p>
  </w:footnote>
  <w:footnote w:id="784">
    <w:p w14:paraId="000007B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§794.132.</w:t>
      </w:r>
    </w:p>
  </w:footnote>
  <w:footnote w:id="785">
    <w:p w14:paraId="000007B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§794.133.</w:t>
      </w:r>
    </w:p>
  </w:footnote>
  <w:footnote w:id="786">
    <w:p w14:paraId="000007B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§794.104.</w:t>
      </w:r>
    </w:p>
  </w:footnote>
  <w:footnote w:id="787">
    <w:p w14:paraId="000007B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88">
    <w:p w14:paraId="000007B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89">
    <w:p w14:paraId="000007B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§794.136.</w:t>
      </w:r>
    </w:p>
  </w:footnote>
  <w:footnote w:id="790">
    <w:p w14:paraId="000007B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§794.108. See Chapter 4, Employer Coverage, §III.C.2 [Enterprise Coverage; Requirements of Section 203(s); Section 203(s)(1)(A)(ii): The Business Dollar Volume Test] for a discussion of the dollar volume of sales of an enterprise.</w:t>
      </w:r>
    </w:p>
  </w:footnote>
  <w:footnote w:id="791">
    <w:p w14:paraId="000007B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§794.109.</w:t>
      </w:r>
    </w:p>
  </w:footnote>
  <w:footnote w:id="792">
    <w:p w14:paraId="000007B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(May 22, 1964).</w:t>
      </w:r>
    </w:p>
  </w:footnote>
  <w:footnote w:id="793">
    <w:p w14:paraId="000007B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94">
    <w:p w14:paraId="000007B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95">
    <w:p w14:paraId="000007B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(Sept. 9, 1969).</w:t>
      </w:r>
    </w:p>
  </w:footnote>
  <w:footnote w:id="796">
    <w:p w14:paraId="000007B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§794.111.</w:t>
      </w:r>
    </w:p>
  </w:footnote>
  <w:footnote w:id="797">
    <w:p w14:paraId="000007C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798">
    <w:p w14:paraId="000007C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§794.113.</w:t>
      </w:r>
    </w:p>
  </w:footnote>
  <w:footnote w:id="799">
    <w:p w14:paraId="000007C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§794.114 (quoting Senate Hearings on amendments to the Fair Labor Standards Act, 87th Cong., 411 (1961)).</w:t>
      </w:r>
    </w:p>
  </w:footnote>
  <w:footnote w:id="800">
    <w:p w14:paraId="000007C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404 F.2d 693 (6th Cir. 1968).</w:t>
      </w:r>
    </w:p>
  </w:footnote>
  <w:footnote w:id="801">
    <w:p w14:paraId="000007C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697.</w:t>
      </w:r>
    </w:p>
  </w:footnote>
  <w:footnote w:id="802">
    <w:p w14:paraId="000007C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Burris v. Texaco, Inc., 361 F.2d 169, 174 (4th Cir. 1966); 29 C.F.R. §794.115, .116.</w:t>
      </w:r>
    </w:p>
  </w:footnote>
  <w:footnote w:id="803">
    <w:p w14:paraId="000007C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§794.117.</w:t>
      </w:r>
    </w:p>
  </w:footnote>
  <w:footnote w:id="804">
    <w:p w14:paraId="000007C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§207(b)(3).</w:t>
      </w:r>
    </w:p>
  </w:footnote>
  <w:footnote w:id="805">
    <w:p w14:paraId="000007C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§794.128.</w:t>
      </w:r>
    </w:p>
  </w:footnote>
  <w:footnote w:id="806">
    <w:p w14:paraId="000007C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807">
    <w:p w14:paraId="000007C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808">
    <w:p w14:paraId="000007C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§207(b)(3); 29 C.F.R. §794.130.</w:t>
      </w:r>
    </w:p>
  </w:footnote>
  <w:footnote w:id="809">
    <w:p w14:paraId="000007C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§794.131.</w:t>
      </w:r>
    </w:p>
  </w:footnote>
  <w:footnote w:id="810">
    <w:p w14:paraId="000007C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§794.132.</w:t>
      </w:r>
    </w:p>
  </w:footnote>
  <w:footnote w:id="811">
    <w:p w14:paraId="000007C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§794.133.</w:t>
      </w:r>
    </w:p>
  </w:footnote>
  <w:footnote w:id="812">
    <w:p w14:paraId="000007C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§794.134.</w:t>
      </w:r>
    </w:p>
  </w:footnote>
  <w:footnote w:id="813">
    <w:p w14:paraId="000007D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U.S.C. §207(i). Section 207(i) continues: “In determining the proportion of compensation representing commissions, all earnings resulting from the application of a bona fide commission rate shall be deemed commissions on goods or services without regard to whether the computed commissions exceed the draw or guarantee.”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814">
    <w:p w14:paraId="000007D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407 F.3d 1038 (9th Cir. 2005).</w:t>
      </w:r>
    </w:p>
  </w:footnote>
  <w:footnote w:id="815">
    <w:p w14:paraId="000007D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1046 (citing Donovan v. Nekton, Inc., 703 F.2d 1148, 1151 (9th Cir. 1983)). </w:t>
      </w:r>
      <w:r>
        <w:rPr>
          <w:rFonts w:ascii="Times New Roman" w:eastAsia="Times New Roman" w:hAnsi="Times New Roman" w:cs="Times New Roman"/>
          <w:i/>
          <w:color w:val="000000"/>
          <w:sz w:val="20"/>
          <w:szCs w:val="20"/>
        </w:rPr>
        <w:t>See also</w:t>
      </w:r>
    </w:p>
    <w:p w14:paraId="000007D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Kelly v. A1Tech., 2010 WL 1541585, at *14 (S.D.N.Y. Apr. 12, 2010) (no discussion of term “exception,” but applied narrowly construed language set forth above).</w:t>
      </w:r>
    </w:p>
    <w:p w14:paraId="000007D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Third Circuit:</w:t>
      </w:r>
      <w:r>
        <w:rPr>
          <w:rFonts w:ascii="Times New Roman" w:eastAsia="Times New Roman" w:hAnsi="Times New Roman" w:cs="Times New Roman"/>
          <w:color w:val="000000"/>
          <w:sz w:val="20"/>
          <w:szCs w:val="20"/>
        </w:rPr>
        <w:t xml:space="preserve"> Perez v. Davison Design &amp; Dev., Inc., 2014 WL 4113136, at *3 (W.D. Pa. Aug. 20, 2014) (court used terms “exception” and “exemption” interchangeably, but adopted “narrowly construed” language referenced above).</w:t>
      </w:r>
    </w:p>
    <w:p w14:paraId="000007D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Seventh Circuit:</w:t>
      </w:r>
      <w:r>
        <w:rPr>
          <w:rFonts w:ascii="Times New Roman" w:eastAsia="Times New Roman" w:hAnsi="Times New Roman" w:cs="Times New Roman"/>
          <w:color w:val="000000"/>
          <w:sz w:val="20"/>
          <w:szCs w:val="20"/>
        </w:rPr>
        <w:t xml:space="preserve"> Alvarado v. Corporate Cleaning Servs., Inc., 782 F.3d 365, 366 (7th Cir. 2015) (no discussion of term “exception”).</w:t>
      </w:r>
    </w:p>
    <w:p w14:paraId="000007D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Ninth Circuit:</w:t>
      </w:r>
      <w:r>
        <w:rPr>
          <w:rFonts w:ascii="Times New Roman" w:eastAsia="Times New Roman" w:hAnsi="Times New Roman" w:cs="Times New Roman"/>
          <w:color w:val="000000"/>
          <w:sz w:val="20"/>
          <w:szCs w:val="20"/>
        </w:rPr>
        <w:t xml:space="preserve"> Burden v. SelectQuote Ins. Servs., 848 F. Supp. 2d 1075, 1084 (N.D. Cal. 2012) (court used terms “exception” and “exemption” interchangeably, but adopted the “narrowly construed” language referenced above)</w:t>
      </w:r>
    </w:p>
  </w:footnote>
  <w:footnote w:id="816">
    <w:p w14:paraId="000007D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Walton v. United Consumers Club, Inc., 786 F.2d 303, 307 (7th Cir. 1986) (“Section 207(i) is not an affirmative defense that should have been raised in the pleadings. It is a method of complying with the Act, part of § 7 that states the Act’s general rules, and the general denial of liability therefore put this (and all other methods of compliance) in play.”). </w:t>
      </w:r>
    </w:p>
  </w:footnote>
  <w:footnote w:id="817">
    <w:p w14:paraId="000007D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Encino Motorcars, LLC v. Navarro </w:t>
      </w:r>
      <w:r>
        <w:rPr>
          <w:rFonts w:ascii="Times New Roman" w:eastAsia="Times New Roman" w:hAnsi="Times New Roman" w:cs="Times New Roman"/>
          <w:i/>
          <w:color w:val="000000"/>
          <w:sz w:val="20"/>
          <w:szCs w:val="20"/>
        </w:rPr>
        <w:t xml:space="preserve">(Encino I), </w:t>
      </w:r>
      <w:r>
        <w:rPr>
          <w:rFonts w:ascii="Times New Roman" w:eastAsia="Times New Roman" w:hAnsi="Times New Roman" w:cs="Times New Roman"/>
          <w:color w:val="000000"/>
          <w:sz w:val="20"/>
          <w:szCs w:val="20"/>
        </w:rPr>
        <w:t>136 S. Ct. 2117 (2016).</w:t>
      </w:r>
    </w:p>
  </w:footnote>
  <w:footnote w:id="818">
    <w:p w14:paraId="000007D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xml:space="preserve"> Johnson v. Mattress Warehouse, Inc., 2021 BL 351238, 2021 WL 4206722 (E.D. Pa. Sept. 16, 2021), and cases cited therein.</w:t>
      </w:r>
    </w:p>
  </w:footnote>
  <w:footnote w:id="819">
    <w:p w14:paraId="000007D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§§516.16, 779.420.</w:t>
      </w:r>
    </w:p>
  </w:footnote>
  <w:footnote w:id="820">
    <w:p w14:paraId="000007D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Kelly v. A1Tech., 2010 WL 1541585, at *14 (S.D.N.Y. Apr. 12, 2010); English v. Ecolab, Inc., 2008 WL 878456, at *3 (S.D.N.Y. Mar. 31, 2008).</w:t>
      </w:r>
    </w:p>
  </w:footnote>
  <w:footnote w:id="821">
    <w:p w14:paraId="000007D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29 U.S.C. §207(i).</w:t>
      </w:r>
    </w:p>
  </w:footnote>
  <w:footnote w:id="822">
    <w:p w14:paraId="000007D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id.</w:t>
      </w:r>
    </w:p>
  </w:footnote>
  <w:footnote w:id="823">
    <w:p w14:paraId="000007D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Fair Labor Standards Act of 1938, Pub. L. No. 75-718, §13, 52 Stat. 1060, 67 (repealed by Fair Labor Standards Amendments of 1989, Pub. L. No. 101-157, </w:t>
      </w:r>
      <w:r>
        <w:rPr>
          <w:rFonts w:ascii="Times New Roman" w:eastAsia="Times New Roman" w:hAnsi="Times New Roman" w:cs="Times New Roman"/>
          <w:color w:val="000000"/>
          <w:sz w:val="20"/>
          <w:szCs w:val="20"/>
        </w:rPr>
        <w:br/>
        <w:t>§3(c)(1), 103 Stat. 938, 939).</w:t>
      </w:r>
    </w:p>
  </w:footnote>
  <w:footnote w:id="824">
    <w:p w14:paraId="000007D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§779.411 (explaining that, for purposes of §207(i) exemption, “retail or service establishment” is defined in §213(a)(2) of FLSA);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Reich v. Delcorp, Inc., 3 F.3d 1181, 1183 (8th Cir. 1993) (citing 29 C.F.R. §779.411 and stating that when Congress passed §207(i) it specifically stated that term “retail or service establishment” was to have same meaning in that section as it did in §213(a)(2)); English v. Ecolab, Inc., 2008 WL 878456, at *2 (S.D.N.Y. Mar. 31, 2008) (citing 29 U.S.C. §213(a)(2), </w:t>
      </w:r>
      <w:r>
        <w:rPr>
          <w:rFonts w:ascii="Times New Roman" w:eastAsia="Times New Roman" w:hAnsi="Times New Roman" w:cs="Times New Roman"/>
          <w:i/>
          <w:color w:val="000000"/>
          <w:sz w:val="20"/>
          <w:szCs w:val="20"/>
        </w:rPr>
        <w:t>repealed by</w:t>
      </w:r>
      <w:r>
        <w:rPr>
          <w:rFonts w:ascii="Times New Roman" w:eastAsia="Times New Roman" w:hAnsi="Times New Roman" w:cs="Times New Roman"/>
          <w:color w:val="000000"/>
          <w:sz w:val="20"/>
          <w:szCs w:val="20"/>
        </w:rPr>
        <w:t xml:space="preserve"> Pub. L. No. 101-157, §3(c)(1), 103 Stat. at 938, 939); Schwind v. E.W. &amp; Assocs., Inc., 371 F. Supp. 2d 560, 564 n.4 (S.D.N.Y. 2005) (explaining that definition of “retail or service establishment” in §213(a)(2) remains in effect for purposes of §207(i)).</w:t>
      </w:r>
    </w:p>
  </w:footnote>
  <w:footnote w:id="825">
    <w:p w14:paraId="000007E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pt. 779.</w:t>
      </w:r>
    </w:p>
  </w:footnote>
  <w:footnote w:id="826">
    <w:p w14:paraId="000007E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§779.318. </w:t>
      </w:r>
    </w:p>
  </w:footnote>
  <w:footnote w:id="827">
    <w:p w14:paraId="000007E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§779.316. </w:t>
      </w:r>
    </w:p>
  </w:footnote>
  <w:footnote w:id="828">
    <w:p w14:paraId="000007E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§779.319</w:t>
      </w:r>
    </w:p>
  </w:footnote>
  <w:footnote w:id="829">
    <w:p w14:paraId="000007E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§779.321.</w:t>
      </w:r>
    </w:p>
  </w:footnote>
  <w:footnote w:id="830">
    <w:p w14:paraId="000007E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§779.317.</w:t>
      </w:r>
    </w:p>
  </w:footnote>
  <w:footnote w:id="831">
    <w:p w14:paraId="000007E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§779.320.</w:t>
      </w:r>
    </w:p>
  </w:footnote>
  <w:footnote w:id="832">
    <w:p w14:paraId="000007E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85 Fed. Reg. 29,867 (May 19, 2020).</w:t>
      </w:r>
    </w:p>
  </w:footnote>
  <w:footnote w:id="833">
    <w:p w14:paraId="000007E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In §II, Explanations for Withdrawal of Section 779.317, and §III, Explanations for Withdrawal of Section 779.320, of the final rule, the DOL acknowledged judicial criticism of each regulation. A district court in Kansas has opined that the DOL’s withdrawal of 29 C.F.R. §779.317 was not a “true change in the law” governing the §207(i) exemption. Charbonneau. v. Mortgage Lenders of Am., LLC, 2020 BL 281512, 2020 WL 4334981 (D. Kan. July 28, 2020) (denying defendants’ motion to add §207(i) affirmative defense to their Answer due to rule revision). See also Section V.B.1.b. </w:t>
      </w:r>
      <w:r>
        <w:rPr>
          <w:rFonts w:ascii="Times New Roman" w:eastAsia="Times New Roman" w:hAnsi="Times New Roman" w:cs="Times New Roman"/>
          <w:i/>
          <w:color w:val="000000"/>
          <w:sz w:val="20"/>
          <w:szCs w:val="20"/>
        </w:rPr>
        <w:t>infra</w:t>
      </w:r>
      <w:r>
        <w:rPr>
          <w:rFonts w:ascii="Times New Roman" w:eastAsia="Times New Roman" w:hAnsi="Times New Roman" w:cs="Times New Roman"/>
          <w:color w:val="000000"/>
          <w:sz w:val="20"/>
          <w:szCs w:val="20"/>
        </w:rPr>
        <w:t xml:space="preserve"> regarding subsequent DOL opinion letters discussing several industries that had previously appeared on those lists.</w:t>
      </w:r>
    </w:p>
    <w:p w14:paraId="000007E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Although the DOL withdrew its regulations regarding partial list of establishments, it has not withdrawn the contents of FOH Chapter 21c, “Specific Applications: Retail Concept and Sales Criteria.” According to the FOH, “The interpretations contained in FOH 21c illustrate the application of the principles set out in 29 CFR 779 to specific situations involving the retail concept, sales for resale, and the making of sales of good or services recognized as retail.”</w:t>
      </w:r>
    </w:p>
  </w:footnote>
  <w:footnote w:id="834">
    <w:p w14:paraId="000007E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p>
    <w:p w14:paraId="000007E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English v. Ecolab, Inc., 2008 WL 878456, at *6–7 (S.D.N.Y. Mar. 31, 2008) (finding that regulations were of limited persuasive power as they “interpret a statute which has been repealed” and “the § 7(i) and § 13(a)(2) exemptions, despite their shared definition of ‘retail or service establishment,’ address fundamentally different concerns. Therefore, regulations promulgated with § 13(a)(2) in mind do not necessarily apply with the same force to the employers claiming the § 7(i) exemption.”).</w:t>
      </w:r>
    </w:p>
    <w:p w14:paraId="000007E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Rachal v. Allen, 376 F.2d 999, 1004 (5th Cir. 1967) (rejecting DOL’s position that fixed base aeronautics operator’s business had no retail concept merely because it was part of air transportation industry that regulations listed as lacking retail concept); Wells v. TaxMasters, Inc., 2012 WL 4214712, at *5–6 (S.D. Tex. Sept. 18, 2012) (rejecting regulations that listed tax services as lacking retail concept).</w:t>
      </w:r>
    </w:p>
    <w:p w14:paraId="000007E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Ninth Circuit:</w:t>
      </w:r>
      <w:r>
        <w:rPr>
          <w:rFonts w:ascii="Times New Roman" w:eastAsia="Times New Roman" w:hAnsi="Times New Roman" w:cs="Times New Roman"/>
          <w:color w:val="000000"/>
          <w:sz w:val="20"/>
          <w:szCs w:val="20"/>
        </w:rPr>
        <w:t xml:space="preserve"> Martin v. Refrigeration Sch., Inc., 968 F.2d 3, 7 n.2 (9th Cir. 1992) (finding that lists in 29 C.F.R. §779.317 and .320 did “not appear to flow from any cohesive criteria,” and list of non-retail establishments seemed “entirely unrelated” to characteristics of “retail establishments” in §779.318(a)).</w:t>
      </w:r>
    </w:p>
    <w:p w14:paraId="000007E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Tenth Circuit:</w:t>
      </w:r>
      <w:r>
        <w:rPr>
          <w:rFonts w:ascii="Times New Roman" w:eastAsia="Times New Roman" w:hAnsi="Times New Roman" w:cs="Times New Roman"/>
          <w:color w:val="000000"/>
          <w:sz w:val="20"/>
          <w:szCs w:val="20"/>
        </w:rPr>
        <w:t xml:space="preserve"> Selz v. Investools, Inc., 2011 WL 285801, at *3 (D. Utah Jan. 27, 2011) (explaining that persuasive value of 29 C.F.R. §779.315 was minimal because it was not drafted for §207(i) but for now-repealed §213(a)(2)).</w:t>
      </w:r>
    </w:p>
    <w:p w14:paraId="000007E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Reich v. Cruises Only, Inc., 1997 WL 1507504, at *5 (M.D. Fla. June 5, 1997) (rejecting non-retail classification in regulations for travel agencies as it was “arbitrary and without any rational basis”).</w:t>
      </w:r>
    </w:p>
  </w:footnote>
  <w:footnote w:id="835">
    <w:p w14:paraId="000007F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782 F.3d 365 (7th Cir. 2015).</w:t>
      </w:r>
    </w:p>
  </w:footnote>
  <w:footnote w:id="836">
    <w:p w14:paraId="000007F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371. The Seventh Circuit would also classify Corporate Cleaning Services, Inc. (CCS) as a “retailer” because it sold “its service to building owners and managers by the building; it doesn’t make a new contract for each window on each building. Judged by the unit of sale recognized in the industry, then CCS is a retailer.”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370.</w:t>
      </w:r>
    </w:p>
  </w:footnote>
  <w:footnote w:id="837">
    <w:p w14:paraId="000007F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369.</w:t>
      </w:r>
    </w:p>
  </w:footnote>
  <w:footnote w:id="838">
    <w:p w14:paraId="000007F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Alston v. DirecTV, Inc., 254 F. Supp. 3d 765, 777 (D.S.C. 2017) (“The second test [to determine retail or service establishment] [was] developed by the Seventh Circuit in </w:t>
      </w:r>
      <w:r>
        <w:rPr>
          <w:rFonts w:ascii="Times New Roman" w:eastAsia="Times New Roman" w:hAnsi="Times New Roman" w:cs="Times New Roman"/>
          <w:i/>
          <w:color w:val="000000"/>
          <w:sz w:val="20"/>
          <w:szCs w:val="20"/>
        </w:rPr>
        <w:t>Alvarado</w:t>
      </w:r>
      <w:r>
        <w:rPr>
          <w:rFonts w:ascii="Times New Roman" w:eastAsia="Times New Roman" w:hAnsi="Times New Roman" w:cs="Times New Roman"/>
          <w:color w:val="000000"/>
          <w:sz w:val="20"/>
          <w:szCs w:val="20"/>
        </w:rPr>
        <w:t>. It defines a “service establishment” (as opposed to a “retail establishment”) by reference to the establishment’s production’s sensitivity to demand.”); Blahnik v. Box Office Ticket Sales, LLC, 2017 WL 1150914 (N.D. Ill. Mar. 28, 2017) (</w:t>
      </w:r>
      <w:r>
        <w:rPr>
          <w:rFonts w:ascii="Times New Roman" w:eastAsia="Times New Roman" w:hAnsi="Times New Roman" w:cs="Times New Roman"/>
          <w:i/>
          <w:color w:val="000000"/>
          <w:sz w:val="20"/>
          <w:szCs w:val="20"/>
        </w:rPr>
        <w:t>Alvarado</w:t>
      </w:r>
      <w:r>
        <w:rPr>
          <w:rFonts w:ascii="Times New Roman" w:eastAsia="Times New Roman" w:hAnsi="Times New Roman" w:cs="Times New Roman"/>
          <w:color w:val="000000"/>
          <w:sz w:val="20"/>
          <w:szCs w:val="20"/>
        </w:rPr>
        <w:t xml:space="preserve"> court focused on distinction between retailers and wholesalers to define what constitutes “retail establishment” for purposes of §207(i)); Bitner v. Wyndham Vacation Resorts, 2016 WL 7480428 (W.D. Wis. Dec. 2, 2016) (“While the </w:t>
      </w:r>
      <w:r>
        <w:rPr>
          <w:rFonts w:ascii="Times New Roman" w:eastAsia="Times New Roman" w:hAnsi="Times New Roman" w:cs="Times New Roman"/>
          <w:i/>
          <w:color w:val="000000"/>
          <w:sz w:val="20"/>
          <w:szCs w:val="20"/>
        </w:rPr>
        <w:t>Alvarado</w:t>
      </w:r>
      <w:r>
        <w:rPr>
          <w:rFonts w:ascii="Times New Roman" w:eastAsia="Times New Roman" w:hAnsi="Times New Roman" w:cs="Times New Roman"/>
          <w:color w:val="000000"/>
          <w:sz w:val="20"/>
          <w:szCs w:val="20"/>
        </w:rPr>
        <w:t xml:space="preserve"> opinion is helpful in describing what courts should </w:t>
      </w:r>
      <w:r>
        <w:rPr>
          <w:rFonts w:ascii="Times New Roman" w:eastAsia="Times New Roman" w:hAnsi="Times New Roman" w:cs="Times New Roman"/>
          <w:i/>
          <w:color w:val="000000"/>
          <w:sz w:val="20"/>
          <w:szCs w:val="20"/>
        </w:rPr>
        <w:t>not r</w:t>
      </w:r>
      <w:r>
        <w:rPr>
          <w:rFonts w:ascii="Times New Roman" w:eastAsia="Times New Roman" w:hAnsi="Times New Roman" w:cs="Times New Roman"/>
          <w:color w:val="000000"/>
          <w:sz w:val="20"/>
          <w:szCs w:val="20"/>
        </w:rPr>
        <w:t xml:space="preserve">ely on in determining whether the section 7(i) exemption applies, the opinion falls short of providing guidance as to what district courts should rely on in determining whether a business qualifies as a retail or service establishment.”); Matrai v. DirecTV, LLC., 168 F. Supp. 3d 1347, 1360 (D. Kan. 2016) (“Not only is the reasoning in </w:t>
      </w:r>
      <w:r>
        <w:rPr>
          <w:rFonts w:ascii="Times New Roman" w:eastAsia="Times New Roman" w:hAnsi="Times New Roman" w:cs="Times New Roman"/>
          <w:i/>
          <w:color w:val="000000"/>
          <w:sz w:val="20"/>
          <w:szCs w:val="20"/>
        </w:rPr>
        <w:t>Alvarado</w:t>
      </w:r>
      <w:r>
        <w:rPr>
          <w:rFonts w:ascii="Times New Roman" w:eastAsia="Times New Roman" w:hAnsi="Times New Roman" w:cs="Times New Roman"/>
          <w:color w:val="000000"/>
          <w:sz w:val="20"/>
          <w:szCs w:val="20"/>
        </w:rPr>
        <w:t xml:space="preserve"> persuasive, but it upholds and furthers the distinct purpose of the commission exemption. It also avoids the legal gymnastics of finding some defensibly analogous or comparable match with the retail establishment listings in the regulations applying §13(a)(2).”).</w:t>
      </w:r>
    </w:p>
  </w:footnote>
  <w:footnote w:id="839">
    <w:p w14:paraId="000007F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Diggs v. Ovation Credit Servs., Inc., 449 F. Supp. 3d 1280, 1294 n.7</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 xml:space="preserve">(M.D. Fla. 2020) (“Given the overwhelming authority cited above reaching the opposite conclusion, the Court does not find </w:t>
      </w:r>
      <w:r>
        <w:rPr>
          <w:rFonts w:ascii="Times New Roman" w:eastAsia="Times New Roman" w:hAnsi="Times New Roman" w:cs="Times New Roman"/>
          <w:i/>
          <w:color w:val="000000"/>
          <w:sz w:val="20"/>
          <w:szCs w:val="20"/>
        </w:rPr>
        <w:t xml:space="preserve">Alvarado </w:t>
      </w:r>
      <w:r>
        <w:rPr>
          <w:rFonts w:ascii="Times New Roman" w:eastAsia="Times New Roman" w:hAnsi="Times New Roman" w:cs="Times New Roman"/>
          <w:color w:val="000000"/>
          <w:sz w:val="20"/>
          <w:szCs w:val="20"/>
        </w:rPr>
        <w:t xml:space="preserve">to be persuasive.”); Dyal v. PirTano Constrs., Inc., 2018 WL 1508487, at *3 (N.D. Ill. Mar. 27, 2018) (“If the discussion in </w:t>
      </w:r>
      <w:r>
        <w:rPr>
          <w:rFonts w:ascii="Times New Roman" w:eastAsia="Times New Roman" w:hAnsi="Times New Roman" w:cs="Times New Roman"/>
          <w:i/>
          <w:color w:val="000000"/>
          <w:sz w:val="20"/>
          <w:szCs w:val="20"/>
        </w:rPr>
        <w:t>Alvarado</w:t>
      </w:r>
      <w:r>
        <w:rPr>
          <w:rFonts w:ascii="Times New Roman" w:eastAsia="Times New Roman" w:hAnsi="Times New Roman" w:cs="Times New Roman"/>
          <w:color w:val="000000"/>
          <w:sz w:val="20"/>
          <w:szCs w:val="20"/>
        </w:rPr>
        <w:t xml:space="preserve"> is taken at face value, the alternative language in the statute is to be read literally and nothing more than being a service establishment, retail or wholesale.”); Amponsah v. DirecTV, LLC., 278 F. Supp. 3d 1352, 1367 n.10 (N.D. Ga. 2017) (“The parties note that the Seventh Circuit recently reached a different definition of ‘retail or service establishment’. However, the parties agree that the district courts in this circuit [Eleventh] apply the definition from the DOL’s regulations, and that it should control here.”); Roeder v. DirecTV, Inc., 2017 WL 151401, at *27 (N.D. Iowa Jan. 1, 2017) (“Both parties acknowledge that I am bound by the Eighth Circuit’s definition of ‘retail or service establishment’ which is based on 29 U.S.C. §213(a)(2).”). </w:t>
      </w:r>
    </w:p>
  </w:footnote>
  <w:footnote w:id="840">
    <w:p w14:paraId="000007F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§779.313. These requirements are further discussed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§779.314–.341.</w:t>
      </w:r>
    </w:p>
  </w:footnote>
  <w:footnote w:id="841">
    <w:p w14:paraId="000007F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For a discussion of the term “establishment” under the FLSA, see Section II [The Establishment Requirement] of this chapter.</w:t>
      </w:r>
    </w:p>
  </w:footnote>
  <w:footnote w:id="842">
    <w:p w14:paraId="000007F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2008 WL 878456 (S.D.N.Y. Mar. 31, 2008).</w:t>
      </w:r>
    </w:p>
  </w:footnote>
  <w:footnote w:id="843">
    <w:p w14:paraId="000007F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*10 (citing Stevens v. Welcome Wagon Int’l, Inc., 261 F. Supp. 227, 231 (E.D. Pa. 1966)) (holding that home office of local saleswoman affiliated with nationwide advertising/promotional firm qualified as establishment for §207(i) exemption; plaintiff maintained telephone listing in name of employer).</w:t>
      </w:r>
    </w:p>
  </w:footnote>
  <w:footnote w:id="844">
    <w:p w14:paraId="000007F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§779.319;</w:t>
      </w:r>
      <w:r>
        <w:rPr>
          <w:rFonts w:ascii="Times New Roman" w:eastAsia="Times New Roman" w:hAnsi="Times New Roman" w:cs="Times New Roman"/>
          <w:i/>
          <w:color w:val="000000"/>
          <w:sz w:val="20"/>
          <w:szCs w:val="20"/>
        </w:rPr>
        <w:t xml:space="preserve"> see also English</w:t>
      </w:r>
      <w:r>
        <w:rPr>
          <w:rFonts w:ascii="Times New Roman" w:eastAsia="Times New Roman" w:hAnsi="Times New Roman" w:cs="Times New Roman"/>
          <w:color w:val="000000"/>
          <w:sz w:val="20"/>
          <w:szCs w:val="20"/>
        </w:rPr>
        <w:t>, 2008 WL 878456, at *9 (citing Wirtz v. Keystone Readers Serv., Inc., 418 F.2d 249, 257 (5th Cir. 1969)).</w:t>
      </w:r>
      <w:r>
        <w:rPr>
          <w:rFonts w:ascii="Times New Roman" w:eastAsia="Times New Roman" w:hAnsi="Times New Roman" w:cs="Times New Roman"/>
          <w:i/>
          <w:color w:val="000000"/>
          <w:sz w:val="20"/>
          <w:szCs w:val="20"/>
        </w:rPr>
        <w:t xml:space="preserve"> </w:t>
      </w:r>
    </w:p>
  </w:footnote>
  <w:footnote w:id="845">
    <w:p w14:paraId="000007F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FLSA2018-21, 2018 WL 4562931 (Aug. 28, 2018) (citing Idaho Sheet Metal Works v. Wirtz, 383 U.S. 190, 200–03 (1965), and finding that sales to merchants for technology platform had retail concept even though sales were made exclusively to businesses for whom platform was designed); Alvarado v. Corporate Cleaning Servs., Inc., 782 F.3d 365, 369–71 (7th Cir. 2015) (window-cleaning business that provided services to various businesses constituted retail or service establishment for purposes of §207(i) exemption); Charlot v. Ecolab, Inc., 136 F. Supp. 3d 433, 468–69 (E.D.N.Y. 2015) (business that sold cleaning supplies and related products to other businesses qualified as retail or service establishment for purposes of §207(i) exemption) (citing 29 C.F.R. §779.318(b)); Schwind v. EW &amp; Assocs., Inc., 371 F. Supp. 2d 560, 565–67 (S.D.N.Y. 2005) (business that provided computer training to commercial businesses constituted “retail or service establishment” for purposes of §207(i) exemption).</w:t>
      </w:r>
    </w:p>
  </w:footnote>
  <w:footnote w:id="846">
    <w:p w14:paraId="000007F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e.g.</w:t>
      </w:r>
      <w:r>
        <w:rPr>
          <w:rFonts w:ascii="Times New Roman" w:eastAsia="Times New Roman" w:hAnsi="Times New Roman" w:cs="Times New Roman"/>
          <w:color w:val="000000"/>
          <w:sz w:val="20"/>
          <w:szCs w:val="20"/>
        </w:rPr>
        <w:t>, Gatto v. Mortgage Specialists of Ill., Inc., 442 F. Supp. 2d 529, 541 (N.D. Ill. 2006) (explaining that regulation cannot be interpreted to mean consumer must use establishment every day as it would be inconsistent with DOL’s listing in §779.320 as “retail” automobile dealerships and other establishments are not used daily).</w:t>
      </w:r>
    </w:p>
  </w:footnote>
  <w:footnote w:id="847">
    <w:p w14:paraId="000007F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§779.319;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English v. Ecolab, Inc., 2008 WL 878456, at *9 (S.D.N.Y. Mar. 31, 2008) (citing Morales v. Senior Officers’ Open Mess, 1974 WL 1337, at *2 (D.P.R. Nov. 11, 1974) (finding that private club was not open to public and therefore not retail establishment under FLSA)).</w:t>
      </w:r>
    </w:p>
  </w:footnote>
  <w:footnote w:id="848">
    <w:p w14:paraId="000007F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383 U.S. 190 (1966).</w:t>
      </w:r>
    </w:p>
  </w:footnote>
  <w:footnote w:id="849">
    <w:p w14:paraId="000007F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203–04 (internal citations omitted) (emphasis added). </w:t>
      </w:r>
    </w:p>
  </w:footnote>
  <w:footnote w:id="850">
    <w:p w14:paraId="0000080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29 C.F.R. §779.316–.321.</w:t>
      </w:r>
    </w:p>
  </w:footnote>
  <w:footnote w:id="851">
    <w:p w14:paraId="0000080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§779.318(a).</w:t>
      </w:r>
    </w:p>
  </w:footnote>
  <w:footnote w:id="852">
    <w:p w14:paraId="00000802" w14:textId="77777777" w:rsidR="00DC27AA" w:rsidRDefault="000F36B4" w:rsidP="002A5EB4">
      <w:pPr>
        <w:pStyle w:val="14Footnote"/>
      </w:pPr>
      <w:r>
        <w:rPr>
          <w:rStyle w:val="FootnoteReference"/>
        </w:rPr>
        <w:footnoteRef/>
      </w:r>
      <w:r>
        <w:t xml:space="preserve">85 Fed. Reg. 29,867 (May 19, 2020). </w:t>
      </w:r>
    </w:p>
  </w:footnote>
  <w:footnote w:id="853">
    <w:p w14:paraId="32386AD1" w14:textId="73B8FF44" w:rsidR="003517FB" w:rsidRDefault="003517FB" w:rsidP="002A5EB4">
      <w:pPr>
        <w:pStyle w:val="14Footnote"/>
      </w:pPr>
      <w:r>
        <w:rPr>
          <w:rStyle w:val="FootnoteReference"/>
        </w:rPr>
        <w:footnoteRef/>
      </w:r>
      <w:r w:rsidRPr="003517FB">
        <w:t>Merritt v. Tex. Farm Bureau, 673 F. Supp. 3d 859 (W.D. Tex. 2023).</w:t>
      </w:r>
    </w:p>
  </w:footnote>
  <w:footnote w:id="854">
    <w:p w14:paraId="607CB255" w14:textId="3571AF81" w:rsidR="003517FB" w:rsidRDefault="003517FB" w:rsidP="002A5EB4">
      <w:pPr>
        <w:pStyle w:val="14Footnote"/>
      </w:pPr>
      <w:r>
        <w:rPr>
          <w:rStyle w:val="FootnoteReference"/>
        </w:rPr>
        <w:footnoteRef/>
      </w:r>
      <w:r w:rsidRPr="002A5EB4">
        <w:rPr>
          <w:i/>
          <w:iCs/>
        </w:rPr>
        <w:t>Id.</w:t>
      </w:r>
      <w:r>
        <w:t xml:space="preserve"> at 866.</w:t>
      </w:r>
    </w:p>
  </w:footnote>
  <w:footnote w:id="855">
    <w:p w14:paraId="00000803" w14:textId="77777777" w:rsidR="00DC27AA" w:rsidRDefault="000F36B4" w:rsidP="002A5EB4">
      <w:pPr>
        <w:pStyle w:val="14Footnote"/>
      </w:pPr>
      <w:r>
        <w:rPr>
          <w:rStyle w:val="FootnoteReference"/>
        </w:rPr>
        <w:footnoteRef/>
      </w:r>
      <w:r>
        <w:t>WH Op. FLSA2020-11, 2020 WL 5367068, at *3</w:t>
      </w:r>
      <w:r>
        <w:rPr>
          <w:b/>
        </w:rPr>
        <w:t xml:space="preserve"> </w:t>
      </w:r>
      <w:r>
        <w:t>(Aug. 31, 2020).</w:t>
      </w:r>
    </w:p>
  </w:footnote>
  <w:footnote w:id="856">
    <w:p w14:paraId="00000804" w14:textId="77777777" w:rsidR="00DC27AA" w:rsidRDefault="000F36B4" w:rsidP="002A5EB4">
      <w:pPr>
        <w:pStyle w:val="14Footnote"/>
      </w:pPr>
      <w:r>
        <w:rPr>
          <w:rStyle w:val="FootnoteReference"/>
        </w:rPr>
        <w:footnoteRef/>
      </w:r>
      <w:r>
        <w:rPr>
          <w:i/>
        </w:rPr>
        <w:t>Id.</w:t>
      </w:r>
      <w:r>
        <w:t xml:space="preserve"> at *3–4 (citing WH Op. FLSA2006-22 (June 23, 2006)).</w:t>
      </w:r>
    </w:p>
  </w:footnote>
  <w:footnote w:id="857">
    <w:p w14:paraId="00000805" w14:textId="77777777" w:rsidR="00DC27AA" w:rsidRDefault="000F36B4" w:rsidP="002A5EB4">
      <w:pPr>
        <w:pStyle w:val="14Footnote"/>
      </w:pPr>
      <w:r>
        <w:rPr>
          <w:rStyle w:val="FootnoteReference"/>
        </w:rPr>
        <w:footnoteRef/>
      </w:r>
      <w:r>
        <w:t>WH Op. FLSA2021-6, 2021 WL 240827, at *3 (Jan. 19, 2021) (citing court cases that followed the DOL mandate with respect to staffing firms).</w:t>
      </w:r>
    </w:p>
  </w:footnote>
  <w:footnote w:id="858">
    <w:p w14:paraId="00000806" w14:textId="77777777" w:rsidR="00DC27AA" w:rsidRDefault="000F36B4" w:rsidP="002A5EB4">
      <w:pPr>
        <w:pStyle w:val="14Footnote"/>
      </w:pPr>
      <w:r>
        <w:rPr>
          <w:rStyle w:val="FootnoteReference"/>
        </w:rPr>
        <w:footnoteRef/>
      </w:r>
      <w:r>
        <w:rPr>
          <w:i/>
        </w:rPr>
        <w:t>Id.</w:t>
      </w:r>
      <w:r>
        <w:t xml:space="preserve"> at *4.</w:t>
      </w:r>
    </w:p>
  </w:footnote>
  <w:footnote w:id="859">
    <w:p w14:paraId="0000080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860">
    <w:p w14:paraId="0000080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§21c00. That section includes subsection 21ct04—Temporary Help Firms—which provides: “The retail concept does not apply to establishments that specialize in supplying a part-time or full-time employees who perform nursing care and domestic work in private homes and health care institutions.”</w:t>
      </w:r>
    </w:p>
  </w:footnote>
  <w:footnote w:id="861">
    <w:p w14:paraId="0000080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359 U.S. 290, 14 WH Cases 125 (1959).</w:t>
      </w:r>
    </w:p>
  </w:footnote>
  <w:footnote w:id="862">
    <w:p w14:paraId="0000080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359 U.S. at 296.</w:t>
      </w:r>
    </w:p>
  </w:footnote>
  <w:footnote w:id="863">
    <w:p w14:paraId="0000080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r>
        <w:rPr>
          <w:rFonts w:ascii="Times New Roman" w:eastAsia="Times New Roman" w:hAnsi="Times New Roman" w:cs="Times New Roman"/>
          <w:color w:val="000000"/>
          <w:sz w:val="20"/>
          <w:szCs w:val="20"/>
        </w:rPr>
        <w:t xml:space="preserve">, Takacs v. A.G. Edwards &amp; Sons, Inc., 444 F. Supp. 2d 1100, 1115–16 (S.D. Cal. 2006) (applying reasoning from </w:t>
      </w:r>
      <w:r>
        <w:rPr>
          <w:rFonts w:ascii="Times New Roman" w:eastAsia="Times New Roman" w:hAnsi="Times New Roman" w:cs="Times New Roman"/>
          <w:i/>
          <w:color w:val="000000"/>
          <w:sz w:val="20"/>
          <w:szCs w:val="20"/>
        </w:rPr>
        <w:t>Mitchell</w:t>
      </w:r>
      <w:r>
        <w:rPr>
          <w:rFonts w:ascii="Times New Roman" w:eastAsia="Times New Roman" w:hAnsi="Times New Roman" w:cs="Times New Roman"/>
          <w:color w:val="000000"/>
          <w:sz w:val="20"/>
          <w:szCs w:val="20"/>
        </w:rPr>
        <w:t xml:space="preserve"> when finding that financial consulting was not retail in nature and explaining, “[s]ince the DOL in its 1938 interpretation letter established that stock brokers and investment counseling industries are not retail or service establishments, and that interpretation was not dependent upon the business use test, it appears that, in accordance with Congress’ intentions when amending the FLSA, Defendant’s business is not exempt under 29 U.S.C. § 207(i)”).</w:t>
      </w:r>
    </w:p>
  </w:footnote>
  <w:footnote w:id="864">
    <w:p w14:paraId="0000080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p>
    <w:p w14:paraId="0000080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Third Circuit:</w:t>
      </w:r>
      <w:r>
        <w:rPr>
          <w:rFonts w:ascii="Times New Roman" w:eastAsia="Times New Roman" w:hAnsi="Times New Roman" w:cs="Times New Roman"/>
          <w:color w:val="000000"/>
          <w:sz w:val="20"/>
          <w:szCs w:val="20"/>
        </w:rPr>
        <w:t xml:space="preserve"> Pontius v. Delta Fin. Corp., 2007 WL 1496692, at *6 (W.D. Pa. Mar. 20, 2007) (“As Defendant is ‘undeniably a financial company’ in the business of making and selling loans, it ‘falls squarely’ within </w:t>
      </w:r>
      <w:r>
        <w:rPr>
          <w:rFonts w:ascii="Times New Roman" w:eastAsia="Times New Roman" w:hAnsi="Times New Roman" w:cs="Times New Roman"/>
          <w:i/>
          <w:color w:val="000000"/>
          <w:sz w:val="20"/>
          <w:szCs w:val="20"/>
        </w:rPr>
        <w:t>Mitchell</w:t>
      </w:r>
      <w:r>
        <w:rPr>
          <w:rFonts w:ascii="Times New Roman" w:eastAsia="Times New Roman" w:hAnsi="Times New Roman" w:cs="Times New Roman"/>
          <w:color w:val="000000"/>
          <w:sz w:val="20"/>
          <w:szCs w:val="20"/>
        </w:rPr>
        <w:t xml:space="preserve">, and exclusion from a § 7(i) exemption is in accordance with applicable Congressional and agency history, as well as Supreme Court precedent.”), </w:t>
      </w:r>
      <w:r>
        <w:rPr>
          <w:rFonts w:ascii="Times New Roman" w:eastAsia="Times New Roman" w:hAnsi="Times New Roman" w:cs="Times New Roman"/>
          <w:i/>
          <w:color w:val="000000"/>
          <w:sz w:val="20"/>
          <w:szCs w:val="20"/>
        </w:rPr>
        <w:t xml:space="preserve">adopted by </w:t>
      </w:r>
      <w:r>
        <w:rPr>
          <w:rFonts w:ascii="Times New Roman" w:eastAsia="Times New Roman" w:hAnsi="Times New Roman" w:cs="Times New Roman"/>
          <w:color w:val="000000"/>
          <w:sz w:val="20"/>
          <w:szCs w:val="20"/>
        </w:rPr>
        <w:t>2007 WL 1412034 (W.D. Pa. May 10, 2007).</w:t>
      </w:r>
    </w:p>
    <w:p w14:paraId="0000080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Eighth Circuit:</w:t>
      </w:r>
      <w:r>
        <w:rPr>
          <w:rFonts w:ascii="Times New Roman" w:eastAsia="Times New Roman" w:hAnsi="Times New Roman" w:cs="Times New Roman"/>
          <w:color w:val="000000"/>
          <w:sz w:val="20"/>
          <w:szCs w:val="20"/>
        </w:rPr>
        <w:t xml:space="preserve"> Saunders v. Ace Mortg. Funding, Inc., 2007 WL 1190985, at *7 (D. Minn. Apr. 16, 2007) (finding defendant more akin to financial company than retail or service establishment because it engaged in some direct lending and was licensed to lend mortgage funds in 13 states); Casas v. Conseco Fin. Corp, 2002 WL 507059 (D. Minn. Mar. 31, 2002) (finance company selling lending products, such as home equity and home improvement loans, was not retail; court stated that defendant’s argument—that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changes in nature and operation of financial industry required reconsideration of </w:t>
      </w:r>
      <w:r>
        <w:rPr>
          <w:rFonts w:ascii="Times New Roman" w:eastAsia="Times New Roman" w:hAnsi="Times New Roman" w:cs="Times New Roman"/>
          <w:i/>
          <w:color w:val="000000"/>
          <w:sz w:val="20"/>
          <w:szCs w:val="20"/>
        </w:rPr>
        <w:t>Mitchell</w:t>
      </w:r>
      <w:r>
        <w:rPr>
          <w:rFonts w:ascii="Times New Roman" w:eastAsia="Times New Roman" w:hAnsi="Times New Roman" w:cs="Times New Roman"/>
          <w:color w:val="000000"/>
          <w:sz w:val="20"/>
          <w:szCs w:val="20"/>
        </w:rPr>
        <w:t xml:space="preserve"> decision—best directed to Congress or DOL).</w:t>
      </w:r>
    </w:p>
    <w:p w14:paraId="0000080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Ninth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 xml:space="preserve">In re </w:t>
      </w:r>
      <w:r>
        <w:rPr>
          <w:rFonts w:ascii="Times New Roman" w:eastAsia="Times New Roman" w:hAnsi="Times New Roman" w:cs="Times New Roman"/>
          <w:color w:val="000000"/>
          <w:sz w:val="20"/>
          <w:szCs w:val="20"/>
        </w:rPr>
        <w:t>Wells Fargo Home Mortg. Overtime Pay Litig., 2008 WL 2441930, at *1, 6 (N.D. Cal. June 13, 2008) (concluding that “diversified financial services company, providing banking, insurance, investments, mortgage and consumer finance,” did not qualify as “retail or service establishment”); Wong v. HSBC, 2008 WL 753889, at *8 (N.D. Cal. Mar. 19, 2008) (finding that “finance company” or “loan office” did not qualify as “retail or service establishment”); Barnett v. Washington Mut. Bank, 2004 WL 1753400, at *6 (N.D. Cal. Aug. 5, 2004) (finding that mortgage lender was not eligible for §207(i) exemption).</w:t>
      </w:r>
    </w:p>
    <w:p w14:paraId="0000081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Tenth Circuit:</w:t>
      </w:r>
      <w:r>
        <w:rPr>
          <w:rFonts w:ascii="Times New Roman" w:eastAsia="Times New Roman" w:hAnsi="Times New Roman" w:cs="Times New Roman"/>
          <w:color w:val="000000"/>
          <w:sz w:val="20"/>
          <w:szCs w:val="20"/>
        </w:rPr>
        <w:t xml:space="preserve"> Underwood v. NMC Mortg. Corp., 2009 WL 1269465, at *5, 7 (D. Kan. May 6, 2009) (concluding that business of assisting consumers in completing mortgage applications and finding lenders that matched customers’ criteria for loan funding lacked retail concept because it was not at very end of distribution stream).</w:t>
      </w:r>
    </w:p>
  </w:footnote>
  <w:footnote w:id="865">
    <w:p w14:paraId="0000081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442 F. Supp. 2d 529 (N.D. Ill. 2006).</w:t>
      </w:r>
    </w:p>
  </w:footnote>
  <w:footnote w:id="866">
    <w:p w14:paraId="0000081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541–42.</w:t>
      </w:r>
    </w:p>
  </w:footnote>
  <w:footnote w:id="867">
    <w:p w14:paraId="0000081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2008 WL 190440 (D. Ariz. Jan. 18, 2008).</w:t>
      </w:r>
    </w:p>
  </w:footnote>
  <w:footnote w:id="868">
    <w:p w14:paraId="0000081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*4; </w:t>
      </w:r>
      <w:r>
        <w:rPr>
          <w:rFonts w:ascii="Times New Roman" w:eastAsia="Times New Roman" w:hAnsi="Times New Roman" w:cs="Times New Roman"/>
          <w:i/>
          <w:color w:val="000000"/>
          <w:sz w:val="20"/>
          <w:szCs w:val="20"/>
        </w:rPr>
        <w:t xml:space="preserve">see also </w:t>
      </w:r>
      <w:r>
        <w:rPr>
          <w:rFonts w:ascii="Times New Roman" w:eastAsia="Times New Roman" w:hAnsi="Times New Roman" w:cs="Times New Roman"/>
          <w:color w:val="000000"/>
          <w:sz w:val="20"/>
          <w:szCs w:val="20"/>
        </w:rPr>
        <w:t>Russell v. Promove, LLC, 2009 WL 1285885 (N.D. Ga. May 5, 2009) (finding that employer’s business of acting as middleman of bringing landlords and tenants together did not have “retail concept”).</w:t>
      </w:r>
    </w:p>
  </w:footnote>
  <w:footnote w:id="869">
    <w:p w14:paraId="0000081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2007 WL 1190985 (D. Minn. Apr. 16, 2007).</w:t>
      </w:r>
    </w:p>
  </w:footnote>
  <w:footnote w:id="870">
    <w:p w14:paraId="0000081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*6.</w:t>
      </w:r>
    </w:p>
  </w:footnote>
  <w:footnote w:id="871">
    <w:p w14:paraId="0000081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872">
    <w:p w14:paraId="0000081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407 F.3d 1038 (9th Cir. 2005).</w:t>
      </w:r>
    </w:p>
  </w:footnote>
  <w:footnote w:id="873">
    <w:p w14:paraId="0000081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1053.</w:t>
      </w:r>
    </w:p>
  </w:footnote>
  <w:footnote w:id="874">
    <w:p w14:paraId="0000081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2013 WL 371573 (N.D. Tex. Jan. 28, 2013).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Diggs v. Ovation Credit Servs., Inc., 449 F. Supp. 3d 1280 (M.D. Fla. 2020) (finding that company providing services to consumers to help them resolve inaccuracies on their credit reports was not a retail or service establishment).</w:t>
      </w:r>
    </w:p>
  </w:footnote>
  <w:footnote w:id="875">
    <w:p w14:paraId="0000081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*10 (citing 29 C.F.R. §779.317). On May 19, 2020, DOL withdrew 29 C.F.R. §779.317.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85 Fed. Reg. 29,867 (May 19, 2020). In </w:t>
      </w:r>
      <w:r>
        <w:rPr>
          <w:rFonts w:ascii="Times New Roman" w:eastAsia="Times New Roman" w:hAnsi="Times New Roman" w:cs="Times New Roman"/>
          <w:i/>
          <w:color w:val="000000"/>
          <w:sz w:val="20"/>
          <w:szCs w:val="20"/>
        </w:rPr>
        <w:t>Burden v. SelectQuote Ins. Servs</w:t>
      </w:r>
      <w:r>
        <w:rPr>
          <w:rFonts w:ascii="Times New Roman" w:eastAsia="Times New Roman" w:hAnsi="Times New Roman" w:cs="Times New Roman"/>
          <w:color w:val="000000"/>
          <w:sz w:val="20"/>
          <w:szCs w:val="20"/>
        </w:rPr>
        <w:t>., 848 F. Supp. 2d 1075 (N.D. Cal. 2012), SelectQuote acknowledged that “[i]nsurance” and “insurance brokers” were expressly identified in §779.317 as not having a retail concept, but nonetheless asserted that §779.317 was inapposite because it was operating a “new type of business” that was not covered by the insurance industry exclusion. According to SelectQuote, its direct marketing approach “turned the life insurance industry on its head” by having its agents contact prospective customers by telephone instead of in person. The federal court found that although SelectQuote had changed the method by which an agent sells life insurance, the fact remained that SelectQuote was still selling life insurance, which was a non-retail business in concept.</w:t>
      </w:r>
    </w:p>
  </w:footnote>
  <w:footnote w:id="876">
    <w:p w14:paraId="0000081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 F.3d 1181, 1 WH Cases2d 940 (8th Cir. 1993).</w:t>
      </w:r>
    </w:p>
  </w:footnote>
  <w:footnote w:id="877">
    <w:p w14:paraId="0000081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 F.3d at 1184–85 (explaining that “while Congress clearly manifested an intent in 1966 to prevent laundries from qualifying for the § 213(a)(2) exemption, it did not demonstrate an intent to prevent laundries from qualifying under § 207(i)” and providing reasons for reaching this conclusion).</w:t>
      </w:r>
    </w:p>
  </w:footnote>
  <w:footnote w:id="878">
    <w:p w14:paraId="0000081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FLSA2005-44, 2005 WL 3308615 (Oct. 24, 2005).</w:t>
      </w:r>
    </w:p>
  </w:footnote>
  <w:footnote w:id="879">
    <w:p w14:paraId="0000081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29 C.F.R. §779.318–.320.</w:t>
      </w:r>
    </w:p>
  </w:footnote>
  <w:footnote w:id="880">
    <w:p w14:paraId="0000082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See </w:t>
      </w:r>
      <w:r>
        <w:rPr>
          <w:rFonts w:ascii="Times New Roman" w:eastAsia="Times New Roman" w:hAnsi="Times New Roman" w:cs="Times New Roman"/>
          <w:color w:val="000000"/>
          <w:sz w:val="20"/>
          <w:szCs w:val="20"/>
        </w:rPr>
        <w:t>WH Op. FLSA2006-22, 2006 WL 2067713 (June 23, 2006);</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i/>
          <w:color w:val="000000"/>
          <w:sz w:val="20"/>
          <w:szCs w:val="20"/>
        </w:rPr>
        <w:t xml:space="preserve">see also </w:t>
      </w:r>
      <w:r>
        <w:rPr>
          <w:rFonts w:ascii="Times New Roman" w:eastAsia="Times New Roman" w:hAnsi="Times New Roman" w:cs="Times New Roman"/>
          <w:color w:val="000000"/>
          <w:sz w:val="20"/>
          <w:szCs w:val="20"/>
        </w:rPr>
        <w:t>WH Op. FLSA2018-2, 2018 WL 5393301 (Jan. 5, 2018) (retail concept applies to establishments that provide drain cleaning, minor plumbing repair, and replacement services involving such items as water heaters, disposals, and toilets (citing WH Op. FLSA2006-22)); Rodriguez v. Home Heroes, LLC, 2015 WL 668009 (M.D. Fla. Feb. 17, 2015) (finding that plumbing company was not plumbing contractor for purposes of §779.317 and therefore was “retail or service establishment” for purposes of §207(i) exemption).</w:t>
      </w:r>
    </w:p>
  </w:footnote>
  <w:footnote w:id="881">
    <w:p w14:paraId="0000082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FLSA2006-22.</w:t>
      </w:r>
    </w:p>
  </w:footnote>
  <w:footnote w:id="882">
    <w:p w14:paraId="0000082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883">
    <w:p w14:paraId="0000082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English v. Ecolab, Inc., 2008 WL 878456, at *15 (S.D.N.Y. Mar. 31, 2008).</w:t>
      </w:r>
    </w:p>
  </w:footnote>
  <w:footnote w:id="884">
    <w:p w14:paraId="0000082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w:t>
      </w:r>
    </w:p>
  </w:footnote>
  <w:footnote w:id="885">
    <w:p w14:paraId="0000082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782 F.3d 365 (7th Cir. 2015).</w:t>
      </w:r>
    </w:p>
  </w:footnote>
  <w:footnote w:id="886">
    <w:p w14:paraId="0000082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369;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Yi v. Sterling Collision Ctrs., Inc., 2006 WL 1444897, at *1 (N.D. Ill. May 17, 2006), </w:t>
      </w:r>
      <w:r>
        <w:rPr>
          <w:rFonts w:ascii="Times New Roman" w:eastAsia="Times New Roman" w:hAnsi="Times New Roman" w:cs="Times New Roman"/>
          <w:i/>
          <w:color w:val="000000"/>
          <w:sz w:val="20"/>
          <w:szCs w:val="20"/>
        </w:rPr>
        <w:t>aff’d</w:t>
      </w:r>
      <w:r>
        <w:rPr>
          <w:rFonts w:ascii="Times New Roman" w:eastAsia="Times New Roman" w:hAnsi="Times New Roman" w:cs="Times New Roman"/>
          <w:color w:val="000000"/>
          <w:sz w:val="20"/>
          <w:szCs w:val="20"/>
        </w:rPr>
        <w:t>, 480 F.3d 505 (7th Cir. 2007) (circuit court did not address “retail concept” of business, but affirmed decision of district court, which had applied §207(i) exemption to chain of auto body repair shops).</w:t>
      </w:r>
    </w:p>
  </w:footnote>
  <w:footnote w:id="887">
    <w:p w14:paraId="0000082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968 F.2d 3, 30 WH Cases 1580 (9th Cir. 1992).</w:t>
      </w:r>
    </w:p>
  </w:footnote>
  <w:footnote w:id="888">
    <w:p w14:paraId="0000082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968 F.2d at 9. </w:t>
      </w:r>
    </w:p>
  </w:footnote>
  <w:footnote w:id="889">
    <w:p w14:paraId="0000082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246 F. Supp. 2d 886 (S.D. Ohio 2003).</w:t>
      </w:r>
    </w:p>
  </w:footnote>
  <w:footnote w:id="890">
    <w:p w14:paraId="0000082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893.</w:t>
      </w:r>
    </w:p>
  </w:footnote>
  <w:footnote w:id="891">
    <w:p w14:paraId="0000082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893–94;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Collins v. Horizon Training Ctrs., 2003 WL 22388448, at *6 (N.D. Tex. Sept. 30, 2003) (citing </w:t>
      </w:r>
      <w:r>
        <w:rPr>
          <w:rFonts w:ascii="Times New Roman" w:eastAsia="Times New Roman" w:hAnsi="Times New Roman" w:cs="Times New Roman"/>
          <w:i/>
          <w:color w:val="000000"/>
          <w:sz w:val="20"/>
          <w:szCs w:val="20"/>
        </w:rPr>
        <w:t>Viciedo</w:t>
      </w:r>
      <w:r>
        <w:rPr>
          <w:rFonts w:ascii="Times New Roman" w:eastAsia="Times New Roman" w:hAnsi="Times New Roman" w:cs="Times New Roman"/>
          <w:color w:val="000000"/>
          <w:sz w:val="20"/>
          <w:szCs w:val="20"/>
        </w:rPr>
        <w:t xml:space="preserve"> for support in finding that computer training company fell within “retail or service establishment” exemption).</w:t>
      </w:r>
    </w:p>
  </w:footnote>
  <w:footnote w:id="892">
    <w:p w14:paraId="0000082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2011 WL 285801 (D. Utah Jan. 27, 2011).</w:t>
      </w:r>
    </w:p>
  </w:footnote>
  <w:footnote w:id="893">
    <w:p w14:paraId="0000082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*3–4, 7.</w:t>
      </w:r>
    </w:p>
  </w:footnote>
  <w:footnote w:id="894">
    <w:p w14:paraId="0000082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*6–9.</w:t>
      </w:r>
    </w:p>
  </w:footnote>
  <w:footnote w:id="895">
    <w:p w14:paraId="0000082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2011 WL 4433159 (D. Vt. Sept. 21, 2011).</w:t>
      </w:r>
    </w:p>
  </w:footnote>
  <w:footnote w:id="896">
    <w:p w14:paraId="0000083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*4.</w:t>
      </w:r>
    </w:p>
  </w:footnote>
  <w:footnote w:id="897">
    <w:p w14:paraId="0000083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*6–7.</w:t>
      </w:r>
    </w:p>
  </w:footnote>
  <w:footnote w:id="898">
    <w:p w14:paraId="0000083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2013 WL 6072966 (M.D. Ga. Nov. 18, 2013).</w:t>
      </w:r>
    </w:p>
  </w:footnote>
  <w:footnote w:id="899">
    <w:p w14:paraId="0000083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*8 (citations omitted).</w:t>
      </w:r>
    </w:p>
  </w:footnote>
  <w:footnote w:id="900">
    <w:p w14:paraId="0000083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*7. </w:t>
      </w:r>
      <w:r>
        <w:rPr>
          <w:rFonts w:ascii="Times New Roman" w:eastAsia="Times New Roman" w:hAnsi="Times New Roman" w:cs="Times New Roman"/>
          <w:i/>
          <w:color w:val="000000"/>
          <w:sz w:val="20"/>
          <w:szCs w:val="20"/>
        </w:rPr>
        <w:t>See also</w:t>
      </w:r>
    </w:p>
    <w:p w14:paraId="0000083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First Circuit:</w:t>
      </w:r>
      <w:r>
        <w:rPr>
          <w:rFonts w:ascii="Times New Roman" w:eastAsia="Times New Roman" w:hAnsi="Times New Roman" w:cs="Times New Roman"/>
          <w:color w:val="000000"/>
          <w:sz w:val="20"/>
          <w:szCs w:val="20"/>
        </w:rPr>
        <w:t xml:space="preserve"> Gruchy v. DirectTech Del., Inc., 2010 WL 3835007, at *2 (D. Mass. Sept. 30, 2010).</w:t>
      </w:r>
    </w:p>
    <w:p w14:paraId="0000083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Owopetu v. Nationwide CATV Auditing Servs., Inc</w:t>
      </w:r>
      <w:r>
        <w:rPr>
          <w:rFonts w:ascii="Times New Roman" w:eastAsia="Times New Roman" w:hAnsi="Times New Roman" w:cs="Times New Roman"/>
          <w:i/>
          <w:color w:val="000000"/>
          <w:sz w:val="20"/>
          <w:szCs w:val="20"/>
        </w:rPr>
        <w:t>.</w:t>
      </w:r>
      <w:r>
        <w:rPr>
          <w:rFonts w:ascii="Times New Roman" w:eastAsia="Times New Roman" w:hAnsi="Times New Roman" w:cs="Times New Roman"/>
          <w:color w:val="000000"/>
          <w:sz w:val="20"/>
          <w:szCs w:val="20"/>
        </w:rPr>
        <w:t>, 2011 WL 4433159, at *4 (D. Vt. Sept. 21, 2011).</w:t>
      </w:r>
    </w:p>
    <w:p w14:paraId="0000083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Horn v. Digital Cable &amp; Commc’ns, Inc., 2009 WL 4042407, at *4 (N.D. Ohio Feb. 11, 2009).</w:t>
      </w:r>
    </w:p>
  </w:footnote>
  <w:footnote w:id="901">
    <w:p w14:paraId="0000083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Johnson v. Wave Comm GR, LLC, 4 F. Supp. 3d 423 (N.D.N.Y. Mar. 14, 2014) (finding that cable installation services had retail concept required to be recognized as retail in industry, however, defendant failed to meet its burden of proving requirement that employees must earn at least 1.5 times minimum wage); Roeder v. DirecTV, Inc., 2017 WL 151401 (N.D. Iowa Jan. 13, 2017) (finding that cable provider that supplied ultimate product being purchased just like cable installer had “retail concept” because it “sells goods or services to the general public” and “serves the everyday needs of the community in which it is located”).</w:t>
      </w:r>
    </w:p>
  </w:footnote>
  <w:footnote w:id="902">
    <w:p w14:paraId="0000083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First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Gruchy</w:t>
      </w:r>
      <w:r>
        <w:rPr>
          <w:rFonts w:ascii="Times New Roman" w:eastAsia="Times New Roman" w:hAnsi="Times New Roman" w:cs="Times New Roman"/>
          <w:color w:val="000000"/>
          <w:sz w:val="20"/>
          <w:szCs w:val="20"/>
        </w:rPr>
        <w:t>, 2010 WL 3835007, at *2 (explaining that it was undisputed that defendant qualified as retail or service establishment).</w:t>
      </w:r>
    </w:p>
    <w:p w14:paraId="0000083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Horn</w:t>
      </w:r>
      <w:r>
        <w:rPr>
          <w:rFonts w:ascii="Times New Roman" w:eastAsia="Times New Roman" w:hAnsi="Times New Roman" w:cs="Times New Roman"/>
          <w:color w:val="000000"/>
          <w:sz w:val="20"/>
          <w:szCs w:val="20"/>
        </w:rPr>
        <w:t>, 2009 WL 4042407, at *4 (noting that defendant cable installation company put forth undisputed evidence that it qualified as retail or service establishment).</w:t>
      </w:r>
    </w:p>
    <w:p w14:paraId="0000083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Moore v. Advanced Cable Contractors, Inc., 2013 WL 3991966, at *3 (N.D. Ga. Aug. 1, 2013) (“Defendants assert, and Plaintiffs do not dispute, that Advanced Cable is a retail and service establishment for purposes of the FLSA.”).</w:t>
      </w:r>
    </w:p>
  </w:footnote>
  <w:footnote w:id="903">
    <w:p w14:paraId="0000083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2007 WL 2429149 (D. Nev. Aug. 20, 2007).</w:t>
      </w:r>
    </w:p>
  </w:footnote>
  <w:footnote w:id="904">
    <w:p w14:paraId="0000083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*9.</w:t>
      </w:r>
    </w:p>
  </w:footnote>
  <w:footnote w:id="905">
    <w:p w14:paraId="0000083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906">
    <w:p w14:paraId="0000083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2008 WL 254136 (M.D. Fla. Jan. 29, 2008).</w:t>
      </w:r>
    </w:p>
  </w:footnote>
  <w:footnote w:id="907">
    <w:p w14:paraId="0000084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18"/>
          <w:szCs w:val="18"/>
        </w:rPr>
        <w:t>Id</w:t>
      </w:r>
      <w:r>
        <w:rPr>
          <w:rFonts w:ascii="Times New Roman" w:eastAsia="Times New Roman" w:hAnsi="Times New Roman" w:cs="Times New Roman"/>
          <w:color w:val="000000"/>
          <w:sz w:val="18"/>
          <w:szCs w:val="18"/>
        </w:rPr>
        <w:t xml:space="preserve">. at *6. On May 19, 2020, the DOL withdrew 29 C.F.R. §779.317. </w:t>
      </w:r>
      <w:r>
        <w:rPr>
          <w:rFonts w:ascii="Times New Roman" w:eastAsia="Times New Roman" w:hAnsi="Times New Roman" w:cs="Times New Roman"/>
          <w:i/>
          <w:color w:val="000000"/>
          <w:sz w:val="18"/>
          <w:szCs w:val="18"/>
        </w:rPr>
        <w:t>See</w:t>
      </w:r>
      <w:r>
        <w:rPr>
          <w:rFonts w:ascii="Times New Roman" w:eastAsia="Times New Roman" w:hAnsi="Times New Roman" w:cs="Times New Roman"/>
          <w:color w:val="000000"/>
          <w:sz w:val="18"/>
          <w:szCs w:val="18"/>
        </w:rPr>
        <w:t xml:space="preserve"> 85 Fed. Reg. 29,867 (May 19, 2020).</w:t>
      </w:r>
    </w:p>
  </w:footnote>
  <w:footnote w:id="908">
    <w:p w14:paraId="0000084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2009 WL 1285885 (N.D. Ga. May 5, 2009).</w:t>
      </w:r>
    </w:p>
  </w:footnote>
  <w:footnote w:id="909">
    <w:p w14:paraId="0000084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w:t>
      </w:r>
    </w:p>
  </w:footnote>
  <w:footnote w:id="910">
    <w:p w14:paraId="0000084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1997 WL 1507504 (M.D. Fla. June 5, 1997).</w:t>
      </w:r>
    </w:p>
  </w:footnote>
  <w:footnote w:id="911">
    <w:p w14:paraId="0000084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*4–5 (finding exclusion of travel agencies from DOL’s list of establishments possessing retail concept to be “arbitrary and without any rational basis”). However, on May 19, 2020, the DOL withdrew that regulation without notice or comment.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85 Fed. Reg. 29,867 (May 19, 2020). </w:t>
      </w:r>
    </w:p>
  </w:footnote>
  <w:footnote w:id="912">
    <w:p w14:paraId="0000084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2012 WL 4214712 (S.D. Tex. Sept. 18, 2012).</w:t>
      </w:r>
    </w:p>
  </w:footnote>
  <w:footnote w:id="913">
    <w:p w14:paraId="0000084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Rachal v. Allen, 376 F.2d 999 (5th Cir. 1967). Note that 29 C.F.R. §779.317 had listed “tax services” as an example of a business that lacked the retail concept; this list was withdrawn by the DOL on May 19, 2020.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85 Fed. Reg. 29,867 (May 19, 2020).</w:t>
      </w:r>
    </w:p>
  </w:footnote>
  <w:footnote w:id="914">
    <w:p w14:paraId="0000084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§779.318.</w:t>
      </w:r>
    </w:p>
  </w:footnote>
  <w:footnote w:id="915">
    <w:p w14:paraId="0000084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Wells</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2012 WL 4214712, at *6 (“[Company] provided not only tax preparation services that each member of the community may well utilize, but also tax dispute services to address issues that may, in some instances, arise in the course of filing taxes.”). </w:t>
      </w:r>
    </w:p>
  </w:footnote>
  <w:footnote w:id="916">
    <w:p w14:paraId="0000084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p>
  </w:footnote>
  <w:footnote w:id="917">
    <w:p w14:paraId="0000084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918">
    <w:p w14:paraId="0000084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(citing 29 C.F.R. §779.318).</w:t>
      </w:r>
    </w:p>
  </w:footnote>
  <w:footnote w:id="919">
    <w:p w14:paraId="0000084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2010 WL 3938255 (W.D. Pa. Oct. 5, 2010).</w:t>
      </w:r>
    </w:p>
  </w:footnote>
  <w:footnote w:id="920">
    <w:p w14:paraId="0000084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*2–3.</w:t>
      </w:r>
    </w:p>
  </w:footnote>
  <w:footnote w:id="921">
    <w:p w14:paraId="0000084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FLSA2018-21, 2018 WL 4562931 (Aug. 28, 2018). In </w:t>
      </w:r>
      <w:r>
        <w:rPr>
          <w:rFonts w:ascii="Times New Roman" w:eastAsia="Times New Roman" w:hAnsi="Times New Roman" w:cs="Times New Roman"/>
          <w:i/>
          <w:color w:val="000000"/>
          <w:sz w:val="20"/>
          <w:szCs w:val="20"/>
        </w:rPr>
        <w:t>Diggs v. Ovation Credit Services, Inc</w:t>
      </w:r>
      <w:r>
        <w:rPr>
          <w:rFonts w:ascii="Times New Roman" w:eastAsia="Times New Roman" w:hAnsi="Times New Roman" w:cs="Times New Roman"/>
          <w:color w:val="000000"/>
          <w:sz w:val="20"/>
          <w:szCs w:val="20"/>
        </w:rPr>
        <w:t xml:space="preserve">., 449 F. Supp. 3d 1280 (M.D. Fla. 2020), the court was not persuaded by this opinion letter to find a credit repair company to have a retail concept: “It appears that Ovation has little in common with the company described in the Opinion Letter, a company that would appear to provide a service of use to every online purchaser and seller.” </w:t>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1291.</w:t>
      </w:r>
    </w:p>
  </w:footnote>
  <w:footnote w:id="922">
    <w:p w14:paraId="0000084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Ebersole v. American Bancard, LLC, 2009 WL 2524618, at *3 (S.D. Fla. Aug. 17, 2009).</w:t>
      </w:r>
    </w:p>
  </w:footnote>
  <w:footnote w:id="923">
    <w:p w14:paraId="0000085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714 F. Supp. 2d 1035 (C.D. Cal. 2010).</w:t>
      </w:r>
    </w:p>
  </w:footnote>
  <w:footnote w:id="924">
    <w:p w14:paraId="0000085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1044.</w:t>
      </w:r>
    </w:p>
  </w:footnote>
  <w:footnote w:id="925">
    <w:p w14:paraId="0000085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1040–44.</w:t>
      </w:r>
    </w:p>
  </w:footnote>
  <w:footnote w:id="926">
    <w:p w14:paraId="0000085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1044.</w:t>
      </w:r>
    </w:p>
  </w:footnote>
  <w:footnote w:id="927">
    <w:p w14:paraId="0000085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2009 WL 2524618 (S.D. Fla. Aug. 17, 2009). </w:t>
      </w:r>
    </w:p>
  </w:footnote>
  <w:footnote w:id="928">
    <w:p w14:paraId="00000855" w14:textId="77777777" w:rsidR="00DC27AA" w:rsidRDefault="000F36B4" w:rsidP="002A5EB4">
      <w:pPr>
        <w:pStyle w:val="14Footnote"/>
      </w:pPr>
      <w:r>
        <w:rPr>
          <w:rStyle w:val="FootnoteReference"/>
        </w:rPr>
        <w:footnoteRef/>
      </w:r>
      <w:r>
        <w:t xml:space="preserve">Blahnik v. Box Office Ticket Sales, LLC, 2017 WL 1150914 (N.D. Ill. Mar. 28, 2017) (citing Alvarado v. Corporate Cleaning Servs., Inc., 782 F.3d 365 (7th Cir. 2015)). </w:t>
      </w:r>
    </w:p>
  </w:footnote>
  <w:footnote w:id="929">
    <w:p w14:paraId="00000856" w14:textId="77777777" w:rsidR="00DC27AA" w:rsidRDefault="000F36B4" w:rsidP="002A5EB4">
      <w:pPr>
        <w:pStyle w:val="14Footnote"/>
      </w:pPr>
      <w:r>
        <w:rPr>
          <w:rStyle w:val="FootnoteReference"/>
        </w:rPr>
        <w:footnoteRef/>
      </w:r>
      <w:r>
        <w:t>2019 WL 4784801 (E.D. Ark. Sept. 30, 2019).</w:t>
      </w:r>
    </w:p>
  </w:footnote>
  <w:footnote w:id="930">
    <w:p w14:paraId="00000857" w14:textId="63951E39" w:rsidR="00DC27AA" w:rsidRDefault="000F36B4" w:rsidP="002A5EB4">
      <w:pPr>
        <w:pStyle w:val="14Footnote"/>
      </w:pPr>
      <w:r>
        <w:rPr>
          <w:rStyle w:val="FootnoteReference"/>
        </w:rPr>
        <w:footnoteRef/>
      </w:r>
      <w:r>
        <w:rPr>
          <w:i/>
        </w:rPr>
        <w:t>Id.</w:t>
      </w:r>
      <w:r>
        <w:t xml:space="preserve"> at *13.  </w:t>
      </w:r>
    </w:p>
  </w:footnote>
  <w:footnote w:id="931">
    <w:p w14:paraId="00000858" w14:textId="77777777" w:rsidR="00DC27AA" w:rsidRDefault="000F36B4" w:rsidP="002A5EB4">
      <w:pPr>
        <w:pStyle w:val="14Footnote"/>
        <w:rPr>
          <w:i/>
        </w:rPr>
      </w:pPr>
      <w:r>
        <w:rPr>
          <w:rStyle w:val="FootnoteReference"/>
        </w:rPr>
        <w:footnoteRef/>
      </w:r>
      <w:r>
        <w:rPr>
          <w:i/>
        </w:rPr>
        <w:t>Id.</w:t>
      </w:r>
    </w:p>
  </w:footnote>
  <w:footnote w:id="932">
    <w:p w14:paraId="0000094F" w14:textId="6AB55376" w:rsidR="00DC27AA" w:rsidRPr="002A5EB4" w:rsidRDefault="000F36B4" w:rsidP="002A5EB4">
      <w:pPr>
        <w:pStyle w:val="14Footnote"/>
      </w:pPr>
      <w:r>
        <w:rPr>
          <w:rStyle w:val="FootnoteReference"/>
        </w:rPr>
        <w:footnoteRef/>
      </w:r>
      <w:r w:rsidR="00E92C28">
        <w:t xml:space="preserve">Simmon’s v. Futo’s, Inc., </w:t>
      </w:r>
      <w:r w:rsidR="00E92C28" w:rsidRPr="00E92C28">
        <w:t>2022 BL 432131</w:t>
      </w:r>
      <w:r w:rsidR="00F3002B">
        <w:t xml:space="preserve">, </w:t>
      </w:r>
      <w:r w:rsidRPr="002A5EB4">
        <w:t>2022 WL 1740797</w:t>
      </w:r>
      <w:r w:rsidR="002A5EB4">
        <w:t>5</w:t>
      </w:r>
      <w:r w:rsidRPr="002A5EB4">
        <w:t xml:space="preserve"> (N.D. Ga. Dec. 2, 2022).</w:t>
      </w:r>
    </w:p>
  </w:footnote>
  <w:footnote w:id="933">
    <w:p w14:paraId="02B9DC8B" w14:textId="4FD401A8" w:rsidR="002F41CA" w:rsidRDefault="002F41CA" w:rsidP="002A5EB4">
      <w:pPr>
        <w:pStyle w:val="14Footnote"/>
      </w:pPr>
      <w:r>
        <w:rPr>
          <w:rStyle w:val="FootnoteReference"/>
        </w:rPr>
        <w:footnoteRef/>
      </w:r>
      <w:r>
        <w:rPr>
          <w:i/>
          <w:iCs/>
        </w:rPr>
        <w:t>Id.</w:t>
      </w:r>
      <w:r>
        <w:t xml:space="preserve"> at *5. </w:t>
      </w:r>
    </w:p>
  </w:footnote>
  <w:footnote w:id="934">
    <w:p w14:paraId="00000859" w14:textId="77777777" w:rsidR="00DC27AA" w:rsidRDefault="000F36B4" w:rsidP="002A5EB4">
      <w:pPr>
        <w:pStyle w:val="14Footnote"/>
      </w:pPr>
      <w:r>
        <w:rPr>
          <w:rStyle w:val="FootnoteReference"/>
        </w:rPr>
        <w:footnoteRef/>
      </w:r>
      <w:r>
        <w:rPr>
          <w:i/>
        </w:rPr>
        <w:t>See</w:t>
      </w:r>
      <w:r>
        <w:t xml:space="preserve"> 29 C.F.R. §779.322–.329.</w:t>
      </w:r>
    </w:p>
  </w:footnote>
  <w:footnote w:id="935">
    <w:p w14:paraId="0000085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§779.322.</w:t>
      </w:r>
    </w:p>
  </w:footnote>
  <w:footnote w:id="936">
    <w:p w14:paraId="0000085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§779.323 (emphasis added).</w:t>
      </w:r>
    </w:p>
  </w:footnote>
  <w:footnote w:id="937">
    <w:p w14:paraId="0000085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§779.324 (emphasis added).</w:t>
      </w:r>
    </w:p>
  </w:footnote>
  <w:footnote w:id="938">
    <w:p w14:paraId="0000085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§779.326.</w:t>
      </w:r>
    </w:p>
  </w:footnote>
  <w:footnote w:id="939">
    <w:p w14:paraId="0000085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Johnson v. Wave Comm GR, LLC, 4 F. Supp. 3d 423 (N.D.N.Y. 2014) (although defendant did not provide any testimony as to how people in the industry viewed its business, court took judicial notice of evidence provided in </w:t>
      </w:r>
      <w:r>
        <w:rPr>
          <w:rFonts w:ascii="Times New Roman" w:eastAsia="Times New Roman" w:hAnsi="Times New Roman" w:cs="Times New Roman"/>
          <w:i/>
          <w:color w:val="000000"/>
          <w:sz w:val="20"/>
          <w:szCs w:val="20"/>
        </w:rPr>
        <w:t>Jones v. Tucker Communications, Inc.</w:t>
      </w:r>
      <w:r>
        <w:rPr>
          <w:rFonts w:ascii="Times New Roman" w:eastAsia="Times New Roman" w:hAnsi="Times New Roman" w:cs="Times New Roman"/>
          <w:color w:val="000000"/>
          <w:sz w:val="20"/>
          <w:szCs w:val="20"/>
        </w:rPr>
        <w:t xml:space="preserve">, 2013 WL 6072966, at *8 (M.D. Ga. Nov. 18, 2013), and </w:t>
      </w:r>
      <w:r>
        <w:rPr>
          <w:rFonts w:ascii="Times New Roman" w:eastAsia="Times New Roman" w:hAnsi="Times New Roman" w:cs="Times New Roman"/>
          <w:i/>
          <w:color w:val="000000"/>
          <w:sz w:val="20"/>
          <w:szCs w:val="20"/>
        </w:rPr>
        <w:t>Owopetu v. Nationwide CATV Auditing Services, Inc.</w:t>
      </w:r>
      <w:r>
        <w:rPr>
          <w:rFonts w:ascii="Times New Roman" w:eastAsia="Times New Roman" w:hAnsi="Times New Roman" w:cs="Times New Roman"/>
          <w:color w:val="000000"/>
          <w:sz w:val="20"/>
          <w:szCs w:val="20"/>
        </w:rPr>
        <w:t>, 2011 WL 4433159, at *6 (D. Vt. Sept. 21, 2011), businesses that provided similar services as defendant, and found that defendant had satisfied its burden to show that its business was recognized as retail within its industry); Owopetu v. Nationwide CATV Auditing Servs., Inc., 2011 WL 4433159, at *6 (D. Vt. Sept. 21, 2011) (finding affidavits of defendant’s corporate office manager and professional vocational rehabilitation consultant persuasive to meeting requirement of establishing “retail or service establishment” where plaintiff failed to produce evidence otherwise).</w:t>
      </w:r>
    </w:p>
    <w:p w14:paraId="0000085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Collins v. Horizon Training Ctrs., L.P., 2003 WL 22388448, at *8 (N.D. Tex. Sept. 30, 2003) (considering affidavit from company’s president).</w:t>
      </w:r>
    </w:p>
    <w:p w14:paraId="0000086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Ninth Circuit:</w:t>
      </w:r>
      <w:r>
        <w:rPr>
          <w:rFonts w:ascii="Times New Roman" w:eastAsia="Times New Roman" w:hAnsi="Times New Roman" w:cs="Times New Roman"/>
          <w:color w:val="000000"/>
          <w:sz w:val="20"/>
          <w:szCs w:val="20"/>
        </w:rPr>
        <w:t xml:space="preserve"> La Parne v. Monex Deposit Co., 714 F. Supp. 2d 1035, 1042 (C.D. Cal. 2010) (considering affidavits from former employees as well as expert).</w:t>
      </w:r>
    </w:p>
    <w:p w14:paraId="0000086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Jones v. Tucker Commc’ns, Inc., 2013 WL 6072966, at *8 (M.D. Ga. Nov. 18, 2013) (finding affidavit of executive director of chamber of commerce and former vice president and general manager of Cox Communications evidence of retail nature of business).</w:t>
      </w:r>
    </w:p>
  </w:footnote>
  <w:footnote w:id="940">
    <w:p w14:paraId="0000086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Johnson</w:t>
      </w:r>
      <w:r>
        <w:rPr>
          <w:rFonts w:ascii="Times New Roman" w:eastAsia="Times New Roman" w:hAnsi="Times New Roman" w:cs="Times New Roman"/>
          <w:color w:val="000000"/>
          <w:sz w:val="20"/>
          <w:szCs w:val="20"/>
        </w:rPr>
        <w:t>, 4 F. Supp. 3d at 440–41.</w:t>
      </w:r>
    </w:p>
  </w:footnote>
  <w:footnote w:id="941">
    <w:p w14:paraId="0000086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 e.g.,</w:t>
      </w:r>
    </w:p>
    <w:p w14:paraId="0000086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Owopetu</w:t>
      </w:r>
      <w:r>
        <w:rPr>
          <w:rFonts w:ascii="Times New Roman" w:eastAsia="Times New Roman" w:hAnsi="Times New Roman" w:cs="Times New Roman"/>
          <w:color w:val="000000"/>
          <w:sz w:val="20"/>
          <w:szCs w:val="20"/>
        </w:rPr>
        <w:t>, 2011 WL 4433159, at *6 (“Nationwide’s relationship [as subcontractor for] TWC does not preclude a finding that Nationwide’s services are retail.”).</w:t>
      </w:r>
    </w:p>
    <w:p w14:paraId="0000086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Fifth Circuit:</w:t>
      </w:r>
      <w:r>
        <w:rPr>
          <w:rFonts w:ascii="Times New Roman" w:eastAsia="Times New Roman" w:hAnsi="Times New Roman" w:cs="Times New Roman"/>
          <w:color w:val="000000"/>
          <w:sz w:val="20"/>
          <w:szCs w:val="20"/>
        </w:rPr>
        <w:t xml:space="preserve"> Schultz v. Crotty Bros. Dall., Inc., 304 F. Supp. 191, 192, 195–96 (W.D. Tex. 1969) (finding that food service operation contracting with school to provide meals for students was retail establishment).</w:t>
      </w:r>
    </w:p>
    <w:p w14:paraId="0000086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 Jones</w:t>
      </w:r>
      <w:r>
        <w:rPr>
          <w:rFonts w:ascii="Times New Roman" w:eastAsia="Times New Roman" w:hAnsi="Times New Roman" w:cs="Times New Roman"/>
          <w:color w:val="000000"/>
          <w:sz w:val="20"/>
          <w:szCs w:val="20"/>
        </w:rPr>
        <w:t>, 2013 WL 6072966, at *8 (finding that even though Tucker contracted with Charter Communications, it provided its repair and installation services to end users—cable and Internet service consumers); Wirtz v. Campus Chefs, Inc., 303 F. Supp. 1112, 1118–19 (N.D. Ga. 1968) (finding food service business exempt)</w:t>
      </w:r>
    </w:p>
  </w:footnote>
  <w:footnote w:id="942">
    <w:p w14:paraId="0000086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782 F.3d 365 (7th Cir. 2015).</w:t>
      </w:r>
    </w:p>
  </w:footnote>
  <w:footnote w:id="943">
    <w:p w14:paraId="0000086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369.</w:t>
      </w:r>
    </w:p>
  </w:footnote>
  <w:footnote w:id="944">
    <w:p w14:paraId="0000086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§779.327.</w:t>
      </w:r>
    </w:p>
  </w:footnote>
  <w:footnote w:id="945">
    <w:p w14:paraId="0000086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§779.328.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WH Op. FLSA2018-21, 2018 WL 4562931 (Aug. 28, 2018) (citing 29 C.F.R. §779.328 and finding that sales of technology platforms were retail, not wholesale, because company did not sell large quantities of platform to individual purchasers).</w:t>
      </w:r>
    </w:p>
  </w:footnote>
  <w:footnote w:id="946">
    <w:p w14:paraId="0000086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Alvarado</w:t>
      </w:r>
      <w:r>
        <w:rPr>
          <w:rFonts w:ascii="Times New Roman" w:eastAsia="Times New Roman" w:hAnsi="Times New Roman" w:cs="Times New Roman"/>
          <w:color w:val="000000"/>
          <w:sz w:val="20"/>
          <w:szCs w:val="20"/>
        </w:rPr>
        <w:t xml:space="preserve">, 719 F. Supp. 2d at 945 (quoting English v. Ecolab, Inc., 2008 WL 878456, at *13 (S.D.N.Y. Mar. 31, 2008));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Jones v. Tucker Commc’ns, Inc., 2013 WL 6072966, at *9 (M.D. Ga. Nov. 18, 2013); Owopetu v. Nationwide CATV Auditing Servs., Inc., 2011 WL4433159, at *6 (D. Vt. Sept. 21, 2011).</w:t>
      </w:r>
    </w:p>
  </w:footnote>
  <w:footnote w:id="947">
    <w:p w14:paraId="0000086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Owopetu</w:t>
      </w:r>
      <w:r>
        <w:rPr>
          <w:rFonts w:ascii="Times New Roman" w:eastAsia="Times New Roman" w:hAnsi="Times New Roman" w:cs="Times New Roman"/>
          <w:color w:val="000000"/>
          <w:sz w:val="20"/>
          <w:szCs w:val="20"/>
        </w:rPr>
        <w:t>, 2011 WL4433159.</w:t>
      </w:r>
    </w:p>
  </w:footnote>
  <w:footnote w:id="948">
    <w:p w14:paraId="0000086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*6. </w:t>
      </w:r>
    </w:p>
  </w:footnote>
  <w:footnote w:id="949">
    <w:p w14:paraId="0000086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§779.330.</w:t>
      </w:r>
    </w:p>
  </w:footnote>
  <w:footnote w:id="950">
    <w:p w14:paraId="0000086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§779.331; Owopetu v. Nationwide CATV Auditing Servs., Inc., 2011 WL 883703, at *6 (D. Vt. Mar. 11, 2011) (citing 29 C.F.R. §779.331);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English v. Ecolab, Inc., 2008 WL 878456, at *11 n.15 (S.D.N.Y. Mar. 31, 2008); Schwind v. E.W. &amp; Assocs., Inc., 371 F. Supp. 2d 560, 566 (S.D.N.Y. 2005).</w:t>
      </w:r>
    </w:p>
  </w:footnote>
  <w:footnote w:id="951">
    <w:p w14:paraId="0000087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§779.331.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WH Op. FLSA2018-21, 2018 WL 4562931 (Aug. 28, 2018) (“As you have indicated, your client’s platforms ‘cannot be resold’ because they are ‘designed for each specific merchant.’”).</w:t>
      </w:r>
    </w:p>
  </w:footnote>
  <w:footnote w:id="952">
    <w:p w14:paraId="0000087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§779.333.</w:t>
      </w:r>
    </w:p>
  </w:footnote>
  <w:footnote w:id="953">
    <w:p w14:paraId="0000087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English</w:t>
      </w:r>
      <w:r>
        <w:rPr>
          <w:rFonts w:ascii="Times New Roman" w:eastAsia="Times New Roman" w:hAnsi="Times New Roman" w:cs="Times New Roman"/>
          <w:color w:val="000000"/>
          <w:sz w:val="20"/>
          <w:szCs w:val="20"/>
        </w:rPr>
        <w:t>, 2008 WL 878456.</w:t>
      </w:r>
    </w:p>
  </w:footnote>
  <w:footnote w:id="954">
    <w:p w14:paraId="0000087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 (citing 29 C.F.R. §779.333).</w:t>
      </w:r>
    </w:p>
  </w:footnote>
  <w:footnote w:id="955">
    <w:p w14:paraId="0000087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956">
    <w:p w14:paraId="0000087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957">
    <w:p w14:paraId="0000087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§779.334.</w:t>
      </w:r>
    </w:p>
  </w:footnote>
  <w:footnote w:id="958">
    <w:p w14:paraId="0000087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English v. Ecolab, Inc., 2008 WL 878456, at *11 (S.D.N.Y. Mar. 31, 2008).</w:t>
      </w:r>
    </w:p>
  </w:footnote>
  <w:footnote w:id="959">
    <w:p w14:paraId="0000087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2008 WL 878456 (S.D.N.Y. Mar. 31, 2008). </w:t>
      </w:r>
    </w:p>
  </w:footnote>
  <w:footnote w:id="960">
    <w:p w14:paraId="0000087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*10–11.</w:t>
      </w:r>
    </w:p>
  </w:footnote>
  <w:footnote w:id="961">
    <w:p w14:paraId="0000087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*12.</w:t>
      </w:r>
    </w:p>
  </w:footnote>
  <w:footnote w:id="962">
    <w:p w14:paraId="0000087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§779.334 (emphasis added).</w:t>
      </w:r>
    </w:p>
  </w:footnote>
  <w:footnote w:id="963">
    <w:p w14:paraId="0000087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English v. Ecolab, Inc., 2008 WL 878456, at *12 (S.D.N.Y. Mar. 31, 2008).</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The Seventh Circuit made the same basic point in concluding that window-washing services were not for resale: “No doubt the building owners and managers pass on (so far as market conditions allow) the cost of window cleaning to the occupants of the building. But this is not resale.” Alvarado v. Corporate Cleaning Servs., Inc., 782 F.3d 365, 369 (7th Cir. 2015).</w:t>
      </w:r>
    </w:p>
  </w:footnote>
  <w:footnote w:id="964">
    <w:p w14:paraId="0000087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English</w:t>
      </w:r>
      <w:r>
        <w:rPr>
          <w:rFonts w:ascii="Times New Roman" w:eastAsia="Times New Roman" w:hAnsi="Times New Roman" w:cs="Times New Roman"/>
          <w:color w:val="000000"/>
          <w:sz w:val="20"/>
          <w:szCs w:val="20"/>
        </w:rPr>
        <w:t>, 2008 WL 878456, at *12.</w:t>
      </w:r>
    </w:p>
  </w:footnote>
  <w:footnote w:id="965">
    <w:p w14:paraId="0000087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Jones v. Tucker Commc’ns, Inc., 2013 WL 6072966, at *6 (M.D. Ga. Nov. 18, 2013) (reasoning that cable installation was discrete and necessary component that was but-for requirement antecedent to provision of cable services, not just service enhancement; and further finding that services that cable installer provided were not analogous to other examples of services for resale found in §779.334).</w:t>
      </w:r>
    </w:p>
  </w:footnote>
  <w:footnote w:id="966">
    <w:p w14:paraId="0000087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Owopetu v. Nationwide CATV Auditing Servs., Inc., 2011 WL 883703, at *6 (D. Vt. Mar. 11, 2011) (finding that provision of cable installation and repair services to customers did not constitute “sales for resale” because there was no subsequent sale, that is, no “selling again,” after services were provided; customers were “at the very end of the stream of distribution,” and therefore repair services were provided “for the comfort and convenience of [the general] public in the course of its daily living,” as opposed to providing them for redistribution).</w:t>
      </w:r>
    </w:p>
  </w:footnote>
  <w:footnote w:id="967">
    <w:p w14:paraId="0000088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371 F. Supp. 2d 560 (S.D.N.Y. 2005).</w:t>
      </w:r>
    </w:p>
  </w:footnote>
  <w:footnote w:id="968">
    <w:p w14:paraId="0000088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566.</w:t>
      </w:r>
    </w:p>
  </w:footnote>
  <w:footnote w:id="969">
    <w:p w14:paraId="0000088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782 F.3d 365 (7th Cir. 2015).</w:t>
      </w:r>
    </w:p>
  </w:footnote>
  <w:footnote w:id="970">
    <w:p w14:paraId="0000088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369.</w:t>
      </w:r>
    </w:p>
  </w:footnote>
  <w:footnote w:id="971">
    <w:p w14:paraId="0000088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Brief for Sec’y of Labor as Amicus Curiae</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Supporting Plaintiffs-Appellants, at 26–27, Alvarado v. Corporate Cleaning Servs., Inc., 782 F.3d 365 (7th Cir. 2015) (No. 13-3818). The brief then added three more examples to this list: </w:t>
      </w:r>
      <w:r>
        <w:rPr>
          <w:rFonts w:ascii="Times New Roman" w:eastAsia="Times New Roman" w:hAnsi="Times New Roman" w:cs="Times New Roman"/>
          <w:i/>
          <w:color w:val="000000"/>
          <w:sz w:val="20"/>
          <w:szCs w:val="20"/>
        </w:rPr>
        <w:t>Mitchell v. Sherry Corine Corp</w:t>
      </w:r>
      <w:r>
        <w:rPr>
          <w:rFonts w:ascii="Times New Roman" w:eastAsia="Times New Roman" w:hAnsi="Times New Roman" w:cs="Times New Roman"/>
          <w:color w:val="000000"/>
          <w:sz w:val="20"/>
          <w:szCs w:val="20"/>
        </w:rPr>
        <w:t xml:space="preserve">., 264 F.2d 831, 835 (4th Cir. 1959) (finding that company that sold meals to airlines, which then served meals to passengers on flights, was engaged in sales for resale because cost of meals was “an operating expense taken into account in computing the rates of transportation”); </w:t>
      </w:r>
      <w:r>
        <w:rPr>
          <w:rFonts w:ascii="Times New Roman" w:eastAsia="Times New Roman" w:hAnsi="Times New Roman" w:cs="Times New Roman"/>
          <w:i/>
          <w:color w:val="000000"/>
          <w:sz w:val="20"/>
          <w:szCs w:val="20"/>
        </w:rPr>
        <w:t>Goldberg v. Furman Beauty Supply, Inc</w:t>
      </w:r>
      <w:r>
        <w:rPr>
          <w:rFonts w:ascii="Times New Roman" w:eastAsia="Times New Roman" w:hAnsi="Times New Roman" w:cs="Times New Roman"/>
          <w:color w:val="000000"/>
          <w:sz w:val="20"/>
          <w:szCs w:val="20"/>
        </w:rPr>
        <w:t xml:space="preserve">., 300 F.2d 16, 18–19 (3d Cir. 1962) (beauty supply company that sold products to salons that used products while providing services to customers was engaged in sales for resale because prices charged by beauty parlor covered cost of purchasing beauty supply products); and </w:t>
      </w:r>
      <w:r>
        <w:rPr>
          <w:rFonts w:ascii="Times New Roman" w:eastAsia="Times New Roman" w:hAnsi="Times New Roman" w:cs="Times New Roman"/>
          <w:i/>
          <w:color w:val="000000"/>
          <w:sz w:val="20"/>
          <w:szCs w:val="20"/>
        </w:rPr>
        <w:t>Goldberg v. Kleban Eng’g Corp</w:t>
      </w:r>
      <w:r>
        <w:rPr>
          <w:rFonts w:ascii="Times New Roman" w:eastAsia="Times New Roman" w:hAnsi="Times New Roman" w:cs="Times New Roman"/>
          <w:color w:val="000000"/>
          <w:sz w:val="20"/>
          <w:szCs w:val="20"/>
        </w:rPr>
        <w:t>., 303 F.2d 855, 858 (5th Cir. 1962) (subcontractor providing plumbing, heating, and air conditioning services for general contractor to “ultimate consumer” but receiving payment from general contractor was engaged in sales for resale). Brief for Sec’y of Labor, at 27–29.</w:t>
      </w:r>
    </w:p>
  </w:footnote>
  <w:footnote w:id="972">
    <w:p w14:paraId="0000088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Alvarado</w:t>
      </w:r>
      <w:r>
        <w:rPr>
          <w:rFonts w:ascii="Times New Roman" w:eastAsia="Times New Roman" w:hAnsi="Times New Roman" w:cs="Times New Roman"/>
          <w:color w:val="000000"/>
          <w:sz w:val="20"/>
          <w:szCs w:val="20"/>
        </w:rPr>
        <w:t>, 782 F.3d at 369–70.</w:t>
      </w:r>
    </w:p>
  </w:footnote>
  <w:footnote w:id="973">
    <w:p w14:paraId="0000088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407 F.3d 1038 (9th Cir. 2005).</w:t>
      </w:r>
    </w:p>
  </w:footnote>
  <w:footnote w:id="974">
    <w:p w14:paraId="0000088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1049; </w:t>
      </w:r>
      <w:r>
        <w:rPr>
          <w:rFonts w:ascii="Times New Roman" w:eastAsia="Times New Roman" w:hAnsi="Times New Roman" w:cs="Times New Roman"/>
          <w:i/>
          <w:color w:val="000000"/>
          <w:sz w:val="20"/>
          <w:szCs w:val="20"/>
        </w:rPr>
        <w:t xml:space="preserve">see also </w:t>
      </w:r>
      <w:r>
        <w:rPr>
          <w:rFonts w:ascii="Times New Roman" w:eastAsia="Times New Roman" w:hAnsi="Times New Roman" w:cs="Times New Roman"/>
          <w:color w:val="000000"/>
          <w:sz w:val="20"/>
          <w:szCs w:val="20"/>
        </w:rPr>
        <w:t>La Parne v. Monex Deposit Co., 714 F. Supp. 2d 1035, 1040–41 (C.D. Cal. 2010) (finding no reasonable cause to believe precious metals sold as investment were purchased for immediate resale).</w:t>
      </w:r>
    </w:p>
  </w:footnote>
  <w:footnote w:id="975">
    <w:p w14:paraId="0000088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§207(i).</w:t>
      </w:r>
    </w:p>
  </w:footnote>
  <w:footnote w:id="976">
    <w:p w14:paraId="0000088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977">
    <w:p w14:paraId="0000088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Herman v. Suwannee Swifty Stores, Inc., 19 F. Supp. 2d 1365, 1369–72 (M.D. Ga. 1998).</w:t>
      </w:r>
    </w:p>
  </w:footnote>
  <w:footnote w:id="978">
    <w:p w14:paraId="0000088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Yi v. Sterling Collision Ctrs., Inc., 480 F.3d 505, 508 (7th Cir. 2007).</w:t>
      </w:r>
    </w:p>
  </w:footnote>
  <w:footnote w:id="979">
    <w:p w14:paraId="0000088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Parker v. NutriSystem, Inc., 620 F.3d 274, 278 (3d Cir. 2010).</w:t>
      </w:r>
    </w:p>
  </w:footnote>
  <w:footnote w:id="980">
    <w:p w14:paraId="0000088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§779.414.</w:t>
      </w:r>
    </w:p>
  </w:footnote>
  <w:footnote w:id="981">
    <w:p w14:paraId="0000088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35 Fed. Reg. 5,856 (Apr. 9, 1970).</w:t>
      </w:r>
    </w:p>
  </w:footnote>
  <w:footnote w:id="982">
    <w:p w14:paraId="0000088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§779.413(a).</w:t>
      </w:r>
    </w:p>
  </w:footnote>
  <w:footnote w:id="983">
    <w:p w14:paraId="0000089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29 C.F.R. §779.413(b).</w:t>
      </w:r>
    </w:p>
  </w:footnote>
  <w:footnote w:id="984">
    <w:p w14:paraId="0000089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Viciedo v. New Horizons Computer Learning Ctr., 246 F. Supp. 2d 886, 896 (S.D. Ohio 2003).</w:t>
      </w:r>
    </w:p>
  </w:footnote>
  <w:footnote w:id="985">
    <w:p w14:paraId="0000089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§779.413(a)(4).</w:t>
      </w:r>
    </w:p>
  </w:footnote>
  <w:footnote w:id="986">
    <w:p w14:paraId="0000089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Brief of the Secretary of Labor, at 21, filed in Parker v. NutriSystem, Inc., 620 F.3d 274 (3d Cir. 2010).</w:t>
      </w:r>
    </w:p>
  </w:footnote>
  <w:footnote w:id="987">
    <w:p w14:paraId="0000089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FOH §21h04(a). “Employees whose compensation (either in whole or in part) is frequently computed in this fashion are barbers, beauty shop operators, household appliance repairmen, and automobile mechanics.” </w:t>
      </w:r>
      <w:r>
        <w:rPr>
          <w:rFonts w:ascii="Times New Roman" w:eastAsia="Times New Roman" w:hAnsi="Times New Roman" w:cs="Times New Roman"/>
          <w:i/>
          <w:color w:val="000000"/>
          <w:sz w:val="20"/>
          <w:szCs w:val="20"/>
        </w:rPr>
        <w:t>Id. See</w:t>
      </w:r>
      <w:r>
        <w:rPr>
          <w:rFonts w:ascii="Times New Roman" w:eastAsia="Times New Roman" w:hAnsi="Times New Roman" w:cs="Times New Roman"/>
          <w:color w:val="000000"/>
          <w:sz w:val="20"/>
          <w:szCs w:val="20"/>
        </w:rPr>
        <w:t xml:space="preserve"> WH Op. FLSA2018-2, 2018 WL 5393301 (Jan. 5, 2018) (commission plan that paid technicians 23% of revenue attributable to their labor on job and 5% of revenue attributable to their parts sales was “bona fide,” relying on FOH §21H04(a)).</w:t>
      </w:r>
    </w:p>
  </w:footnote>
  <w:footnote w:id="988">
    <w:p w14:paraId="0000089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§21h04(c).</w:t>
      </w:r>
    </w:p>
  </w:footnote>
  <w:footnote w:id="989">
    <w:p w14:paraId="0000089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Yi v. Sterling Collision Ctrs., Inc., 480 F.3d 505, 508–09 (7th Cir. 2007).</w:t>
      </w:r>
    </w:p>
  </w:footnote>
  <w:footnote w:id="990">
    <w:p w14:paraId="0000089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§778.111, .112.</w:t>
      </w:r>
    </w:p>
  </w:footnote>
  <w:footnote w:id="991">
    <w:p w14:paraId="0000089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§778.111 (piece rates); 29 C.F.R. §778.112 (job and day rates).</w:t>
      </w:r>
    </w:p>
  </w:footnote>
  <w:footnote w:id="992">
    <w:p w14:paraId="0000089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782 F.3d 365 (7th Cir. 2015).</w:t>
      </w:r>
    </w:p>
  </w:footnote>
  <w:footnote w:id="993">
    <w:p w14:paraId="0000089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367. </w:t>
      </w:r>
    </w:p>
  </w:footnote>
  <w:footnote w:id="994">
    <w:p w14:paraId="0000089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§778.111.</w:t>
      </w:r>
    </w:p>
  </w:footnote>
  <w:footnote w:id="995">
    <w:p w14:paraId="0000089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FOH §21h04(c).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Casanova v. Gold’s Texas Holdings Grp., Inc., 2016 WL 1241548, at *8 (W.D. Tex. Mar. 23, 2016) (finding that there was no way for trainers to work more effectively or efficiently because trainers were able to earn their percentage only by working an hour-long session with each client); Ealy-Simon v. Liberty Med. Supply, Inc., 2007 WL 1521628, at *5–6 (S.D. Fla. May 23, 2007) (finding flat rate payments to salespersons of diabetes-related medicine and goods not commissions because they were tied to specific products the company wished to sell and not to value of products; no incentives through pay plan to work efficiently and effectively).</w:t>
      </w:r>
    </w:p>
  </w:footnote>
  <w:footnote w:id="996">
    <w:p w14:paraId="0000089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480 F.3d 505 (7th Cir. 2007).</w:t>
      </w:r>
    </w:p>
  </w:footnote>
  <w:footnote w:id="997">
    <w:p w14:paraId="0000089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509.</w:t>
      </w:r>
    </w:p>
  </w:footnote>
  <w:footnote w:id="998">
    <w:p w14:paraId="0000089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508.</w:t>
      </w:r>
    </w:p>
  </w:footnote>
  <w:footnote w:id="999">
    <w:p w14:paraId="000008A0" w14:textId="494FBF24" w:rsidR="00DC27AA" w:rsidRDefault="000F36B4">
      <w:pPr>
        <w:pBdr>
          <w:top w:val="nil"/>
          <w:left w:val="nil"/>
          <w:bottom w:val="nil"/>
          <w:right w:val="nil"/>
          <w:between w:val="nil"/>
        </w:pBdr>
        <w:spacing w:after="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Taylor v. HD &amp; Assocs., L.L.C., 45 F.4th 833 (5th Cir. 2022) (holding plaintiff cable technicians exempt under §207(i) where (1) their wages were paid as a percentage of the price that company charged customers; (2) plaintiffs’ work did not lend itself to a standard workday; (3) the payment system was used industry wide; and (4) plaintiffs’ wages were decoupled from time worked, which incentivized the technicians to work more efficiently).</w:t>
      </w:r>
    </w:p>
  </w:footnote>
  <w:footnote w:id="1000">
    <w:p w14:paraId="000008A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825 F.2d 1173, 28 WH Cases 441 (7th Cir. 1987).</w:t>
      </w:r>
    </w:p>
  </w:footnote>
  <w:footnote w:id="1001">
    <w:p w14:paraId="000008A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825 F.2d at 1174.</w:t>
      </w:r>
    </w:p>
  </w:footnote>
  <w:footnote w:id="1002">
    <w:p w14:paraId="000008A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1177.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Cantu-Thacker v. Rover Oaks, Inc., 2009 WL 1883967, at *3–4 (S.D. Tex. June 30, 2009) (concluding that dog groomer who received 50% of revenue generated from each dog she groomed was exempt under §207(i)).</w:t>
      </w:r>
    </w:p>
  </w:footnote>
  <w:footnote w:id="1003">
    <w:p w14:paraId="000008A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FOH §21h07(a). </w:t>
      </w:r>
    </w:p>
  </w:footnote>
  <w:footnote w:id="1004">
    <w:p w14:paraId="000008A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Brief of the Secretary of Labor, at 23, filed in Parker v. NutriSystem, Inc., 620 F.3d 274 (3d Cir. 2010).</w:t>
      </w:r>
    </w:p>
  </w:footnote>
  <w:footnote w:id="1005">
    <w:p w14:paraId="000008A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1996 WL 1031770 (Apr. 3, 1996).</w:t>
      </w:r>
    </w:p>
  </w:footnote>
  <w:footnote w:id="1006">
    <w:p w14:paraId="000008A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Criticizing the results of this opinion letter, the Third Circuit wrote: “The Department’s letter does not elaborate on whether the installers who were paid a percentage of the sales price also had the ability to sell upgrades to alarm systems on site, thereby increasing their commissions by increasing the cost to the ­consumer … it is unclear from the letter whether these installers can be considered ‘in sales.’” Parker v. NutriSystem, Inc., 620 F.3d 274, 280 (3d Cir. 2010).</w:t>
      </w:r>
    </w:p>
  </w:footnote>
  <w:footnote w:id="1007">
    <w:p w14:paraId="000008A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1996 WL 1031770. </w:t>
      </w:r>
    </w:p>
  </w:footnote>
  <w:footnote w:id="1008">
    <w:p w14:paraId="000008A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FLSA2005-53, 2005 WL 3308624 (Nov. 14, 2005).</w:t>
      </w:r>
    </w:p>
  </w:footnote>
  <w:footnote w:id="1009">
    <w:p w14:paraId="000008A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WH Op. FLSA2006-33, 2006 WL 3227788 (Sept. 14, 2006) (commissions usually denote percentage of money paid or received). </w:t>
      </w:r>
    </w:p>
  </w:footnote>
  <w:footnote w:id="1010">
    <w:p w14:paraId="000008A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FLSA2006-15NA, 2006 WL 4512957 (June 29, 2006).</w:t>
      </w:r>
    </w:p>
  </w:footnote>
  <w:footnote w:id="1011">
    <w:p w14:paraId="000008A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12">
    <w:p w14:paraId="000008A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1013">
    <w:p w14:paraId="000008A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Brief of the Secretary of Labor, at 25, filed in Parker v. NutriSystem, Inc., 620 F.3d 274 (3d Cir. 2010).</w:t>
      </w:r>
    </w:p>
  </w:footnote>
  <w:footnote w:id="1014">
    <w:p w14:paraId="000008A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Brief of the Secretary of Labor, at 30, filed in </w:t>
      </w:r>
      <w:r>
        <w:rPr>
          <w:rFonts w:ascii="Times New Roman" w:eastAsia="Times New Roman" w:hAnsi="Times New Roman" w:cs="Times New Roman"/>
          <w:i/>
          <w:color w:val="000000"/>
          <w:sz w:val="20"/>
          <w:szCs w:val="20"/>
        </w:rPr>
        <w:t>Parker</w:t>
      </w:r>
      <w:r>
        <w:rPr>
          <w:rFonts w:ascii="Times New Roman" w:eastAsia="Times New Roman" w:hAnsi="Times New Roman" w:cs="Times New Roman"/>
          <w:color w:val="000000"/>
          <w:sz w:val="20"/>
          <w:szCs w:val="20"/>
        </w:rPr>
        <w:t>, 620 F.3d at 282.</w:t>
      </w:r>
    </w:p>
  </w:footnote>
  <w:footnote w:id="1015">
    <w:p w14:paraId="000008B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260 F.3d 1251, 7 WH Cases2d 279 (11th Cir. 2001).</w:t>
      </w:r>
    </w:p>
  </w:footnote>
  <w:footnote w:id="1016">
    <w:p w14:paraId="000008B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260 F.3d at 1254.</w:t>
      </w:r>
    </w:p>
  </w:footnote>
  <w:footnote w:id="1017">
    <w:p w14:paraId="000008B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1256.</w:t>
      </w:r>
    </w:p>
  </w:footnote>
  <w:footnote w:id="1018">
    <w:p w14:paraId="000008B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(citing FOH §21h04(d)).</w:t>
      </w:r>
    </w:p>
  </w:footnote>
  <w:footnote w:id="1019">
    <w:p w14:paraId="000008B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1256.</w:t>
      </w:r>
    </w:p>
  </w:footnote>
  <w:footnote w:id="1020">
    <w:p w14:paraId="000008B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480 F.3d 505 (7th Cir. 2007), </w:t>
      </w:r>
      <w:r>
        <w:rPr>
          <w:rFonts w:ascii="Times New Roman" w:eastAsia="Times New Roman" w:hAnsi="Times New Roman" w:cs="Times New Roman"/>
          <w:i/>
          <w:color w:val="000000"/>
          <w:sz w:val="20"/>
          <w:szCs w:val="20"/>
        </w:rPr>
        <w:t xml:space="preserve">aff’g </w:t>
      </w:r>
      <w:r>
        <w:rPr>
          <w:rFonts w:ascii="Times New Roman" w:eastAsia="Times New Roman" w:hAnsi="Times New Roman" w:cs="Times New Roman"/>
          <w:color w:val="000000"/>
          <w:sz w:val="20"/>
          <w:szCs w:val="20"/>
        </w:rPr>
        <w:t>Yi v. Sterling Collision Ctrs., Inc.,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2006 WL 1444897 (N.D. Ill. May 17, 2006).</w:t>
      </w:r>
    </w:p>
  </w:footnote>
  <w:footnote w:id="1021">
    <w:p w14:paraId="000008B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Yi</w:t>
      </w:r>
      <w:r>
        <w:rPr>
          <w:rFonts w:ascii="Times New Roman" w:eastAsia="Times New Roman" w:hAnsi="Times New Roman" w:cs="Times New Roman"/>
          <w:color w:val="000000"/>
          <w:sz w:val="20"/>
          <w:szCs w:val="20"/>
        </w:rPr>
        <w:t xml:space="preserve">, 2006 WL 1444897, at *20. </w:t>
      </w:r>
    </w:p>
  </w:footnote>
  <w:footnote w:id="1022">
    <w:p w14:paraId="000008B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2003 WL 24133000 (W.D. Wash. Aug. 14, 2003).</w:t>
      </w:r>
    </w:p>
  </w:footnote>
  <w:footnote w:id="1023">
    <w:p w14:paraId="000008B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 (citing Klinedinst v. Swift Invs., Inc., 260 F.3d 1251, 1256, 7 WH Cases2d 279 (11th Cir. 2001)).</w:t>
      </w:r>
    </w:p>
  </w:footnote>
  <w:footnote w:id="1024">
    <w:p w14:paraId="000008B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*3.</w:t>
      </w:r>
    </w:p>
  </w:footnote>
  <w:footnote w:id="1025">
    <w:p w14:paraId="000008B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p>
  </w:footnote>
  <w:footnote w:id="1026">
    <w:p w14:paraId="000008B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278 F. App’x 488 (6th Cir. 2008), </w:t>
      </w:r>
      <w:r>
        <w:rPr>
          <w:rFonts w:ascii="Times New Roman" w:eastAsia="Times New Roman" w:hAnsi="Times New Roman" w:cs="Times New Roman"/>
          <w:i/>
          <w:color w:val="000000"/>
          <w:sz w:val="20"/>
          <w:szCs w:val="20"/>
        </w:rPr>
        <w:t>aff’g</w:t>
      </w:r>
      <w:r>
        <w:rPr>
          <w:rFonts w:ascii="Times New Roman" w:eastAsia="Times New Roman" w:hAnsi="Times New Roman" w:cs="Times New Roman"/>
          <w:color w:val="000000"/>
          <w:sz w:val="20"/>
          <w:szCs w:val="20"/>
        </w:rPr>
        <w:t xml:space="preserve"> 2006 WL 2821700 (M.D. Tenn. Sept. 26, 2006).</w:t>
      </w:r>
    </w:p>
  </w:footnote>
  <w:footnote w:id="1027">
    <w:p w14:paraId="000008B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2006 WL 2821700, at *14.</w:t>
      </w:r>
    </w:p>
  </w:footnote>
  <w:footnote w:id="1028">
    <w:p w14:paraId="000008B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29">
    <w:p w14:paraId="000008B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*15.</w:t>
      </w:r>
    </w:p>
  </w:footnote>
  <w:footnote w:id="1030">
    <w:p w14:paraId="000008B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278 F. App’x at 489–90 (citations omitted). </w:t>
      </w:r>
    </w:p>
  </w:footnote>
  <w:footnote w:id="1031">
    <w:p w14:paraId="000008C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620 F.3d 274 (3d Cir. 2010), </w:t>
      </w:r>
      <w:r>
        <w:rPr>
          <w:rFonts w:ascii="Times New Roman" w:eastAsia="Times New Roman" w:hAnsi="Times New Roman" w:cs="Times New Roman"/>
          <w:i/>
          <w:color w:val="000000"/>
          <w:sz w:val="20"/>
          <w:szCs w:val="20"/>
        </w:rPr>
        <w:t>aff’g</w:t>
      </w:r>
      <w:r>
        <w:rPr>
          <w:rFonts w:ascii="Times New Roman" w:eastAsia="Times New Roman" w:hAnsi="Times New Roman" w:cs="Times New Roman"/>
          <w:color w:val="000000"/>
          <w:sz w:val="20"/>
          <w:szCs w:val="20"/>
        </w:rPr>
        <w:t xml:space="preserve"> No. 08-1508, slip op. at 15 (E.D. Pa. July 30, 2009).</w:t>
      </w:r>
    </w:p>
  </w:footnote>
  <w:footnote w:id="1032">
    <w:p w14:paraId="000008C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620 F.3d at 282–83.</w:t>
      </w:r>
    </w:p>
  </w:footnote>
  <w:footnote w:id="1033">
    <w:p w14:paraId="000008C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No. 08-1508, slip op. at 21–23.</w:t>
      </w:r>
    </w:p>
  </w:footnote>
  <w:footnote w:id="1034">
    <w:p w14:paraId="000008C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slip op. at 15–16. </w:t>
      </w:r>
    </w:p>
  </w:footnote>
  <w:footnote w:id="1035">
    <w:p w14:paraId="000008C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Brief of the Secretary of Labor, at 30, filed in Parker v. NutriSystem, Inc., 620 F.3d 274 (3d Cir. 2010).</w:t>
      </w:r>
    </w:p>
  </w:footnote>
  <w:footnote w:id="1036">
    <w:p w14:paraId="000008C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Parker</w:t>
      </w:r>
      <w:r>
        <w:rPr>
          <w:rFonts w:ascii="Times New Roman" w:eastAsia="Times New Roman" w:hAnsi="Times New Roman" w:cs="Times New Roman"/>
          <w:color w:val="000000"/>
          <w:sz w:val="20"/>
          <w:szCs w:val="20"/>
        </w:rPr>
        <w:t xml:space="preserve">, 620 F.3d at 283 (citing WH Op. FLSA2005-53, 2005 WL 3308624 (Nov. 14, 2005) (recognizing that “[c]ommissions, for purposes of Section 7(i), </w:t>
      </w:r>
      <w:r>
        <w:rPr>
          <w:rFonts w:ascii="Times New Roman" w:eastAsia="Times New Roman" w:hAnsi="Times New Roman" w:cs="Times New Roman"/>
          <w:i/>
          <w:color w:val="000000"/>
          <w:sz w:val="20"/>
          <w:szCs w:val="20"/>
        </w:rPr>
        <w:t xml:space="preserve">usually </w:t>
      </w:r>
      <w:r>
        <w:rPr>
          <w:rFonts w:ascii="Times New Roman" w:eastAsia="Times New Roman" w:hAnsi="Times New Roman" w:cs="Times New Roman"/>
          <w:color w:val="000000"/>
          <w:sz w:val="20"/>
          <w:szCs w:val="20"/>
        </w:rPr>
        <w:t xml:space="preserve">denote a percentage”) (emphasis added); Yi v. Sterling Collision Ctrs., Inc., 480 F.3d 505, 509 (7th Cir. 2007)). </w:t>
      </w:r>
    </w:p>
  </w:footnote>
  <w:footnote w:id="1037">
    <w:p w14:paraId="000008C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Parker</w:t>
      </w:r>
      <w:r>
        <w:rPr>
          <w:rFonts w:ascii="Times New Roman" w:eastAsia="Times New Roman" w:hAnsi="Times New Roman" w:cs="Times New Roman"/>
          <w:color w:val="000000"/>
          <w:sz w:val="20"/>
          <w:szCs w:val="20"/>
        </w:rPr>
        <w:t>, 620 F.3d at 283–84.</w:t>
      </w:r>
    </w:p>
  </w:footnote>
  <w:footnote w:id="1038">
    <w:p w14:paraId="000008C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283.</w:t>
      </w:r>
    </w:p>
  </w:footnote>
  <w:footnote w:id="1039">
    <w:p w14:paraId="000008C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782 F.3d 365 (7th Cir. 2015).</w:t>
      </w:r>
    </w:p>
  </w:footnote>
  <w:footnote w:id="1040">
    <w:p w14:paraId="000008C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367.</w:t>
      </w:r>
    </w:p>
  </w:footnote>
  <w:footnote w:id="1041">
    <w:p w14:paraId="000008C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368.</w:t>
      </w:r>
    </w:p>
  </w:footnote>
  <w:footnote w:id="1042">
    <w:p w14:paraId="000008C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43">
    <w:p w14:paraId="000008C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369.</w:t>
      </w:r>
    </w:p>
  </w:footnote>
  <w:footnote w:id="1044">
    <w:p w14:paraId="000008C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Johnson v. Wave Comm GR, LLC, 4 F. Supp. 3d 423, 442–43 (N.D.N.Y. 2014) (finding all three factors met by Wave Comm’s pay and incentives it provided cable installers—(1) wages were connected to customer demand, (2) wage plan provided performance-based incentives for installers to increase their income, and (3) members of class were compensated in proportion to value that Wave Comm received from Time Warner for each service—and holding that fact that Wave Comm was compensated by Time Warner and not by individual end-user customer did not change proportionality finding); Owopetu v. Nationwide CATV Auditing Servs., Inc., 2011 WL 4433159, at *5 (D. Vt. Sept. 21, 2011) (proportionality was not disturbed by fact that cable subcontractor revenues that it split with its employees came from cable company and not from consumers).</w:t>
      </w:r>
    </w:p>
    <w:p w14:paraId="000008C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Third Circuit: </w:t>
      </w:r>
      <w:r>
        <w:rPr>
          <w:rFonts w:ascii="Times New Roman" w:eastAsia="Times New Roman" w:hAnsi="Times New Roman" w:cs="Times New Roman"/>
          <w:color w:val="000000"/>
          <w:sz w:val="20"/>
          <w:szCs w:val="20"/>
        </w:rPr>
        <w:t>Adami v. Cardo Windows, Inc., 2014 WL 2586933 (D.N.J. June 10, 2014) (“the present case is distinguishable from [</w:t>
      </w:r>
      <w:r>
        <w:rPr>
          <w:rFonts w:ascii="Times New Roman" w:eastAsia="Times New Roman" w:hAnsi="Times New Roman" w:cs="Times New Roman"/>
          <w:i/>
          <w:color w:val="000000"/>
          <w:sz w:val="20"/>
          <w:szCs w:val="20"/>
        </w:rPr>
        <w:t>Parker</w:t>
      </w:r>
      <w:r>
        <w:rPr>
          <w:rFonts w:ascii="Times New Roman" w:eastAsia="Times New Roman" w:hAnsi="Times New Roman" w:cs="Times New Roman"/>
          <w:color w:val="000000"/>
          <w:sz w:val="20"/>
          <w:szCs w:val="20"/>
        </w:rPr>
        <w:t>] because on the record before the court there is no way to determine whether the flat-rate payments made to Plaintiffs were proportional to the charges passed on to Cardo’s customers”).</w:t>
      </w:r>
    </w:p>
    <w:p w14:paraId="000008C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Fourth Circuit:</w:t>
      </w:r>
      <w:r>
        <w:rPr>
          <w:rFonts w:ascii="Times New Roman" w:eastAsia="Times New Roman" w:hAnsi="Times New Roman" w:cs="Times New Roman"/>
          <w:color w:val="000000"/>
          <w:sz w:val="20"/>
          <w:szCs w:val="20"/>
        </w:rPr>
        <w:t xml:space="preserve"> Herrera v. TBC Corp.,18 F. Supp. 3d 739 (E.D. Va. 2014) (proportionality need not be as formal or mathematically precise as plaintiffs contended; although flat rate compensation formula has variable and fixed-rate components, ultimately employee’s salary is equivalent of portion of customer’s bill; employee’s compensation is linked to cost passed on to customer; because record evidence revealed that more than one half of each named plaintiff’s salary, during representative period, consisted of commissions on goods and services, their method of compensation was bona fide commission scheme).</w:t>
      </w:r>
    </w:p>
    <w:p w14:paraId="000008D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Horn v. Digital Cable &amp; Commc’ns, Inc., 2009 WL 4042407, at *4–6 (N.D. Ohio Feb. 11, 2009) (holding that installers were paid commission and not piece rate because pay was based on direct percentage of what cable subcontractor earned for services provided and was proportional to amount subcontractor charged cable provider for particular service).</w:t>
      </w:r>
    </w:p>
    <w:p w14:paraId="000008D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Eleventh Circuit:</w:t>
      </w:r>
      <w:r>
        <w:rPr>
          <w:rFonts w:ascii="Times New Roman" w:eastAsia="Times New Roman" w:hAnsi="Times New Roman" w:cs="Times New Roman"/>
          <w:color w:val="000000"/>
          <w:sz w:val="20"/>
          <w:szCs w:val="20"/>
        </w:rPr>
        <w:t xml:space="preserve"> Jones v. Tucker Commc’ns, Inc., 2013 WL 6072966, at *8 (M.D. Ga. Nov. 18, 2013) (“[P]roportionality does not seem to be required for a payment plan to constitute commissions in the Eleventh Circuit.”). </w:t>
      </w:r>
      <w:r>
        <w:rPr>
          <w:rFonts w:ascii="Times New Roman" w:eastAsia="Times New Roman" w:hAnsi="Times New Roman" w:cs="Times New Roman"/>
          <w:i/>
          <w:color w:val="000000"/>
          <w:sz w:val="20"/>
          <w:szCs w:val="20"/>
        </w:rPr>
        <w:t xml:space="preserve">But see </w:t>
      </w:r>
      <w:r>
        <w:rPr>
          <w:rFonts w:ascii="Times New Roman" w:eastAsia="Times New Roman" w:hAnsi="Times New Roman" w:cs="Times New Roman"/>
          <w:color w:val="000000"/>
          <w:sz w:val="20"/>
          <w:szCs w:val="20"/>
        </w:rPr>
        <w:t>Moore v. Advanced Cable Contractors, Inc., 2013 WL 3991966, at *5 (N.D. Ga. Aug. 1, 2013) (explaining “[p]roportionality between an employees’ wages and an employers’ gains is an important part of a commission-based compensation system, but to say that any compensation system which does not pay an employee a direct percentage of their employers’ gain is not commission-based is too narrow of a construction”)</w:t>
      </w:r>
    </w:p>
  </w:footnote>
  <w:footnote w:id="1045">
    <w:p w14:paraId="000008D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Reed v. Brex, Inc., 8 F.4th 569, 575 (7th Cir. 2021).</w:t>
      </w:r>
    </w:p>
  </w:footnote>
  <w:footnote w:id="1046">
    <w:p w14:paraId="000008D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574–75. </w:t>
      </w:r>
    </w:p>
  </w:footnote>
  <w:footnote w:id="1047">
    <w:p w14:paraId="000008D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575. </w:t>
      </w:r>
    </w:p>
  </w:footnote>
  <w:footnote w:id="1048">
    <w:p w14:paraId="000008D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480 F.3d 505, 509 (7th Cir. 2007).</w:t>
      </w:r>
    </w:p>
  </w:footnote>
  <w:footnote w:id="1049">
    <w:p w14:paraId="000008D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Reed</w:t>
      </w:r>
      <w:r>
        <w:rPr>
          <w:rFonts w:ascii="Times New Roman" w:eastAsia="Times New Roman" w:hAnsi="Times New Roman" w:cs="Times New Roman"/>
          <w:color w:val="000000"/>
          <w:sz w:val="20"/>
          <w:szCs w:val="20"/>
        </w:rPr>
        <w:t>, 8 F.4th at 575 (citing Alvarado v. Corporate Cleaning Servs., Inc., 782 F.3d 365, 371 (7th Cir. 2015)).</w:t>
      </w:r>
    </w:p>
  </w:footnote>
  <w:footnote w:id="1050">
    <w:p w14:paraId="000008D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1051">
    <w:p w14:paraId="000008D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576. </w:t>
      </w:r>
    </w:p>
  </w:footnote>
  <w:footnote w:id="1052">
    <w:p w14:paraId="000008D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§779.416(a). </w:t>
      </w:r>
    </w:p>
  </w:footnote>
  <w:footnote w:id="1053">
    <w:p w14:paraId="000008D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§779.416(b). </w:t>
      </w:r>
    </w:p>
  </w:footnote>
  <w:footnote w:id="1054">
    <w:p w14:paraId="000008D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2009 WL 4110144 (S.D. Ohio Sept. 30, 2009), </w:t>
      </w:r>
      <w:r>
        <w:rPr>
          <w:rFonts w:ascii="Times New Roman" w:eastAsia="Times New Roman" w:hAnsi="Times New Roman" w:cs="Times New Roman"/>
          <w:i/>
          <w:color w:val="000000"/>
          <w:sz w:val="20"/>
          <w:szCs w:val="20"/>
        </w:rPr>
        <w:t>report and recommendation adopted sub nom.</w:t>
      </w:r>
      <w:r>
        <w:rPr>
          <w:rFonts w:ascii="Times New Roman" w:eastAsia="Times New Roman" w:hAnsi="Times New Roman" w:cs="Times New Roman"/>
          <w:color w:val="000000"/>
          <w:sz w:val="20"/>
          <w:szCs w:val="20"/>
        </w:rPr>
        <w:t xml:space="preserve"> Keyes v. Car-X Auto Serv., 2009 WL 4136586 (S.D. Ohio Nov. 20, 2009).</w:t>
      </w:r>
    </w:p>
  </w:footnote>
  <w:footnote w:id="1055">
    <w:p w14:paraId="000008D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2009 WL 4110144, at *3.</w:t>
      </w:r>
    </w:p>
  </w:footnote>
  <w:footnote w:id="1056">
    <w:p w14:paraId="000008D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57">
    <w:p w14:paraId="000008D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Donovan v. Highway Oil, Inc., 1986 WL 11266, at *4 (D. Kan. July 18, 1986).</w:t>
      </w:r>
    </w:p>
  </w:footnote>
  <w:footnote w:id="1058">
    <w:p w14:paraId="000008D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873 F.3d 523 (6th Cir. 2017). </w:t>
      </w:r>
    </w:p>
  </w:footnote>
  <w:footnote w:id="1059">
    <w:p w14:paraId="000008E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at 533 (citing WH Op., 1981 WL 179034 (Mar. 3, 1981); WH Op., 1998 WL 852727 (Feb. 23, 1998); WH Op., 2001 WL 1558951 (Feb. 14, 2001)). </w:t>
      </w:r>
    </w:p>
  </w:footnote>
  <w:footnote w:id="1060">
    <w:p w14:paraId="000008E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651 F. Supp. 2d 1361 (N.D. Ga. 2009).</w:t>
      </w:r>
    </w:p>
  </w:footnote>
  <w:footnote w:id="1061">
    <w:p w14:paraId="000008E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Kuntsmann v. Aaron Rents, Inc., 903 F. Supp. 2d 1258, 1271–72 (N.D. Ala. 2012) (distinguishing </w:t>
      </w:r>
      <w:r>
        <w:rPr>
          <w:rFonts w:ascii="Times New Roman" w:eastAsia="Times New Roman" w:hAnsi="Times New Roman" w:cs="Times New Roman"/>
          <w:i/>
          <w:color w:val="000000"/>
          <w:sz w:val="20"/>
          <w:szCs w:val="20"/>
        </w:rPr>
        <w:t xml:space="preserve">Ethan Allen </w:t>
      </w:r>
      <w:r>
        <w:rPr>
          <w:rFonts w:ascii="Times New Roman" w:eastAsia="Times New Roman" w:hAnsi="Times New Roman" w:cs="Times New Roman"/>
          <w:color w:val="000000"/>
          <w:sz w:val="20"/>
          <w:szCs w:val="20"/>
        </w:rPr>
        <w:t>finding that system used to compensate retail manager by paying predetermined monthly draw based on previous quarter’s store revenue did not qualify as a “bona fide commission plan” under §207(i): “a great difference exists between simply adding up total sales attributed to a salesperson each month and then giving the salesperson a certain percentage of those sales in compensation, and awarding a store manager a ‘bonus’ if his store’s profits exceeded the company’s predictions”).</w:t>
      </w:r>
    </w:p>
  </w:footnote>
  <w:footnote w:id="1062">
    <w:p w14:paraId="000008E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 F.4th 569 (7th Cir. 2021).</w:t>
      </w:r>
    </w:p>
  </w:footnote>
  <w:footnote w:id="1063">
    <w:p w14:paraId="000008E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579. </w:t>
      </w:r>
    </w:p>
  </w:footnote>
  <w:footnote w:id="1064">
    <w:p w14:paraId="000008E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65">
    <w:p w14:paraId="000008E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66">
    <w:p w14:paraId="000008E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67">
    <w:p w14:paraId="000008E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8 F.4th at 579–80.</w:t>
      </w:r>
    </w:p>
  </w:footnote>
  <w:footnote w:id="1068">
    <w:p w14:paraId="000008E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580.</w:t>
      </w:r>
    </w:p>
  </w:footnote>
  <w:footnote w:id="1069">
    <w:p w14:paraId="000008E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§779.416(c).</w:t>
      </w:r>
      <w:r>
        <w:rPr>
          <w:rFonts w:ascii="Times New Roman" w:eastAsia="Times New Roman" w:hAnsi="Times New Roman" w:cs="Times New Roman"/>
          <w:i/>
          <w:color w:val="000000"/>
          <w:sz w:val="20"/>
          <w:szCs w:val="20"/>
        </w:rPr>
        <w:t xml:space="preserve"> See</w:t>
      </w:r>
      <w:r>
        <w:rPr>
          <w:rFonts w:ascii="Times New Roman" w:eastAsia="Times New Roman" w:hAnsi="Times New Roman" w:cs="Times New Roman"/>
          <w:color w:val="000000"/>
          <w:sz w:val="20"/>
          <w:szCs w:val="20"/>
        </w:rPr>
        <w:t xml:space="preserve"> Cancilla v. Ecolab, Inc., 2013 WL 1365939, at *2 (N.D. Cal. Apr. 3, 2013) (finding that fact question existed as to whether earnings paid to pest control service specialist were bona fide commissions where they came from regular, predictable services pursuant to long-term contracts over which plaintiff had no control).</w:t>
      </w:r>
    </w:p>
  </w:footnote>
  <w:footnote w:id="1070">
    <w:p w14:paraId="000008E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2010 WL 3835007 (D. Mass. Sept. 30, 2010). </w:t>
      </w:r>
    </w:p>
  </w:footnote>
  <w:footnote w:id="1071">
    <w:p w14:paraId="000008E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 (internal citations omitted) (citing </w:t>
      </w:r>
      <w:r>
        <w:rPr>
          <w:rFonts w:ascii="Times New Roman" w:eastAsia="Times New Roman" w:hAnsi="Times New Roman" w:cs="Times New Roman"/>
          <w:i/>
          <w:color w:val="000000"/>
          <w:sz w:val="20"/>
          <w:szCs w:val="20"/>
        </w:rPr>
        <w:t>In re</w:t>
      </w:r>
      <w:r>
        <w:rPr>
          <w:rFonts w:ascii="Times New Roman" w:eastAsia="Times New Roman" w:hAnsi="Times New Roman" w:cs="Times New Roman"/>
          <w:color w:val="000000"/>
          <w:sz w:val="20"/>
          <w:szCs w:val="20"/>
        </w:rPr>
        <w:t xml:space="preserve"> DirecTech Southwest, Inc., Fair Labor Standards Act (FLSA) Litig., MDL No.1984, slip op. at 31 (J.P.M.L. Nov. 18, 2009); Erichs v. Venator Grp., Inc., 128 F. Supp. 2d 1255, 1260 (N.D. Cal. 2001)).</w:t>
      </w:r>
    </w:p>
  </w:footnote>
  <w:footnote w:id="1072">
    <w:p w14:paraId="000008E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128 F. Supp. 2d 1255 (N.D. Cal. 2001).</w:t>
      </w:r>
    </w:p>
  </w:footnote>
  <w:footnote w:id="1073">
    <w:p w14:paraId="000008E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1260.</w:t>
      </w:r>
    </w:p>
  </w:footnote>
  <w:footnote w:id="1074">
    <w:p w14:paraId="000008E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75">
    <w:p w14:paraId="000008F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19 F. Supp. 2d 1365 (M.D. Ga. 1998).</w:t>
      </w:r>
    </w:p>
  </w:footnote>
  <w:footnote w:id="1076">
    <w:p w14:paraId="000008F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1370–72. </w:t>
      </w:r>
      <w:r>
        <w:rPr>
          <w:rFonts w:ascii="Times New Roman" w:eastAsia="Times New Roman" w:hAnsi="Times New Roman" w:cs="Times New Roman"/>
          <w:i/>
          <w:color w:val="000000"/>
          <w:sz w:val="20"/>
          <w:szCs w:val="20"/>
        </w:rPr>
        <w:t>But see</w:t>
      </w:r>
      <w:r>
        <w:rPr>
          <w:rFonts w:ascii="Times New Roman" w:eastAsia="Times New Roman" w:hAnsi="Times New Roman" w:cs="Times New Roman"/>
          <w:color w:val="000000"/>
          <w:sz w:val="20"/>
          <w:szCs w:val="20"/>
        </w:rPr>
        <w:t xml:space="preserve"> Johnson v. Mattress Warehouse Inc., 2021 WL 4206722, at *9, 2021 BL 351238 (E.D. Pa. Sept. 16, 2021) (relying on </w:t>
      </w:r>
      <w:r>
        <w:rPr>
          <w:rFonts w:ascii="Times New Roman" w:eastAsia="Times New Roman" w:hAnsi="Times New Roman" w:cs="Times New Roman"/>
          <w:i/>
          <w:color w:val="000000"/>
          <w:sz w:val="20"/>
          <w:szCs w:val="20"/>
        </w:rPr>
        <w:t>Gordon v. TBC Retail Grp., Inc</w:t>
      </w:r>
      <w:r>
        <w:rPr>
          <w:rFonts w:ascii="Times New Roman" w:eastAsia="Times New Roman" w:hAnsi="Times New Roman" w:cs="Times New Roman"/>
          <w:color w:val="000000"/>
          <w:sz w:val="20"/>
          <w:szCs w:val="20"/>
        </w:rPr>
        <w:t xml:space="preserve">. and finding that although plaintiff exceeded her guaranteed pay in only 11.5% of the pay periods, under a fair reading of </w:t>
      </w:r>
      <w:r>
        <w:rPr>
          <w:rFonts w:ascii="Times New Roman" w:eastAsia="Times New Roman" w:hAnsi="Times New Roman" w:cs="Times New Roman"/>
          <w:i/>
          <w:color w:val="000000"/>
          <w:sz w:val="20"/>
          <w:szCs w:val="20"/>
        </w:rPr>
        <w:t>Encino Motorcars</w:t>
      </w:r>
      <w:r>
        <w:rPr>
          <w:rFonts w:ascii="Times New Roman" w:eastAsia="Times New Roman" w:hAnsi="Times New Roman" w:cs="Times New Roman"/>
          <w:color w:val="000000"/>
          <w:sz w:val="20"/>
          <w:szCs w:val="20"/>
        </w:rPr>
        <w:t xml:space="preserve">, “if an employee exceeds the guarantee in wages more than 10% of the time, that employee has a wage that exceeds the amount of the draw or guarantee more often than seldom”). </w:t>
      </w:r>
    </w:p>
  </w:footnote>
  <w:footnote w:id="1077">
    <w:p w14:paraId="000008F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§207(i) (emphasis added).</w:t>
      </w:r>
    </w:p>
  </w:footnote>
  <w:footnote w:id="1078">
    <w:p w14:paraId="000008F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FLSA2019-13 (Sept. 10, 2019), https://www.dol.gov/sites/dolgov/files/WHD/legacy/files/2019_09_10_13_FLSA.pdf.</w:t>
      </w:r>
    </w:p>
  </w:footnote>
  <w:footnote w:id="1079">
    <w:p w14:paraId="000008F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w:t>
      </w:r>
    </w:p>
  </w:footnote>
  <w:footnote w:id="1080">
    <w:p w14:paraId="000008F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 (citing 29 C.F.R. §779.417(c)).</w:t>
      </w:r>
    </w:p>
  </w:footnote>
  <w:footnote w:id="1081">
    <w:p w14:paraId="000008F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(citations omitted).</w:t>
      </w:r>
    </w:p>
  </w:footnote>
  <w:footnote w:id="1082">
    <w:p w14:paraId="000008F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 (citations omitted).</w:t>
      </w:r>
    </w:p>
  </w:footnote>
  <w:footnote w:id="1083">
    <w:p w14:paraId="000008F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w:t>
      </w:r>
    </w:p>
  </w:footnote>
  <w:footnote w:id="1084">
    <w:p w14:paraId="000008F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p>
  </w:footnote>
  <w:footnote w:id="1085">
    <w:p w14:paraId="000008F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C.F.R. §779.417(a). </w:t>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Johnson v. Mattress Warehouse, Inc., 2021 BL 351238, 2021 WL 4206722, at *7 (E.D. Pa. Sept. 16, 2021) (granting summary judgment to defendant, finding that one-year representative period was appropriate because it was “representative of the compensation aspects of the employee’s employment on which the exemption test depends”).</w:t>
      </w:r>
    </w:p>
  </w:footnote>
  <w:footnote w:id="1086">
    <w:p w14:paraId="000008F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§779.417(a).</w:t>
      </w:r>
    </w:p>
  </w:footnote>
  <w:footnote w:id="1087">
    <w:p w14:paraId="000008F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§779.417(b).</w:t>
      </w:r>
    </w:p>
  </w:footnote>
  <w:footnote w:id="1088">
    <w:p w14:paraId="000008F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§779.417(c).</w:t>
      </w:r>
    </w:p>
  </w:footnote>
  <w:footnote w:id="1089">
    <w:p w14:paraId="000008F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§779.417(d).</w:t>
      </w:r>
    </w:p>
  </w:footnote>
  <w:footnote w:id="1090">
    <w:p w14:paraId="000008F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91">
    <w:p w14:paraId="0000090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Viciedo v. New Horizons Computer Learning Ctr. of Columbus, Ltd., 246 F. Supp. 2d 886, 899–900 (S.D. Ohio 2003).</w:t>
      </w:r>
    </w:p>
  </w:footnote>
  <w:footnote w:id="1092">
    <w:p w14:paraId="0000090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§779.417(d).</w:t>
      </w:r>
    </w:p>
  </w:footnote>
  <w:footnote w:id="1093">
    <w:p w14:paraId="0000090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§21h02(a).</w:t>
      </w:r>
    </w:p>
  </w:footnote>
  <w:footnote w:id="1094">
    <w:p w14:paraId="0000090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§21h02(b).</w:t>
      </w:r>
    </w:p>
  </w:footnote>
  <w:footnote w:id="1095">
    <w:p w14:paraId="0000090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§779.418.</w:t>
      </w:r>
    </w:p>
  </w:footnote>
  <w:footnote w:id="1096">
    <w:p w14:paraId="0000090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097">
    <w:p w14:paraId="0000090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FLSA2020-10, 2020 WL 3577829</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color w:val="000000"/>
          <w:sz w:val="20"/>
          <w:szCs w:val="20"/>
        </w:rPr>
        <w:t>(June 25, 2020).</w:t>
      </w:r>
    </w:p>
  </w:footnote>
  <w:footnote w:id="1098">
    <w:p w14:paraId="0000090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*2.</w:t>
      </w:r>
    </w:p>
  </w:footnote>
  <w:footnote w:id="1099">
    <w:p w14:paraId="0000090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FLSA-897 (Apr. 16, 1981).</w:t>
      </w:r>
    </w:p>
  </w:footnote>
  <w:footnote w:id="1100">
    <w:p w14:paraId="0000090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FLSA2020-10, at *2 (citing WH Op. FLSA-897 (Apr. 16, 1981)). </w:t>
      </w:r>
    </w:p>
  </w:footnote>
  <w:footnote w:id="1101">
    <w:p w14:paraId="0000090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FLSA2020-10, at *2 (citing WH Op. FLSA2005-53, 2005 WL 3308624, at * 2 (Nov. 14, 2005)).</w:t>
      </w:r>
    </w:p>
  </w:footnote>
  <w:footnote w:id="1102">
    <w:p w14:paraId="0000090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w:t>
      </w:r>
    </w:p>
  </w:footnote>
  <w:footnote w:id="1103">
    <w:p w14:paraId="0000090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29 U.S.C. §207(i). </w:t>
      </w:r>
    </w:p>
  </w:footnote>
  <w:footnote w:id="1104">
    <w:p w14:paraId="0000090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4"/>
          <w:szCs w:val="24"/>
        </w:rPr>
      </w:pPr>
      <w:r>
        <w:rPr>
          <w:rStyle w:val="FootnoteReference"/>
        </w:rPr>
        <w:footnoteRef/>
      </w:r>
      <w:r>
        <w:rPr>
          <w:rFonts w:ascii="Times New Roman" w:eastAsia="Times New Roman" w:hAnsi="Times New Roman" w:cs="Times New Roman"/>
          <w:color w:val="000000"/>
          <w:sz w:val="20"/>
          <w:szCs w:val="20"/>
        </w:rPr>
        <w:t>29 C.F.R. §779.415(a).</w:t>
      </w:r>
      <w:r>
        <w:rPr>
          <w:rFonts w:ascii="Times New Roman" w:eastAsia="Times New Roman" w:hAnsi="Times New Roman" w:cs="Times New Roman"/>
          <w:color w:val="000000"/>
          <w:sz w:val="24"/>
          <w:szCs w:val="24"/>
        </w:rPr>
        <w:t xml:space="preserve"> </w:t>
      </w:r>
    </w:p>
  </w:footnote>
  <w:footnote w:id="1105">
    <w:p w14:paraId="0000090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980 F.3d 1027 (4th Cir. 2020).</w:t>
      </w:r>
    </w:p>
  </w:footnote>
  <w:footnote w:id="1106">
    <w:p w14:paraId="0000090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U.S.C. §207(i).</w:t>
      </w:r>
      <w:r>
        <w:rPr>
          <w:rFonts w:ascii="Times New Roman" w:eastAsia="Times New Roman" w:hAnsi="Times New Roman" w:cs="Times New Roman"/>
          <w:i/>
          <w:color w:val="000000"/>
          <w:sz w:val="20"/>
          <w:szCs w:val="20"/>
        </w:rPr>
        <w:t xml:space="preserve"> See</w:t>
      </w:r>
      <w:r>
        <w:rPr>
          <w:rFonts w:ascii="Times New Roman" w:eastAsia="Times New Roman" w:hAnsi="Times New Roman" w:cs="Times New Roman"/>
          <w:color w:val="000000"/>
          <w:sz w:val="20"/>
          <w:szCs w:val="20"/>
        </w:rPr>
        <w:t xml:space="preserve"> Stein v. HHGREGG, Inc.,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 xml:space="preserve">873 F.3d 523 (6th Cir. 2017) (§207(i) does not apply where regular rate of pay is </w:t>
      </w:r>
      <w:r>
        <w:rPr>
          <w:rFonts w:ascii="Times New Roman" w:eastAsia="Times New Roman" w:hAnsi="Times New Roman" w:cs="Times New Roman"/>
          <w:i/>
          <w:color w:val="000000"/>
          <w:sz w:val="20"/>
          <w:szCs w:val="20"/>
        </w:rPr>
        <w:t>equal</w:t>
      </w:r>
      <w:r>
        <w:rPr>
          <w:rFonts w:ascii="Times New Roman" w:eastAsia="Times New Roman" w:hAnsi="Times New Roman" w:cs="Times New Roman"/>
          <w:b/>
          <w:i/>
          <w:color w:val="000000"/>
          <w:sz w:val="20"/>
          <w:szCs w:val="20"/>
        </w:rPr>
        <w:t xml:space="preserve"> </w:t>
      </w:r>
      <w:r>
        <w:rPr>
          <w:rFonts w:ascii="Times New Roman" w:eastAsia="Times New Roman" w:hAnsi="Times New Roman" w:cs="Times New Roman"/>
          <w:i/>
          <w:color w:val="000000"/>
          <w:sz w:val="20"/>
          <w:szCs w:val="20"/>
        </w:rPr>
        <w:t>to</w:t>
      </w:r>
      <w:r>
        <w:rPr>
          <w:rFonts w:ascii="Times New Roman" w:eastAsia="Times New Roman" w:hAnsi="Times New Roman" w:cs="Times New Roman"/>
          <w:color w:val="000000"/>
          <w:sz w:val="20"/>
          <w:szCs w:val="20"/>
        </w:rPr>
        <w:t xml:space="preserve"> 1.5 times FLSA’s minimum hourly rate; regular rate must be </w:t>
      </w:r>
      <w:r>
        <w:rPr>
          <w:rFonts w:ascii="Times New Roman" w:eastAsia="Times New Roman" w:hAnsi="Times New Roman" w:cs="Times New Roman"/>
          <w:i/>
          <w:color w:val="000000"/>
          <w:sz w:val="20"/>
          <w:szCs w:val="20"/>
        </w:rPr>
        <w:t>in excess of</w:t>
      </w:r>
      <w:r>
        <w:rPr>
          <w:rFonts w:ascii="Times New Roman" w:eastAsia="Times New Roman" w:hAnsi="Times New Roman" w:cs="Times New Roman"/>
          <w:color w:val="000000"/>
          <w:sz w:val="20"/>
          <w:szCs w:val="20"/>
        </w:rPr>
        <w:t xml:space="preserve"> that number); Ealy-Simon v. Liberty Med. Supply, Inc., 2007 WL 1521628, at *4 (S.D. Fla. May 23, 2007) (explaining that it is federal, rather than state, minimum wage that is used to determine whether regular rate of pay is more than 1.5 times applicable minimum hourly rate).</w:t>
      </w:r>
    </w:p>
  </w:footnote>
  <w:footnote w:id="1107">
    <w:p w14:paraId="0000091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18"/>
          <w:szCs w:val="18"/>
        </w:rPr>
        <w:t>29 C.F.R. §779.419(b). The term “regular rate of pay” is further discussed in Chapter 10, Overtime Compensation, §§IV [The “Regular Rate”], V [Special Problems Concerning the Regular Rate], and VI [Exceptions From the Regular Rate Principles].</w:t>
      </w:r>
    </w:p>
  </w:footnote>
  <w:footnote w:id="1108">
    <w:p w14:paraId="0000091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260 F.3d 1251 (11th Cir. 2001).</w:t>
      </w:r>
    </w:p>
  </w:footnote>
  <w:footnote w:id="1109">
    <w:p w14:paraId="0000091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1257.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w:t>
      </w:r>
    </w:p>
    <w:p w14:paraId="0000091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Second Circuit:</w:t>
      </w:r>
      <w:r>
        <w:rPr>
          <w:rFonts w:ascii="Times New Roman" w:eastAsia="Times New Roman" w:hAnsi="Times New Roman" w:cs="Times New Roman"/>
          <w:color w:val="000000"/>
          <w:sz w:val="20"/>
          <w:szCs w:val="20"/>
        </w:rPr>
        <w:t xml:space="preserve"> Johnson v. Wave Comm GR, LLC, 4 F. Supp. 3d 423, 445 (N.D.N.Y. 2014) (finding that employer failed to satisfy 1.5 times minimum wage requirement of exemption, explaining that plaintiff estimates of average weekly hours worked could not be used by defendants to satisfy their burden because regular rate must be calculated on weekly basis and average hours worked cannot be used); Owopetu v. Nationwide CATV Auditing Servs., Inc., 2011 WL 883703, at *9–10 (D. Vt. Mar. 11, 2011) (rejecting that rate of pay should be calculated based on aggregate hours worked and aggregate compensation earned, explaining that it must be calculated for each workweek). </w:t>
      </w:r>
    </w:p>
    <w:p w14:paraId="0000091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Sixth Circuit:</w:t>
      </w:r>
      <w:r>
        <w:rPr>
          <w:rFonts w:ascii="Times New Roman" w:eastAsia="Times New Roman" w:hAnsi="Times New Roman" w:cs="Times New Roman"/>
          <w:color w:val="000000"/>
          <w:sz w:val="20"/>
          <w:szCs w:val="20"/>
        </w:rPr>
        <w:t xml:space="preserve"> Viciedo v. New Horizons Computer Learning Ctr. of Columbus, Ltd., 246 F. Supp. 2d 886, 895–96 (S.D. Ohio 2013) (finding that plaintiffs’ compensation “exceeded one and one-half times the minimum wage based on their total hours worked and total compensation earned would be in derogation of the DOL’s specific finding that the regular rate of pay is to be calculated on the basis of hours worked and compensation earned in a particular workweek”).</w:t>
      </w:r>
    </w:p>
    <w:p w14:paraId="0000091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Seventh Circuit:</w:t>
      </w:r>
      <w:r>
        <w:rPr>
          <w:rFonts w:ascii="Times New Roman" w:eastAsia="Times New Roman" w:hAnsi="Times New Roman" w:cs="Times New Roman"/>
          <w:color w:val="000000"/>
          <w:sz w:val="20"/>
          <w:szCs w:val="20"/>
        </w:rPr>
        <w:t xml:space="preserve"> Evans v. Distance Learning Sys. Ind., Inc., 2018 WL 63088189 (S.D. Ind. Aug. 15, 2018) (finding that defendant did not routinely keep time records of number of hours plaintiffs worked in any given week; holding that it was impossible to decide on record before court that plaintiffs were in fact paid at least 1.5 times minimum wage for all hours worked). </w:t>
      </w:r>
    </w:p>
    <w:p w14:paraId="0000091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Fonts w:ascii="Times New Roman" w:eastAsia="Times New Roman" w:hAnsi="Times New Roman" w:cs="Times New Roman"/>
          <w:i/>
          <w:color w:val="000000"/>
          <w:sz w:val="20"/>
          <w:szCs w:val="20"/>
        </w:rPr>
        <w:t xml:space="preserve">But see </w:t>
      </w:r>
      <w:r>
        <w:rPr>
          <w:rFonts w:ascii="Times New Roman" w:eastAsia="Times New Roman" w:hAnsi="Times New Roman" w:cs="Times New Roman"/>
          <w:color w:val="000000"/>
          <w:sz w:val="20"/>
          <w:szCs w:val="20"/>
        </w:rPr>
        <w:t xml:space="preserve">Schwind v. E.W. &amp; Assocs., Inc., 371 F. Supp. 2d 560, 568 (S.D.N.Y. 2005) (because plaintiff was paid solely on commissions and defendants had no records of hours worked by plaintiff, court permitted averaging commissions received by plaintiff in given year and allocating average to each workweek, recognizing </w:t>
      </w:r>
      <w:r>
        <w:rPr>
          <w:rFonts w:ascii="Times New Roman" w:eastAsia="Times New Roman" w:hAnsi="Times New Roman" w:cs="Times New Roman"/>
          <w:color w:val="000000"/>
          <w:sz w:val="20"/>
          <w:szCs w:val="20"/>
        </w:rPr>
        <w:br/>
        <w:t>“[t]his is necessary because of the fluctuating and irregular schedule in which plaintiff was paid”).</w:t>
      </w:r>
    </w:p>
  </w:footnote>
  <w:footnote w:id="1110">
    <w:p w14:paraId="0000091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C.F.R.§778.120.</w:t>
      </w:r>
    </w:p>
  </w:footnote>
  <w:footnote w:id="1111">
    <w:p w14:paraId="0000091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371 F. Supp. 2d 560 (S.D.N.Y. 2005).</w:t>
      </w:r>
    </w:p>
  </w:footnote>
  <w:footnote w:id="1112">
    <w:p w14:paraId="0000091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568 n.6.</w:t>
      </w:r>
    </w:p>
  </w:footnote>
  <w:footnote w:id="1113">
    <w:p w14:paraId="0000091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568.</w:t>
      </w:r>
    </w:p>
  </w:footnote>
  <w:footnote w:id="1114">
    <w:p w14:paraId="0000091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i/>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See also </w:t>
      </w:r>
      <w:r>
        <w:rPr>
          <w:rFonts w:ascii="Times New Roman" w:eastAsia="Times New Roman" w:hAnsi="Times New Roman" w:cs="Times New Roman"/>
          <w:color w:val="000000"/>
          <w:sz w:val="20"/>
          <w:szCs w:val="20"/>
        </w:rPr>
        <w:t xml:space="preserve">Clyde v. My Buddy the Plumber Heating &amp; Air, LLC, 2021 BL 72242, 2021 WL 778532 (D. Utah Mar. 1, 2021) (following </w:t>
      </w:r>
      <w:r>
        <w:rPr>
          <w:rFonts w:ascii="Times New Roman" w:eastAsia="Times New Roman" w:hAnsi="Times New Roman" w:cs="Times New Roman"/>
          <w:i/>
          <w:color w:val="000000"/>
          <w:sz w:val="20"/>
          <w:szCs w:val="20"/>
        </w:rPr>
        <w:t>Schwind</w:t>
      </w:r>
      <w:r>
        <w:rPr>
          <w:rFonts w:ascii="Times New Roman" w:eastAsia="Times New Roman" w:hAnsi="Times New Roman" w:cs="Times New Roman"/>
          <w:color w:val="000000"/>
          <w:sz w:val="20"/>
          <w:szCs w:val="20"/>
        </w:rPr>
        <w:t xml:space="preserve"> approach and holding that annual commissions should be averaged and applied to each workweek, acknowledging that there was no controlling precedent on applying §207(i) to deferred commissions).</w:t>
      </w:r>
    </w:p>
  </w:footnote>
  <w:footnote w:id="1115">
    <w:p w14:paraId="0000091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Pub. L. No. 93-259, sec. 6, §3(d), 88 Stat. 55, 58 (1974).</w:t>
      </w:r>
    </w:p>
  </w:footnote>
  <w:footnote w:id="1116">
    <w:p w14:paraId="0000091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sec. 6, §3(e)(2)(C), 88 Stat. at 59.</w:t>
      </w:r>
    </w:p>
  </w:footnote>
  <w:footnote w:id="1117">
    <w:p w14:paraId="0000091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§207(n).</w:t>
      </w:r>
    </w:p>
  </w:footnote>
  <w:footnote w:id="1118">
    <w:p w14:paraId="0000091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§553.32.</w:t>
      </w:r>
    </w:p>
  </w:footnote>
  <w:footnote w:id="1119">
    <w:p w14:paraId="0000092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§24g00(c).</w:t>
      </w:r>
    </w:p>
  </w:footnote>
  <w:footnote w:id="1120">
    <w:p w14:paraId="0000092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Pub. L. No. 114-113 (2016). </w:t>
      </w:r>
    </w:p>
  </w:footnote>
  <w:footnote w:id="1121">
    <w:p w14:paraId="0000092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See</w:t>
      </w:r>
      <w:r>
        <w:rPr>
          <w:rFonts w:ascii="Times New Roman" w:eastAsia="Times New Roman" w:hAnsi="Times New Roman" w:cs="Times New Roman"/>
          <w:color w:val="000000"/>
          <w:sz w:val="20"/>
          <w:szCs w:val="20"/>
        </w:rPr>
        <w:t xml:space="preserve"> U.S. Dept’ of Labor, Wage &amp; Hour Div., Fact Sheet #72A: Major Disaster Claims Adjusters Under the Fair Labor Standards Act (FLSA) (Nov. 2019), https://www.dol.gov/agencies/whd/fact-sheets/72a-flsa-major-disaster-claims-adjusters.</w:t>
      </w:r>
    </w:p>
  </w:footnote>
  <w:footnote w:id="1122">
    <w:p w14:paraId="0000092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123">
    <w:p w14:paraId="0000092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0"/>
          <w:szCs w:val="20"/>
        </w:rPr>
        <w:t>29 U.S.C.</w:t>
      </w:r>
      <w:r>
        <w:rPr>
          <w:rFonts w:ascii="Times New Roman" w:eastAsia="Times New Roman" w:hAnsi="Times New Roman" w:cs="Times New Roman"/>
          <w:i/>
          <w:color w:val="000000"/>
          <w:sz w:val="20"/>
          <w:szCs w:val="20"/>
        </w:rPr>
        <w:t xml:space="preserve"> </w:t>
      </w:r>
      <w:r>
        <w:rPr>
          <w:rFonts w:ascii="Times New Roman" w:eastAsia="Times New Roman" w:hAnsi="Times New Roman" w:cs="Times New Roman"/>
          <w:color w:val="000000"/>
          <w:sz w:val="20"/>
          <w:szCs w:val="20"/>
        </w:rPr>
        <w:t>§213(d).</w:t>
      </w:r>
    </w:p>
  </w:footnote>
  <w:footnote w:id="1124">
    <w:p w14:paraId="0000092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Brannan v. Florida Publ’g Co., 1983 WL 2111, at *1 (M.D. Fla. 1983) (depositions of plaintiffs established that they delivered newspapers solely to consumers).</w:t>
      </w:r>
    </w:p>
  </w:footnote>
  <w:footnote w:id="1125">
    <w:p w14:paraId="0000092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4"/>
          <w:szCs w:val="24"/>
        </w:rPr>
      </w:pPr>
      <w:r>
        <w:rPr>
          <w:rStyle w:val="FootnoteReference"/>
        </w:rPr>
        <w:footnoteRef/>
      </w:r>
      <w:r>
        <w:rPr>
          <w:rFonts w:ascii="Times New Roman" w:eastAsia="Times New Roman" w:hAnsi="Times New Roman" w:cs="Times New Roman"/>
          <w:color w:val="000000"/>
          <w:sz w:val="20"/>
          <w:szCs w:val="20"/>
        </w:rPr>
        <w:t>WH Op., 1970 WL 26405 (June 4, 1970).</w:t>
      </w:r>
      <w:r>
        <w:rPr>
          <w:rFonts w:ascii="Times New Roman" w:eastAsia="Times New Roman" w:hAnsi="Times New Roman" w:cs="Times New Roman"/>
          <w:color w:val="000000"/>
          <w:sz w:val="24"/>
          <w:szCs w:val="24"/>
        </w:rPr>
        <w:t>distributors, and (2) distribution of the inserts is limited to those regular subscribers or customers to whom deliveries of the newspaper are normally made.</w:t>
      </w:r>
      <w:r>
        <w:rPr>
          <w:rFonts w:ascii="Times New Roman" w:eastAsia="Times New Roman" w:hAnsi="Times New Roman" w:cs="Times New Roman"/>
          <w:color w:val="000000"/>
          <w:sz w:val="24"/>
          <w:szCs w:val="24"/>
          <w:vertAlign w:val="superscript"/>
        </w:rPr>
        <w:t>#</w:t>
      </w:r>
    </w:p>
    <w:p w14:paraId="0000092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DOL advised that where delivery or distribution of advertising material was to persons other than subscribers or regular customers, the exemption would not apply, as “no </w:t>
      </w:r>
    </w:p>
  </w:footnote>
  <w:footnote w:id="1126">
    <w:p w14:paraId="0000092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127">
    <w:p w14:paraId="0000092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1977 WL 53476 (Mar. 14, 1977).</w:t>
      </w:r>
    </w:p>
  </w:footnote>
  <w:footnote w:id="1128">
    <w:p w14:paraId="0000092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w:t>
      </w:r>
    </w:p>
  </w:footnote>
  <w:footnote w:id="1129">
    <w:p w14:paraId="0000092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 C.F.R. §570.124.</w:t>
      </w:r>
    </w:p>
  </w:footnote>
  <w:footnote w:id="1130">
    <w:p w14:paraId="0000092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WH Op., 1974 WL 38670 (July 10, 1974).</w:t>
      </w:r>
    </w:p>
  </w:footnote>
  <w:footnote w:id="1131">
    <w:p w14:paraId="0000092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WH Op., 1975 WL 40959 (Apr. 28, 1975).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FOH §23b03(a).</w:t>
      </w:r>
    </w:p>
  </w:footnote>
  <w:footnote w:id="1132">
    <w:p w14:paraId="0000092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FOH §23b02.</w:t>
      </w:r>
    </w:p>
  </w:footnote>
  <w:footnote w:id="1133">
    <w:p w14:paraId="0000092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WH Op., 1975 WL 40959.</w:t>
      </w:r>
    </w:p>
  </w:footnote>
  <w:footnote w:id="1134">
    <w:p w14:paraId="0000093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Pub. L. No. 85-231, 71 Stat. 514 (1957).</w:t>
      </w:r>
    </w:p>
  </w:footnote>
  <w:footnote w:id="1135">
    <w:p w14:paraId="0000093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smallCaps/>
          <w:color w:val="000000"/>
          <w:sz w:val="20"/>
          <w:szCs w:val="20"/>
        </w:rPr>
        <w:t>S. Rep. No.</w:t>
      </w:r>
      <w:r>
        <w:rPr>
          <w:rFonts w:ascii="Times New Roman" w:eastAsia="Times New Roman" w:hAnsi="Times New Roman" w:cs="Times New Roman"/>
          <w:color w:val="000000"/>
          <w:sz w:val="20"/>
          <w:szCs w:val="20"/>
        </w:rPr>
        <w:t xml:space="preserve"> 85-987 (1957), </w:t>
      </w:r>
      <w:r>
        <w:rPr>
          <w:rFonts w:ascii="Times New Roman" w:eastAsia="Times New Roman" w:hAnsi="Times New Roman" w:cs="Times New Roman"/>
          <w:i/>
          <w:color w:val="000000"/>
          <w:sz w:val="20"/>
          <w:szCs w:val="20"/>
        </w:rPr>
        <w:t>reprinted in</w:t>
      </w:r>
      <w:r>
        <w:rPr>
          <w:rFonts w:ascii="Times New Roman" w:eastAsia="Times New Roman" w:hAnsi="Times New Roman" w:cs="Times New Roman"/>
          <w:color w:val="000000"/>
          <w:sz w:val="20"/>
          <w:szCs w:val="20"/>
        </w:rPr>
        <w:t xml:space="preserve"> 1957 U.S.C.C.A.N. 1756.</w:t>
      </w:r>
    </w:p>
  </w:footnote>
  <w:footnote w:id="1136">
    <w:p w14:paraId="0000093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335 U.S. 377 (1948).</w:t>
      </w:r>
    </w:p>
  </w:footnote>
  <w:footnote w:id="1137">
    <w:p w14:paraId="0000093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 xml:space="preserve">Id. </w:t>
      </w:r>
      <w:r>
        <w:rPr>
          <w:rFonts w:ascii="Times New Roman" w:eastAsia="Times New Roman" w:hAnsi="Times New Roman" w:cs="Times New Roman"/>
          <w:color w:val="000000"/>
          <w:sz w:val="20"/>
          <w:szCs w:val="20"/>
        </w:rPr>
        <w:t>at 379.</w:t>
      </w:r>
    </w:p>
  </w:footnote>
  <w:footnote w:id="1138">
    <w:p w14:paraId="0000093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384–85.</w:t>
      </w:r>
    </w:p>
  </w:footnote>
  <w:footnote w:id="1139">
    <w:p w14:paraId="00000935"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390.</w:t>
      </w:r>
    </w:p>
  </w:footnote>
  <w:footnote w:id="1140">
    <w:p w14:paraId="00000936"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S. </w:t>
      </w:r>
      <w:r>
        <w:rPr>
          <w:rFonts w:ascii="Times New Roman" w:eastAsia="Times New Roman" w:hAnsi="Times New Roman" w:cs="Times New Roman"/>
          <w:smallCaps/>
          <w:color w:val="000000"/>
          <w:sz w:val="20"/>
          <w:szCs w:val="20"/>
        </w:rPr>
        <w:t>Rep. No.</w:t>
      </w:r>
      <w:r>
        <w:rPr>
          <w:rFonts w:ascii="Times New Roman" w:eastAsia="Times New Roman" w:hAnsi="Times New Roman" w:cs="Times New Roman"/>
          <w:color w:val="000000"/>
          <w:sz w:val="20"/>
          <w:szCs w:val="20"/>
        </w:rPr>
        <w:t xml:space="preserve"> 987, </w:t>
      </w:r>
      <w:r>
        <w:rPr>
          <w:rFonts w:ascii="Times New Roman" w:eastAsia="Times New Roman" w:hAnsi="Times New Roman" w:cs="Times New Roman"/>
          <w:i/>
          <w:color w:val="000000"/>
          <w:sz w:val="20"/>
          <w:szCs w:val="20"/>
        </w:rPr>
        <w:t>reprinted in</w:t>
      </w:r>
      <w:r>
        <w:rPr>
          <w:rFonts w:ascii="Times New Roman" w:eastAsia="Times New Roman" w:hAnsi="Times New Roman" w:cs="Times New Roman"/>
          <w:color w:val="000000"/>
          <w:sz w:val="20"/>
          <w:szCs w:val="20"/>
        </w:rPr>
        <w:t xml:space="preserve"> 1957 U.S.C.C.A.N. 1756–57.</w:t>
      </w:r>
    </w:p>
  </w:footnote>
  <w:footnote w:id="1141">
    <w:p w14:paraId="00000937"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Hawaii Omnibus Act, Pub. L. No. 86-624, §21(b), 74 Stat. 411 (1960).</w:t>
      </w:r>
    </w:p>
  </w:footnote>
  <w:footnote w:id="1142">
    <w:p w14:paraId="00000938"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 xml:space="preserve">Pub. L. No. 89-601, §213 (1966);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29 C.F.R. §776.7(b). Full sovereignty was granted to the Republic of the Marshall Islands in 1986, when the Compact of Free Association with the United States became effective. The Compact provided for aid and U.S. defense of the islands in exchange for continued U.S. military use of the missile testing range at Kwajalein Atoll. Both Eniwetok Atoll (now spelled Enewetok Atoll) and Kwajalein Atoll are part of the Republic of the Marshall Islands. The independence procedure was formally completed under international law in 1990, when the United Nations officially ended the Trusteeship status pursuant to U.N. Security Council Resolution 683.</w:t>
      </w:r>
    </w:p>
  </w:footnote>
  <w:footnote w:id="1143">
    <w:p w14:paraId="00000939"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Panama Canal Act of 1979, Pub. L. No. 96-70, §1225(a), 93 Stat. 452 (1979).</w:t>
      </w:r>
    </w:p>
  </w:footnote>
  <w:footnote w:id="1144">
    <w:p w14:paraId="0000093A"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297 F. Supp. 2d 399 (D. Mass. 2004).</w:t>
      </w:r>
    </w:p>
  </w:footnote>
  <w:footnote w:id="1145">
    <w:p w14:paraId="0000093B"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400. “Pursuant to the Antarctic Program, the National Science Foundation annually deploys approximately 3,500 scientists and support personnel to Antarctica and its surrounding seas to facilitate research in a variety of disciplines, including atmospheric chemistry, biology, and glaciology.” </w:t>
      </w:r>
      <w:r>
        <w:rPr>
          <w:rFonts w:ascii="Times New Roman" w:eastAsia="Times New Roman" w:hAnsi="Times New Roman" w:cs="Times New Roman"/>
          <w:i/>
          <w:color w:val="000000"/>
          <w:sz w:val="20"/>
          <w:szCs w:val="20"/>
        </w:rPr>
        <w:t>Id.</w:t>
      </w:r>
    </w:p>
  </w:footnote>
  <w:footnote w:id="1146">
    <w:p w14:paraId="0000093C"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402 (citations omitted).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Risinger v. SOC, LLC, 936 F. Supp. 2d 1235 (D. Nev. 2013) (dismissing complaint of private security officer who brought suit for unpaid overtime work performed in Iraq on basis of §213(f)).</w:t>
      </w:r>
    </w:p>
  </w:footnote>
  <w:footnote w:id="1147">
    <w:p w14:paraId="0000093D"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932 F.2d 218 (3d Cir. 1991).</w:t>
      </w:r>
    </w:p>
  </w:footnote>
  <w:footnote w:id="1148">
    <w:p w14:paraId="0000093E"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226.</w:t>
      </w:r>
    </w:p>
  </w:footnote>
  <w:footnote w:id="1149">
    <w:p w14:paraId="0000093F"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232.</w:t>
      </w:r>
    </w:p>
  </w:footnote>
  <w:footnote w:id="1150">
    <w:p w14:paraId="00000940"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231.</w:t>
      </w:r>
    </w:p>
  </w:footnote>
  <w:footnote w:id="1151">
    <w:p w14:paraId="00000941"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2009 WL 650734 (C.D. Cal. Mar. 11, 2009).</w:t>
      </w:r>
    </w:p>
  </w:footnote>
  <w:footnote w:id="1152">
    <w:p w14:paraId="00000942"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xml:space="preserve">. at *8 (citing Cruz v. Chesapeake Shipping, Inc., 932 F.2d 218, 226 (3d Cir. 1991)). </w:t>
      </w:r>
      <w:r>
        <w:rPr>
          <w:rFonts w:ascii="Times New Roman" w:eastAsia="Times New Roman" w:hAnsi="Times New Roman" w:cs="Times New Roman"/>
          <w:i/>
          <w:color w:val="000000"/>
          <w:sz w:val="20"/>
          <w:szCs w:val="20"/>
        </w:rPr>
        <w:t>See also</w:t>
      </w:r>
      <w:r>
        <w:rPr>
          <w:rFonts w:ascii="Times New Roman" w:eastAsia="Times New Roman" w:hAnsi="Times New Roman" w:cs="Times New Roman"/>
          <w:color w:val="000000"/>
          <w:sz w:val="20"/>
          <w:szCs w:val="20"/>
        </w:rPr>
        <w:t xml:space="preserve"> Kalumon v. Stolt Offshore, Inc., 474 F. Supp. 2d 866 (S.D. Tex. 2007) (denying defendant’s motion for summary judgment, holding that territorial boundaries did not apply to vessels working outside United States in Gulf of Mexico).</w:t>
      </w:r>
    </w:p>
  </w:footnote>
  <w:footnote w:id="1153">
    <w:p w14:paraId="00000943"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color w:val="000000"/>
          <w:sz w:val="20"/>
          <w:szCs w:val="20"/>
        </w:rPr>
        <w:t>671 F. Supp. 2d 1365 (S.D. Ga. 2009).</w:t>
      </w:r>
    </w:p>
  </w:footnote>
  <w:footnote w:id="1154">
    <w:p w14:paraId="00000944" w14:textId="77777777" w:rsidR="00DC27AA" w:rsidRDefault="000F36B4">
      <w:pPr>
        <w:pBdr>
          <w:top w:val="nil"/>
          <w:left w:val="nil"/>
          <w:bottom w:val="nil"/>
          <w:right w:val="nil"/>
          <w:between w:val="nil"/>
        </w:pBdr>
        <w:spacing w:after="120" w:line="240" w:lineRule="auto"/>
        <w:ind w:firstLine="720"/>
        <w:rPr>
          <w:rFonts w:ascii="Times New Roman" w:eastAsia="Times New Roman" w:hAnsi="Times New Roman" w:cs="Times New Roman"/>
          <w:color w:val="000000"/>
          <w:sz w:val="20"/>
          <w:szCs w:val="20"/>
        </w:rPr>
      </w:pPr>
      <w:r>
        <w:rPr>
          <w:rStyle w:val="FootnoteReference"/>
        </w:rPr>
        <w:footnoteRef/>
      </w:r>
      <w:r>
        <w:rPr>
          <w:rFonts w:ascii="Times New Roman" w:eastAsia="Times New Roman" w:hAnsi="Times New Roman" w:cs="Times New Roman"/>
          <w:i/>
          <w:color w:val="000000"/>
          <w:sz w:val="20"/>
          <w:szCs w:val="20"/>
        </w:rPr>
        <w:t>Id</w:t>
      </w:r>
      <w:r>
        <w:rPr>
          <w:rFonts w:ascii="Times New Roman" w:eastAsia="Times New Roman" w:hAnsi="Times New Roman" w:cs="Times New Roman"/>
          <w:color w:val="000000"/>
          <w:sz w:val="20"/>
          <w:szCs w:val="20"/>
        </w:rPr>
        <w:t>. at 1369.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46" w14:textId="77777777" w:rsidR="00DC27AA" w:rsidRDefault="00DC27AA">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45" w14:textId="77777777" w:rsidR="00DC27AA" w:rsidRDefault="00DC27AA">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947" w14:textId="77777777" w:rsidR="00DC27AA" w:rsidRDefault="00DC27AA">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7AA"/>
    <w:rsid w:val="000008D2"/>
    <w:rsid w:val="000362F9"/>
    <w:rsid w:val="000965FD"/>
    <w:rsid w:val="000F36B4"/>
    <w:rsid w:val="000F6EC1"/>
    <w:rsid w:val="00103DCF"/>
    <w:rsid w:val="001A3AB4"/>
    <w:rsid w:val="001B0E1F"/>
    <w:rsid w:val="002A5EB4"/>
    <w:rsid w:val="002F41CA"/>
    <w:rsid w:val="002F66DA"/>
    <w:rsid w:val="00304587"/>
    <w:rsid w:val="003404E3"/>
    <w:rsid w:val="003517FB"/>
    <w:rsid w:val="00385C87"/>
    <w:rsid w:val="003A1C02"/>
    <w:rsid w:val="003B48CB"/>
    <w:rsid w:val="003F0E0E"/>
    <w:rsid w:val="00435588"/>
    <w:rsid w:val="00467B02"/>
    <w:rsid w:val="004712FB"/>
    <w:rsid w:val="006B1186"/>
    <w:rsid w:val="007B435C"/>
    <w:rsid w:val="00907497"/>
    <w:rsid w:val="009153B9"/>
    <w:rsid w:val="009204AF"/>
    <w:rsid w:val="00924CB3"/>
    <w:rsid w:val="009F1CB5"/>
    <w:rsid w:val="00A30023"/>
    <w:rsid w:val="00A356C8"/>
    <w:rsid w:val="00A63104"/>
    <w:rsid w:val="00B807F8"/>
    <w:rsid w:val="00BB4E53"/>
    <w:rsid w:val="00C37025"/>
    <w:rsid w:val="00C428B2"/>
    <w:rsid w:val="00C85A5A"/>
    <w:rsid w:val="00C9423A"/>
    <w:rsid w:val="00CA0D3D"/>
    <w:rsid w:val="00CA758A"/>
    <w:rsid w:val="00CD0A90"/>
    <w:rsid w:val="00CF765C"/>
    <w:rsid w:val="00D93206"/>
    <w:rsid w:val="00DA4905"/>
    <w:rsid w:val="00DB134E"/>
    <w:rsid w:val="00DC27AA"/>
    <w:rsid w:val="00DC3D97"/>
    <w:rsid w:val="00DE2187"/>
    <w:rsid w:val="00E10A24"/>
    <w:rsid w:val="00E20A20"/>
    <w:rsid w:val="00E23A43"/>
    <w:rsid w:val="00E70376"/>
    <w:rsid w:val="00E92C28"/>
    <w:rsid w:val="00EA543C"/>
    <w:rsid w:val="00EE7D2A"/>
    <w:rsid w:val="00F3002B"/>
    <w:rsid w:val="00FD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115679"/>
  <w15:docId w15:val="{8C240F5B-7B99-45E9-AF84-E7CD5E39F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981"/>
    <w:rPr>
      <w:rFonts w:eastAsiaTheme="minorEastAsia"/>
    </w:rPr>
  </w:style>
  <w:style w:type="paragraph" w:styleId="Heading1">
    <w:name w:val="heading 1"/>
    <w:basedOn w:val="Normal"/>
    <w:next w:val="Normal"/>
    <w:link w:val="Heading1Char"/>
    <w:uiPriority w:val="9"/>
    <w:qFormat/>
    <w:rsid w:val="005C1F33"/>
    <w:pPr>
      <w:keepNext/>
      <w:keepLines/>
      <w:spacing w:before="240" w:after="0" w:line="240" w:lineRule="auto"/>
      <w:ind w:firstLine="720"/>
      <w:outlineLvl w:val="0"/>
    </w:pPr>
    <w:rPr>
      <w:rFonts w:ascii="Times New Roman" w:eastAsiaTheme="majorEastAsia" w:hAnsi="Times New Roman" w:cstheme="majorBidi"/>
      <w:sz w:val="32"/>
      <w:szCs w:val="32"/>
    </w:rPr>
  </w:style>
  <w:style w:type="paragraph" w:styleId="Heading2">
    <w:name w:val="heading 2"/>
    <w:basedOn w:val="Normal"/>
    <w:next w:val="Normal"/>
    <w:link w:val="Heading2Char"/>
    <w:uiPriority w:val="9"/>
    <w:semiHidden/>
    <w:unhideWhenUsed/>
    <w:qFormat/>
    <w:rsid w:val="005C1F33"/>
    <w:pPr>
      <w:keepNext/>
      <w:keepLines/>
      <w:spacing w:before="40" w:after="0" w:line="240" w:lineRule="auto"/>
      <w:ind w:firstLine="720"/>
      <w:outlineLvl w:val="1"/>
    </w:pPr>
    <w:rPr>
      <w:rFonts w:ascii="Times New Roman" w:eastAsiaTheme="majorEastAsia" w:hAnsi="Times New Roman" w:cstheme="majorBidi"/>
      <w:sz w:val="26"/>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A194A"/>
    <w:pPr>
      <w:spacing w:after="0" w:line="240" w:lineRule="auto"/>
      <w:ind w:firstLine="720"/>
      <w:contextualSpacing/>
    </w:pPr>
    <w:rPr>
      <w:rFonts w:ascii="Times New Roman" w:eastAsiaTheme="majorEastAsia" w:hAnsi="Times New Roman" w:cstheme="majorBidi"/>
      <w:spacing w:val="-10"/>
      <w:kern w:val="28"/>
      <w:sz w:val="56"/>
      <w:szCs w:val="56"/>
    </w:rPr>
  </w:style>
  <w:style w:type="paragraph" w:customStyle="1" w:styleId="text-">
    <w:name w:val="text -/+"/>
    <w:basedOn w:val="text"/>
    <w:autoRedefine/>
    <w:uiPriority w:val="99"/>
    <w:semiHidden/>
    <w:rsid w:val="005C1F33"/>
    <w:pPr>
      <w:widowControl w:val="0"/>
      <w:autoSpaceDE w:val="0"/>
      <w:autoSpaceDN w:val="0"/>
      <w:adjustRightInd w:val="0"/>
      <w:spacing w:after="120"/>
      <w:jc w:val="both"/>
      <w:textAlignment w:val="center"/>
    </w:pPr>
    <w:rPr>
      <w:rFonts w:eastAsiaTheme="minorEastAsia" w:cs="ITC New Baskerville Std"/>
      <w:color w:val="000000"/>
      <w:szCs w:val="22"/>
    </w:rPr>
  </w:style>
  <w:style w:type="paragraph" w:customStyle="1" w:styleId="toc5a">
    <w:name w:val="toc 5(a)"/>
    <w:basedOn w:val="Normal"/>
    <w:autoRedefine/>
    <w:uiPriority w:val="99"/>
    <w:semiHidden/>
    <w:rsid w:val="005C1F33"/>
    <w:pPr>
      <w:tabs>
        <w:tab w:val="left" w:pos="2100"/>
        <w:tab w:val="left" w:leader="dot" w:pos="6240"/>
        <w:tab w:val="left" w:pos="6960"/>
      </w:tabs>
      <w:suppressAutoHyphens/>
      <w:autoSpaceDE w:val="0"/>
      <w:autoSpaceDN w:val="0"/>
      <w:adjustRightInd w:val="0"/>
      <w:spacing w:after="0" w:line="240" w:lineRule="atLeast"/>
      <w:ind w:left="2580" w:hanging="480"/>
      <w:textAlignment w:val="center"/>
    </w:pPr>
    <w:rPr>
      <w:rFonts w:ascii="Times New Roman" w:hAnsi="Times New Roman" w:cs="ITC New Baskerville Std"/>
      <w:color w:val="000000"/>
    </w:rPr>
  </w:style>
  <w:style w:type="paragraph" w:customStyle="1" w:styleId="1stlevelheadIrb">
    <w:name w:val="1st level head I._rb"/>
    <w:basedOn w:val="Normal"/>
    <w:autoRedefine/>
    <w:uiPriority w:val="99"/>
    <w:semiHidden/>
    <w:rsid w:val="005C1F33"/>
    <w:pPr>
      <w:keepNext/>
      <w:widowControl w:val="0"/>
      <w:suppressAutoHyphens/>
      <w:autoSpaceDE w:val="0"/>
      <w:autoSpaceDN w:val="0"/>
      <w:adjustRightInd w:val="0"/>
      <w:spacing w:before="360" w:after="240" w:line="240" w:lineRule="auto"/>
      <w:textAlignment w:val="center"/>
    </w:pPr>
    <w:rPr>
      <w:rFonts w:ascii="Times New Roman" w:hAnsi="Times New Roman" w:cs="Times LT Std"/>
      <w:b/>
      <w:bCs/>
      <w:color w:val="000000"/>
      <w:sz w:val="24"/>
      <w:szCs w:val="24"/>
    </w:rPr>
  </w:style>
  <w:style w:type="paragraph" w:customStyle="1" w:styleId="1stlevehead10ES">
    <w:name w:val="1st leve head 10. ES"/>
    <w:basedOn w:val="1stlevelheadIrb"/>
    <w:autoRedefine/>
    <w:semiHidden/>
    <w:qFormat/>
    <w:rsid w:val="005C1F33"/>
    <w:pPr>
      <w:tabs>
        <w:tab w:val="left" w:pos="960"/>
      </w:tabs>
      <w:ind w:left="960" w:hanging="960"/>
    </w:pPr>
    <w:rPr>
      <w:rFonts w:cs="Times New Roman"/>
    </w:rPr>
  </w:style>
  <w:style w:type="paragraph" w:customStyle="1" w:styleId="1stlevelheadboldcentered">
    <w:name w:val="1st level head / bold centered"/>
    <w:basedOn w:val="Normal"/>
    <w:autoRedefine/>
    <w:uiPriority w:val="99"/>
    <w:semiHidden/>
    <w:rsid w:val="005C1F33"/>
    <w:pPr>
      <w:keepNext/>
      <w:widowControl w:val="0"/>
      <w:suppressAutoHyphens/>
      <w:autoSpaceDE w:val="0"/>
      <w:autoSpaceDN w:val="0"/>
      <w:adjustRightInd w:val="0"/>
      <w:spacing w:before="240" w:after="240" w:line="240" w:lineRule="auto"/>
      <w:jc w:val="center"/>
      <w:textAlignment w:val="center"/>
    </w:pPr>
    <w:rPr>
      <w:rFonts w:ascii="Times New Roman" w:hAnsi="Times New Roman" w:cs="ITC New Baskerville Std"/>
      <w:b/>
      <w:bCs/>
      <w:color w:val="000000"/>
      <w:sz w:val="24"/>
    </w:rPr>
  </w:style>
  <w:style w:type="paragraph" w:customStyle="1" w:styleId="1stLevelHeadI">
    <w:name w:val="1st Level Head I."/>
    <w:basedOn w:val="Normal"/>
    <w:autoRedefine/>
    <w:uiPriority w:val="99"/>
    <w:semiHidden/>
    <w:rsid w:val="005C1F33"/>
    <w:pPr>
      <w:keepNext/>
      <w:widowControl w:val="0"/>
      <w:suppressAutoHyphens/>
      <w:autoSpaceDE w:val="0"/>
      <w:autoSpaceDN w:val="0"/>
      <w:adjustRightInd w:val="0"/>
      <w:spacing w:before="360" w:after="240" w:line="240" w:lineRule="auto"/>
      <w:jc w:val="center"/>
      <w:textAlignment w:val="center"/>
    </w:pPr>
    <w:rPr>
      <w:rFonts w:ascii="Times New Roman Bold" w:hAnsi="Times New Roman Bold" w:cs="Times SC"/>
      <w:b/>
      <w:bCs/>
      <w:smallCaps/>
      <w:color w:val="000000"/>
      <w:sz w:val="24"/>
      <w:szCs w:val="24"/>
    </w:rPr>
  </w:style>
  <w:style w:type="paragraph" w:customStyle="1" w:styleId="1stlevelheadI0">
    <w:name w:val="1st level head I."/>
    <w:basedOn w:val="Normal"/>
    <w:autoRedefine/>
    <w:uiPriority w:val="99"/>
    <w:semiHidden/>
    <w:rsid w:val="005C1F33"/>
    <w:pPr>
      <w:keepNext/>
      <w:keepLines/>
      <w:widowControl w:val="0"/>
      <w:suppressAutoHyphens/>
      <w:autoSpaceDE w:val="0"/>
      <w:autoSpaceDN w:val="0"/>
      <w:adjustRightInd w:val="0"/>
      <w:spacing w:before="360" w:after="240" w:line="240" w:lineRule="auto"/>
      <w:jc w:val="center"/>
      <w:textAlignment w:val="center"/>
    </w:pPr>
    <w:rPr>
      <w:rFonts w:ascii="Times New Roman" w:hAnsi="Times New Roman" w:cs="ITC New Baskerville Std"/>
      <w:smallCaps/>
      <w:color w:val="000000"/>
      <w:sz w:val="24"/>
    </w:rPr>
  </w:style>
  <w:style w:type="paragraph" w:customStyle="1" w:styleId="1stlevelheadIb">
    <w:name w:val="1st level head I._b"/>
    <w:basedOn w:val="Normal"/>
    <w:autoRedefine/>
    <w:uiPriority w:val="99"/>
    <w:semiHidden/>
    <w:qFormat/>
    <w:rsid w:val="006F260F"/>
    <w:pPr>
      <w:tabs>
        <w:tab w:val="left" w:pos="1200"/>
      </w:tabs>
      <w:spacing w:before="360" w:after="240" w:line="240" w:lineRule="auto"/>
    </w:pPr>
    <w:rPr>
      <w:rFonts w:ascii="Times New Roman Bold" w:hAnsi="Times New Roman Bold"/>
      <w:b/>
      <w:sz w:val="24"/>
    </w:rPr>
  </w:style>
  <w:style w:type="paragraph" w:customStyle="1" w:styleId="1stlevelheadIbfl">
    <w:name w:val="1st level head I._b_fl"/>
    <w:basedOn w:val="1stlevelheadIb"/>
    <w:autoRedefine/>
    <w:semiHidden/>
    <w:qFormat/>
    <w:rsid w:val="005C1F33"/>
    <w:rPr>
      <w:rFonts w:cs="Times New Roman"/>
      <w:smallCaps/>
    </w:rPr>
  </w:style>
  <w:style w:type="paragraph" w:customStyle="1" w:styleId="1stlevelheadIr">
    <w:name w:val="1st level head I._r"/>
    <w:basedOn w:val="1stlevelheadIb"/>
    <w:autoRedefine/>
    <w:uiPriority w:val="99"/>
    <w:semiHidden/>
    <w:qFormat/>
    <w:rsid w:val="00714682"/>
    <w:pPr>
      <w:spacing w:after="360"/>
      <w:jc w:val="center"/>
    </w:pPr>
    <w:rPr>
      <w:rFonts w:ascii="Times New Roman" w:hAnsi="Times New Roman"/>
      <w:b w:val="0"/>
      <w:smallCaps/>
    </w:rPr>
  </w:style>
  <w:style w:type="paragraph" w:customStyle="1" w:styleId="1stlevelheadIr0">
    <w:name w:val="1st level head_I._r"/>
    <w:basedOn w:val="Normal"/>
    <w:autoRedefine/>
    <w:uiPriority w:val="99"/>
    <w:semiHidden/>
    <w:rsid w:val="005C1F33"/>
    <w:pPr>
      <w:widowControl w:val="0"/>
      <w:autoSpaceDE w:val="0"/>
      <w:autoSpaceDN w:val="0"/>
      <w:adjustRightInd w:val="0"/>
      <w:spacing w:before="480" w:after="360" w:line="240" w:lineRule="auto"/>
      <w:jc w:val="center"/>
      <w:textAlignment w:val="center"/>
    </w:pPr>
    <w:rPr>
      <w:rFonts w:ascii="Times New Roman" w:hAnsi="Times New Roman" w:cs="ITC New Baskerville Std"/>
      <w:smallCaps/>
      <w:color w:val="000000"/>
      <w:sz w:val="25"/>
      <w:szCs w:val="25"/>
    </w:rPr>
  </w:style>
  <w:style w:type="paragraph" w:customStyle="1" w:styleId="1stlevelRomanhead11pt">
    <w:name w:val="1st level_Roman head 11 pt."/>
    <w:basedOn w:val="Normal"/>
    <w:autoRedefine/>
    <w:uiPriority w:val="99"/>
    <w:semiHidden/>
    <w:rsid w:val="005C1F33"/>
    <w:pPr>
      <w:keepNext/>
      <w:widowControl w:val="0"/>
      <w:suppressAutoHyphens/>
      <w:autoSpaceDE w:val="0"/>
      <w:autoSpaceDN w:val="0"/>
      <w:adjustRightInd w:val="0"/>
      <w:spacing w:before="240" w:after="240" w:line="240" w:lineRule="auto"/>
      <w:jc w:val="center"/>
      <w:textAlignment w:val="center"/>
    </w:pPr>
    <w:rPr>
      <w:rFonts w:ascii="Times New Roman" w:hAnsi="Times New Roman" w:cs="ITC New Baskerville Std"/>
      <w:smallCaps/>
      <w:color w:val="000000"/>
      <w:sz w:val="24"/>
    </w:rPr>
  </w:style>
  <w:style w:type="paragraph" w:customStyle="1" w:styleId="2ndlevelheadbolditaliccentered">
    <w:name w:val="2nd level head / bold italic centered"/>
    <w:basedOn w:val="Normal"/>
    <w:autoRedefine/>
    <w:uiPriority w:val="99"/>
    <w:semiHidden/>
    <w:rsid w:val="005C1F33"/>
    <w:pPr>
      <w:keepNext/>
      <w:widowControl w:val="0"/>
      <w:suppressAutoHyphens/>
      <w:autoSpaceDE w:val="0"/>
      <w:autoSpaceDN w:val="0"/>
      <w:adjustRightInd w:val="0"/>
      <w:spacing w:before="240" w:after="240" w:line="240" w:lineRule="auto"/>
      <w:jc w:val="center"/>
      <w:textAlignment w:val="center"/>
    </w:pPr>
    <w:rPr>
      <w:rFonts w:ascii="Times New Roman" w:hAnsi="Times New Roman" w:cs="ITC New Baskerville Std"/>
      <w:b/>
      <w:bCs/>
      <w:i/>
      <w:iCs/>
      <w:color w:val="000000"/>
      <w:sz w:val="24"/>
    </w:rPr>
  </w:style>
  <w:style w:type="paragraph" w:customStyle="1" w:styleId="2ndLevelHeadA">
    <w:name w:val="2nd Level Head A."/>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b/>
      <w:bCs/>
      <w:color w:val="000000"/>
      <w:sz w:val="24"/>
    </w:rPr>
  </w:style>
  <w:style w:type="paragraph" w:customStyle="1" w:styleId="2ndlevelheadAb">
    <w:name w:val="2nd level head A._b"/>
    <w:basedOn w:val="Normal"/>
    <w:autoRedefine/>
    <w:uiPriority w:val="99"/>
    <w:semiHidden/>
    <w:qFormat/>
    <w:rsid w:val="005C1F33"/>
    <w:pPr>
      <w:tabs>
        <w:tab w:val="left" w:pos="360"/>
      </w:tabs>
      <w:spacing w:before="240" w:after="240" w:line="240" w:lineRule="auto"/>
      <w:ind w:left="360" w:hanging="360"/>
    </w:pPr>
    <w:rPr>
      <w:rFonts w:ascii="Times New Roman Bold" w:hAnsi="Times New Roman Bold"/>
      <w:b/>
      <w:sz w:val="24"/>
    </w:rPr>
  </w:style>
  <w:style w:type="paragraph" w:customStyle="1" w:styleId="2ndlevelheadAbi">
    <w:name w:val="2nd level head A._bi"/>
    <w:basedOn w:val="2ndlevelheadAb"/>
    <w:semiHidden/>
    <w:qFormat/>
    <w:rsid w:val="005C1F33"/>
    <w:rPr>
      <w:i/>
    </w:rPr>
  </w:style>
  <w:style w:type="paragraph" w:customStyle="1" w:styleId="2ndlevelheadBb">
    <w:name w:val="2nd level head B._b"/>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NewCenturySchlbk"/>
      <w:b/>
      <w:bCs/>
      <w:color w:val="000000"/>
      <w:sz w:val="24"/>
    </w:rPr>
  </w:style>
  <w:style w:type="paragraph" w:customStyle="1" w:styleId="2ndlevelheadBbi">
    <w:name w:val="2nd level head B._bi"/>
    <w:basedOn w:val="Normal"/>
    <w:autoRedefine/>
    <w:uiPriority w:val="99"/>
    <w:semiHidden/>
    <w:rsid w:val="005C1F33"/>
    <w:pPr>
      <w:widowControl w:val="0"/>
      <w:tabs>
        <w:tab w:val="left" w:pos="360"/>
      </w:tabs>
      <w:suppressAutoHyphens/>
      <w:autoSpaceDE w:val="0"/>
      <w:autoSpaceDN w:val="0"/>
      <w:adjustRightInd w:val="0"/>
      <w:spacing w:before="480" w:after="360" w:line="240" w:lineRule="auto"/>
      <w:ind w:left="360" w:hanging="360"/>
      <w:textAlignment w:val="center"/>
    </w:pPr>
    <w:rPr>
      <w:rFonts w:ascii="Times New Roman" w:hAnsi="Times New Roman" w:cs="Times LT Std"/>
      <w:b/>
      <w:bCs/>
      <w:i/>
      <w:iCs/>
      <w:color w:val="000000"/>
      <w:sz w:val="24"/>
    </w:rPr>
  </w:style>
  <w:style w:type="paragraph" w:customStyle="1" w:styleId="2ndlevelheadnospace">
    <w:name w:val="2nd level head no space"/>
    <w:basedOn w:val="2ndlevelheadAb"/>
    <w:autoRedefine/>
    <w:uiPriority w:val="99"/>
    <w:semiHidden/>
    <w:rsid w:val="005C1F33"/>
    <w:pPr>
      <w:keepNext/>
      <w:widowControl w:val="0"/>
      <w:suppressAutoHyphens/>
      <w:autoSpaceDE w:val="0"/>
      <w:autoSpaceDN w:val="0"/>
      <w:adjustRightInd w:val="0"/>
      <w:spacing w:before="0"/>
      <w:textAlignment w:val="center"/>
    </w:pPr>
    <w:rPr>
      <w:rFonts w:ascii="Times New Roman" w:hAnsi="Times New Roman" w:cs="ITC New Baskerville Std"/>
      <w:bCs/>
      <w:color w:val="000000"/>
    </w:rPr>
  </w:style>
  <w:style w:type="paragraph" w:customStyle="1" w:styleId="2ndlevelheadnospaceb">
    <w:name w:val="2nd level head no space_b"/>
    <w:basedOn w:val="2ndlevelheadAb"/>
    <w:autoRedefine/>
    <w:uiPriority w:val="99"/>
    <w:semiHidden/>
    <w:rsid w:val="005C1F33"/>
    <w:pPr>
      <w:widowControl w:val="0"/>
      <w:autoSpaceDE w:val="0"/>
      <w:autoSpaceDN w:val="0"/>
      <w:adjustRightInd w:val="0"/>
      <w:spacing w:before="0"/>
      <w:textAlignment w:val="center"/>
    </w:pPr>
    <w:rPr>
      <w:rFonts w:ascii="Times New Roman" w:hAnsi="Times New Roman" w:cs="Times LT Std"/>
      <w:bCs/>
      <w:color w:val="000000"/>
    </w:rPr>
  </w:style>
  <w:style w:type="paragraph" w:customStyle="1" w:styleId="2ndlevelheadAbi0">
    <w:name w:val="2nd level headA._bi"/>
    <w:basedOn w:val="2ndlevelheadAb"/>
    <w:semiHidden/>
    <w:qFormat/>
    <w:rsid w:val="005C1F33"/>
    <w:rPr>
      <w:i/>
    </w:rPr>
  </w:style>
  <w:style w:type="paragraph" w:customStyle="1" w:styleId="2ndlevelheadnospacebi">
    <w:name w:val="2nd level head no space_bi"/>
    <w:basedOn w:val="2ndlevelheadAbi0"/>
    <w:semiHidden/>
    <w:qFormat/>
    <w:rsid w:val="005C1F33"/>
  </w:style>
  <w:style w:type="paragraph" w:customStyle="1" w:styleId="2ndlevelheadnospace-b">
    <w:name w:val="2nd level head no space-b"/>
    <w:basedOn w:val="2ndlevelheadBb"/>
    <w:autoRedefine/>
    <w:uiPriority w:val="99"/>
    <w:semiHidden/>
    <w:rsid w:val="005C1F33"/>
    <w:pPr>
      <w:spacing w:before="0"/>
    </w:pPr>
  </w:style>
  <w:style w:type="paragraph" w:customStyle="1" w:styleId="2ndlevelheadAb0">
    <w:name w:val="2nd level head_A._b"/>
    <w:basedOn w:val="Normal"/>
    <w:autoRedefine/>
    <w:uiPriority w:val="99"/>
    <w:semiHidden/>
    <w:rsid w:val="005C1F33"/>
    <w:pPr>
      <w:widowControl w:val="0"/>
      <w:tabs>
        <w:tab w:val="left" w:pos="340"/>
      </w:tabs>
      <w:autoSpaceDE w:val="0"/>
      <w:autoSpaceDN w:val="0"/>
      <w:adjustRightInd w:val="0"/>
      <w:spacing w:before="360" w:after="240" w:line="240" w:lineRule="auto"/>
      <w:ind w:left="360" w:hanging="360"/>
      <w:textAlignment w:val="center"/>
    </w:pPr>
    <w:rPr>
      <w:rFonts w:ascii="Times New Roman" w:hAnsi="Times New Roman" w:cs="ITC New Baskerville Std"/>
      <w:b/>
      <w:bCs/>
      <w:color w:val="000000"/>
      <w:sz w:val="24"/>
      <w:szCs w:val="24"/>
    </w:rPr>
  </w:style>
  <w:style w:type="paragraph" w:customStyle="1" w:styleId="2ndlevelheadAbi1">
    <w:name w:val="2nd level head_A._bi"/>
    <w:basedOn w:val="Normal"/>
    <w:autoRedefine/>
    <w:uiPriority w:val="99"/>
    <w:semiHidden/>
    <w:qFormat/>
    <w:rsid w:val="005C1F33"/>
    <w:pPr>
      <w:keepNext/>
      <w:widowControl w:val="0"/>
      <w:tabs>
        <w:tab w:val="left" w:pos="360"/>
      </w:tabs>
      <w:suppressAutoHyphens/>
      <w:autoSpaceDE w:val="0"/>
      <w:autoSpaceDN w:val="0"/>
      <w:adjustRightInd w:val="0"/>
      <w:spacing w:before="360" w:after="240" w:line="240" w:lineRule="auto"/>
      <w:ind w:left="360" w:hanging="360"/>
      <w:textAlignment w:val="center"/>
    </w:pPr>
    <w:rPr>
      <w:rFonts w:ascii="Times New Roman" w:hAnsi="Times New Roman" w:cs="ITC New Baskerville Std"/>
      <w:b/>
      <w:bCs/>
      <w:i/>
      <w:iCs/>
      <w:color w:val="000000"/>
      <w:sz w:val="24"/>
      <w:szCs w:val="24"/>
    </w:rPr>
  </w:style>
  <w:style w:type="paragraph" w:customStyle="1" w:styleId="3rdLevelHead1">
    <w:name w:val="3rd Level Head 1."/>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i/>
      <w:iCs/>
      <w:color w:val="000000"/>
      <w:sz w:val="24"/>
    </w:rPr>
  </w:style>
  <w:style w:type="paragraph" w:customStyle="1" w:styleId="3rdlevelhead10">
    <w:name w:val="3rd level head 1."/>
    <w:basedOn w:val="Normal"/>
    <w:autoRedefine/>
    <w:uiPriority w:val="99"/>
    <w:semiHidden/>
    <w:rsid w:val="005C1F33"/>
    <w:pPr>
      <w:keepNext/>
      <w:widowControl w:val="0"/>
      <w:tabs>
        <w:tab w:val="left" w:pos="360"/>
      </w:tabs>
      <w:suppressAutoHyphens/>
      <w:autoSpaceDE w:val="0"/>
      <w:autoSpaceDN w:val="0"/>
      <w:adjustRightInd w:val="0"/>
      <w:spacing w:before="240" w:after="0" w:line="480" w:lineRule="auto"/>
      <w:ind w:left="360" w:hanging="360"/>
      <w:textAlignment w:val="center"/>
    </w:pPr>
    <w:rPr>
      <w:rFonts w:ascii="Times New Roman" w:eastAsia="Times New Roman" w:hAnsi="Times New Roman" w:cs="ITC New Baskerville Std"/>
      <w:b/>
      <w:bCs/>
      <w:i/>
      <w:iCs/>
      <w:color w:val="000000"/>
      <w:sz w:val="24"/>
    </w:rPr>
  </w:style>
  <w:style w:type="paragraph" w:customStyle="1" w:styleId="3rdlevelhead1i">
    <w:name w:val="3rd level head 1._i"/>
    <w:basedOn w:val="Normal"/>
    <w:autoRedefine/>
    <w:uiPriority w:val="99"/>
    <w:semiHidden/>
    <w:qFormat/>
    <w:rsid w:val="005C1F33"/>
    <w:pPr>
      <w:tabs>
        <w:tab w:val="left" w:pos="360"/>
      </w:tabs>
      <w:spacing w:before="240" w:after="240" w:line="240" w:lineRule="auto"/>
      <w:ind w:left="360" w:hanging="360"/>
    </w:pPr>
    <w:rPr>
      <w:rFonts w:ascii="Times New Roman" w:hAnsi="Times New Roman"/>
      <w:i/>
      <w:sz w:val="24"/>
    </w:rPr>
  </w:style>
  <w:style w:type="paragraph" w:customStyle="1" w:styleId="3rdlevelhead1bi">
    <w:name w:val="3rd level head 1._bi"/>
    <w:basedOn w:val="3rdlevelhead1i"/>
    <w:semiHidden/>
    <w:qFormat/>
    <w:rsid w:val="005C1F33"/>
    <w:rPr>
      <w:b/>
    </w:rPr>
  </w:style>
  <w:style w:type="paragraph" w:customStyle="1" w:styleId="3rdlevelhead10bi">
    <w:name w:val="3rd level head 10._bi"/>
    <w:basedOn w:val="3rdlevelhead1bi"/>
    <w:autoRedefine/>
    <w:uiPriority w:val="99"/>
    <w:semiHidden/>
    <w:rsid w:val="005C1F33"/>
    <w:pPr>
      <w:keepNext/>
      <w:widowControl w:val="0"/>
      <w:tabs>
        <w:tab w:val="clear" w:pos="360"/>
        <w:tab w:val="left" w:pos="480"/>
      </w:tabs>
      <w:suppressAutoHyphens/>
      <w:autoSpaceDE w:val="0"/>
      <w:autoSpaceDN w:val="0"/>
      <w:adjustRightInd w:val="0"/>
      <w:ind w:left="480" w:hanging="480"/>
      <w:textAlignment w:val="center"/>
    </w:pPr>
    <w:rPr>
      <w:rFonts w:cs="NewCenturySchlbk"/>
      <w:bCs/>
      <w:iCs/>
      <w:color w:val="000000"/>
    </w:rPr>
  </w:style>
  <w:style w:type="paragraph" w:customStyle="1" w:styleId="3rdlevelhead3i">
    <w:name w:val="3rd level head 3._i"/>
    <w:basedOn w:val="Normal"/>
    <w:autoRedefine/>
    <w:uiPriority w:val="99"/>
    <w:semiHidden/>
    <w:rsid w:val="001913B8"/>
    <w:pPr>
      <w:widowControl w:val="0"/>
      <w:tabs>
        <w:tab w:val="left" w:pos="920"/>
      </w:tabs>
      <w:suppressAutoHyphens/>
      <w:autoSpaceDE w:val="0"/>
      <w:autoSpaceDN w:val="0"/>
      <w:adjustRightInd w:val="0"/>
      <w:spacing w:before="240" w:after="120" w:line="240" w:lineRule="auto"/>
      <w:ind w:left="919" w:hanging="480"/>
      <w:textAlignment w:val="center"/>
    </w:pPr>
    <w:rPr>
      <w:rFonts w:ascii="Times New Roman" w:hAnsi="Times New Roman" w:cs="NewCenturySchlbk"/>
      <w:i/>
      <w:iCs/>
      <w:color w:val="000000"/>
      <w:sz w:val="24"/>
    </w:rPr>
  </w:style>
  <w:style w:type="paragraph" w:customStyle="1" w:styleId="3rdLevelHeadfrom2">
    <w:name w:val="3rd Level Head from 2"/>
    <w:basedOn w:val="3rdLevelHead1"/>
    <w:autoRedefine/>
    <w:uiPriority w:val="99"/>
    <w:semiHidden/>
    <w:rsid w:val="005C1F33"/>
    <w:pPr>
      <w:spacing w:before="0"/>
    </w:pPr>
    <w:rPr>
      <w:rFonts w:cs="Times LT Std"/>
    </w:rPr>
  </w:style>
  <w:style w:type="paragraph" w:customStyle="1" w:styleId="3rdlevelheadheadnospacei">
    <w:name w:val="3rd level head head no space_i"/>
    <w:basedOn w:val="3rdlevelhead1i"/>
    <w:autoRedefine/>
    <w:uiPriority w:val="99"/>
    <w:semiHidden/>
    <w:rsid w:val="005C1F33"/>
    <w:pPr>
      <w:widowControl w:val="0"/>
      <w:autoSpaceDE w:val="0"/>
      <w:autoSpaceDN w:val="0"/>
      <w:adjustRightInd w:val="0"/>
      <w:spacing w:before="0"/>
      <w:textAlignment w:val="center"/>
    </w:pPr>
    <w:rPr>
      <w:rFonts w:cs="Times LT Std"/>
      <w:color w:val="000000"/>
    </w:rPr>
  </w:style>
  <w:style w:type="paragraph" w:customStyle="1" w:styleId="3rdlevelheadibi">
    <w:name w:val="3rd level head i._bi"/>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tLeast"/>
      <w:ind w:left="360" w:hanging="360"/>
      <w:textAlignment w:val="center"/>
    </w:pPr>
    <w:rPr>
      <w:rFonts w:ascii="Times New Roman" w:hAnsi="Times New Roman" w:cs="NewCenturySchlbk"/>
      <w:b/>
      <w:bCs/>
      <w:i/>
      <w:iCs/>
      <w:color w:val="000000"/>
      <w:sz w:val="24"/>
    </w:rPr>
  </w:style>
  <w:style w:type="paragraph" w:customStyle="1" w:styleId="3rdlevelheadnospace">
    <w:name w:val="3rd level head no space"/>
    <w:basedOn w:val="3rdlevelhead1bi"/>
    <w:autoRedefine/>
    <w:uiPriority w:val="99"/>
    <w:semiHidden/>
    <w:rsid w:val="005C1F33"/>
    <w:pPr>
      <w:keepNext/>
      <w:widowControl w:val="0"/>
      <w:suppressAutoHyphens/>
      <w:autoSpaceDE w:val="0"/>
      <w:autoSpaceDN w:val="0"/>
      <w:adjustRightInd w:val="0"/>
      <w:spacing w:before="0"/>
      <w:textAlignment w:val="center"/>
    </w:pPr>
    <w:rPr>
      <w:rFonts w:cs="ITC New Baskerville Std"/>
      <w:bCs/>
      <w:iCs/>
      <w:color w:val="000000"/>
    </w:rPr>
  </w:style>
  <w:style w:type="paragraph" w:customStyle="1" w:styleId="3rdlevelheadnospacebi">
    <w:name w:val="3rd level head no space_bi"/>
    <w:basedOn w:val="3rdlevelhead1bi"/>
    <w:autoRedefine/>
    <w:semiHidden/>
    <w:qFormat/>
    <w:rsid w:val="005C1F33"/>
    <w:pPr>
      <w:spacing w:before="0"/>
    </w:pPr>
  </w:style>
  <w:style w:type="paragraph" w:customStyle="1" w:styleId="3rdlevelheadnospacei">
    <w:name w:val="3rd level head no space_i"/>
    <w:basedOn w:val="3rdlevelhead1i"/>
    <w:autoRedefine/>
    <w:uiPriority w:val="99"/>
    <w:semiHidden/>
    <w:qFormat/>
    <w:rsid w:val="00DC2816"/>
    <w:pPr>
      <w:spacing w:before="0"/>
      <w:ind w:left="799"/>
    </w:pPr>
  </w:style>
  <w:style w:type="paragraph" w:customStyle="1" w:styleId="3rdlevelhead1bi0">
    <w:name w:val="3rd level head_1._bi"/>
    <w:basedOn w:val="Normal"/>
    <w:autoRedefine/>
    <w:uiPriority w:val="99"/>
    <w:semiHidden/>
    <w:rsid w:val="005C1F33"/>
    <w:pPr>
      <w:widowControl w:val="0"/>
      <w:tabs>
        <w:tab w:val="left" w:pos="360"/>
      </w:tabs>
      <w:autoSpaceDE w:val="0"/>
      <w:autoSpaceDN w:val="0"/>
      <w:adjustRightInd w:val="0"/>
      <w:spacing w:before="240" w:after="240" w:line="260" w:lineRule="atLeast"/>
      <w:ind w:left="360" w:hanging="360"/>
      <w:textAlignment w:val="center"/>
    </w:pPr>
    <w:rPr>
      <w:rFonts w:ascii="Times New Roman" w:hAnsi="Times New Roman" w:cs="ITC New Baskerville Std"/>
      <w:b/>
      <w:bCs/>
      <w:i/>
      <w:iCs/>
      <w:color w:val="000000"/>
      <w:sz w:val="24"/>
      <w:szCs w:val="24"/>
    </w:rPr>
  </w:style>
  <w:style w:type="paragraph" w:customStyle="1" w:styleId="3rdlevellevel1bi">
    <w:name w:val="3rd level level 1._bi"/>
    <w:basedOn w:val="Normal"/>
    <w:autoRedefine/>
    <w:uiPriority w:val="99"/>
    <w:semiHidden/>
    <w:qFormat/>
    <w:rsid w:val="00444FD2"/>
    <w:pPr>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b/>
      <w:bCs/>
      <w:i/>
      <w:iCs/>
      <w:color w:val="000000"/>
      <w:sz w:val="24"/>
      <w:szCs w:val="24"/>
    </w:rPr>
  </w:style>
  <w:style w:type="paragraph" w:customStyle="1" w:styleId="4thHeadfrom3">
    <w:name w:val="4th Head from 3"/>
    <w:basedOn w:val="Normal"/>
    <w:autoRedefine/>
    <w:uiPriority w:val="99"/>
    <w:semiHidden/>
    <w:rsid w:val="005C1F33"/>
    <w:pPr>
      <w:keepNext/>
      <w:widowControl w:val="0"/>
      <w:tabs>
        <w:tab w:val="left" w:pos="800"/>
      </w:tabs>
      <w:suppressAutoHyphens/>
      <w:autoSpaceDE w:val="0"/>
      <w:autoSpaceDN w:val="0"/>
      <w:adjustRightInd w:val="0"/>
      <w:spacing w:after="240" w:line="240" w:lineRule="auto"/>
      <w:ind w:left="799" w:hanging="360"/>
      <w:textAlignment w:val="center"/>
    </w:pPr>
    <w:rPr>
      <w:rFonts w:ascii="Times New Roman" w:hAnsi="Times New Roman" w:cs="Times LT Std"/>
      <w:i/>
      <w:iCs/>
      <w:color w:val="000000"/>
      <w:sz w:val="24"/>
    </w:rPr>
  </w:style>
  <w:style w:type="paragraph" w:customStyle="1" w:styleId="4thLevelHead">
    <w:name w:val="4th Level Head"/>
    <w:basedOn w:val="Normal"/>
    <w:autoRedefine/>
    <w:uiPriority w:val="99"/>
    <w:semiHidden/>
    <w:qFormat/>
    <w:rsid w:val="005C1F33"/>
    <w:pPr>
      <w:keepNext/>
      <w:widowControl w:val="0"/>
      <w:tabs>
        <w:tab w:val="left" w:pos="800"/>
      </w:tabs>
      <w:suppressAutoHyphens/>
      <w:autoSpaceDE w:val="0"/>
      <w:autoSpaceDN w:val="0"/>
      <w:adjustRightInd w:val="0"/>
      <w:spacing w:before="240" w:after="240" w:line="240" w:lineRule="auto"/>
      <w:ind w:left="799" w:hanging="360"/>
      <w:contextualSpacing/>
      <w:textAlignment w:val="center"/>
    </w:pPr>
    <w:rPr>
      <w:rFonts w:ascii="Times New Roman" w:hAnsi="Times New Roman" w:cs="Times LT Std"/>
      <w:i/>
      <w:iCs/>
      <w:color w:val="000000"/>
      <w:sz w:val="24"/>
    </w:rPr>
  </w:style>
  <w:style w:type="paragraph" w:customStyle="1" w:styleId="4thLevelHeada">
    <w:name w:val="4th Level Head a."/>
    <w:basedOn w:val="Normal"/>
    <w:autoRedefine/>
    <w:uiPriority w:val="99"/>
    <w:semiHidden/>
    <w:rsid w:val="005C1F33"/>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Times LT Std"/>
      <w:i/>
      <w:iCs/>
      <w:color w:val="000000"/>
      <w:sz w:val="24"/>
    </w:rPr>
  </w:style>
  <w:style w:type="paragraph" w:customStyle="1" w:styleId="4thlevelheadai">
    <w:name w:val="4th level head a._i"/>
    <w:basedOn w:val="Normal"/>
    <w:autoRedefine/>
    <w:uiPriority w:val="99"/>
    <w:semiHidden/>
    <w:qFormat/>
    <w:rsid w:val="005C1F33"/>
    <w:pPr>
      <w:tabs>
        <w:tab w:val="left" w:pos="720"/>
      </w:tabs>
      <w:spacing w:before="240" w:after="240" w:line="240" w:lineRule="auto"/>
      <w:ind w:left="720" w:hanging="360"/>
    </w:pPr>
    <w:rPr>
      <w:rFonts w:ascii="Times New Roman" w:hAnsi="Times New Roman"/>
      <w:i/>
      <w:sz w:val="24"/>
    </w:rPr>
  </w:style>
  <w:style w:type="paragraph" w:customStyle="1" w:styleId="4thlevelheadab">
    <w:name w:val="4th level head a._b"/>
    <w:basedOn w:val="4thlevelheadai"/>
    <w:autoRedefine/>
    <w:uiPriority w:val="99"/>
    <w:semiHidden/>
    <w:qFormat/>
    <w:rsid w:val="005C1F33"/>
    <w:rPr>
      <w:rFonts w:ascii="Times New Roman Bold" w:hAnsi="Times New Roman Bold"/>
      <w:b/>
      <w:i w:val="0"/>
    </w:rPr>
  </w:style>
  <w:style w:type="paragraph" w:customStyle="1" w:styleId="4thlevelheadascb">
    <w:name w:val="4th level head a._scb"/>
    <w:basedOn w:val="4thlevelheadab"/>
    <w:autoRedefine/>
    <w:semiHidden/>
    <w:qFormat/>
    <w:rsid w:val="005C1F33"/>
    <w:rPr>
      <w:rFonts w:cs="Times New Roman"/>
      <w:smallCaps/>
    </w:rPr>
  </w:style>
  <w:style w:type="paragraph" w:customStyle="1" w:styleId="4thlevelheadabsc">
    <w:name w:val="4th level head a_bsc"/>
    <w:basedOn w:val="4thlevelheadab"/>
    <w:autoRedefine/>
    <w:semiHidden/>
    <w:qFormat/>
    <w:rsid w:val="005C1F33"/>
    <w:rPr>
      <w:rFonts w:cs="Times New Roman"/>
      <w:smallCaps/>
    </w:rPr>
  </w:style>
  <w:style w:type="paragraph" w:customStyle="1" w:styleId="4thlevelheadnospace">
    <w:name w:val="4th level head no space"/>
    <w:basedOn w:val="4thlevelheadai"/>
    <w:autoRedefine/>
    <w:uiPriority w:val="99"/>
    <w:semiHidden/>
    <w:rsid w:val="005C1F33"/>
    <w:pPr>
      <w:keepNext/>
      <w:widowControl w:val="0"/>
      <w:tabs>
        <w:tab w:val="clear" w:pos="720"/>
        <w:tab w:val="left" w:pos="740"/>
      </w:tabs>
      <w:suppressAutoHyphens/>
      <w:autoSpaceDE w:val="0"/>
      <w:autoSpaceDN w:val="0"/>
      <w:adjustRightInd w:val="0"/>
      <w:spacing w:before="0"/>
      <w:ind w:left="701"/>
      <w:textAlignment w:val="center"/>
    </w:pPr>
    <w:rPr>
      <w:rFonts w:cs="ITC New Baskerville Std"/>
      <w:iCs/>
      <w:color w:val="000000"/>
    </w:rPr>
  </w:style>
  <w:style w:type="paragraph" w:customStyle="1" w:styleId="4thlevelheadnospaceb">
    <w:name w:val="4th level head no space_b"/>
    <w:basedOn w:val="4thlevelheadab"/>
    <w:autoRedefine/>
    <w:uiPriority w:val="99"/>
    <w:semiHidden/>
    <w:qFormat/>
    <w:rsid w:val="005C1F33"/>
    <w:pPr>
      <w:spacing w:before="0"/>
    </w:pPr>
  </w:style>
  <w:style w:type="paragraph" w:customStyle="1" w:styleId="4thlevelheadnospacei">
    <w:name w:val="4th level head no space_i"/>
    <w:basedOn w:val="4thlevelheadai"/>
    <w:autoRedefine/>
    <w:uiPriority w:val="99"/>
    <w:semiHidden/>
    <w:qFormat/>
    <w:rsid w:val="005C1F33"/>
    <w:pPr>
      <w:spacing w:before="0"/>
    </w:pPr>
  </w:style>
  <w:style w:type="paragraph" w:customStyle="1" w:styleId="4thlevelheadai0">
    <w:name w:val="4th level head_a._i"/>
    <w:basedOn w:val="Normal"/>
    <w:autoRedefine/>
    <w:uiPriority w:val="99"/>
    <w:semiHidden/>
    <w:qFormat/>
    <w:rsid w:val="005C1F33"/>
    <w:pPr>
      <w:widowControl w:val="0"/>
      <w:tabs>
        <w:tab w:val="left" w:pos="780"/>
      </w:tabs>
      <w:autoSpaceDE w:val="0"/>
      <w:autoSpaceDN w:val="0"/>
      <w:adjustRightInd w:val="0"/>
      <w:spacing w:before="240" w:after="240" w:line="240" w:lineRule="auto"/>
      <w:ind w:left="780" w:hanging="300"/>
      <w:textAlignment w:val="center"/>
    </w:pPr>
    <w:rPr>
      <w:rFonts w:ascii="Times New Roman" w:hAnsi="Times New Roman" w:cs="ITC New Baskerville Std"/>
      <w:i/>
      <w:iCs/>
      <w:color w:val="000000"/>
      <w:sz w:val="24"/>
      <w:szCs w:val="24"/>
    </w:rPr>
  </w:style>
  <w:style w:type="paragraph" w:customStyle="1" w:styleId="5hlevelhead1i">
    <w:name w:val="5h level head (1)_i"/>
    <w:basedOn w:val="4thlevelheadnospacei"/>
    <w:autoRedefine/>
    <w:uiPriority w:val="99"/>
    <w:semiHidden/>
    <w:rsid w:val="005C1F33"/>
    <w:pPr>
      <w:keepNext/>
      <w:widowControl w:val="0"/>
      <w:tabs>
        <w:tab w:val="clear" w:pos="720"/>
        <w:tab w:val="left" w:pos="360"/>
      </w:tabs>
      <w:suppressAutoHyphens/>
      <w:autoSpaceDE w:val="0"/>
      <w:autoSpaceDN w:val="0"/>
      <w:adjustRightInd w:val="0"/>
      <w:spacing w:before="240"/>
      <w:ind w:left="919" w:hanging="480"/>
      <w:textAlignment w:val="center"/>
    </w:pPr>
    <w:rPr>
      <w:rFonts w:cs="NewCenturySchlbk"/>
      <w:iCs/>
      <w:color w:val="000000"/>
    </w:rPr>
  </w:style>
  <w:style w:type="paragraph" w:customStyle="1" w:styleId="5thlevelheadiir">
    <w:name w:val="5th level head ii._r"/>
    <w:basedOn w:val="Normal"/>
    <w:autoRedefine/>
    <w:uiPriority w:val="99"/>
    <w:semiHidden/>
    <w:rsid w:val="005C1F33"/>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5thleveheadnospacer">
    <w:name w:val="5th leve head no space_r"/>
    <w:basedOn w:val="5thlevelheadiir"/>
    <w:autoRedefine/>
    <w:uiPriority w:val="99"/>
    <w:semiHidden/>
    <w:rsid w:val="005C1F33"/>
    <w:pPr>
      <w:spacing w:before="0"/>
    </w:pPr>
    <w:rPr>
      <w:rFonts w:cs="Times New Roman"/>
      <w:caps/>
      <w:spacing w:val="2"/>
    </w:rPr>
  </w:style>
  <w:style w:type="paragraph" w:customStyle="1" w:styleId="5thLevelHead">
    <w:name w:val="5th Level Head"/>
    <w:basedOn w:val="Normal"/>
    <w:autoRedefine/>
    <w:uiPriority w:val="99"/>
    <w:semiHidden/>
    <w:qFormat/>
    <w:rsid w:val="005C1F33"/>
    <w:pPr>
      <w:keepNext/>
      <w:widowControl w:val="0"/>
      <w:tabs>
        <w:tab w:val="left" w:pos="1240"/>
      </w:tabs>
      <w:suppressAutoHyphens/>
      <w:autoSpaceDE w:val="0"/>
      <w:autoSpaceDN w:val="0"/>
      <w:adjustRightInd w:val="0"/>
      <w:spacing w:before="240" w:after="240" w:line="240" w:lineRule="auto"/>
      <w:ind w:left="1241" w:hanging="360"/>
      <w:textAlignment w:val="center"/>
    </w:pPr>
    <w:rPr>
      <w:rFonts w:ascii="Times New Roman" w:hAnsi="Times New Roman" w:cs="Times LT Std"/>
      <w:i/>
      <w:iCs/>
      <w:color w:val="000000"/>
      <w:sz w:val="24"/>
    </w:rPr>
  </w:style>
  <w:style w:type="paragraph" w:customStyle="1" w:styleId="5thlevelhead1i">
    <w:name w:val="5th level head (1)_i"/>
    <w:basedOn w:val="Normal"/>
    <w:autoRedefine/>
    <w:uiPriority w:val="99"/>
    <w:semiHidden/>
    <w:rsid w:val="005C1F33"/>
    <w:pPr>
      <w:keepNext/>
      <w:widowControl w:val="0"/>
      <w:tabs>
        <w:tab w:val="left" w:pos="800"/>
      </w:tabs>
      <w:suppressAutoHyphens/>
      <w:autoSpaceDE w:val="0"/>
      <w:autoSpaceDN w:val="0"/>
      <w:adjustRightInd w:val="0"/>
      <w:spacing w:before="240" w:after="240" w:line="240" w:lineRule="auto"/>
      <w:ind w:left="1020" w:hanging="360"/>
      <w:textAlignment w:val="center"/>
    </w:pPr>
    <w:rPr>
      <w:rFonts w:ascii="Times New Roman" w:hAnsi="Times New Roman" w:cs="ITC New Baskerville Std"/>
      <w:i/>
      <w:iCs/>
      <w:color w:val="000000"/>
      <w:sz w:val="24"/>
    </w:rPr>
  </w:style>
  <w:style w:type="paragraph" w:customStyle="1" w:styleId="5thlevelheadai">
    <w:name w:val="5th level head (a)_i"/>
    <w:basedOn w:val="4thlevelheadnospacei"/>
    <w:autoRedefine/>
    <w:uiPriority w:val="99"/>
    <w:semiHidden/>
    <w:rsid w:val="005C1F33"/>
    <w:pPr>
      <w:keepNext/>
      <w:widowControl w:val="0"/>
      <w:tabs>
        <w:tab w:val="clear" w:pos="720"/>
        <w:tab w:val="left" w:pos="1240"/>
      </w:tabs>
      <w:suppressAutoHyphens/>
      <w:autoSpaceDE w:val="0"/>
      <w:autoSpaceDN w:val="0"/>
      <w:adjustRightInd w:val="0"/>
      <w:spacing w:before="240"/>
      <w:ind w:left="1241"/>
      <w:textAlignment w:val="center"/>
    </w:pPr>
    <w:rPr>
      <w:rFonts w:cs="Times LT Std"/>
      <w:iCs/>
      <w:color w:val="000000"/>
    </w:rPr>
  </w:style>
  <w:style w:type="paragraph" w:customStyle="1" w:styleId="5thlevelheadii">
    <w:name w:val="5th level head (i)_i"/>
    <w:basedOn w:val="4thlevelheadai"/>
    <w:autoRedefine/>
    <w:uiPriority w:val="99"/>
    <w:semiHidden/>
    <w:rsid w:val="005C1F33"/>
    <w:pPr>
      <w:widowControl w:val="0"/>
      <w:tabs>
        <w:tab w:val="clear" w:pos="720"/>
        <w:tab w:val="left" w:pos="960"/>
      </w:tabs>
      <w:suppressAutoHyphens/>
      <w:autoSpaceDE w:val="0"/>
      <w:autoSpaceDN w:val="0"/>
      <w:adjustRightInd w:val="0"/>
      <w:ind w:left="1440" w:hanging="480"/>
      <w:textAlignment w:val="center"/>
    </w:pPr>
    <w:rPr>
      <w:rFonts w:cs="Times LT Std"/>
      <w:iCs/>
      <w:color w:val="000000"/>
    </w:rPr>
  </w:style>
  <w:style w:type="paragraph" w:customStyle="1" w:styleId="5thlevelheadii0">
    <w:name w:val="5th level head (i.)_i"/>
    <w:basedOn w:val="Normal"/>
    <w:autoRedefine/>
    <w:uiPriority w:val="99"/>
    <w:semiHidden/>
    <w:qFormat/>
    <w:rsid w:val="005C1F33"/>
    <w:pPr>
      <w:widowControl w:val="0"/>
      <w:tabs>
        <w:tab w:val="left" w:pos="1280"/>
      </w:tabs>
      <w:autoSpaceDE w:val="0"/>
      <w:autoSpaceDN w:val="0"/>
      <w:adjustRightInd w:val="0"/>
      <w:spacing w:before="240" w:after="240" w:line="240" w:lineRule="auto"/>
      <w:ind w:left="1279" w:hanging="360"/>
      <w:textAlignment w:val="center"/>
    </w:pPr>
    <w:rPr>
      <w:rFonts w:ascii="Times New Roman" w:hAnsi="Times New Roman" w:cs="Times LT Std"/>
      <w:i/>
      <w:iCs/>
      <w:color w:val="000000"/>
      <w:sz w:val="24"/>
      <w:szCs w:val="23"/>
    </w:rPr>
  </w:style>
  <w:style w:type="paragraph" w:customStyle="1" w:styleId="5thlevelheadii1">
    <w:name w:val="5th level head i._i"/>
    <w:basedOn w:val="Normal"/>
    <w:autoRedefine/>
    <w:uiPriority w:val="99"/>
    <w:semiHidden/>
    <w:qFormat/>
    <w:rsid w:val="005C1F33"/>
    <w:pPr>
      <w:tabs>
        <w:tab w:val="left" w:pos="960"/>
      </w:tabs>
      <w:spacing w:before="240" w:after="240" w:line="240" w:lineRule="auto"/>
      <w:ind w:left="960" w:hanging="480"/>
    </w:pPr>
    <w:rPr>
      <w:rFonts w:ascii="Times New Roman" w:hAnsi="Times New Roman"/>
      <w:i/>
      <w:sz w:val="24"/>
    </w:rPr>
  </w:style>
  <w:style w:type="paragraph" w:customStyle="1" w:styleId="5thlevelheadiii">
    <w:name w:val="5th level head ii._i"/>
    <w:basedOn w:val="Normal"/>
    <w:autoRedefine/>
    <w:uiPriority w:val="99"/>
    <w:semiHidden/>
    <w:rsid w:val="005C1F33"/>
    <w:pPr>
      <w:keepNext/>
      <w:widowControl w:val="0"/>
      <w:tabs>
        <w:tab w:val="left" w:pos="1020"/>
      </w:tabs>
      <w:suppressAutoHyphens/>
      <w:autoSpaceDE w:val="0"/>
      <w:autoSpaceDN w:val="0"/>
      <w:adjustRightInd w:val="0"/>
      <w:spacing w:before="240" w:after="240" w:line="240" w:lineRule="auto"/>
      <w:ind w:left="1020" w:hanging="360"/>
      <w:textAlignment w:val="center"/>
    </w:pPr>
    <w:rPr>
      <w:rFonts w:ascii="Times New Roman" w:hAnsi="Times New Roman" w:cs="ITC New Baskerville Std"/>
      <w:i/>
      <w:iCs/>
      <w:color w:val="000000"/>
      <w:sz w:val="24"/>
    </w:rPr>
  </w:style>
  <w:style w:type="paragraph" w:customStyle="1" w:styleId="5thlevelheadnospace">
    <w:name w:val="5th level head no space"/>
    <w:basedOn w:val="Normal"/>
    <w:autoRedefine/>
    <w:uiPriority w:val="99"/>
    <w:semiHidden/>
    <w:rsid w:val="005C1F33"/>
    <w:pPr>
      <w:keepNext/>
      <w:widowControl w:val="0"/>
      <w:suppressAutoHyphens/>
      <w:autoSpaceDE w:val="0"/>
      <w:autoSpaceDN w:val="0"/>
      <w:adjustRightInd w:val="0"/>
      <w:spacing w:before="240" w:after="240" w:line="240" w:lineRule="auto"/>
      <w:ind w:left="821" w:hanging="360"/>
      <w:textAlignment w:val="center"/>
    </w:pPr>
    <w:rPr>
      <w:rFonts w:ascii="Times New Roman" w:hAnsi="Times New Roman" w:cs="ITC New Baskerville Std"/>
      <w:i/>
      <w:iCs/>
      <w:color w:val="000000"/>
      <w:sz w:val="24"/>
      <w:szCs w:val="24"/>
    </w:rPr>
  </w:style>
  <w:style w:type="paragraph" w:customStyle="1" w:styleId="5thlevelheadnospacei">
    <w:name w:val="5th level head no space_i"/>
    <w:basedOn w:val="Normal"/>
    <w:autoRedefine/>
    <w:uiPriority w:val="99"/>
    <w:semiHidden/>
    <w:qFormat/>
    <w:rsid w:val="005C1F33"/>
    <w:pPr>
      <w:keepNext/>
      <w:widowControl w:val="0"/>
      <w:tabs>
        <w:tab w:val="left" w:pos="960"/>
      </w:tabs>
      <w:suppressAutoHyphens/>
      <w:autoSpaceDE w:val="0"/>
      <w:autoSpaceDN w:val="0"/>
      <w:adjustRightInd w:val="0"/>
      <w:spacing w:after="240" w:line="240" w:lineRule="auto"/>
      <w:ind w:left="1440" w:hanging="480"/>
      <w:textAlignment w:val="center"/>
    </w:pPr>
    <w:rPr>
      <w:rFonts w:ascii="Times New Roman" w:hAnsi="Times New Roman" w:cs="Times LT Std"/>
      <w:i/>
      <w:iCs/>
      <w:color w:val="000000"/>
      <w:sz w:val="24"/>
    </w:rPr>
  </w:style>
  <w:style w:type="paragraph" w:customStyle="1" w:styleId="text">
    <w:name w:val="text"/>
    <w:basedOn w:val="Normal"/>
    <w:next w:val="Normal"/>
    <w:autoRedefine/>
    <w:uiPriority w:val="99"/>
    <w:semiHidden/>
    <w:qFormat/>
    <w:rsid w:val="005A194A"/>
    <w:pPr>
      <w:tabs>
        <w:tab w:val="left" w:pos="1440"/>
        <w:tab w:val="left" w:pos="2160"/>
        <w:tab w:val="left" w:pos="2880"/>
        <w:tab w:val="left" w:pos="3600"/>
        <w:tab w:val="left" w:pos="4320"/>
        <w:tab w:val="left" w:pos="5040"/>
        <w:tab w:val="left" w:pos="5760"/>
      </w:tabs>
      <w:spacing w:after="0" w:line="240" w:lineRule="auto"/>
      <w:ind w:firstLine="720"/>
    </w:pPr>
    <w:rPr>
      <w:rFonts w:ascii="Times New Roman" w:eastAsia="Calibri" w:hAnsi="Times New Roman" w:cs="Times New Roman"/>
      <w:sz w:val="24"/>
      <w:szCs w:val="24"/>
      <w:lang w:eastAsia="pt-PT"/>
    </w:rPr>
  </w:style>
  <w:style w:type="paragraph" w:customStyle="1" w:styleId="toc1">
    <w:name w:val="toc1"/>
    <w:basedOn w:val="text"/>
    <w:autoRedefine/>
    <w:uiPriority w:val="99"/>
    <w:semiHidden/>
    <w:qFormat/>
    <w:rsid w:val="00C66958"/>
    <w:pPr>
      <w:widowControl w:val="0"/>
      <w:tabs>
        <w:tab w:val="clear" w:pos="1440"/>
        <w:tab w:val="clear" w:pos="2160"/>
        <w:tab w:val="clear" w:pos="2880"/>
        <w:tab w:val="clear" w:pos="3600"/>
        <w:tab w:val="clear" w:pos="4320"/>
        <w:tab w:val="clear" w:pos="5040"/>
        <w:tab w:val="clear" w:pos="5760"/>
        <w:tab w:val="right" w:pos="600"/>
        <w:tab w:val="right" w:leader="dot" w:pos="6240"/>
        <w:tab w:val="left" w:pos="6960"/>
      </w:tabs>
      <w:autoSpaceDE w:val="0"/>
      <w:autoSpaceDN w:val="0"/>
      <w:adjustRightInd w:val="0"/>
      <w:ind w:left="720" w:hanging="720"/>
      <w:textAlignment w:val="center"/>
    </w:pPr>
    <w:rPr>
      <w:rFonts w:cs="ITC New Baskerville Std"/>
      <w:color w:val="000000"/>
      <w:sz w:val="22"/>
    </w:rPr>
  </w:style>
  <w:style w:type="paragraph" w:customStyle="1" w:styleId="5thlevelheadiii0">
    <w:name w:val="5th level head_ii._i"/>
    <w:basedOn w:val="toc1"/>
    <w:autoRedefine/>
    <w:uiPriority w:val="99"/>
    <w:semiHidden/>
    <w:rsid w:val="005C1F33"/>
    <w:pPr>
      <w:keepNext/>
      <w:tabs>
        <w:tab w:val="clear" w:pos="6240"/>
        <w:tab w:val="clear" w:pos="6960"/>
        <w:tab w:val="left" w:pos="1080"/>
      </w:tabs>
      <w:spacing w:before="120" w:after="120"/>
      <w:ind w:left="1080" w:hanging="300"/>
    </w:pPr>
    <w:rPr>
      <w:rFonts w:eastAsiaTheme="minorEastAsia"/>
      <w:i/>
      <w:iCs/>
    </w:rPr>
  </w:style>
  <w:style w:type="paragraph" w:customStyle="1" w:styleId="5thlevelheadiiii">
    <w:name w:val="5th level head_iii._i"/>
    <w:basedOn w:val="Normal"/>
    <w:autoRedefine/>
    <w:uiPriority w:val="99"/>
    <w:semiHidden/>
    <w:rsid w:val="005C1F33"/>
    <w:pPr>
      <w:widowControl w:val="0"/>
      <w:tabs>
        <w:tab w:val="left" w:pos="1200"/>
      </w:tabs>
      <w:autoSpaceDE w:val="0"/>
      <w:autoSpaceDN w:val="0"/>
      <w:adjustRightInd w:val="0"/>
      <w:spacing w:before="120" w:after="120" w:line="240" w:lineRule="auto"/>
      <w:ind w:left="1200" w:hanging="420"/>
      <w:textAlignment w:val="center"/>
    </w:pPr>
    <w:rPr>
      <w:rFonts w:ascii="Times New Roman" w:hAnsi="Times New Roman" w:cs="ITC New Baskerville Std"/>
      <w:i/>
      <w:iCs/>
      <w:color w:val="000000"/>
      <w:sz w:val="24"/>
      <w:szCs w:val="24"/>
    </w:rPr>
  </w:style>
  <w:style w:type="paragraph" w:customStyle="1" w:styleId="6thlevelheadai">
    <w:name w:val="6th level head (a)_i"/>
    <w:basedOn w:val="5thlevelhead1i"/>
    <w:autoRedefine/>
    <w:uiPriority w:val="99"/>
    <w:semiHidden/>
    <w:rsid w:val="005C1F33"/>
    <w:pPr>
      <w:tabs>
        <w:tab w:val="clear" w:pos="800"/>
      </w:tabs>
      <w:ind w:left="1159"/>
    </w:pPr>
  </w:style>
  <w:style w:type="paragraph" w:customStyle="1" w:styleId="6thlevelheadai0">
    <w:name w:val="6th level head (a.)_i"/>
    <w:basedOn w:val="5thlevelheadii"/>
    <w:autoRedefine/>
    <w:uiPriority w:val="99"/>
    <w:semiHidden/>
    <w:rsid w:val="005C1F33"/>
    <w:pPr>
      <w:tabs>
        <w:tab w:val="clear" w:pos="960"/>
        <w:tab w:val="left" w:pos="1680"/>
      </w:tabs>
      <w:spacing w:after="120"/>
      <w:ind w:left="1680" w:hanging="360"/>
    </w:pPr>
  </w:style>
  <w:style w:type="paragraph" w:customStyle="1" w:styleId="6thLevelHead1">
    <w:name w:val="6th Level Head 1)"/>
    <w:basedOn w:val="Normal"/>
    <w:autoRedefine/>
    <w:uiPriority w:val="99"/>
    <w:semiHidden/>
    <w:rsid w:val="005C1F33"/>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6thlevelhead1r">
    <w:name w:val="6th level head 1)_r"/>
    <w:basedOn w:val="Normal"/>
    <w:autoRedefine/>
    <w:uiPriority w:val="99"/>
    <w:semiHidden/>
    <w:rsid w:val="005C1F33"/>
    <w:pPr>
      <w:keepNext/>
      <w:widowControl w:val="0"/>
      <w:tabs>
        <w:tab w:val="left" w:pos="800"/>
      </w:tabs>
      <w:suppressAutoHyphens/>
      <w:autoSpaceDE w:val="0"/>
      <w:autoSpaceDN w:val="0"/>
      <w:adjustRightInd w:val="0"/>
      <w:spacing w:before="240" w:after="240" w:line="240" w:lineRule="auto"/>
      <w:ind w:left="799" w:hanging="360"/>
      <w:textAlignment w:val="center"/>
    </w:pPr>
    <w:rPr>
      <w:rFonts w:ascii="Times New Roman" w:hAnsi="Times New Roman" w:cs="ITC New Baskerville Std"/>
      <w:color w:val="000000"/>
      <w:sz w:val="24"/>
    </w:rPr>
  </w:style>
  <w:style w:type="paragraph" w:customStyle="1" w:styleId="7thLevelHeada">
    <w:name w:val="7th Level Head a)"/>
    <w:basedOn w:val="6thlevelhead1r"/>
    <w:autoRedefine/>
    <w:uiPriority w:val="99"/>
    <w:semiHidden/>
    <w:rsid w:val="005C1F33"/>
    <w:pPr>
      <w:spacing w:line="240" w:lineRule="atLeast"/>
      <w:ind w:left="800"/>
    </w:pPr>
    <w:rPr>
      <w:i/>
      <w:iCs/>
    </w:rPr>
  </w:style>
  <w:style w:type="paragraph" w:customStyle="1" w:styleId="7thlevelheadnospacei">
    <w:name w:val="7th level head no space_i"/>
    <w:basedOn w:val="Normal"/>
    <w:autoRedefine/>
    <w:uiPriority w:val="99"/>
    <w:semiHidden/>
    <w:qFormat/>
    <w:rsid w:val="005C1F33"/>
    <w:pPr>
      <w:keepNext/>
      <w:widowControl w:val="0"/>
      <w:tabs>
        <w:tab w:val="left" w:pos="800"/>
      </w:tabs>
      <w:suppressAutoHyphens/>
      <w:autoSpaceDE w:val="0"/>
      <w:autoSpaceDN w:val="0"/>
      <w:adjustRightInd w:val="0"/>
      <w:spacing w:after="240" w:line="240" w:lineRule="auto"/>
      <w:ind w:left="799" w:hanging="360"/>
      <w:textAlignment w:val="center"/>
    </w:pPr>
    <w:rPr>
      <w:rFonts w:ascii="Times New Roman" w:hAnsi="Times New Roman" w:cs="ITC New Baskerville Std"/>
      <w:i/>
      <w:iCs/>
      <w:color w:val="000000"/>
      <w:sz w:val="24"/>
    </w:rPr>
  </w:style>
  <w:style w:type="paragraph" w:customStyle="1" w:styleId="appeboldhead">
    <w:name w:val="app e bold head"/>
    <w:basedOn w:val="Normal"/>
    <w:autoRedefine/>
    <w:uiPriority w:val="99"/>
    <w:semiHidden/>
    <w:rsid w:val="005C1F33"/>
    <w:pPr>
      <w:widowControl w:val="0"/>
      <w:autoSpaceDE w:val="0"/>
      <w:autoSpaceDN w:val="0"/>
      <w:adjustRightInd w:val="0"/>
      <w:spacing w:before="240" w:after="240" w:line="240" w:lineRule="auto"/>
      <w:textAlignment w:val="center"/>
    </w:pPr>
    <w:rPr>
      <w:rFonts w:ascii="Times New Roman" w:hAnsi="Times New Roman" w:cs="ITC New Baskerville Std"/>
      <w:b/>
      <w:bCs/>
      <w:color w:val="000000"/>
      <w:sz w:val="24"/>
    </w:rPr>
  </w:style>
  <w:style w:type="paragraph" w:customStyle="1" w:styleId="appeblditalic">
    <w:name w:val="app e bld italic"/>
    <w:basedOn w:val="appeboldhead"/>
    <w:autoRedefine/>
    <w:uiPriority w:val="99"/>
    <w:semiHidden/>
    <w:rsid w:val="005C1F33"/>
    <w:rPr>
      <w:i/>
      <w:iCs/>
    </w:rPr>
  </w:style>
  <w:style w:type="paragraph" w:customStyle="1" w:styleId="appestate">
    <w:name w:val="app e state"/>
    <w:basedOn w:val="Normal"/>
    <w:autoRedefine/>
    <w:uiPriority w:val="99"/>
    <w:semiHidden/>
    <w:rsid w:val="005C1F33"/>
    <w:pPr>
      <w:widowControl w:val="0"/>
      <w:suppressAutoHyphens/>
      <w:autoSpaceDE w:val="0"/>
      <w:autoSpaceDN w:val="0"/>
      <w:adjustRightInd w:val="0"/>
      <w:spacing w:before="240" w:after="0" w:line="240" w:lineRule="auto"/>
      <w:jc w:val="center"/>
      <w:textAlignment w:val="center"/>
    </w:pPr>
    <w:rPr>
      <w:rFonts w:ascii="Times New Roman" w:hAnsi="Times New Roman" w:cs="ITC New Baskerville Std"/>
      <w:smallCaps/>
      <w:color w:val="000000"/>
      <w:sz w:val="24"/>
    </w:rPr>
  </w:style>
  <w:style w:type="paragraph" w:customStyle="1" w:styleId="appetext">
    <w:name w:val="app e text"/>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120"/>
      <w:ind w:firstLine="0"/>
      <w:textAlignment w:val="center"/>
    </w:pPr>
    <w:rPr>
      <w:rFonts w:eastAsiaTheme="minorEastAsia" w:cs="ITC New Baskerville Std"/>
      <w:color w:val="000000"/>
      <w:sz w:val="22"/>
      <w:szCs w:val="22"/>
    </w:rPr>
  </w:style>
  <w:style w:type="paragraph" w:customStyle="1" w:styleId="apptext">
    <w:name w:val="app text"/>
    <w:basedOn w:val="text"/>
    <w:autoRedefine/>
    <w:uiPriority w:val="99"/>
    <w:semiHidden/>
    <w:rsid w:val="005C1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textAlignment w:val="center"/>
    </w:pPr>
    <w:rPr>
      <w:rFonts w:cs="Times LT Std"/>
      <w:color w:val="000000"/>
      <w:szCs w:val="20"/>
    </w:rPr>
  </w:style>
  <w:style w:type="paragraph" w:customStyle="1" w:styleId="authorname">
    <w:name w:val="author name"/>
    <w:basedOn w:val="Normal"/>
    <w:autoRedefine/>
    <w:uiPriority w:val="99"/>
    <w:semiHidden/>
    <w:rsid w:val="005C1F33"/>
    <w:pPr>
      <w:widowControl w:val="0"/>
      <w:suppressAutoHyphens/>
      <w:autoSpaceDE w:val="0"/>
      <w:autoSpaceDN w:val="0"/>
      <w:adjustRightInd w:val="0"/>
      <w:spacing w:after="0" w:line="240" w:lineRule="auto"/>
      <w:textAlignment w:val="center"/>
    </w:pPr>
    <w:rPr>
      <w:rFonts w:ascii="Times New Roman" w:hAnsi="Times New Roman" w:cs="ITC New Baskerville Std"/>
      <w:i/>
      <w:iCs/>
      <w:color w:val="000000"/>
      <w:sz w:val="28"/>
      <w:szCs w:val="28"/>
    </w:rPr>
  </w:style>
  <w:style w:type="paragraph" w:customStyle="1" w:styleId="AuthorAffl">
    <w:name w:val="Author Affl"/>
    <w:basedOn w:val="authorname"/>
    <w:autoRedefine/>
    <w:uiPriority w:val="99"/>
    <w:semiHidden/>
    <w:qFormat/>
    <w:rsid w:val="005C1F33"/>
    <w:pPr>
      <w:spacing w:after="480" w:line="250" w:lineRule="atLeast"/>
      <w:jc w:val="center"/>
    </w:pPr>
    <w:rPr>
      <w:rFonts w:cs="Times LT Std"/>
      <w:sz w:val="24"/>
      <w:szCs w:val="23"/>
    </w:rPr>
  </w:style>
  <w:style w:type="paragraph" w:customStyle="1" w:styleId="AuthorName0">
    <w:name w:val="Author Name"/>
    <w:basedOn w:val="text"/>
    <w:autoRedefine/>
    <w:uiPriority w:val="99"/>
    <w:semiHidden/>
    <w:qFormat/>
    <w:rsid w:val="005C1F33"/>
    <w:pPr>
      <w:widowControl w:val="0"/>
      <w:tabs>
        <w:tab w:val="clear" w:pos="1440"/>
        <w:tab w:val="clear" w:pos="2160"/>
        <w:tab w:val="clear" w:pos="2880"/>
        <w:tab w:val="clear" w:pos="3600"/>
        <w:tab w:val="clear" w:pos="4320"/>
        <w:tab w:val="clear" w:pos="5040"/>
        <w:tab w:val="clear" w:pos="5760"/>
      </w:tabs>
      <w:suppressAutoHyphens/>
      <w:autoSpaceDE w:val="0"/>
      <w:autoSpaceDN w:val="0"/>
      <w:adjustRightInd w:val="0"/>
      <w:ind w:firstLine="0"/>
      <w:jc w:val="center"/>
      <w:textAlignment w:val="center"/>
    </w:pPr>
    <w:rPr>
      <w:rFonts w:eastAsiaTheme="minorEastAsia" w:cs="Times LT Std"/>
      <w:smallCaps/>
      <w:color w:val="000000"/>
      <w:szCs w:val="25"/>
    </w:rPr>
  </w:style>
  <w:style w:type="paragraph" w:customStyle="1" w:styleId="authornameSC">
    <w:name w:val="author name SC"/>
    <w:basedOn w:val="authorname"/>
    <w:autoRedefine/>
    <w:semiHidden/>
    <w:qFormat/>
    <w:rsid w:val="005C1F33"/>
    <w:pPr>
      <w:spacing w:after="240"/>
      <w:jc w:val="center"/>
    </w:pPr>
    <w:rPr>
      <w:rFonts w:cs="Times New Roman"/>
      <w:i w:val="0"/>
      <w:smallCaps/>
      <w:sz w:val="24"/>
    </w:rPr>
  </w:style>
  <w:style w:type="paragraph" w:customStyle="1" w:styleId="authortitle">
    <w:name w:val="author title"/>
    <w:basedOn w:val="Normal"/>
    <w:autoRedefine/>
    <w:uiPriority w:val="99"/>
    <w:semiHidden/>
    <w:rsid w:val="005C1F33"/>
    <w:pPr>
      <w:widowControl w:val="0"/>
      <w:suppressAutoHyphens/>
      <w:autoSpaceDE w:val="0"/>
      <w:autoSpaceDN w:val="0"/>
      <w:adjustRightInd w:val="0"/>
      <w:spacing w:after="240" w:line="240" w:lineRule="auto"/>
      <w:ind w:left="240"/>
      <w:textAlignment w:val="center"/>
    </w:pPr>
    <w:rPr>
      <w:rFonts w:ascii="Times New Roman" w:hAnsi="Times New Roman" w:cs="ITC New Baskerville Std"/>
      <w:i/>
      <w:iCs/>
      <w:color w:val="000000"/>
    </w:rPr>
  </w:style>
  <w:style w:type="paragraph" w:customStyle="1" w:styleId="block">
    <w:name w:val="block"/>
    <w:basedOn w:val="Normal"/>
    <w:autoRedefine/>
    <w:semiHidden/>
    <w:qFormat/>
    <w:rsid w:val="005C1F33"/>
    <w:pPr>
      <w:spacing w:before="240" w:after="240" w:line="240" w:lineRule="auto"/>
      <w:ind w:left="720" w:firstLine="720"/>
    </w:pPr>
    <w:rPr>
      <w:rFonts w:ascii="Times New Roman" w:hAnsi="Times New Roman"/>
      <w:sz w:val="20"/>
    </w:rPr>
  </w:style>
  <w:style w:type="paragraph" w:customStyle="1" w:styleId="block-f--">
    <w:name w:val="block-f/-/-"/>
    <w:basedOn w:val="Normal"/>
    <w:autoRedefine/>
    <w:semiHidden/>
    <w:qFormat/>
    <w:rsid w:val="005C1F33"/>
    <w:pPr>
      <w:spacing w:after="0" w:line="240" w:lineRule="auto"/>
      <w:ind w:left="720"/>
    </w:pPr>
    <w:rPr>
      <w:rFonts w:ascii="Times New Roman" w:hAnsi="Times New Roman"/>
      <w:sz w:val="20"/>
    </w:rPr>
  </w:style>
  <w:style w:type="paragraph" w:customStyle="1" w:styleId="block-p">
    <w:name w:val="block-p/+/+"/>
    <w:basedOn w:val="block-f--"/>
    <w:uiPriority w:val="99"/>
    <w:semiHidden/>
    <w:qFormat/>
    <w:rsid w:val="005C1F33"/>
    <w:pPr>
      <w:spacing w:before="240" w:after="240"/>
    </w:pPr>
  </w:style>
  <w:style w:type="paragraph" w:customStyle="1" w:styleId="block--">
    <w:name w:val="block- /+/-"/>
    <w:basedOn w:val="block-p"/>
    <w:autoRedefine/>
    <w:semiHidden/>
    <w:qFormat/>
    <w:rsid w:val="005C1F33"/>
    <w:pPr>
      <w:spacing w:after="0"/>
      <w:ind w:firstLine="720"/>
    </w:pPr>
  </w:style>
  <w:style w:type="paragraph" w:customStyle="1" w:styleId="block---">
    <w:name w:val="block- /-/-"/>
    <w:basedOn w:val="block--"/>
    <w:autoRedefine/>
    <w:semiHidden/>
    <w:qFormat/>
    <w:rsid w:val="005C1F33"/>
    <w:pPr>
      <w:spacing w:before="0"/>
    </w:pPr>
  </w:style>
  <w:style w:type="paragraph" w:customStyle="1" w:styleId="block2ndindent">
    <w:name w:val="block 2nd indent"/>
    <w:basedOn w:val="Normal"/>
    <w:autoRedefine/>
    <w:uiPriority w:val="99"/>
    <w:semiHidden/>
    <w:rsid w:val="005C1F33"/>
    <w:pPr>
      <w:widowControl w:val="0"/>
      <w:autoSpaceDE w:val="0"/>
      <w:autoSpaceDN w:val="0"/>
      <w:adjustRightInd w:val="0"/>
      <w:spacing w:after="0" w:line="240" w:lineRule="auto"/>
      <w:ind w:left="1440"/>
      <w:textAlignment w:val="center"/>
    </w:pPr>
    <w:rPr>
      <w:rFonts w:ascii="Times New Roman" w:hAnsi="Times New Roman" w:cs="ITC New Baskerville Std"/>
      <w:color w:val="000000"/>
      <w:sz w:val="20"/>
      <w:szCs w:val="20"/>
    </w:rPr>
  </w:style>
  <w:style w:type="paragraph" w:customStyle="1" w:styleId="block2ndindent-">
    <w:name w:val="block 2nd indent -/+"/>
    <w:basedOn w:val="Normal"/>
    <w:autoRedefine/>
    <w:uiPriority w:val="99"/>
    <w:semiHidden/>
    <w:rsid w:val="005C1F33"/>
    <w:pPr>
      <w:widowControl w:val="0"/>
      <w:autoSpaceDE w:val="0"/>
      <w:autoSpaceDN w:val="0"/>
      <w:adjustRightInd w:val="0"/>
      <w:spacing w:after="240" w:line="240" w:lineRule="auto"/>
      <w:ind w:left="1440"/>
      <w:textAlignment w:val="center"/>
    </w:pPr>
    <w:rPr>
      <w:rFonts w:ascii="Times New Roman" w:eastAsiaTheme="minorHAnsi" w:hAnsi="Times New Roman" w:cs="ITC New Baskerville Std"/>
      <w:color w:val="000000"/>
      <w:sz w:val="20"/>
      <w:szCs w:val="20"/>
    </w:rPr>
  </w:style>
  <w:style w:type="paragraph" w:customStyle="1" w:styleId="block2ndindent-6">
    <w:name w:val="block 2nd indent -/+ 6"/>
    <w:basedOn w:val="Normal"/>
    <w:autoRedefine/>
    <w:uiPriority w:val="99"/>
    <w:semiHidden/>
    <w:rsid w:val="005C1F33"/>
    <w:pPr>
      <w:widowControl w:val="0"/>
      <w:autoSpaceDE w:val="0"/>
      <w:autoSpaceDN w:val="0"/>
      <w:adjustRightInd w:val="0"/>
      <w:spacing w:after="120" w:line="240" w:lineRule="auto"/>
      <w:ind w:left="1440"/>
      <w:textAlignment w:val="center"/>
    </w:pPr>
    <w:rPr>
      <w:rFonts w:ascii="Times New Roman" w:hAnsi="Times New Roman" w:cs="ITC New Baskerville Std"/>
      <w:color w:val="000000"/>
      <w:sz w:val="20"/>
      <w:szCs w:val="20"/>
    </w:rPr>
  </w:style>
  <w:style w:type="paragraph" w:customStyle="1" w:styleId="block2ndindent-space">
    <w:name w:val="block 2nd indent -/+ space"/>
    <w:basedOn w:val="block2ndindent"/>
    <w:uiPriority w:val="99"/>
    <w:semiHidden/>
    <w:rsid w:val="005C1F33"/>
    <w:pPr>
      <w:spacing w:before="120"/>
    </w:pPr>
  </w:style>
  <w:style w:type="paragraph" w:customStyle="1" w:styleId="block2ndindentspace">
    <w:name w:val="block 2nd indent + space"/>
    <w:basedOn w:val="block2ndindent"/>
    <w:autoRedefine/>
    <w:uiPriority w:val="99"/>
    <w:semiHidden/>
    <w:rsid w:val="005C1F33"/>
    <w:pPr>
      <w:spacing w:before="120"/>
    </w:pPr>
  </w:style>
  <w:style w:type="paragraph" w:customStyle="1" w:styleId="block2ndindentnew-">
    <w:name w:val="block 2nd indent new -/+"/>
    <w:basedOn w:val="Normal"/>
    <w:autoRedefine/>
    <w:semiHidden/>
    <w:qFormat/>
    <w:rsid w:val="00B37064"/>
    <w:pPr>
      <w:spacing w:after="0" w:line="240" w:lineRule="auto"/>
      <w:ind w:left="1440"/>
    </w:pPr>
    <w:rPr>
      <w:rFonts w:ascii="Times New Roman" w:hAnsi="Times New Roman" w:cs="Times New Roman"/>
      <w:sz w:val="20"/>
    </w:rPr>
  </w:style>
  <w:style w:type="paragraph" w:customStyle="1" w:styleId="block2ndindentnl">
    <w:name w:val="block 2nd indent nl"/>
    <w:basedOn w:val="block2ndindent"/>
    <w:uiPriority w:val="99"/>
    <w:semiHidden/>
    <w:rsid w:val="005C1F33"/>
    <w:pPr>
      <w:tabs>
        <w:tab w:val="left" w:pos="1260"/>
      </w:tabs>
      <w:ind w:left="1920" w:hanging="480"/>
    </w:pPr>
  </w:style>
  <w:style w:type="paragraph" w:customStyle="1" w:styleId="block2ndindent0">
    <w:name w:val="block 2nd indent/+/+"/>
    <w:basedOn w:val="Normal"/>
    <w:autoRedefine/>
    <w:uiPriority w:val="99"/>
    <w:semiHidden/>
    <w:rsid w:val="005C1F33"/>
    <w:pPr>
      <w:spacing w:after="240" w:line="240" w:lineRule="auto"/>
      <w:ind w:left="1440" w:firstLine="720"/>
    </w:pPr>
    <w:rPr>
      <w:rFonts w:ascii="Times New Roman" w:eastAsiaTheme="minorHAnsi" w:hAnsi="Times New Roman"/>
      <w:sz w:val="20"/>
      <w:szCs w:val="24"/>
    </w:rPr>
  </w:style>
  <w:style w:type="paragraph" w:customStyle="1" w:styleId="block2ndindent-p">
    <w:name w:val="block 2nd indent-p"/>
    <w:basedOn w:val="block2ndindent"/>
    <w:autoRedefine/>
    <w:uiPriority w:val="99"/>
    <w:semiHidden/>
    <w:rsid w:val="005C1F33"/>
    <w:pPr>
      <w:ind w:firstLine="720"/>
    </w:pPr>
  </w:style>
  <w:style w:type="paragraph" w:customStyle="1" w:styleId="block3rdindent">
    <w:name w:val="block 3rd indent"/>
    <w:basedOn w:val="Normal"/>
    <w:autoRedefine/>
    <w:uiPriority w:val="99"/>
    <w:semiHidden/>
    <w:qFormat/>
    <w:rsid w:val="005C1F33"/>
    <w:pPr>
      <w:spacing w:after="240" w:line="240" w:lineRule="auto"/>
      <w:ind w:left="2160" w:firstLine="720"/>
    </w:pPr>
    <w:rPr>
      <w:rFonts w:ascii="Times New Roman" w:hAnsi="Times New Roman" w:cs="Times New Roman"/>
      <w:sz w:val="20"/>
    </w:rPr>
  </w:style>
  <w:style w:type="paragraph" w:customStyle="1" w:styleId="blockbullet">
    <w:name w:val="block bullet"/>
    <w:basedOn w:val="Normal"/>
    <w:autoRedefine/>
    <w:uiPriority w:val="99"/>
    <w:semiHidden/>
    <w:qFormat/>
    <w:rsid w:val="005C1F33"/>
    <w:pPr>
      <w:spacing w:after="0" w:line="240" w:lineRule="auto"/>
      <w:ind w:left="900" w:hanging="180"/>
    </w:pPr>
    <w:rPr>
      <w:rFonts w:ascii="Times New Roman" w:hAnsi="Times New Roman"/>
      <w:sz w:val="20"/>
    </w:rPr>
  </w:style>
  <w:style w:type="paragraph" w:customStyle="1" w:styleId="block-f">
    <w:name w:val="block-f +/+"/>
    <w:basedOn w:val="Normal"/>
    <w:autoRedefine/>
    <w:uiPriority w:val="99"/>
    <w:semiHidden/>
    <w:qFormat/>
    <w:rsid w:val="0042249A"/>
    <w:pPr>
      <w:spacing w:before="240" w:after="240" w:line="240" w:lineRule="auto"/>
      <w:ind w:left="720"/>
    </w:pPr>
    <w:rPr>
      <w:rFonts w:ascii="Times New Roman" w:hAnsi="Times New Roman"/>
      <w:sz w:val="20"/>
      <w:szCs w:val="24"/>
    </w:rPr>
  </w:style>
  <w:style w:type="paragraph" w:customStyle="1" w:styleId="blocknumberlist">
    <w:name w:val="block number list"/>
    <w:basedOn w:val="block-f"/>
    <w:autoRedefine/>
    <w:uiPriority w:val="99"/>
    <w:semiHidden/>
    <w:qFormat/>
    <w:rsid w:val="005C1F33"/>
    <w:pPr>
      <w:widowControl w:val="0"/>
      <w:tabs>
        <w:tab w:val="left" w:pos="1080"/>
      </w:tabs>
      <w:autoSpaceDE w:val="0"/>
      <w:autoSpaceDN w:val="0"/>
      <w:adjustRightInd w:val="0"/>
      <w:spacing w:before="0" w:after="0"/>
      <w:ind w:left="1440" w:hanging="360"/>
      <w:textAlignment w:val="center"/>
    </w:pPr>
    <w:rPr>
      <w:rFonts w:cs="ITC New Baskerville Std"/>
      <w:color w:val="000000"/>
      <w:szCs w:val="21"/>
    </w:rPr>
  </w:style>
  <w:style w:type="paragraph" w:customStyle="1" w:styleId="blocknumberlistnlii">
    <w:name w:val="block number list/nl/(ii)"/>
    <w:basedOn w:val="blocknumberlist"/>
    <w:autoRedefine/>
    <w:uiPriority w:val="99"/>
    <w:semiHidden/>
    <w:qFormat/>
    <w:rsid w:val="005C1F33"/>
    <w:pPr>
      <w:tabs>
        <w:tab w:val="left" w:pos="1400"/>
      </w:tabs>
      <w:ind w:left="2160"/>
    </w:pPr>
  </w:style>
  <w:style w:type="paragraph" w:customStyle="1" w:styleId="blocknumberlistnlii1">
    <w:name w:val="block number list nl/(ii)(1)"/>
    <w:basedOn w:val="blocknumberlistnlii"/>
    <w:autoRedefine/>
    <w:uiPriority w:val="99"/>
    <w:semiHidden/>
    <w:qFormat/>
    <w:rsid w:val="005C1F33"/>
  </w:style>
  <w:style w:type="paragraph" w:customStyle="1" w:styleId="blocknumberlistal">
    <w:name w:val="block number list/al"/>
    <w:basedOn w:val="Normal"/>
    <w:autoRedefine/>
    <w:semiHidden/>
    <w:qFormat/>
    <w:rsid w:val="005C1F33"/>
    <w:pPr>
      <w:widowControl w:val="0"/>
      <w:tabs>
        <w:tab w:val="left" w:pos="1200"/>
      </w:tabs>
      <w:autoSpaceDE w:val="0"/>
      <w:autoSpaceDN w:val="0"/>
      <w:adjustRightInd w:val="0"/>
      <w:spacing w:after="0" w:line="240" w:lineRule="auto"/>
      <w:ind w:left="1560" w:hanging="360"/>
      <w:textAlignment w:val="center"/>
    </w:pPr>
    <w:rPr>
      <w:rFonts w:ascii="Times New Roman" w:hAnsi="Times New Roman" w:cs="Times New Roman"/>
      <w:color w:val="000000"/>
      <w:sz w:val="20"/>
      <w:szCs w:val="20"/>
    </w:rPr>
  </w:style>
  <w:style w:type="paragraph" w:customStyle="1" w:styleId="blockquotenumberliststart">
    <w:name w:val="block quote number list start"/>
    <w:basedOn w:val="Normal"/>
    <w:autoRedefine/>
    <w:semiHidden/>
    <w:qFormat/>
    <w:rsid w:val="005C1F33"/>
    <w:pPr>
      <w:tabs>
        <w:tab w:val="left" w:pos="1200"/>
      </w:tabs>
      <w:spacing w:before="240" w:after="0" w:line="240" w:lineRule="auto"/>
      <w:ind w:left="1200" w:hanging="480"/>
    </w:pPr>
    <w:rPr>
      <w:rFonts w:ascii="Times New Roman" w:hAnsi="Times New Roman"/>
      <w:sz w:val="20"/>
      <w:szCs w:val="20"/>
    </w:rPr>
  </w:style>
  <w:style w:type="paragraph" w:customStyle="1" w:styleId="blocknumbernl">
    <w:name w:val="block number nl"/>
    <w:basedOn w:val="blockquotenumberliststart"/>
    <w:autoRedefine/>
    <w:semiHidden/>
    <w:qFormat/>
    <w:rsid w:val="005C1F33"/>
    <w:pPr>
      <w:spacing w:before="0"/>
    </w:pPr>
  </w:style>
  <w:style w:type="paragraph" w:customStyle="1" w:styleId="footnote">
    <w:name w:val="footnote"/>
    <w:basedOn w:val="Normal"/>
    <w:autoRedefine/>
    <w:uiPriority w:val="99"/>
    <w:semiHidden/>
    <w:qFormat/>
    <w:rsid w:val="005F0773"/>
    <w:pPr>
      <w:widowControl w:val="0"/>
      <w:spacing w:after="0" w:line="240" w:lineRule="auto"/>
      <w:ind w:firstLine="720"/>
    </w:pPr>
    <w:rPr>
      <w:rFonts w:ascii="Times New Roman" w:eastAsia="Times New Roman" w:hAnsi="Times New Roman" w:cs="Times New Roman"/>
      <w:sz w:val="20"/>
    </w:rPr>
  </w:style>
  <w:style w:type="paragraph" w:customStyle="1" w:styleId="blocknumbernlstart">
    <w:name w:val="block number nl start"/>
    <w:basedOn w:val="footnote"/>
    <w:autoRedefine/>
    <w:semiHidden/>
    <w:qFormat/>
    <w:rsid w:val="005C1F33"/>
    <w:pPr>
      <w:spacing w:before="240"/>
      <w:ind w:left="1200" w:hanging="480"/>
    </w:pPr>
  </w:style>
  <w:style w:type="paragraph" w:customStyle="1" w:styleId="blockp">
    <w:name w:val="block p +/+"/>
    <w:basedOn w:val="Normal"/>
    <w:autoRedefine/>
    <w:uiPriority w:val="99"/>
    <w:semiHidden/>
    <w:rsid w:val="005C1F33"/>
    <w:pPr>
      <w:widowControl w:val="0"/>
      <w:autoSpaceDE w:val="0"/>
      <w:autoSpaceDN w:val="0"/>
      <w:adjustRightInd w:val="0"/>
      <w:spacing w:before="240" w:after="240" w:line="240" w:lineRule="auto"/>
      <w:ind w:left="439" w:firstLine="439"/>
      <w:textAlignment w:val="center"/>
    </w:pPr>
    <w:rPr>
      <w:rFonts w:ascii="Times New Roman" w:hAnsi="Times New Roman" w:cs="ITC New Baskerville Std"/>
      <w:color w:val="000000"/>
      <w:sz w:val="20"/>
      <w:szCs w:val="20"/>
    </w:rPr>
  </w:style>
  <w:style w:type="paragraph" w:customStyle="1" w:styleId="blockquote">
    <w:name w:val="block quote"/>
    <w:basedOn w:val="Normal"/>
    <w:autoRedefine/>
    <w:uiPriority w:val="99"/>
    <w:semiHidden/>
    <w:qFormat/>
    <w:rsid w:val="000A5ADC"/>
    <w:pPr>
      <w:spacing w:before="240" w:after="240" w:line="240" w:lineRule="auto"/>
      <w:ind w:left="720"/>
    </w:pPr>
    <w:rPr>
      <w:rFonts w:ascii="Times New Roman" w:hAnsi="Times New Roman"/>
      <w:sz w:val="20"/>
      <w:szCs w:val="28"/>
    </w:rPr>
  </w:style>
  <w:style w:type="paragraph" w:customStyle="1" w:styleId="Blockquote0">
    <w:name w:val="Block quote"/>
    <w:basedOn w:val="text"/>
    <w:autoRedefine/>
    <w:uiPriority w:val="99"/>
    <w:semiHidden/>
    <w:rsid w:val="000F32E7"/>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ind w:left="720" w:firstLine="0"/>
      <w:jc w:val="both"/>
      <w:textAlignment w:val="center"/>
    </w:pPr>
    <w:rPr>
      <w:rFonts w:eastAsiaTheme="minorEastAsia" w:cs="NewCenturySchlbk"/>
      <w:color w:val="000000"/>
      <w:sz w:val="20"/>
      <w:szCs w:val="20"/>
    </w:rPr>
  </w:style>
  <w:style w:type="paragraph" w:customStyle="1" w:styleId="blockquotenoparaindent">
    <w:name w:val="block quote / no para indent"/>
    <w:basedOn w:val="Normal"/>
    <w:autoRedefine/>
    <w:uiPriority w:val="99"/>
    <w:semiHidden/>
    <w:rsid w:val="005C1F33"/>
    <w:pPr>
      <w:widowControl w:val="0"/>
      <w:autoSpaceDE w:val="0"/>
      <w:autoSpaceDN w:val="0"/>
      <w:adjustRightInd w:val="0"/>
      <w:spacing w:before="240" w:after="240" w:line="240" w:lineRule="auto"/>
      <w:ind w:left="720"/>
      <w:textAlignment w:val="center"/>
    </w:pPr>
    <w:rPr>
      <w:rFonts w:ascii="Times New Roman" w:hAnsi="Times New Roman" w:cs="ITC New Baskerville Std"/>
      <w:color w:val="000000"/>
      <w:sz w:val="20"/>
      <w:szCs w:val="20"/>
    </w:rPr>
  </w:style>
  <w:style w:type="paragraph" w:customStyle="1" w:styleId="block-f-">
    <w:name w:val="block-f +/-"/>
    <w:basedOn w:val="Normal"/>
    <w:autoRedefine/>
    <w:uiPriority w:val="99"/>
    <w:semiHidden/>
    <w:rsid w:val="005A194A"/>
    <w:pPr>
      <w:widowControl w:val="0"/>
      <w:autoSpaceDE w:val="0"/>
      <w:autoSpaceDN w:val="0"/>
      <w:adjustRightInd w:val="0"/>
      <w:spacing w:before="240" w:after="120" w:line="240" w:lineRule="auto"/>
      <w:ind w:left="720"/>
      <w:textAlignment w:val="center"/>
    </w:pPr>
    <w:rPr>
      <w:rFonts w:ascii="Times New Roman" w:hAnsi="Times New Roman" w:cs="ITC New Baskerville Std"/>
      <w:color w:val="000000"/>
      <w:sz w:val="20"/>
      <w:szCs w:val="20"/>
    </w:rPr>
  </w:style>
  <w:style w:type="paragraph" w:customStyle="1" w:styleId="blockquote16pt">
    <w:name w:val="block quote 1/6 pt"/>
    <w:basedOn w:val="block-f-"/>
    <w:autoRedefine/>
    <w:uiPriority w:val="99"/>
    <w:semiHidden/>
    <w:rsid w:val="005A194A"/>
  </w:style>
  <w:style w:type="paragraph" w:customStyle="1" w:styleId="blockquote2ndindent-2pt">
    <w:name w:val="block quote 2nd indent -/2 pt"/>
    <w:basedOn w:val="Normal"/>
    <w:autoRedefine/>
    <w:uiPriority w:val="99"/>
    <w:semiHidden/>
    <w:rsid w:val="005C1F33"/>
    <w:pPr>
      <w:widowControl w:val="0"/>
      <w:autoSpaceDE w:val="0"/>
      <w:autoSpaceDN w:val="0"/>
      <w:adjustRightInd w:val="0"/>
      <w:spacing w:after="0" w:line="240" w:lineRule="auto"/>
      <w:ind w:left="1440"/>
      <w:textAlignment w:val="center"/>
    </w:pPr>
    <w:rPr>
      <w:rFonts w:ascii="Times New Roman" w:hAnsi="Times New Roman" w:cs="Times LT Std"/>
      <w:color w:val="000000"/>
      <w:sz w:val="20"/>
      <w:szCs w:val="20"/>
    </w:rPr>
  </w:style>
  <w:style w:type="paragraph" w:customStyle="1" w:styleId="blockquote3rdindent">
    <w:name w:val="block quote 3rd indent"/>
    <w:basedOn w:val="Normal"/>
    <w:autoRedefine/>
    <w:uiPriority w:val="99"/>
    <w:semiHidden/>
    <w:rsid w:val="005C1F33"/>
    <w:pPr>
      <w:widowControl w:val="0"/>
      <w:autoSpaceDE w:val="0"/>
      <w:autoSpaceDN w:val="0"/>
      <w:adjustRightInd w:val="0"/>
      <w:spacing w:after="0" w:line="240" w:lineRule="auto"/>
      <w:ind w:left="2160"/>
      <w:textAlignment w:val="center"/>
    </w:pPr>
    <w:rPr>
      <w:rFonts w:ascii="Times New Roman" w:hAnsi="Times New Roman" w:cs="Times LT Std"/>
      <w:color w:val="000000"/>
      <w:sz w:val="20"/>
      <w:szCs w:val="20"/>
    </w:rPr>
  </w:style>
  <w:style w:type="paragraph" w:customStyle="1" w:styleId="blockquote62">
    <w:name w:val="block quote 6/2"/>
    <w:basedOn w:val="blockquote"/>
    <w:autoRedefine/>
    <w:uiPriority w:val="99"/>
    <w:semiHidden/>
    <w:rsid w:val="005C1F33"/>
    <w:pPr>
      <w:widowControl w:val="0"/>
      <w:autoSpaceDE w:val="0"/>
      <w:autoSpaceDN w:val="0"/>
      <w:adjustRightInd w:val="0"/>
      <w:spacing w:after="0"/>
      <w:textAlignment w:val="center"/>
    </w:pPr>
    <w:rPr>
      <w:rFonts w:cs="Times LT Std"/>
      <w:color w:val="000000"/>
    </w:rPr>
  </w:style>
  <w:style w:type="paragraph" w:customStyle="1" w:styleId="Blockquoteflush">
    <w:name w:val="Block quote flush"/>
    <w:basedOn w:val="Normal"/>
    <w:autoRedefine/>
    <w:uiPriority w:val="99"/>
    <w:semiHidden/>
    <w:rsid w:val="005C1F33"/>
    <w:pPr>
      <w:spacing w:before="240" w:after="240" w:line="240" w:lineRule="auto"/>
      <w:ind w:left="720"/>
    </w:pPr>
    <w:rPr>
      <w:rFonts w:ascii="Times New Roman" w:hAnsi="Times New Roman"/>
      <w:sz w:val="20"/>
      <w:szCs w:val="20"/>
    </w:rPr>
  </w:style>
  <w:style w:type="paragraph" w:customStyle="1" w:styleId="blockquotenumberlist">
    <w:name w:val="block quote number list"/>
    <w:basedOn w:val="blockquotenumberliststart"/>
    <w:autoRedefine/>
    <w:semiHidden/>
    <w:qFormat/>
    <w:rsid w:val="005C1F33"/>
    <w:pPr>
      <w:spacing w:before="0"/>
    </w:pPr>
  </w:style>
  <w:style w:type="paragraph" w:customStyle="1" w:styleId="blockquotelist1p6">
    <w:name w:val="block quote list 1p6"/>
    <w:basedOn w:val="blockquotenumberlist"/>
    <w:autoRedefine/>
    <w:uiPriority w:val="99"/>
    <w:semiHidden/>
    <w:rsid w:val="005C1F33"/>
    <w:pPr>
      <w:widowControl w:val="0"/>
      <w:tabs>
        <w:tab w:val="clear" w:pos="1200"/>
        <w:tab w:val="left" w:pos="760"/>
      </w:tabs>
      <w:autoSpaceDE w:val="0"/>
      <w:autoSpaceDN w:val="0"/>
      <w:adjustRightInd w:val="0"/>
      <w:ind w:left="1080" w:hanging="360"/>
      <w:textAlignment w:val="center"/>
    </w:pPr>
    <w:rPr>
      <w:rFonts w:cs="Times LT Std"/>
      <w:color w:val="000000"/>
    </w:rPr>
  </w:style>
  <w:style w:type="paragraph" w:customStyle="1" w:styleId="blockquotenumberlistend">
    <w:name w:val="block quote number list end"/>
    <w:basedOn w:val="Normal"/>
    <w:autoRedefine/>
    <w:semiHidden/>
    <w:qFormat/>
    <w:rsid w:val="005C1F33"/>
    <w:pPr>
      <w:tabs>
        <w:tab w:val="left" w:pos="1200"/>
      </w:tabs>
      <w:spacing w:after="240" w:line="240" w:lineRule="auto"/>
      <w:ind w:left="1200" w:hanging="480"/>
    </w:pPr>
    <w:rPr>
      <w:rFonts w:ascii="Times New Roman" w:hAnsi="Times New Roman"/>
      <w:sz w:val="20"/>
      <w:szCs w:val="20"/>
    </w:rPr>
  </w:style>
  <w:style w:type="paragraph" w:customStyle="1" w:styleId="blockquotepara02">
    <w:name w:val="block quote para 0/2"/>
    <w:basedOn w:val="Normal"/>
    <w:autoRedefine/>
    <w:uiPriority w:val="99"/>
    <w:semiHidden/>
    <w:rsid w:val="005C1F33"/>
    <w:pPr>
      <w:widowControl w:val="0"/>
      <w:autoSpaceDE w:val="0"/>
      <w:autoSpaceDN w:val="0"/>
      <w:adjustRightInd w:val="0"/>
      <w:spacing w:after="0" w:line="240" w:lineRule="auto"/>
      <w:ind w:left="720" w:firstLine="720"/>
      <w:textAlignment w:val="center"/>
    </w:pPr>
    <w:rPr>
      <w:rFonts w:ascii="Times New Roman" w:hAnsi="Times New Roman" w:cs="Times LT Std"/>
      <w:color w:val="000000"/>
      <w:sz w:val="20"/>
    </w:rPr>
  </w:style>
  <w:style w:type="paragraph" w:customStyle="1" w:styleId="blockquotepara06">
    <w:name w:val="block quote para 0/6"/>
    <w:basedOn w:val="Normal"/>
    <w:autoRedefine/>
    <w:uiPriority w:val="99"/>
    <w:semiHidden/>
    <w:rsid w:val="005C1F33"/>
    <w:pPr>
      <w:widowControl w:val="0"/>
      <w:autoSpaceDE w:val="0"/>
      <w:autoSpaceDN w:val="0"/>
      <w:adjustRightInd w:val="0"/>
      <w:spacing w:after="240" w:line="240" w:lineRule="auto"/>
      <w:ind w:left="720" w:firstLine="720"/>
      <w:textAlignment w:val="center"/>
    </w:pPr>
    <w:rPr>
      <w:rFonts w:ascii="Times New Roman" w:hAnsi="Times New Roman" w:cs="Times LT Std"/>
      <w:color w:val="000000"/>
      <w:sz w:val="20"/>
    </w:rPr>
  </w:style>
  <w:style w:type="paragraph" w:customStyle="1" w:styleId="blockquotepara62">
    <w:name w:val="block quote para 6/2"/>
    <w:basedOn w:val="Normal"/>
    <w:autoRedefine/>
    <w:uiPriority w:val="99"/>
    <w:semiHidden/>
    <w:rsid w:val="005C1F33"/>
    <w:pPr>
      <w:widowControl w:val="0"/>
      <w:autoSpaceDE w:val="0"/>
      <w:autoSpaceDN w:val="0"/>
      <w:adjustRightInd w:val="0"/>
      <w:spacing w:before="240" w:after="0" w:line="240" w:lineRule="auto"/>
      <w:ind w:left="720" w:firstLine="720"/>
      <w:textAlignment w:val="center"/>
    </w:pPr>
    <w:rPr>
      <w:rFonts w:ascii="Times New Roman" w:hAnsi="Times New Roman" w:cs="Times LT Std"/>
      <w:color w:val="000000"/>
      <w:sz w:val="20"/>
    </w:rPr>
  </w:style>
  <w:style w:type="paragraph" w:customStyle="1" w:styleId="block-p-">
    <w:name w:val="block-p/+/-"/>
    <w:basedOn w:val="block-p"/>
    <w:autoRedefine/>
    <w:semiHidden/>
    <w:qFormat/>
    <w:rsid w:val="005C1F33"/>
    <w:pPr>
      <w:spacing w:after="0"/>
      <w:ind w:firstLine="720"/>
    </w:pPr>
  </w:style>
  <w:style w:type="paragraph" w:customStyle="1" w:styleId="block-p--">
    <w:name w:val="block-p/-/-"/>
    <w:basedOn w:val="block-p-"/>
    <w:autoRedefine/>
    <w:semiHidden/>
    <w:qFormat/>
    <w:rsid w:val="005C1F33"/>
    <w:pPr>
      <w:spacing w:before="0"/>
    </w:pPr>
  </w:style>
  <w:style w:type="paragraph" w:customStyle="1" w:styleId="blockquote-f--">
    <w:name w:val="block quote-f /-/-"/>
    <w:basedOn w:val="block-p--"/>
    <w:autoRedefine/>
    <w:uiPriority w:val="99"/>
    <w:semiHidden/>
    <w:rsid w:val="005C1F33"/>
    <w:pPr>
      <w:widowControl w:val="0"/>
      <w:autoSpaceDE w:val="0"/>
      <w:autoSpaceDN w:val="0"/>
      <w:adjustRightInd w:val="0"/>
      <w:ind w:firstLine="0"/>
      <w:jc w:val="both"/>
      <w:textAlignment w:val="center"/>
    </w:pPr>
    <w:rPr>
      <w:rFonts w:cs="ITC New Baskerville Std"/>
      <w:color w:val="000000"/>
      <w:szCs w:val="20"/>
    </w:rPr>
  </w:style>
  <w:style w:type="paragraph" w:customStyle="1" w:styleId="blockquote-p">
    <w:name w:val="block quote-p"/>
    <w:basedOn w:val="Normal"/>
    <w:autoRedefine/>
    <w:semiHidden/>
    <w:qFormat/>
    <w:rsid w:val="005C1F33"/>
    <w:pPr>
      <w:spacing w:before="240" w:after="240" w:line="240" w:lineRule="auto"/>
      <w:ind w:left="720" w:firstLine="720"/>
    </w:pPr>
    <w:rPr>
      <w:rFonts w:ascii="Times New Roman" w:hAnsi="Times New Roman"/>
      <w:sz w:val="24"/>
    </w:rPr>
  </w:style>
  <w:style w:type="paragraph" w:customStyle="1" w:styleId="blockquote-p0">
    <w:name w:val="block quote-p +/+"/>
    <w:basedOn w:val="Normal"/>
    <w:autoRedefine/>
    <w:uiPriority w:val="99"/>
    <w:semiHidden/>
    <w:rsid w:val="005C1F33"/>
    <w:pPr>
      <w:widowControl w:val="0"/>
      <w:autoSpaceDE w:val="0"/>
      <w:autoSpaceDN w:val="0"/>
      <w:adjustRightInd w:val="0"/>
      <w:spacing w:before="240" w:after="240" w:line="240" w:lineRule="auto"/>
      <w:ind w:left="720" w:firstLine="720"/>
      <w:jc w:val="both"/>
      <w:textAlignment w:val="center"/>
    </w:pPr>
    <w:rPr>
      <w:rFonts w:ascii="Times New Roman" w:hAnsi="Times New Roman" w:cs="Times New Roman"/>
      <w:color w:val="000000"/>
      <w:sz w:val="20"/>
      <w:szCs w:val="20"/>
    </w:rPr>
  </w:style>
  <w:style w:type="paragraph" w:styleId="BlockText">
    <w:name w:val="Block Text"/>
    <w:basedOn w:val="Normal"/>
    <w:autoRedefine/>
    <w:uiPriority w:val="99"/>
    <w:semiHidden/>
    <w:rsid w:val="005C1F33"/>
    <w:pPr>
      <w:pBdr>
        <w:top w:val="single" w:sz="2" w:space="10" w:color="4472C4" w:themeColor="accent1" w:shadow="1" w:frame="1"/>
        <w:left w:val="single" w:sz="2" w:space="10" w:color="4472C4" w:themeColor="accent1" w:shadow="1" w:frame="1"/>
        <w:bottom w:val="single" w:sz="2" w:space="10" w:color="4472C4" w:themeColor="accent1" w:shadow="1" w:frame="1"/>
        <w:right w:val="single" w:sz="2" w:space="10" w:color="4472C4" w:themeColor="accent1" w:shadow="1" w:frame="1"/>
      </w:pBdr>
      <w:spacing w:before="240" w:after="240" w:line="240" w:lineRule="auto"/>
      <w:ind w:left="720" w:firstLine="720"/>
    </w:pPr>
    <w:rPr>
      <w:rFonts w:ascii="Times New Roman" w:hAnsi="Times New Roman"/>
      <w:i/>
      <w:iCs/>
      <w:sz w:val="20"/>
    </w:rPr>
  </w:style>
  <w:style w:type="paragraph" w:customStyle="1" w:styleId="block-bl">
    <w:name w:val="block-bl"/>
    <w:basedOn w:val="Normal"/>
    <w:autoRedefine/>
    <w:uiPriority w:val="99"/>
    <w:semiHidden/>
    <w:rsid w:val="005C1F33"/>
    <w:pPr>
      <w:widowControl w:val="0"/>
      <w:tabs>
        <w:tab w:val="left" w:pos="900"/>
      </w:tabs>
      <w:autoSpaceDE w:val="0"/>
      <w:autoSpaceDN w:val="0"/>
      <w:adjustRightInd w:val="0"/>
      <w:spacing w:after="0" w:line="240" w:lineRule="auto"/>
      <w:ind w:left="900" w:hanging="180"/>
      <w:textAlignment w:val="center"/>
    </w:pPr>
    <w:rPr>
      <w:rFonts w:ascii="Times New Roman" w:hAnsi="Times New Roman" w:cs="ITC New Baskerville Std"/>
      <w:color w:val="000000"/>
      <w:sz w:val="20"/>
      <w:szCs w:val="20"/>
    </w:rPr>
  </w:style>
  <w:style w:type="paragraph" w:customStyle="1" w:styleId="block-f--0">
    <w:name w:val="block-f -/-"/>
    <w:basedOn w:val="Normal"/>
    <w:autoRedefine/>
    <w:uiPriority w:val="99"/>
    <w:semiHidden/>
    <w:qFormat/>
    <w:rsid w:val="00622D6E"/>
    <w:pPr>
      <w:spacing w:after="0" w:line="240" w:lineRule="auto"/>
      <w:ind w:left="720"/>
    </w:pPr>
    <w:rPr>
      <w:rFonts w:ascii="Times New Roman" w:hAnsi="Times New Roman"/>
      <w:sz w:val="20"/>
    </w:rPr>
  </w:style>
  <w:style w:type="paragraph" w:customStyle="1" w:styleId="block-f-0">
    <w:name w:val="block-f/+/-"/>
    <w:basedOn w:val="Normal"/>
    <w:autoRedefine/>
    <w:semiHidden/>
    <w:qFormat/>
    <w:rsid w:val="005C1F33"/>
    <w:pPr>
      <w:spacing w:before="240" w:after="0" w:line="240" w:lineRule="auto"/>
      <w:ind w:left="720"/>
    </w:pPr>
    <w:rPr>
      <w:rFonts w:ascii="Times New Roman" w:hAnsi="Times New Roman"/>
      <w:sz w:val="20"/>
    </w:rPr>
  </w:style>
  <w:style w:type="paragraph" w:customStyle="1" w:styleId="block-f-1">
    <w:name w:val="block-f -/+"/>
    <w:basedOn w:val="block-f-0"/>
    <w:autoRedefine/>
    <w:uiPriority w:val="99"/>
    <w:semiHidden/>
    <w:qFormat/>
    <w:rsid w:val="005C1F33"/>
    <w:pPr>
      <w:spacing w:before="0" w:after="240"/>
    </w:pPr>
  </w:style>
  <w:style w:type="paragraph" w:customStyle="1" w:styleId="block-f-6">
    <w:name w:val="block-f -/6"/>
    <w:basedOn w:val="block-f-"/>
    <w:autoRedefine/>
    <w:uiPriority w:val="99"/>
    <w:semiHidden/>
    <w:rsid w:val="005A194A"/>
    <w:pPr>
      <w:spacing w:before="0"/>
    </w:pPr>
  </w:style>
  <w:style w:type="paragraph" w:customStyle="1" w:styleId="block-f-6pt">
    <w:name w:val="block-f -/6 pt"/>
    <w:basedOn w:val="block-f-"/>
    <w:autoRedefine/>
    <w:uiPriority w:val="99"/>
    <w:semiHidden/>
    <w:qFormat/>
    <w:rsid w:val="005C1F33"/>
    <w:pPr>
      <w:spacing w:before="120"/>
      <w:ind w:left="439"/>
    </w:pPr>
    <w:rPr>
      <w:szCs w:val="21"/>
    </w:rPr>
  </w:style>
  <w:style w:type="paragraph" w:customStyle="1" w:styleId="Block-f-2">
    <w:name w:val="Block-f +/-"/>
    <w:basedOn w:val="blockquote"/>
    <w:autoRedefine/>
    <w:uiPriority w:val="99"/>
    <w:semiHidden/>
    <w:rsid w:val="007F72D1"/>
    <w:pPr>
      <w:widowControl w:val="0"/>
      <w:autoSpaceDE w:val="0"/>
      <w:autoSpaceDN w:val="0"/>
      <w:adjustRightInd w:val="0"/>
      <w:spacing w:after="0"/>
      <w:textAlignment w:val="center"/>
    </w:pPr>
    <w:rPr>
      <w:rFonts w:cs="NewCenturySchlbk"/>
      <w:color w:val="000000"/>
      <w:szCs w:val="20"/>
    </w:rPr>
  </w:style>
  <w:style w:type="paragraph" w:customStyle="1" w:styleId="Block-f0">
    <w:name w:val="Block-f +/+"/>
    <w:basedOn w:val="Normal"/>
    <w:autoRedefine/>
    <w:semiHidden/>
    <w:qFormat/>
    <w:rsid w:val="005C1F33"/>
    <w:pPr>
      <w:spacing w:before="240" w:after="240" w:line="240" w:lineRule="auto"/>
      <w:ind w:left="720"/>
    </w:pPr>
    <w:rPr>
      <w:rFonts w:ascii="Times New Roman" w:hAnsi="Times New Roman"/>
      <w:sz w:val="20"/>
    </w:rPr>
  </w:style>
  <w:style w:type="paragraph" w:customStyle="1" w:styleId="block-f-3">
    <w:name w:val="block-f/-/+"/>
    <w:basedOn w:val="block-f-0"/>
    <w:autoRedefine/>
    <w:semiHidden/>
    <w:qFormat/>
    <w:rsid w:val="005C1F33"/>
    <w:pPr>
      <w:spacing w:before="0" w:after="240"/>
    </w:pPr>
  </w:style>
  <w:style w:type="paragraph" w:customStyle="1" w:styleId="block-p-0">
    <w:name w:val="block-p -/+"/>
    <w:basedOn w:val="Normal"/>
    <w:autoRedefine/>
    <w:uiPriority w:val="99"/>
    <w:semiHidden/>
    <w:qFormat/>
    <w:rsid w:val="005C1F33"/>
    <w:pPr>
      <w:spacing w:after="240" w:line="240" w:lineRule="auto"/>
      <w:ind w:left="720" w:firstLine="720"/>
    </w:pPr>
    <w:rPr>
      <w:rFonts w:ascii="Times New Roman" w:hAnsi="Times New Roman"/>
      <w:sz w:val="20"/>
    </w:rPr>
  </w:style>
  <w:style w:type="paragraph" w:customStyle="1" w:styleId="block-p--0">
    <w:name w:val="block-p -/-"/>
    <w:basedOn w:val="block-p-0"/>
    <w:autoRedefine/>
    <w:uiPriority w:val="99"/>
    <w:semiHidden/>
    <w:qFormat/>
    <w:rsid w:val="005C1F33"/>
    <w:pPr>
      <w:spacing w:after="0"/>
    </w:pPr>
  </w:style>
  <w:style w:type="paragraph" w:customStyle="1" w:styleId="Block-p-1">
    <w:name w:val="Block-p -/+"/>
    <w:basedOn w:val="Normal"/>
    <w:autoRedefine/>
    <w:uiPriority w:val="99"/>
    <w:semiHidden/>
    <w:rsid w:val="005C1F33"/>
    <w:pPr>
      <w:widowControl w:val="0"/>
      <w:autoSpaceDE w:val="0"/>
      <w:autoSpaceDN w:val="0"/>
      <w:adjustRightInd w:val="0"/>
      <w:spacing w:after="240" w:line="240" w:lineRule="auto"/>
      <w:ind w:left="720" w:firstLine="720"/>
      <w:textAlignment w:val="center"/>
    </w:pPr>
    <w:rPr>
      <w:rFonts w:ascii="Times New Roman" w:hAnsi="Times New Roman" w:cs="NewCenturySchlbk"/>
      <w:color w:val="000000"/>
      <w:sz w:val="20"/>
      <w:szCs w:val="20"/>
    </w:rPr>
  </w:style>
  <w:style w:type="paragraph" w:customStyle="1" w:styleId="block-p-6">
    <w:name w:val="block-p -/6"/>
    <w:basedOn w:val="block-p-0"/>
    <w:autoRedefine/>
    <w:uiPriority w:val="99"/>
    <w:semiHidden/>
    <w:rsid w:val="005C1F33"/>
    <w:pPr>
      <w:widowControl w:val="0"/>
      <w:autoSpaceDE w:val="0"/>
      <w:autoSpaceDN w:val="0"/>
      <w:adjustRightInd w:val="0"/>
      <w:spacing w:after="120"/>
      <w:textAlignment w:val="center"/>
    </w:pPr>
    <w:rPr>
      <w:rFonts w:cs="ITC New Baskerville Std"/>
      <w:color w:val="000000"/>
      <w:szCs w:val="20"/>
    </w:rPr>
  </w:style>
  <w:style w:type="paragraph" w:customStyle="1" w:styleId="block-p-2">
    <w:name w:val="block-p +/-"/>
    <w:basedOn w:val="Normal"/>
    <w:autoRedefine/>
    <w:uiPriority w:val="99"/>
    <w:semiHidden/>
    <w:qFormat/>
    <w:rsid w:val="005D1D9F"/>
    <w:pPr>
      <w:spacing w:before="240" w:after="0" w:line="240" w:lineRule="auto"/>
      <w:ind w:left="720" w:firstLine="720"/>
    </w:pPr>
    <w:rPr>
      <w:rFonts w:ascii="Times New Roman" w:hAnsi="Times New Roman"/>
      <w:sz w:val="20"/>
    </w:rPr>
  </w:style>
  <w:style w:type="paragraph" w:customStyle="1" w:styleId="Block-p0">
    <w:name w:val="Block-p +/+"/>
    <w:basedOn w:val="Block-f0"/>
    <w:autoRedefine/>
    <w:semiHidden/>
    <w:qFormat/>
    <w:rsid w:val="005C1F33"/>
    <w:pPr>
      <w:ind w:firstLine="720"/>
    </w:pPr>
  </w:style>
  <w:style w:type="paragraph" w:customStyle="1" w:styleId="block-p1">
    <w:name w:val="block-p +/+"/>
    <w:basedOn w:val="Normal"/>
    <w:autoRedefine/>
    <w:uiPriority w:val="99"/>
    <w:semiHidden/>
    <w:qFormat/>
    <w:rsid w:val="005C1F33"/>
    <w:pPr>
      <w:spacing w:before="240" w:after="240" w:line="240" w:lineRule="auto"/>
      <w:ind w:left="720" w:firstLine="720"/>
    </w:pPr>
    <w:rPr>
      <w:rFonts w:ascii="Times New Roman" w:hAnsi="Times New Roman" w:cs="Times New Roman"/>
      <w:sz w:val="20"/>
    </w:rPr>
  </w:style>
  <w:style w:type="paragraph" w:customStyle="1" w:styleId="block-p16pt">
    <w:name w:val="block-p 1/6 pt"/>
    <w:basedOn w:val="Normal"/>
    <w:autoRedefine/>
    <w:uiPriority w:val="99"/>
    <w:semiHidden/>
    <w:rsid w:val="005C1F33"/>
    <w:pPr>
      <w:widowControl w:val="0"/>
      <w:autoSpaceDE w:val="0"/>
      <w:autoSpaceDN w:val="0"/>
      <w:adjustRightInd w:val="0"/>
      <w:spacing w:before="240" w:after="120" w:line="240" w:lineRule="auto"/>
      <w:ind w:left="720" w:firstLine="720"/>
      <w:textAlignment w:val="center"/>
    </w:pPr>
    <w:rPr>
      <w:rFonts w:ascii="Times New Roman" w:hAnsi="Times New Roman" w:cs="ITC New Baskerville Std"/>
      <w:color w:val="000000"/>
      <w:sz w:val="20"/>
      <w:szCs w:val="20"/>
    </w:rPr>
  </w:style>
  <w:style w:type="paragraph" w:customStyle="1" w:styleId="block-p--3p4para">
    <w:name w:val="block-p/-/- 3p4 para"/>
    <w:basedOn w:val="block-p--"/>
    <w:autoRedefine/>
    <w:uiPriority w:val="99"/>
    <w:semiHidden/>
    <w:rsid w:val="005C1F33"/>
    <w:pPr>
      <w:widowControl w:val="0"/>
      <w:autoSpaceDE w:val="0"/>
      <w:autoSpaceDN w:val="0"/>
      <w:adjustRightInd w:val="0"/>
      <w:ind w:firstLine="1440"/>
      <w:jc w:val="both"/>
      <w:textAlignment w:val="center"/>
    </w:pPr>
    <w:rPr>
      <w:rFonts w:cs="ITC New Baskerville Std"/>
      <w:color w:val="000000"/>
      <w:szCs w:val="20"/>
    </w:rPr>
  </w:style>
  <w:style w:type="paragraph" w:customStyle="1" w:styleId="block-p-3">
    <w:name w:val="block-p/-/+"/>
    <w:basedOn w:val="Normal"/>
    <w:autoRedefine/>
    <w:semiHidden/>
    <w:qFormat/>
    <w:rsid w:val="005C1F33"/>
    <w:pPr>
      <w:spacing w:after="240" w:line="240" w:lineRule="auto"/>
      <w:ind w:left="720" w:firstLine="720"/>
    </w:pPr>
    <w:rPr>
      <w:rFonts w:ascii="Times New Roman" w:hAnsi="Times New Roman"/>
      <w:sz w:val="20"/>
    </w:rPr>
  </w:style>
  <w:style w:type="paragraph" w:customStyle="1" w:styleId="boldflush">
    <w:name w:val="bold flush"/>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ITC New Baskerville Std"/>
      <w:b/>
      <w:bCs/>
      <w:color w:val="000000"/>
      <w:szCs w:val="22"/>
    </w:rPr>
  </w:style>
  <w:style w:type="paragraph" w:customStyle="1" w:styleId="boldhead">
    <w:name w:val="bold head"/>
    <w:basedOn w:val="text"/>
    <w:autoRedefine/>
    <w:uiPriority w:val="99"/>
    <w:semiHidden/>
    <w:rsid w:val="005C1F33"/>
    <w:pPr>
      <w:widowControl w:val="0"/>
      <w:tabs>
        <w:tab w:val="clear" w:pos="4320"/>
        <w:tab w:val="clear" w:pos="5040"/>
        <w:tab w:val="clear" w:pos="5760"/>
        <w:tab w:val="left" w:pos="360"/>
        <w:tab w:val="left" w:pos="1080"/>
        <w:tab w:val="left" w:pos="1800"/>
      </w:tabs>
      <w:suppressAutoHyphen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flush">
    <w:name w:val="text flush"/>
    <w:basedOn w:val="Normal"/>
    <w:autoRedefine/>
    <w:uiPriority w:val="99"/>
    <w:semiHidden/>
    <w:qFormat/>
    <w:rsid w:val="005C1F33"/>
    <w:pPr>
      <w:spacing w:after="0" w:line="240" w:lineRule="auto"/>
    </w:pPr>
    <w:rPr>
      <w:rFonts w:ascii="Times New Roman" w:eastAsia="Calibri" w:hAnsi="Times New Roman" w:cs="ITC New Baskerville Std"/>
      <w:color w:val="000000"/>
      <w:sz w:val="24"/>
      <w:szCs w:val="24"/>
    </w:rPr>
  </w:style>
  <w:style w:type="paragraph" w:customStyle="1" w:styleId="boldheadflush">
    <w:name w:val="bold head flush"/>
    <w:basedOn w:val="textflush"/>
    <w:autoRedefine/>
    <w:uiPriority w:val="99"/>
    <w:semiHidden/>
    <w:rsid w:val="005C1F33"/>
    <w:pPr>
      <w:widowControl w:val="0"/>
      <w:suppressAutoHyphens/>
      <w:autoSpaceDE w:val="0"/>
      <w:autoSpaceDN w:val="0"/>
      <w:adjustRightInd w:val="0"/>
      <w:spacing w:before="240" w:after="240"/>
      <w:textAlignment w:val="center"/>
    </w:pPr>
    <w:rPr>
      <w:rFonts w:eastAsiaTheme="minorEastAsia"/>
      <w:b/>
      <w:bCs/>
      <w:szCs w:val="22"/>
    </w:rPr>
  </w:style>
  <w:style w:type="paragraph" w:customStyle="1" w:styleId="bolditalicflushheadA">
    <w:name w:val="bold italic flush head A."/>
    <w:basedOn w:val="Normal"/>
    <w:autoRedefine/>
    <w:uiPriority w:val="99"/>
    <w:semiHidden/>
    <w:rsid w:val="005C1F33"/>
    <w:pPr>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ITC New Baskerville Std"/>
      <w:b/>
      <w:bCs/>
      <w:i/>
      <w:iCs/>
      <w:color w:val="000000"/>
    </w:rPr>
  </w:style>
  <w:style w:type="paragraph" w:customStyle="1" w:styleId="boldnumberlist">
    <w:name w:val="bold number list"/>
    <w:basedOn w:val="textflush"/>
    <w:autoRedefine/>
    <w:uiPriority w:val="99"/>
    <w:semiHidden/>
    <w:rsid w:val="005C1F33"/>
    <w:pPr>
      <w:widowControl w:val="0"/>
      <w:tabs>
        <w:tab w:val="left" w:pos="420"/>
      </w:tabs>
      <w:autoSpaceDE w:val="0"/>
      <w:autoSpaceDN w:val="0"/>
      <w:adjustRightInd w:val="0"/>
      <w:spacing w:before="60"/>
      <w:ind w:left="420" w:hanging="420"/>
      <w:textAlignment w:val="center"/>
    </w:pPr>
    <w:rPr>
      <w:rFonts w:eastAsiaTheme="minorEastAsia" w:cs="Times LT Std"/>
      <w:b/>
      <w:bCs/>
      <w:szCs w:val="22"/>
    </w:rPr>
  </w:style>
  <w:style w:type="paragraph" w:customStyle="1" w:styleId="bulletliststart">
    <w:name w:val="bullet list start"/>
    <w:basedOn w:val="Normal"/>
    <w:autoRedefine/>
    <w:uiPriority w:val="99"/>
    <w:semiHidden/>
    <w:qFormat/>
    <w:rsid w:val="005C1F33"/>
    <w:pPr>
      <w:spacing w:before="240" w:after="0" w:line="240" w:lineRule="auto"/>
      <w:ind w:left="619" w:hanging="180"/>
    </w:pPr>
    <w:rPr>
      <w:rFonts w:ascii="Times New Roman" w:hAnsi="Times New Roman"/>
      <w:sz w:val="24"/>
    </w:rPr>
  </w:style>
  <w:style w:type="paragraph" w:customStyle="1" w:styleId="bullet">
    <w:name w:val="bullet"/>
    <w:basedOn w:val="bulletliststart"/>
    <w:autoRedefine/>
    <w:uiPriority w:val="99"/>
    <w:semiHidden/>
    <w:qFormat/>
    <w:rsid w:val="00D942B2"/>
    <w:pPr>
      <w:spacing w:before="0"/>
    </w:pPr>
    <w:rPr>
      <w:rFonts w:eastAsia="Times New Roman" w:cs="Times New Roman"/>
    </w:rPr>
  </w:style>
  <w:style w:type="paragraph" w:customStyle="1" w:styleId="bulletdash">
    <w:name w:val="bullet dash"/>
    <w:basedOn w:val="Normal"/>
    <w:autoRedefine/>
    <w:uiPriority w:val="99"/>
    <w:semiHidden/>
    <w:rsid w:val="005C1F33"/>
    <w:pPr>
      <w:widowControl w:val="0"/>
      <w:tabs>
        <w:tab w:val="left" w:pos="900"/>
      </w:tabs>
      <w:autoSpaceDE w:val="0"/>
      <w:autoSpaceDN w:val="0"/>
      <w:adjustRightInd w:val="0"/>
      <w:spacing w:after="0" w:line="240" w:lineRule="auto"/>
      <w:ind w:left="900" w:hanging="180"/>
      <w:jc w:val="both"/>
      <w:textAlignment w:val="center"/>
    </w:pPr>
    <w:rPr>
      <w:rFonts w:ascii="Times New Roman" w:hAnsi="Times New Roman" w:cs="Times LT Std"/>
      <w:color w:val="000000"/>
      <w:sz w:val="24"/>
    </w:rPr>
  </w:style>
  <w:style w:type="paragraph" w:customStyle="1" w:styleId="bulletend">
    <w:name w:val="bullet end"/>
    <w:basedOn w:val="Normal"/>
    <w:autoRedefine/>
    <w:uiPriority w:val="99"/>
    <w:semiHidden/>
    <w:rsid w:val="005C1F33"/>
    <w:pPr>
      <w:spacing w:after="240" w:line="240" w:lineRule="auto"/>
      <w:ind w:left="619" w:hanging="180"/>
    </w:pPr>
    <w:rPr>
      <w:rFonts w:ascii="Times New Roman" w:hAnsi="Times New Roman" w:cs="Times New Roman"/>
      <w:sz w:val="24"/>
    </w:rPr>
  </w:style>
  <w:style w:type="paragraph" w:customStyle="1" w:styleId="bulletlist">
    <w:name w:val="bullet list"/>
    <w:basedOn w:val="bulletliststart"/>
    <w:autoRedefine/>
    <w:uiPriority w:val="99"/>
    <w:semiHidden/>
    <w:qFormat/>
    <w:rsid w:val="005C1F33"/>
    <w:pPr>
      <w:spacing w:before="0"/>
    </w:pPr>
  </w:style>
  <w:style w:type="paragraph" w:customStyle="1" w:styleId="BulletList0">
    <w:name w:val="Bullet List"/>
    <w:basedOn w:val="Normal"/>
    <w:autoRedefine/>
    <w:semiHidden/>
    <w:qFormat/>
    <w:rsid w:val="005C1F33"/>
    <w:pPr>
      <w:spacing w:after="0" w:line="240" w:lineRule="auto"/>
      <w:ind w:left="619" w:hanging="180"/>
    </w:pPr>
    <w:rPr>
      <w:rFonts w:ascii="Times New Roman" w:hAnsi="Times New Roman"/>
      <w:sz w:val="24"/>
    </w:rPr>
  </w:style>
  <w:style w:type="paragraph" w:customStyle="1" w:styleId="bulletlistend">
    <w:name w:val="bullet list end"/>
    <w:basedOn w:val="bulletlist"/>
    <w:autoRedefine/>
    <w:uiPriority w:val="99"/>
    <w:semiHidden/>
    <w:qFormat/>
    <w:rsid w:val="00D942B2"/>
    <w:pPr>
      <w:spacing w:after="240"/>
    </w:pPr>
  </w:style>
  <w:style w:type="paragraph" w:customStyle="1" w:styleId="bulletlistspaceabove">
    <w:name w:val="bullet list space above"/>
    <w:basedOn w:val="bulletlist"/>
    <w:autoRedefine/>
    <w:uiPriority w:val="99"/>
    <w:semiHidden/>
    <w:rsid w:val="005C1F33"/>
    <w:pPr>
      <w:widowControl w:val="0"/>
      <w:tabs>
        <w:tab w:val="left" w:pos="660"/>
      </w:tabs>
      <w:autoSpaceDE w:val="0"/>
      <w:autoSpaceDN w:val="0"/>
      <w:adjustRightInd w:val="0"/>
      <w:spacing w:before="240"/>
      <w:textAlignment w:val="center"/>
    </w:pPr>
    <w:rPr>
      <w:rFonts w:cs="ITC New Baskerville Std"/>
      <w:color w:val="000000"/>
      <w:szCs w:val="24"/>
    </w:rPr>
  </w:style>
  <w:style w:type="paragraph" w:customStyle="1" w:styleId="bulletlistblpnl">
    <w:name w:val="bullet list/ bl/pnl"/>
    <w:basedOn w:val="bulletlist"/>
    <w:autoRedefine/>
    <w:uiPriority w:val="99"/>
    <w:semiHidden/>
    <w:rsid w:val="005C1F33"/>
    <w:pPr>
      <w:widowControl w:val="0"/>
      <w:tabs>
        <w:tab w:val="left" w:pos="1140"/>
      </w:tabs>
      <w:autoSpaceDE w:val="0"/>
      <w:autoSpaceDN w:val="0"/>
      <w:adjustRightInd w:val="0"/>
      <w:ind w:left="1140" w:hanging="480"/>
      <w:textAlignment w:val="center"/>
    </w:pPr>
    <w:rPr>
      <w:rFonts w:cs="Times LT Std"/>
      <w:color w:val="000000"/>
    </w:rPr>
  </w:style>
  <w:style w:type="paragraph" w:customStyle="1" w:styleId="bulletnumberbullet">
    <w:name w:val="bullet number/bullet"/>
    <w:basedOn w:val="Normal"/>
    <w:autoRedefine/>
    <w:uiPriority w:val="99"/>
    <w:semiHidden/>
    <w:rsid w:val="005C1F33"/>
    <w:pPr>
      <w:widowControl w:val="0"/>
      <w:tabs>
        <w:tab w:val="left" w:pos="940"/>
      </w:tabs>
      <w:autoSpaceDE w:val="0"/>
      <w:autoSpaceDN w:val="0"/>
      <w:adjustRightInd w:val="0"/>
      <w:spacing w:after="0" w:line="240" w:lineRule="auto"/>
      <w:ind w:left="941" w:hanging="180"/>
      <w:textAlignment w:val="center"/>
    </w:pPr>
    <w:rPr>
      <w:rFonts w:ascii="Times New Roman" w:hAnsi="Times New Roman" w:cs="Times LT Std"/>
      <w:color w:val="000000"/>
      <w:sz w:val="20"/>
      <w:szCs w:val="20"/>
    </w:rPr>
  </w:style>
  <w:style w:type="paragraph" w:customStyle="1" w:styleId="bulletspaceabove">
    <w:name w:val="bullet space above"/>
    <w:basedOn w:val="Normal"/>
    <w:autoRedefine/>
    <w:uiPriority w:val="99"/>
    <w:semiHidden/>
    <w:qFormat/>
    <w:rsid w:val="005C1F33"/>
    <w:pPr>
      <w:spacing w:before="240" w:after="0" w:line="240" w:lineRule="auto"/>
      <w:ind w:left="619" w:hanging="180"/>
    </w:pPr>
    <w:rPr>
      <w:rFonts w:ascii="Times New Roman" w:hAnsi="Times New Roman"/>
      <w:sz w:val="24"/>
    </w:rPr>
  </w:style>
  <w:style w:type="paragraph" w:customStyle="1" w:styleId="bulletspacebelow">
    <w:name w:val="bullet space below"/>
    <w:basedOn w:val="bulletspaceabove"/>
    <w:autoRedefine/>
    <w:semiHidden/>
    <w:qFormat/>
    <w:rsid w:val="005C1F33"/>
    <w:pPr>
      <w:spacing w:before="0" w:after="240"/>
    </w:pPr>
  </w:style>
  <w:style w:type="paragraph" w:customStyle="1" w:styleId="bulletstart">
    <w:name w:val="bullet start"/>
    <w:basedOn w:val="bullet"/>
    <w:autoRedefine/>
    <w:uiPriority w:val="99"/>
    <w:semiHidden/>
    <w:rsid w:val="005C1F33"/>
    <w:pPr>
      <w:widowControl w:val="0"/>
      <w:tabs>
        <w:tab w:val="left" w:pos="620"/>
      </w:tabs>
      <w:autoSpaceDE w:val="0"/>
      <w:autoSpaceDN w:val="0"/>
      <w:adjustRightInd w:val="0"/>
      <w:spacing w:before="240"/>
      <w:jc w:val="both"/>
      <w:textAlignment w:val="center"/>
    </w:pPr>
    <w:rPr>
      <w:rFonts w:cs="ITC New Baskerville Std"/>
      <w:color w:val="000000"/>
    </w:rPr>
  </w:style>
  <w:style w:type="paragraph" w:customStyle="1" w:styleId="bulletbullet">
    <w:name w:val="bullet/bullet"/>
    <w:basedOn w:val="bulletlist"/>
    <w:autoRedefine/>
    <w:uiPriority w:val="99"/>
    <w:semiHidden/>
    <w:rsid w:val="005C1F33"/>
    <w:pPr>
      <w:widowControl w:val="0"/>
      <w:tabs>
        <w:tab w:val="left" w:pos="800"/>
      </w:tabs>
      <w:autoSpaceDE w:val="0"/>
      <w:autoSpaceDN w:val="0"/>
      <w:adjustRightInd w:val="0"/>
      <w:ind w:left="1080"/>
      <w:textAlignment w:val="center"/>
    </w:pPr>
    <w:rPr>
      <w:rFonts w:cs="Times LT Std"/>
      <w:color w:val="000000"/>
    </w:rPr>
  </w:style>
  <w:style w:type="paragraph" w:customStyle="1" w:styleId="bulletdash0">
    <w:name w:val="bullet/dash"/>
    <w:basedOn w:val="Normal"/>
    <w:autoRedefine/>
    <w:semiHidden/>
    <w:qFormat/>
    <w:rsid w:val="005C1F33"/>
    <w:pPr>
      <w:tabs>
        <w:tab w:val="left" w:pos="900"/>
      </w:tabs>
      <w:spacing w:after="0" w:line="240" w:lineRule="auto"/>
      <w:ind w:left="900" w:hanging="180"/>
    </w:pPr>
    <w:rPr>
      <w:rFonts w:ascii="Times New Roman" w:hAnsi="Times New Roman"/>
      <w:sz w:val="24"/>
    </w:rPr>
  </w:style>
  <w:style w:type="paragraph" w:customStyle="1" w:styleId="caseheadbolditalic">
    <w:name w:val="case head (bold italic)"/>
    <w:basedOn w:val="text"/>
    <w:autoRedefine/>
    <w:uiPriority w:val="99"/>
    <w:semiHidden/>
    <w:rsid w:val="005C1F33"/>
    <w:pPr>
      <w:keepNext/>
      <w:widowControl w:val="0"/>
      <w:tabs>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b/>
      <w:bCs/>
      <w:i/>
      <w:iCs/>
      <w:color w:val="000000"/>
      <w:szCs w:val="22"/>
    </w:rPr>
  </w:style>
  <w:style w:type="paragraph" w:customStyle="1" w:styleId="caseheadunderscore">
    <w:name w:val="case head (underscore)"/>
    <w:basedOn w:val="text"/>
    <w:autoRedefine/>
    <w:uiPriority w:val="99"/>
    <w:semiHidden/>
    <w:rsid w:val="005C1F33"/>
    <w:pPr>
      <w:keepNext/>
      <w:widowControl w:val="0"/>
      <w:tabs>
        <w:tab w:val="clear" w:pos="1440"/>
        <w:tab w:val="clear" w:pos="2160"/>
        <w:tab w:val="clear" w:pos="2880"/>
        <w:tab w:val="clear" w:pos="3600"/>
        <w:tab w:val="clear" w:pos="4320"/>
        <w:tab w:val="clear" w:pos="5040"/>
        <w:tab w:val="clear" w:pos="5760"/>
      </w:tabs>
      <w:suppressAutoHyphens/>
      <w:autoSpaceDE w:val="0"/>
      <w:autoSpaceDN w:val="0"/>
      <w:adjustRightInd w:val="0"/>
      <w:spacing w:after="120"/>
      <w:ind w:firstLine="0"/>
      <w:textAlignment w:val="center"/>
    </w:pPr>
    <w:rPr>
      <w:rFonts w:eastAsiaTheme="minorEastAsia" w:cs="ITC New Baskerville Std"/>
      <w:color w:val="000000"/>
      <w:szCs w:val="22"/>
      <w:u w:val="thick"/>
    </w:rPr>
  </w:style>
  <w:style w:type="paragraph" w:customStyle="1" w:styleId="caseheadunderscorespaceabove">
    <w:name w:val="case head (underscore + space above)"/>
    <w:basedOn w:val="caseheadunderscore"/>
    <w:autoRedefine/>
    <w:uiPriority w:val="99"/>
    <w:semiHidden/>
    <w:rsid w:val="005C1F33"/>
    <w:pPr>
      <w:spacing w:before="240" w:after="240"/>
    </w:pPr>
  </w:style>
  <w:style w:type="paragraph" w:customStyle="1" w:styleId="chspacebelownoneabove">
    <w:name w:val="ch space below / none above"/>
    <w:basedOn w:val="Normal"/>
    <w:next w:val="Normal"/>
    <w:autoRedefine/>
    <w:uiPriority w:val="99"/>
    <w:semiHidden/>
    <w:rsid w:val="005C1F33"/>
    <w:pPr>
      <w:keepNext/>
      <w:widowControl w:val="0"/>
      <w:suppressAutoHyphens/>
      <w:autoSpaceDE w:val="0"/>
      <w:autoSpaceDN w:val="0"/>
      <w:adjustRightInd w:val="0"/>
      <w:spacing w:after="240" w:line="240" w:lineRule="auto"/>
      <w:jc w:val="center"/>
      <w:textAlignment w:val="center"/>
    </w:pPr>
    <w:rPr>
      <w:rFonts w:ascii="Times New Roman" w:hAnsi="Times New Roman" w:cs="ITC New Baskerville Std"/>
      <w:smallCaps/>
      <w:color w:val="000000"/>
      <w:sz w:val="24"/>
      <w:szCs w:val="24"/>
    </w:rPr>
  </w:style>
  <w:style w:type="paragraph" w:customStyle="1" w:styleId="ChapterNumber">
    <w:name w:val="Chapter Number"/>
    <w:basedOn w:val="Normal"/>
    <w:next w:val="Normal"/>
    <w:autoRedefine/>
    <w:uiPriority w:val="99"/>
    <w:semiHidden/>
    <w:qFormat/>
    <w:rsid w:val="00444FD2"/>
    <w:pPr>
      <w:widowControl w:val="0"/>
      <w:suppressAutoHyphens/>
      <w:autoSpaceDE w:val="0"/>
      <w:autoSpaceDN w:val="0"/>
      <w:adjustRightInd w:val="0"/>
      <w:spacing w:after="240" w:line="240" w:lineRule="auto"/>
      <w:jc w:val="center"/>
      <w:textAlignment w:val="center"/>
    </w:pPr>
    <w:rPr>
      <w:rFonts w:ascii="Times New Roman" w:hAnsi="Times New Roman" w:cs="Times New Roman"/>
      <w:smallCaps/>
      <w:color w:val="000000"/>
      <w:sz w:val="20"/>
      <w:szCs w:val="28"/>
    </w:rPr>
  </w:style>
  <w:style w:type="paragraph" w:customStyle="1" w:styleId="chapternumber0">
    <w:name w:val="chapter number"/>
    <w:basedOn w:val="Normal"/>
    <w:autoRedefine/>
    <w:uiPriority w:val="99"/>
    <w:semiHidden/>
    <w:rsid w:val="005C1F33"/>
    <w:pPr>
      <w:widowControl w:val="0"/>
      <w:suppressAutoHyphens/>
      <w:autoSpaceDE w:val="0"/>
      <w:autoSpaceDN w:val="0"/>
      <w:adjustRightInd w:val="0"/>
      <w:spacing w:after="240" w:line="240" w:lineRule="auto"/>
      <w:textAlignment w:val="center"/>
    </w:pPr>
    <w:rPr>
      <w:rFonts w:ascii="Times New Roman" w:eastAsia="Times New Roman" w:hAnsi="Times New Roman" w:cs="ITC New Baskerville Std"/>
      <w:b/>
      <w:bCs/>
      <w:color w:val="000000"/>
      <w:sz w:val="28"/>
      <w:szCs w:val="56"/>
    </w:rPr>
  </w:style>
  <w:style w:type="paragraph" w:customStyle="1" w:styleId="ChapterTitle">
    <w:name w:val="Chapter Title"/>
    <w:basedOn w:val="ChapterNumber"/>
    <w:autoRedefine/>
    <w:uiPriority w:val="99"/>
    <w:semiHidden/>
    <w:qFormat/>
    <w:rsid w:val="00444FD2"/>
    <w:pPr>
      <w:spacing w:after="720"/>
    </w:pPr>
    <w:rPr>
      <w:b/>
      <w:smallCaps w:val="0"/>
      <w:sz w:val="28"/>
      <w:szCs w:val="40"/>
    </w:rPr>
  </w:style>
  <w:style w:type="paragraph" w:customStyle="1" w:styleId="chaptertitle0">
    <w:name w:val="chapter title"/>
    <w:basedOn w:val="Normal"/>
    <w:autoRedefine/>
    <w:uiPriority w:val="99"/>
    <w:semiHidden/>
    <w:qFormat/>
    <w:rsid w:val="005C1F33"/>
    <w:pPr>
      <w:spacing w:after="240" w:line="240" w:lineRule="auto"/>
    </w:pPr>
    <w:rPr>
      <w:rFonts w:ascii="Times New Roman" w:hAnsi="Times New Roman"/>
      <w:sz w:val="28"/>
    </w:rPr>
  </w:style>
  <w:style w:type="paragraph" w:customStyle="1" w:styleId="ChapterTitle14ptBoldCentered">
    <w:name w:val="Chapter Title 14 pt Bold Centered"/>
    <w:basedOn w:val="Normal"/>
    <w:autoRedefine/>
    <w:semiHidden/>
    <w:qFormat/>
    <w:rsid w:val="005C1F33"/>
    <w:pPr>
      <w:spacing w:after="480" w:line="240" w:lineRule="auto"/>
      <w:jc w:val="center"/>
    </w:pPr>
    <w:rPr>
      <w:rFonts w:ascii="Times New Roman" w:hAnsi="Times New Roman"/>
      <w:b/>
      <w:caps/>
      <w:sz w:val="28"/>
    </w:rPr>
  </w:style>
  <w:style w:type="paragraph" w:customStyle="1" w:styleId="dhscpapertitle">
    <w:name w:val="dh s/c paper title"/>
    <w:basedOn w:val="Normal"/>
    <w:autoRedefine/>
    <w:uiPriority w:val="99"/>
    <w:semiHidden/>
    <w:rsid w:val="005C1F33"/>
    <w:pPr>
      <w:widowControl w:val="0"/>
      <w:autoSpaceDE w:val="0"/>
      <w:autoSpaceDN w:val="0"/>
      <w:adjustRightInd w:val="0"/>
      <w:spacing w:after="240" w:line="240" w:lineRule="auto"/>
      <w:jc w:val="center"/>
      <w:textAlignment w:val="center"/>
    </w:pPr>
    <w:rPr>
      <w:rFonts w:ascii="Times New Roman" w:hAnsi="Times New Roman" w:cs="ITC New Baskerville Std"/>
      <w:smallCaps/>
      <w:color w:val="000000"/>
      <w:sz w:val="24"/>
      <w:szCs w:val="20"/>
    </w:rPr>
  </w:style>
  <w:style w:type="paragraph" w:customStyle="1" w:styleId="flushitalichead">
    <w:name w:val="flush italic head"/>
    <w:basedOn w:val="3rdlevelhead1i"/>
    <w:autoRedefine/>
    <w:uiPriority w:val="99"/>
    <w:semiHidden/>
    <w:rsid w:val="005C1F33"/>
    <w:pPr>
      <w:keepNext/>
      <w:widowControl w:val="0"/>
      <w:suppressAutoHyphens/>
      <w:autoSpaceDE w:val="0"/>
      <w:autoSpaceDN w:val="0"/>
      <w:adjustRightInd w:val="0"/>
      <w:ind w:left="0" w:firstLine="0"/>
      <w:textAlignment w:val="center"/>
    </w:pPr>
    <w:rPr>
      <w:rFonts w:cs="ITC New Baskerville Std"/>
      <w:iCs/>
      <w:color w:val="000000"/>
    </w:rPr>
  </w:style>
  <w:style w:type="paragraph" w:customStyle="1" w:styleId="flushitalichead-">
    <w:name w:val="flush italic head -/+"/>
    <w:basedOn w:val="flushitalichead"/>
    <w:autoRedefine/>
    <w:uiPriority w:val="99"/>
    <w:semiHidden/>
    <w:rsid w:val="00DA5785"/>
    <w:pPr>
      <w:keepNext w:val="0"/>
      <w:suppressAutoHyphens w:val="0"/>
      <w:spacing w:before="0"/>
    </w:pPr>
  </w:style>
  <w:style w:type="paragraph" w:customStyle="1" w:styleId="footnote0">
    <w:name w:val="footnote *"/>
    <w:basedOn w:val="footnote"/>
    <w:autoRedefine/>
    <w:uiPriority w:val="99"/>
    <w:semiHidden/>
    <w:rsid w:val="00365054"/>
    <w:pPr>
      <w:pBdr>
        <w:top w:val="single" w:sz="4" w:space="12" w:color="auto"/>
      </w:pBdr>
      <w:autoSpaceDE w:val="0"/>
      <w:autoSpaceDN w:val="0"/>
      <w:adjustRightInd w:val="0"/>
      <w:textAlignment w:val="center"/>
    </w:pPr>
    <w:rPr>
      <w:rFonts w:cs="Times LT Std"/>
      <w:color w:val="000000"/>
      <w:szCs w:val="18"/>
    </w:rPr>
  </w:style>
  <w:style w:type="paragraph" w:customStyle="1" w:styleId="Footnote1">
    <w:name w:val="Footnote *"/>
    <w:basedOn w:val="Normal"/>
    <w:autoRedefine/>
    <w:uiPriority w:val="99"/>
    <w:semiHidden/>
    <w:rsid w:val="005C1F33"/>
    <w:pPr>
      <w:pBdr>
        <w:top w:val="single" w:sz="4" w:space="12" w:color="auto"/>
      </w:pBdr>
      <w:autoSpaceDE w:val="0"/>
      <w:autoSpaceDN w:val="0"/>
      <w:adjustRightInd w:val="0"/>
      <w:spacing w:after="0" w:line="240" w:lineRule="auto"/>
      <w:ind w:firstLine="720"/>
      <w:textAlignment w:val="center"/>
    </w:pPr>
    <w:rPr>
      <w:rFonts w:ascii="Times New Roman" w:hAnsi="Times New Roman" w:cs="Times New Roman"/>
      <w:color w:val="000000"/>
      <w:sz w:val="20"/>
      <w:szCs w:val="18"/>
    </w:rPr>
  </w:style>
  <w:style w:type="paragraph" w:customStyle="1" w:styleId="footnoteindent">
    <w:name w:val="footnote indent"/>
    <w:basedOn w:val="Normal"/>
    <w:autoRedefine/>
    <w:uiPriority w:val="99"/>
    <w:semiHidden/>
    <w:rsid w:val="005C1F33"/>
    <w:pPr>
      <w:widowControl w:val="0"/>
      <w:autoSpaceDE w:val="0"/>
      <w:autoSpaceDN w:val="0"/>
      <w:adjustRightInd w:val="0"/>
      <w:spacing w:after="0" w:line="240" w:lineRule="auto"/>
      <w:ind w:left="720"/>
      <w:textAlignment w:val="center"/>
    </w:pPr>
    <w:rPr>
      <w:rFonts w:ascii="Times New Roman" w:hAnsi="Times New Roman" w:cs="ITC New Baskerville Std"/>
      <w:color w:val="000000"/>
      <w:sz w:val="20"/>
      <w:szCs w:val="16"/>
    </w:rPr>
  </w:style>
  <w:style w:type="paragraph" w:customStyle="1" w:styleId="footnote2ndindent">
    <w:name w:val="footnote 2nd indent"/>
    <w:basedOn w:val="footnoteindent"/>
    <w:autoRedefine/>
    <w:uiPriority w:val="99"/>
    <w:semiHidden/>
    <w:rsid w:val="005C1F33"/>
  </w:style>
  <w:style w:type="paragraph" w:customStyle="1" w:styleId="footnote2ndindentwpara">
    <w:name w:val="footnote 2nd indent w/para"/>
    <w:basedOn w:val="Normal"/>
    <w:autoRedefine/>
    <w:uiPriority w:val="99"/>
    <w:semiHidden/>
    <w:rsid w:val="005C1F33"/>
    <w:pPr>
      <w:widowControl w:val="0"/>
      <w:autoSpaceDE w:val="0"/>
      <w:autoSpaceDN w:val="0"/>
      <w:adjustRightInd w:val="0"/>
      <w:spacing w:after="240" w:line="240" w:lineRule="auto"/>
      <w:ind w:left="720" w:firstLine="720"/>
      <w:textAlignment w:val="center"/>
    </w:pPr>
    <w:rPr>
      <w:rFonts w:ascii="Times New Roman" w:hAnsi="Times New Roman" w:cs="ITC New Baskerville Std"/>
      <w:color w:val="000000"/>
      <w:sz w:val="20"/>
      <w:szCs w:val="16"/>
    </w:rPr>
  </w:style>
  <w:style w:type="paragraph" w:customStyle="1" w:styleId="footnotebl">
    <w:name w:val="footnote bl"/>
    <w:basedOn w:val="Normal"/>
    <w:autoRedefine/>
    <w:uiPriority w:val="99"/>
    <w:semiHidden/>
    <w:rsid w:val="005C1F33"/>
    <w:pPr>
      <w:widowControl w:val="0"/>
      <w:tabs>
        <w:tab w:val="left" w:pos="540"/>
      </w:tabs>
      <w:autoSpaceDE w:val="0"/>
      <w:autoSpaceDN w:val="0"/>
      <w:adjustRightInd w:val="0"/>
      <w:spacing w:after="0" w:line="240" w:lineRule="auto"/>
      <w:ind w:left="540" w:hanging="180"/>
      <w:textAlignment w:val="center"/>
    </w:pPr>
    <w:rPr>
      <w:rFonts w:ascii="Times New Roman" w:hAnsi="Times New Roman" w:cs="ITC New Baskerville Std"/>
      <w:color w:val="000000"/>
      <w:sz w:val="20"/>
      <w:szCs w:val="18"/>
    </w:rPr>
  </w:style>
  <w:style w:type="paragraph" w:customStyle="1" w:styleId="footnoteblock">
    <w:name w:val="footnote block"/>
    <w:basedOn w:val="footnote"/>
    <w:autoRedefine/>
    <w:uiPriority w:val="99"/>
    <w:semiHidden/>
    <w:qFormat/>
    <w:rsid w:val="005A194A"/>
    <w:pPr>
      <w:autoSpaceDE w:val="0"/>
      <w:autoSpaceDN w:val="0"/>
      <w:adjustRightInd w:val="0"/>
      <w:textAlignment w:val="center"/>
    </w:pPr>
    <w:rPr>
      <w:rFonts w:cs="ITC New Baskerville Std"/>
      <w:color w:val="000000"/>
      <w:szCs w:val="18"/>
    </w:rPr>
  </w:style>
  <w:style w:type="paragraph" w:customStyle="1" w:styleId="footnoteblockindent">
    <w:name w:val="footnote block indent"/>
    <w:basedOn w:val="footnote"/>
    <w:autoRedefine/>
    <w:uiPriority w:val="99"/>
    <w:semiHidden/>
    <w:rsid w:val="005A194A"/>
    <w:pPr>
      <w:autoSpaceDE w:val="0"/>
      <w:autoSpaceDN w:val="0"/>
      <w:adjustRightInd w:val="0"/>
      <w:spacing w:before="40"/>
      <w:textAlignment w:val="center"/>
    </w:pPr>
    <w:rPr>
      <w:rFonts w:cs="NewCenturySchlbk"/>
      <w:color w:val="000000"/>
      <w:szCs w:val="18"/>
    </w:rPr>
  </w:style>
  <w:style w:type="paragraph" w:customStyle="1" w:styleId="footnoteblockindentnoparaindent">
    <w:name w:val="footnote block indent (no para indent)"/>
    <w:basedOn w:val="footnote"/>
    <w:autoRedefine/>
    <w:uiPriority w:val="99"/>
    <w:semiHidden/>
    <w:rsid w:val="005A194A"/>
    <w:pPr>
      <w:autoSpaceDE w:val="0"/>
      <w:autoSpaceDN w:val="0"/>
      <w:adjustRightInd w:val="0"/>
      <w:textAlignment w:val="center"/>
    </w:pPr>
    <w:rPr>
      <w:rFonts w:cs="NewCenturySchlbk"/>
      <w:color w:val="000000"/>
      <w:szCs w:val="16"/>
    </w:rPr>
  </w:style>
  <w:style w:type="paragraph" w:customStyle="1" w:styleId="footnoteblockindentwpara">
    <w:name w:val="footnote block indent w/ para"/>
    <w:basedOn w:val="footnoteblockindentnoparaindent"/>
    <w:autoRedefine/>
    <w:uiPriority w:val="99"/>
    <w:semiHidden/>
    <w:rsid w:val="005A194A"/>
  </w:style>
  <w:style w:type="paragraph" w:customStyle="1" w:styleId="footnoteblockwithparaindent">
    <w:name w:val="footnote block with para indent"/>
    <w:basedOn w:val="footnoteblock"/>
    <w:autoRedefine/>
    <w:uiPriority w:val="99"/>
    <w:semiHidden/>
    <w:qFormat/>
    <w:rsid w:val="005A194A"/>
  </w:style>
  <w:style w:type="paragraph" w:customStyle="1" w:styleId="footnotebulletlist">
    <w:name w:val="footnote bullet list"/>
    <w:basedOn w:val="Normal"/>
    <w:autoRedefine/>
    <w:uiPriority w:val="99"/>
    <w:semiHidden/>
    <w:rsid w:val="005C1F33"/>
    <w:pPr>
      <w:widowControl w:val="0"/>
      <w:tabs>
        <w:tab w:val="left" w:pos="620"/>
      </w:tabs>
      <w:autoSpaceDE w:val="0"/>
      <w:autoSpaceDN w:val="0"/>
      <w:adjustRightInd w:val="0"/>
      <w:spacing w:after="0" w:line="240" w:lineRule="auto"/>
      <w:ind w:left="900" w:hanging="180"/>
      <w:textAlignment w:val="center"/>
    </w:pPr>
    <w:rPr>
      <w:rFonts w:ascii="Times New Roman" w:hAnsi="Times New Roman" w:cs="Times LT Std"/>
      <w:color w:val="000000"/>
      <w:sz w:val="20"/>
      <w:szCs w:val="16"/>
    </w:rPr>
  </w:style>
  <w:style w:type="paragraph" w:customStyle="1" w:styleId="footnotecircuit">
    <w:name w:val="footnote circuit"/>
    <w:basedOn w:val="Normal"/>
    <w:autoRedefine/>
    <w:uiPriority w:val="99"/>
    <w:semiHidden/>
    <w:rsid w:val="005C1F33"/>
    <w:pPr>
      <w:widowControl w:val="0"/>
      <w:tabs>
        <w:tab w:val="left" w:pos="1680"/>
      </w:tabs>
      <w:autoSpaceDE w:val="0"/>
      <w:autoSpaceDN w:val="0"/>
      <w:adjustRightInd w:val="0"/>
      <w:spacing w:after="0" w:line="240" w:lineRule="auto"/>
      <w:ind w:left="2040" w:hanging="1320"/>
      <w:textAlignment w:val="center"/>
    </w:pPr>
    <w:rPr>
      <w:rFonts w:ascii="Times New Roman" w:hAnsi="Times New Roman" w:cs="Times LT Std"/>
      <w:color w:val="000000"/>
      <w:sz w:val="20"/>
      <w:szCs w:val="18"/>
    </w:rPr>
  </w:style>
  <w:style w:type="paragraph" w:customStyle="1" w:styleId="footnoteflush">
    <w:name w:val="footnote flush"/>
    <w:basedOn w:val="Normal"/>
    <w:autoRedefine/>
    <w:uiPriority w:val="99"/>
    <w:semiHidden/>
    <w:qFormat/>
    <w:rsid w:val="005C1F33"/>
    <w:pPr>
      <w:widowControl w:val="0"/>
      <w:autoSpaceDE w:val="0"/>
      <w:autoSpaceDN w:val="0"/>
      <w:adjustRightInd w:val="0"/>
      <w:spacing w:after="0" w:line="240" w:lineRule="auto"/>
      <w:textAlignment w:val="center"/>
    </w:pPr>
    <w:rPr>
      <w:rFonts w:ascii="Times New Roman" w:hAnsi="Times New Roman" w:cs="ITC New Baskerville Std"/>
      <w:color w:val="000000"/>
      <w:sz w:val="20"/>
      <w:szCs w:val="16"/>
    </w:rPr>
  </w:style>
  <w:style w:type="paragraph" w:customStyle="1" w:styleId="footnoteindentpara">
    <w:name w:val="footnote indent / para"/>
    <w:basedOn w:val="footnoteindent"/>
    <w:autoRedefine/>
    <w:uiPriority w:val="99"/>
    <w:semiHidden/>
    <w:rsid w:val="005C1F33"/>
    <w:pPr>
      <w:ind w:firstLine="720"/>
    </w:pPr>
    <w:rPr>
      <w:rFonts w:cs="Times LT Std"/>
      <w:szCs w:val="19"/>
    </w:rPr>
  </w:style>
  <w:style w:type="paragraph" w:customStyle="1" w:styleId="footnoteindentflush">
    <w:name w:val="footnote indent flush"/>
    <w:basedOn w:val="Normal"/>
    <w:autoRedefine/>
    <w:uiPriority w:val="99"/>
    <w:semiHidden/>
    <w:qFormat/>
    <w:rsid w:val="005C1F33"/>
    <w:pPr>
      <w:widowControl w:val="0"/>
      <w:autoSpaceDE w:val="0"/>
      <w:autoSpaceDN w:val="0"/>
      <w:adjustRightInd w:val="0"/>
      <w:spacing w:before="40" w:after="40" w:line="240" w:lineRule="auto"/>
      <w:ind w:left="720"/>
      <w:textAlignment w:val="center"/>
    </w:pPr>
    <w:rPr>
      <w:rFonts w:ascii="Times New Roman" w:hAnsi="Times New Roman" w:cs="Times LT Std"/>
      <w:color w:val="000000"/>
      <w:sz w:val="20"/>
      <w:szCs w:val="18"/>
    </w:rPr>
  </w:style>
  <w:style w:type="paragraph" w:customStyle="1" w:styleId="footnoteindentparaindent">
    <w:name w:val="footnote indent para indent"/>
    <w:basedOn w:val="Normal"/>
    <w:autoRedefine/>
    <w:uiPriority w:val="99"/>
    <w:semiHidden/>
    <w:rsid w:val="005C1F33"/>
    <w:pPr>
      <w:widowControl w:val="0"/>
      <w:autoSpaceDE w:val="0"/>
      <w:autoSpaceDN w:val="0"/>
      <w:adjustRightInd w:val="0"/>
      <w:spacing w:after="0" w:line="240" w:lineRule="auto"/>
      <w:ind w:left="720" w:firstLine="720"/>
      <w:textAlignment w:val="center"/>
    </w:pPr>
    <w:rPr>
      <w:rFonts w:ascii="Times New Roman" w:hAnsi="Times New Roman" w:cs="Times LT Std"/>
      <w:color w:val="000000"/>
      <w:sz w:val="20"/>
      <w:szCs w:val="18"/>
    </w:rPr>
  </w:style>
  <w:style w:type="paragraph" w:customStyle="1" w:styleId="footnoteindentwpara">
    <w:name w:val="footnote indent w/para"/>
    <w:basedOn w:val="footnoteindent"/>
    <w:autoRedefine/>
    <w:uiPriority w:val="99"/>
    <w:semiHidden/>
    <w:rsid w:val="005C1F33"/>
  </w:style>
  <w:style w:type="paragraph" w:customStyle="1" w:styleId="footnoteindentwpnospace">
    <w:name w:val="footnote indent w/p no space"/>
    <w:basedOn w:val="footnoteindentwpara"/>
    <w:autoRedefine/>
    <w:uiPriority w:val="99"/>
    <w:semiHidden/>
    <w:rsid w:val="005C1F33"/>
  </w:style>
  <w:style w:type="paragraph" w:customStyle="1" w:styleId="footnoteindentwpara0">
    <w:name w:val="footnote indent/w para"/>
    <w:basedOn w:val="Normal"/>
    <w:autoRedefine/>
    <w:uiPriority w:val="99"/>
    <w:semiHidden/>
    <w:rsid w:val="005C1F33"/>
    <w:pPr>
      <w:widowControl w:val="0"/>
      <w:autoSpaceDE w:val="0"/>
      <w:autoSpaceDN w:val="0"/>
      <w:adjustRightInd w:val="0"/>
      <w:spacing w:after="0" w:line="240" w:lineRule="auto"/>
      <w:ind w:left="720" w:firstLine="720"/>
      <w:textAlignment w:val="center"/>
    </w:pPr>
    <w:rPr>
      <w:rFonts w:ascii="Times New Roman" w:hAnsi="Times New Roman" w:cs="Times LT Std"/>
      <w:color w:val="000000"/>
      <w:sz w:val="20"/>
      <w:szCs w:val="18"/>
    </w:rPr>
  </w:style>
  <w:style w:type="paragraph" w:customStyle="1" w:styleId="footnoteindent-p">
    <w:name w:val="footnote indent-p"/>
    <w:basedOn w:val="footnoteindent"/>
    <w:autoRedefine/>
    <w:uiPriority w:val="99"/>
    <w:semiHidden/>
    <w:rsid w:val="005C1F33"/>
    <w:pPr>
      <w:ind w:firstLine="720"/>
    </w:pPr>
    <w:rPr>
      <w:rFonts w:cs="Times LT Std"/>
      <w:szCs w:val="18"/>
    </w:rPr>
  </w:style>
  <w:style w:type="paragraph" w:customStyle="1" w:styleId="footnotenl">
    <w:name w:val="footnote nl"/>
    <w:basedOn w:val="footnoteindent"/>
    <w:autoRedefine/>
    <w:uiPriority w:val="99"/>
    <w:semiHidden/>
    <w:qFormat/>
    <w:rsid w:val="005C1F33"/>
    <w:pPr>
      <w:tabs>
        <w:tab w:val="left" w:pos="680"/>
      </w:tabs>
      <w:ind w:left="1032" w:hanging="312"/>
    </w:pPr>
  </w:style>
  <w:style w:type="paragraph" w:customStyle="1" w:styleId="footnotenlal">
    <w:name w:val="footnote nl/al"/>
    <w:basedOn w:val="footnotenl"/>
    <w:autoRedefine/>
    <w:uiPriority w:val="99"/>
    <w:semiHidden/>
    <w:qFormat/>
    <w:rsid w:val="005C1F33"/>
    <w:pPr>
      <w:tabs>
        <w:tab w:val="left" w:pos="1040"/>
      </w:tabs>
      <w:ind w:left="1440" w:hanging="360"/>
    </w:pPr>
  </w:style>
  <w:style w:type="paragraph" w:customStyle="1" w:styleId="footnotenumberlist">
    <w:name w:val="footnote number list"/>
    <w:basedOn w:val="Normal"/>
    <w:autoRedefine/>
    <w:uiPriority w:val="99"/>
    <w:semiHidden/>
    <w:rsid w:val="005C1F33"/>
    <w:pPr>
      <w:widowControl w:val="0"/>
      <w:tabs>
        <w:tab w:val="left" w:pos="600"/>
      </w:tabs>
      <w:autoSpaceDE w:val="0"/>
      <w:autoSpaceDN w:val="0"/>
      <w:adjustRightInd w:val="0"/>
      <w:spacing w:after="0" w:line="240" w:lineRule="auto"/>
      <w:ind w:left="960" w:hanging="240"/>
      <w:textAlignment w:val="center"/>
    </w:pPr>
    <w:rPr>
      <w:rFonts w:ascii="Times New Roman" w:hAnsi="Times New Roman" w:cs="Times LT Std"/>
      <w:color w:val="000000"/>
      <w:sz w:val="20"/>
      <w:szCs w:val="18"/>
    </w:rPr>
  </w:style>
  <w:style w:type="paragraph" w:customStyle="1" w:styleId="footnotenumberlist2ndlevel">
    <w:name w:val="footnote number list 2nd level"/>
    <w:basedOn w:val="footnotenumberlist"/>
    <w:autoRedefine/>
    <w:uiPriority w:val="99"/>
    <w:semiHidden/>
    <w:rsid w:val="005C1F33"/>
    <w:pPr>
      <w:tabs>
        <w:tab w:val="clear" w:pos="600"/>
        <w:tab w:val="left" w:pos="1080"/>
      </w:tabs>
      <w:spacing w:before="40"/>
      <w:ind w:left="1440" w:hanging="360"/>
    </w:pPr>
    <w:rPr>
      <w:rFonts w:cs="NewCenturySchlbk"/>
    </w:rPr>
  </w:style>
  <w:style w:type="paragraph" w:customStyle="1" w:styleId="footnotenumberpl">
    <w:name w:val="footnote number pl"/>
    <w:basedOn w:val="Normal"/>
    <w:autoRedefine/>
    <w:uiPriority w:val="99"/>
    <w:semiHidden/>
    <w:rsid w:val="005C1F33"/>
    <w:pPr>
      <w:widowControl w:val="0"/>
      <w:tabs>
        <w:tab w:val="left" w:pos="720"/>
      </w:tabs>
      <w:autoSpaceDE w:val="0"/>
      <w:autoSpaceDN w:val="0"/>
      <w:adjustRightInd w:val="0"/>
      <w:spacing w:after="0" w:line="240" w:lineRule="auto"/>
      <w:ind w:left="1080" w:hanging="360"/>
      <w:textAlignment w:val="center"/>
    </w:pPr>
    <w:rPr>
      <w:rFonts w:ascii="Times New Roman" w:hAnsi="Times New Roman" w:cs="Times LT Std"/>
      <w:color w:val="000000"/>
      <w:sz w:val="20"/>
      <w:szCs w:val="18"/>
    </w:rPr>
  </w:style>
  <w:style w:type="paragraph" w:customStyle="1" w:styleId="footnotepara">
    <w:name w:val="footnote para"/>
    <w:basedOn w:val="footnote"/>
    <w:autoRedefine/>
    <w:uiPriority w:val="99"/>
    <w:semiHidden/>
    <w:rsid w:val="005C1F33"/>
    <w:pPr>
      <w:autoSpaceDE w:val="0"/>
      <w:autoSpaceDN w:val="0"/>
      <w:adjustRightInd w:val="0"/>
      <w:textAlignment w:val="center"/>
    </w:pPr>
    <w:rPr>
      <w:rFonts w:cs="Times LT Std"/>
      <w:color w:val="000000"/>
      <w:szCs w:val="18"/>
    </w:rPr>
  </w:style>
  <w:style w:type="paragraph" w:customStyle="1" w:styleId="footnoteparaindent">
    <w:name w:val="footnote para indent"/>
    <w:basedOn w:val="Normal"/>
    <w:autoRedefine/>
    <w:uiPriority w:val="99"/>
    <w:semiHidden/>
    <w:qFormat/>
    <w:rsid w:val="005C1F33"/>
    <w:pPr>
      <w:widowControl w:val="0"/>
      <w:autoSpaceDE w:val="0"/>
      <w:autoSpaceDN w:val="0"/>
      <w:adjustRightInd w:val="0"/>
      <w:spacing w:after="0" w:line="240" w:lineRule="auto"/>
      <w:ind w:firstLine="720"/>
      <w:textAlignment w:val="center"/>
    </w:pPr>
    <w:rPr>
      <w:rFonts w:ascii="Times New Roman" w:hAnsi="Times New Roman" w:cs="ITC New Baskerville Std"/>
      <w:color w:val="000000"/>
      <w:sz w:val="20"/>
      <w:szCs w:val="16"/>
    </w:rPr>
  </w:style>
  <w:style w:type="character" w:styleId="FootnoteReference">
    <w:name w:val="footnote reference"/>
    <w:basedOn w:val="DefaultParagraphFont"/>
    <w:uiPriority w:val="99"/>
    <w:semiHidden/>
    <w:rsid w:val="005C1F33"/>
    <w:rPr>
      <w:rFonts w:ascii="Times New Roman" w:hAnsi="Times New Roman"/>
      <w:b w:val="0"/>
      <w:i w:val="0"/>
      <w:sz w:val="20"/>
      <w:vertAlign w:val="superscript"/>
    </w:rPr>
  </w:style>
  <w:style w:type="paragraph" w:customStyle="1" w:styleId="footnoteregpara">
    <w:name w:val="footnote reg para"/>
    <w:basedOn w:val="footnote"/>
    <w:autoRedefine/>
    <w:uiPriority w:val="99"/>
    <w:semiHidden/>
    <w:rsid w:val="005C1F33"/>
    <w:pPr>
      <w:autoSpaceDE w:val="0"/>
      <w:autoSpaceDN w:val="0"/>
      <w:adjustRightInd w:val="0"/>
      <w:textAlignment w:val="center"/>
    </w:pPr>
    <w:rPr>
      <w:rFonts w:cs="ITC New Baskerville Std"/>
      <w:color w:val="000000"/>
      <w:szCs w:val="18"/>
    </w:rPr>
  </w:style>
  <w:style w:type="paragraph" w:customStyle="1" w:styleId="footnoteregparaindent">
    <w:name w:val="footnote reg para indent"/>
    <w:basedOn w:val="footnote"/>
    <w:autoRedefine/>
    <w:uiPriority w:val="99"/>
    <w:semiHidden/>
    <w:rsid w:val="005C1F33"/>
    <w:pPr>
      <w:autoSpaceDE w:val="0"/>
      <w:autoSpaceDN w:val="0"/>
      <w:adjustRightInd w:val="0"/>
      <w:textAlignment w:val="center"/>
    </w:pPr>
    <w:rPr>
      <w:rFonts w:cs="Times LT Std"/>
      <w:color w:val="000000"/>
      <w:szCs w:val="18"/>
    </w:rPr>
  </w:style>
  <w:style w:type="paragraph" w:customStyle="1" w:styleId="footnoteregwpara">
    <w:name w:val="footnote reg w/para"/>
    <w:basedOn w:val="Normal"/>
    <w:autoRedefine/>
    <w:uiPriority w:val="99"/>
    <w:semiHidden/>
    <w:rsid w:val="005C1F33"/>
    <w:pPr>
      <w:widowControl w:val="0"/>
      <w:autoSpaceDE w:val="0"/>
      <w:autoSpaceDN w:val="0"/>
      <w:adjustRightInd w:val="0"/>
      <w:spacing w:after="0" w:line="240" w:lineRule="auto"/>
      <w:ind w:firstLine="720"/>
      <w:textAlignment w:val="center"/>
    </w:pPr>
    <w:rPr>
      <w:rFonts w:ascii="Times New Roman" w:hAnsi="Times New Roman" w:cs="Times LT Std"/>
      <w:color w:val="000000"/>
      <w:sz w:val="20"/>
      <w:szCs w:val="16"/>
    </w:rPr>
  </w:style>
  <w:style w:type="paragraph" w:customStyle="1" w:styleId="footnoteregular">
    <w:name w:val="footnote regular"/>
    <w:basedOn w:val="footnote"/>
    <w:autoRedefine/>
    <w:uiPriority w:val="99"/>
    <w:semiHidden/>
    <w:rsid w:val="005C1F33"/>
    <w:pPr>
      <w:autoSpaceDE w:val="0"/>
      <w:autoSpaceDN w:val="0"/>
      <w:adjustRightInd w:val="0"/>
      <w:textAlignment w:val="center"/>
    </w:pPr>
    <w:rPr>
      <w:rFonts w:cs="ITC New Baskerville Std"/>
      <w:color w:val="000000"/>
      <w:szCs w:val="16"/>
    </w:rPr>
  </w:style>
  <w:style w:type="paragraph" w:styleId="FootnoteText">
    <w:name w:val="footnote text"/>
    <w:basedOn w:val="Normal"/>
    <w:link w:val="FootnoteTextChar"/>
    <w:autoRedefine/>
    <w:uiPriority w:val="99"/>
    <w:semiHidden/>
    <w:rsid w:val="00875AE3"/>
    <w:pPr>
      <w:spacing w:after="0" w:line="240" w:lineRule="auto"/>
      <w:ind w:firstLine="720"/>
    </w:pPr>
    <w:rPr>
      <w:rFonts w:ascii="Times New Roman" w:hAnsi="Times New Roman"/>
      <w:sz w:val="20"/>
      <w:szCs w:val="20"/>
    </w:rPr>
  </w:style>
  <w:style w:type="character" w:customStyle="1" w:styleId="FootnoteTextChar">
    <w:name w:val="Footnote Text Char"/>
    <w:basedOn w:val="DefaultParagraphFont"/>
    <w:link w:val="FootnoteText"/>
    <w:uiPriority w:val="99"/>
    <w:semiHidden/>
    <w:rsid w:val="00875AE3"/>
    <w:rPr>
      <w:rFonts w:ascii="Times New Roman" w:eastAsiaTheme="minorEastAsia" w:hAnsi="Times New Roman"/>
      <w:sz w:val="20"/>
      <w:szCs w:val="20"/>
    </w:rPr>
  </w:style>
  <w:style w:type="paragraph" w:customStyle="1" w:styleId="footnotewithpara">
    <w:name w:val="footnote with para"/>
    <w:basedOn w:val="footnote"/>
    <w:autoRedefine/>
    <w:uiPriority w:val="99"/>
    <w:semiHidden/>
    <w:rsid w:val="005C1F33"/>
    <w:pPr>
      <w:autoSpaceDE w:val="0"/>
      <w:autoSpaceDN w:val="0"/>
      <w:adjustRightInd w:val="0"/>
      <w:jc w:val="both"/>
      <w:textAlignment w:val="center"/>
    </w:pPr>
    <w:rPr>
      <w:rFonts w:cs="NewCenturySchlbk"/>
      <w:color w:val="000000"/>
      <w:szCs w:val="16"/>
    </w:rPr>
  </w:style>
  <w:style w:type="paragraph" w:customStyle="1" w:styleId="footnotewithparaident">
    <w:name w:val="footnote with para ident"/>
    <w:basedOn w:val="footnoteflush"/>
    <w:autoRedefine/>
    <w:uiPriority w:val="99"/>
    <w:semiHidden/>
    <w:rsid w:val="005C1F33"/>
    <w:pPr>
      <w:ind w:firstLine="720"/>
    </w:pPr>
    <w:rPr>
      <w:rFonts w:cs="Times LT Std"/>
      <w:szCs w:val="19"/>
    </w:rPr>
  </w:style>
  <w:style w:type="paragraph" w:customStyle="1" w:styleId="hangtext">
    <w:name w:val="hang text"/>
    <w:basedOn w:val="text"/>
    <w:autoRedefine/>
    <w:uiPriority w:val="99"/>
    <w:semiHidden/>
    <w:rsid w:val="005C1F33"/>
    <w:pPr>
      <w:widowControl w:val="0"/>
      <w:autoSpaceDE w:val="0"/>
      <w:autoSpaceDN w:val="0"/>
      <w:adjustRightInd w:val="0"/>
      <w:ind w:left="439" w:hanging="439"/>
      <w:jc w:val="both"/>
      <w:textAlignment w:val="center"/>
    </w:pPr>
    <w:rPr>
      <w:rFonts w:eastAsiaTheme="minorEastAsia" w:cs="NewCenturySchlbk"/>
      <w:color w:val="000000"/>
      <w:szCs w:val="22"/>
    </w:rPr>
  </w:style>
  <w:style w:type="paragraph" w:customStyle="1" w:styleId="hangingblurb">
    <w:name w:val="hanging blurb"/>
    <w:basedOn w:val="text"/>
    <w:autoRedefine/>
    <w:uiPriority w:val="99"/>
    <w:semiHidden/>
    <w:rsid w:val="005C1F33"/>
    <w:pPr>
      <w:widowControl w:val="0"/>
      <w:tabs>
        <w:tab w:val="clear" w:pos="2160"/>
        <w:tab w:val="clear" w:pos="2880"/>
        <w:tab w:val="clear" w:pos="3600"/>
        <w:tab w:val="clear" w:pos="4320"/>
        <w:tab w:val="clear" w:pos="5040"/>
        <w:tab w:val="clear" w:pos="5760"/>
      </w:tabs>
      <w:autoSpaceDE w:val="0"/>
      <w:autoSpaceDN w:val="0"/>
      <w:adjustRightInd w:val="0"/>
      <w:ind w:left="1680" w:hanging="1680"/>
      <w:textAlignment w:val="center"/>
    </w:pPr>
    <w:rPr>
      <w:rFonts w:eastAsiaTheme="minorEastAsia" w:cs="ITC New Baskerville Std"/>
      <w:color w:val="000000"/>
      <w:szCs w:val="22"/>
    </w:rPr>
  </w:style>
  <w:style w:type="character" w:customStyle="1" w:styleId="Heading1Char">
    <w:name w:val="Heading 1 Char"/>
    <w:basedOn w:val="DefaultParagraphFont"/>
    <w:link w:val="Heading1"/>
    <w:uiPriority w:val="9"/>
    <w:semiHidden/>
    <w:rsid w:val="00845981"/>
    <w:rPr>
      <w:rFonts w:ascii="Times New Roman" w:eastAsiaTheme="majorEastAsia" w:hAnsi="Times New Roman" w:cstheme="majorBidi"/>
      <w:sz w:val="32"/>
      <w:szCs w:val="32"/>
    </w:rPr>
  </w:style>
  <w:style w:type="character" w:customStyle="1" w:styleId="Heading2Char">
    <w:name w:val="Heading 2 Char"/>
    <w:basedOn w:val="DefaultParagraphFont"/>
    <w:link w:val="Heading2"/>
    <w:uiPriority w:val="9"/>
    <w:semiHidden/>
    <w:rsid w:val="00845981"/>
    <w:rPr>
      <w:rFonts w:ascii="Times New Roman" w:eastAsiaTheme="majorEastAsia" w:hAnsi="Times New Roman" w:cstheme="majorBidi"/>
      <w:sz w:val="26"/>
      <w:szCs w:val="26"/>
    </w:rPr>
  </w:style>
  <w:style w:type="paragraph" w:customStyle="1" w:styleId="ItalicHead">
    <w:name w:val="Italic Head"/>
    <w:basedOn w:val="text"/>
    <w:autoRedefine/>
    <w:uiPriority w:val="99"/>
    <w:semiHidden/>
    <w:rsid w:val="005C1F33"/>
    <w:pPr>
      <w:keepNext/>
      <w:widowControl w:val="0"/>
      <w:tabs>
        <w:tab w:val="clear" w:pos="1440"/>
        <w:tab w:val="clear" w:pos="2160"/>
        <w:tab w:val="clear" w:pos="2880"/>
        <w:tab w:val="clear" w:pos="3600"/>
        <w:tab w:val="clear" w:pos="4320"/>
        <w:tab w:val="clear" w:pos="5040"/>
        <w:tab w:val="clear" w:pos="5760"/>
      </w:tabs>
      <w:suppressAutoHyphens/>
      <w:autoSpaceDE w:val="0"/>
      <w:autoSpaceDN w:val="0"/>
      <w:adjustRightInd w:val="0"/>
      <w:spacing w:before="240" w:after="240"/>
      <w:ind w:firstLine="0"/>
      <w:textAlignment w:val="center"/>
    </w:pPr>
    <w:rPr>
      <w:rFonts w:eastAsiaTheme="minorEastAsia" w:cs="ITC New Baskerville Std"/>
      <w:i/>
      <w:iCs/>
      <w:color w:val="000000"/>
      <w:szCs w:val="22"/>
    </w:rPr>
  </w:style>
  <w:style w:type="paragraph" w:customStyle="1" w:styleId="italichead0">
    <w:name w:val="italic head +/+"/>
    <w:basedOn w:val="Normal"/>
    <w:autoRedefine/>
    <w:uiPriority w:val="99"/>
    <w:semiHidden/>
    <w:rsid w:val="005C1F33"/>
    <w:pPr>
      <w:widowControl w:val="0"/>
      <w:tabs>
        <w:tab w:val="left" w:pos="480"/>
      </w:tabs>
      <w:suppressAutoHyphens/>
      <w:autoSpaceDE w:val="0"/>
      <w:autoSpaceDN w:val="0"/>
      <w:adjustRightInd w:val="0"/>
      <w:spacing w:before="240" w:after="240" w:line="240" w:lineRule="auto"/>
      <w:ind w:left="480" w:hanging="480"/>
      <w:textAlignment w:val="center"/>
    </w:pPr>
    <w:rPr>
      <w:rFonts w:ascii="Times New Roman" w:hAnsi="Times New Roman" w:cs="Times LT Std"/>
      <w:i/>
      <w:iCs/>
      <w:color w:val="000000"/>
      <w:sz w:val="24"/>
    </w:rPr>
  </w:style>
  <w:style w:type="paragraph" w:customStyle="1" w:styleId="l1">
    <w:name w:val="l1"/>
    <w:basedOn w:val="Normal"/>
    <w:autoRedefine/>
    <w:uiPriority w:val="99"/>
    <w:semiHidden/>
    <w:rsid w:val="005C1F33"/>
    <w:pPr>
      <w:keepNext/>
      <w:widowControl w:val="0"/>
      <w:suppressAutoHyphens/>
      <w:autoSpaceDE w:val="0"/>
      <w:autoSpaceDN w:val="0"/>
      <w:adjustRightInd w:val="0"/>
      <w:spacing w:before="480" w:after="240" w:line="240" w:lineRule="auto"/>
      <w:ind w:firstLine="720"/>
      <w:jc w:val="center"/>
      <w:textAlignment w:val="center"/>
    </w:pPr>
    <w:rPr>
      <w:rFonts w:ascii="Times New Roman" w:hAnsi="Times New Roman" w:cs="Times SC"/>
      <w:smallCaps/>
      <w:color w:val="000000"/>
      <w:sz w:val="24"/>
    </w:rPr>
  </w:style>
  <w:style w:type="paragraph" w:customStyle="1" w:styleId="l1-ct">
    <w:name w:val="l1-ct"/>
    <w:basedOn w:val="l1"/>
    <w:autoRedefine/>
    <w:uiPriority w:val="99"/>
    <w:semiHidden/>
    <w:rsid w:val="005C1F33"/>
    <w:pPr>
      <w:spacing w:before="0"/>
      <w:contextualSpacing/>
    </w:pPr>
    <w:rPr>
      <w:szCs w:val="24"/>
    </w:rPr>
  </w:style>
  <w:style w:type="paragraph" w:customStyle="1" w:styleId="l2">
    <w:name w:val="l2"/>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b/>
      <w:bCs/>
      <w:color w:val="000000"/>
      <w:sz w:val="24"/>
    </w:rPr>
  </w:style>
  <w:style w:type="paragraph" w:customStyle="1" w:styleId="l2-1">
    <w:name w:val="l2-1"/>
    <w:basedOn w:val="l2"/>
    <w:autoRedefine/>
    <w:uiPriority w:val="99"/>
    <w:semiHidden/>
    <w:rsid w:val="005C1F33"/>
    <w:pPr>
      <w:spacing w:before="0"/>
    </w:pPr>
  </w:style>
  <w:style w:type="paragraph" w:customStyle="1" w:styleId="l3">
    <w:name w:val="l3"/>
    <w:basedOn w:val="Normal"/>
    <w:autoRedefine/>
    <w:uiPriority w:val="99"/>
    <w:semiHidden/>
    <w:rsid w:val="005C1F33"/>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Times LT Std"/>
      <w:i/>
      <w:iCs/>
      <w:color w:val="000000"/>
      <w:sz w:val="24"/>
    </w:rPr>
  </w:style>
  <w:style w:type="paragraph" w:customStyle="1" w:styleId="l3-2">
    <w:name w:val="l3-2"/>
    <w:basedOn w:val="l3"/>
    <w:autoRedefine/>
    <w:uiPriority w:val="99"/>
    <w:semiHidden/>
    <w:rsid w:val="005C1F33"/>
    <w:pPr>
      <w:spacing w:before="0"/>
    </w:pPr>
  </w:style>
  <w:style w:type="paragraph" w:customStyle="1" w:styleId="l4">
    <w:name w:val="l4"/>
    <w:basedOn w:val="Normal"/>
    <w:autoRedefine/>
    <w:uiPriority w:val="99"/>
    <w:semiHidden/>
    <w:rsid w:val="005C1F33"/>
    <w:pPr>
      <w:keepNext/>
      <w:widowControl w:val="0"/>
      <w:tabs>
        <w:tab w:val="left" w:pos="881"/>
      </w:tabs>
      <w:suppressAutoHyphens/>
      <w:autoSpaceDE w:val="0"/>
      <w:autoSpaceDN w:val="0"/>
      <w:adjustRightInd w:val="0"/>
      <w:spacing w:before="240" w:after="240" w:line="240" w:lineRule="auto"/>
      <w:ind w:left="799" w:hanging="360"/>
      <w:textAlignment w:val="center"/>
    </w:pPr>
    <w:rPr>
      <w:rFonts w:ascii="Times New Roman" w:hAnsi="Times New Roman" w:cs="Times LT Std"/>
      <w:i/>
      <w:iCs/>
      <w:color w:val="000000"/>
      <w:sz w:val="24"/>
    </w:rPr>
  </w:style>
  <w:style w:type="paragraph" w:customStyle="1" w:styleId="l4-3">
    <w:name w:val="l4-3"/>
    <w:basedOn w:val="l4"/>
    <w:autoRedefine/>
    <w:uiPriority w:val="99"/>
    <w:semiHidden/>
    <w:rsid w:val="005C1F33"/>
    <w:pPr>
      <w:tabs>
        <w:tab w:val="clear" w:pos="881"/>
      </w:tabs>
      <w:spacing w:before="0"/>
    </w:pPr>
  </w:style>
  <w:style w:type="paragraph" w:customStyle="1" w:styleId="l5">
    <w:name w:val="l5"/>
    <w:basedOn w:val="l4"/>
    <w:autoRedefine/>
    <w:uiPriority w:val="99"/>
    <w:semiHidden/>
    <w:rsid w:val="005C1F33"/>
    <w:pPr>
      <w:tabs>
        <w:tab w:val="left" w:pos="1240"/>
      </w:tabs>
      <w:ind w:left="1241"/>
    </w:pPr>
  </w:style>
  <w:style w:type="paragraph" w:customStyle="1" w:styleId="l5-4">
    <w:name w:val="l5-4"/>
    <w:basedOn w:val="Normal"/>
    <w:autoRedefine/>
    <w:uiPriority w:val="99"/>
    <w:semiHidden/>
    <w:rsid w:val="005C1F33"/>
    <w:pPr>
      <w:keepNext/>
      <w:widowControl w:val="0"/>
      <w:tabs>
        <w:tab w:val="left" w:pos="1240"/>
      </w:tabs>
      <w:suppressAutoHyphens/>
      <w:autoSpaceDE w:val="0"/>
      <w:autoSpaceDN w:val="0"/>
      <w:adjustRightInd w:val="0"/>
      <w:spacing w:after="240" w:line="240" w:lineRule="auto"/>
      <w:ind w:left="1241" w:hanging="360"/>
      <w:textAlignment w:val="center"/>
    </w:pPr>
    <w:rPr>
      <w:rFonts w:ascii="Times New Roman" w:hAnsi="Times New Roman" w:cs="Times LT Std"/>
      <w:i/>
      <w:iCs/>
      <w:color w:val="000000"/>
      <w:sz w:val="24"/>
    </w:rPr>
  </w:style>
  <w:style w:type="paragraph" w:customStyle="1" w:styleId="L6">
    <w:name w:val="L6"/>
    <w:basedOn w:val="l5"/>
    <w:autoRedefine/>
    <w:uiPriority w:val="99"/>
    <w:semiHidden/>
    <w:rsid w:val="005C1F33"/>
    <w:pPr>
      <w:tabs>
        <w:tab w:val="clear" w:pos="881"/>
        <w:tab w:val="left" w:pos="1680"/>
      </w:tabs>
      <w:ind w:left="1680" w:hanging="480"/>
    </w:pPr>
    <w:rPr>
      <w:szCs w:val="24"/>
    </w:rPr>
  </w:style>
  <w:style w:type="paragraph" w:customStyle="1" w:styleId="l60">
    <w:name w:val="l6"/>
    <w:basedOn w:val="text"/>
    <w:autoRedefine/>
    <w:semiHidden/>
    <w:qFormat/>
    <w:rsid w:val="005C1F33"/>
    <w:pPr>
      <w:tabs>
        <w:tab w:val="left" w:pos="2040"/>
      </w:tabs>
      <w:spacing w:before="240" w:after="240"/>
      <w:ind w:left="840" w:hanging="480"/>
    </w:pPr>
    <w:rPr>
      <w:i/>
    </w:rPr>
  </w:style>
  <w:style w:type="paragraph" w:customStyle="1" w:styleId="Level1Head10">
    <w:name w:val="Level 1 Head (10)"/>
    <w:basedOn w:val="Normal"/>
    <w:autoRedefine/>
    <w:uiPriority w:val="99"/>
    <w:semiHidden/>
    <w:rsid w:val="005C1F33"/>
    <w:pPr>
      <w:keepNext/>
      <w:widowControl w:val="0"/>
      <w:tabs>
        <w:tab w:val="left" w:pos="720"/>
      </w:tabs>
      <w:suppressAutoHyphens/>
      <w:autoSpaceDE w:val="0"/>
      <w:autoSpaceDN w:val="0"/>
      <w:adjustRightInd w:val="0"/>
      <w:spacing w:before="480" w:after="360" w:line="240" w:lineRule="auto"/>
      <w:ind w:left="720" w:hanging="720"/>
      <w:textAlignment w:val="center"/>
    </w:pPr>
    <w:rPr>
      <w:rFonts w:ascii="Times New Roman" w:hAnsi="Times New Roman" w:cs="NewCenturySchlbk"/>
      <w:b/>
      <w:bCs/>
      <w:color w:val="000000"/>
      <w:sz w:val="24"/>
      <w:szCs w:val="24"/>
    </w:rPr>
  </w:style>
  <w:style w:type="paragraph" w:customStyle="1" w:styleId="Level21">
    <w:name w:val="Level 2 / 1"/>
    <w:basedOn w:val="Normal"/>
    <w:autoRedefine/>
    <w:uiPriority w:val="99"/>
    <w:semiHidden/>
    <w:rsid w:val="005C1F33"/>
    <w:pPr>
      <w:keepNext/>
      <w:widowControl w:val="0"/>
      <w:tabs>
        <w:tab w:val="left" w:pos="480"/>
      </w:tabs>
      <w:suppressAutoHyphens/>
      <w:autoSpaceDE w:val="0"/>
      <w:autoSpaceDN w:val="0"/>
      <w:adjustRightInd w:val="0"/>
      <w:spacing w:after="240" w:line="240" w:lineRule="auto"/>
      <w:ind w:left="480" w:hanging="480"/>
      <w:textAlignment w:val="center"/>
    </w:pPr>
    <w:rPr>
      <w:rFonts w:ascii="Times New Roman" w:hAnsi="Times New Roman" w:cs="NewCenturySchlbk"/>
      <w:b/>
      <w:bCs/>
      <w:i/>
      <w:iCs/>
      <w:color w:val="000000"/>
      <w:sz w:val="24"/>
    </w:rPr>
  </w:style>
  <w:style w:type="paragraph" w:customStyle="1" w:styleId="Level2Head">
    <w:name w:val="Level 2 Head"/>
    <w:basedOn w:val="Normal"/>
    <w:autoRedefine/>
    <w:uiPriority w:val="99"/>
    <w:semiHidden/>
    <w:rsid w:val="005C1F33"/>
    <w:pPr>
      <w:keepNext/>
      <w:widowControl w:val="0"/>
      <w:tabs>
        <w:tab w:val="left" w:pos="480"/>
      </w:tabs>
      <w:suppressAutoHyphens/>
      <w:autoSpaceDE w:val="0"/>
      <w:autoSpaceDN w:val="0"/>
      <w:adjustRightInd w:val="0"/>
      <w:spacing w:before="360" w:after="240" w:line="240" w:lineRule="auto"/>
      <w:ind w:left="480" w:hanging="480"/>
      <w:textAlignment w:val="center"/>
    </w:pPr>
    <w:rPr>
      <w:rFonts w:ascii="Times New Roman" w:hAnsi="Times New Roman" w:cs="NewCenturySchlbk"/>
      <w:b/>
      <w:bCs/>
      <w:i/>
      <w:iCs/>
      <w:color w:val="000000"/>
      <w:sz w:val="24"/>
    </w:rPr>
  </w:style>
  <w:style w:type="paragraph" w:customStyle="1" w:styleId="Level3Head">
    <w:name w:val="Level 3 Head"/>
    <w:basedOn w:val="Normal"/>
    <w:autoRedefine/>
    <w:uiPriority w:val="99"/>
    <w:semiHidden/>
    <w:rsid w:val="005C1F33"/>
    <w:pPr>
      <w:keepNext/>
      <w:widowControl w:val="0"/>
      <w:tabs>
        <w:tab w:val="left" w:pos="920"/>
      </w:tabs>
      <w:suppressAutoHyphens/>
      <w:autoSpaceDE w:val="0"/>
      <w:autoSpaceDN w:val="0"/>
      <w:adjustRightInd w:val="0"/>
      <w:spacing w:before="240" w:after="240" w:line="240" w:lineRule="auto"/>
      <w:ind w:left="919" w:hanging="480"/>
      <w:textAlignment w:val="center"/>
    </w:pPr>
    <w:rPr>
      <w:rFonts w:ascii="Times New Roman" w:hAnsi="Times New Roman" w:cs="NewCenturySchlbk"/>
      <w:i/>
      <w:iCs/>
      <w:color w:val="000000"/>
      <w:sz w:val="24"/>
    </w:rPr>
  </w:style>
  <w:style w:type="paragraph" w:customStyle="1" w:styleId="Level32">
    <w:name w:val="Level 3 / 2"/>
    <w:basedOn w:val="Level3Head"/>
    <w:autoRedefine/>
    <w:uiPriority w:val="99"/>
    <w:semiHidden/>
    <w:rsid w:val="005C1F33"/>
    <w:pPr>
      <w:spacing w:before="0"/>
    </w:pPr>
  </w:style>
  <w:style w:type="paragraph" w:customStyle="1" w:styleId="Level4Head">
    <w:name w:val="Level 4 Head"/>
    <w:basedOn w:val="text"/>
    <w:autoRedefine/>
    <w:uiPriority w:val="99"/>
    <w:semiHidden/>
    <w:rsid w:val="005C1F33"/>
    <w:pPr>
      <w:keepNext/>
      <w:widowControl w:val="0"/>
      <w:tabs>
        <w:tab w:val="clear" w:pos="1440"/>
        <w:tab w:val="clear" w:pos="2160"/>
        <w:tab w:val="clear" w:pos="2880"/>
        <w:tab w:val="clear" w:pos="3600"/>
        <w:tab w:val="clear" w:pos="4320"/>
        <w:tab w:val="clear" w:pos="5040"/>
        <w:tab w:val="clear" w:pos="5760"/>
        <w:tab w:val="left" w:pos="920"/>
      </w:tabs>
      <w:suppressAutoHyphens/>
      <w:autoSpaceDE w:val="0"/>
      <w:autoSpaceDN w:val="0"/>
      <w:adjustRightInd w:val="0"/>
      <w:spacing w:before="240" w:after="240"/>
      <w:ind w:left="919" w:hanging="480"/>
      <w:textAlignment w:val="center"/>
    </w:pPr>
    <w:rPr>
      <w:rFonts w:eastAsiaTheme="minorEastAsia" w:cs="NewCenturySchlbk"/>
      <w:i/>
      <w:iCs/>
      <w:color w:val="000000"/>
      <w:szCs w:val="22"/>
    </w:rPr>
  </w:style>
  <w:style w:type="paragraph" w:customStyle="1" w:styleId="Level43">
    <w:name w:val="Level 4/3"/>
    <w:basedOn w:val="Level4Head"/>
    <w:autoRedefine/>
    <w:uiPriority w:val="99"/>
    <w:semiHidden/>
    <w:rsid w:val="005C1F33"/>
    <w:pPr>
      <w:spacing w:before="0"/>
    </w:pPr>
  </w:style>
  <w:style w:type="paragraph" w:customStyle="1" w:styleId="Level5D">
    <w:name w:val="Level 5 (D)"/>
    <w:basedOn w:val="Level4Head"/>
    <w:autoRedefine/>
    <w:uiPriority w:val="99"/>
    <w:semiHidden/>
    <w:rsid w:val="005C1F33"/>
    <w:pPr>
      <w:ind w:left="1399"/>
    </w:pPr>
  </w:style>
  <w:style w:type="paragraph" w:customStyle="1" w:styleId="Level6i">
    <w:name w:val="Level 6 (i)"/>
    <w:basedOn w:val="Level5D"/>
    <w:autoRedefine/>
    <w:uiPriority w:val="99"/>
    <w:semiHidden/>
    <w:rsid w:val="005C1F33"/>
    <w:pPr>
      <w:tabs>
        <w:tab w:val="left" w:pos="1880"/>
      </w:tabs>
      <w:ind w:left="1879"/>
    </w:pPr>
  </w:style>
  <w:style w:type="paragraph" w:customStyle="1" w:styleId="namecentered">
    <w:name w:val="name centered"/>
    <w:basedOn w:val="Normal"/>
    <w:autoRedefine/>
    <w:uiPriority w:val="99"/>
    <w:semiHidden/>
    <w:rsid w:val="005C1F33"/>
    <w:pPr>
      <w:widowControl w:val="0"/>
      <w:suppressAutoHyphens/>
      <w:autoSpaceDE w:val="0"/>
      <w:autoSpaceDN w:val="0"/>
      <w:adjustRightInd w:val="0"/>
      <w:spacing w:before="240" w:after="0" w:line="240" w:lineRule="auto"/>
      <w:ind w:left="221" w:hanging="221"/>
      <w:jc w:val="center"/>
      <w:textAlignment w:val="center"/>
    </w:pPr>
    <w:rPr>
      <w:rFonts w:ascii="Times New Roman Bold" w:hAnsi="Times New Roman Bold" w:cs="Times SC"/>
      <w:b/>
      <w:bCs/>
      <w:smallCaps/>
      <w:color w:val="000000"/>
      <w:sz w:val="23"/>
      <w:szCs w:val="23"/>
    </w:rPr>
  </w:style>
  <w:style w:type="paragraph" w:customStyle="1" w:styleId="note">
    <w:name w:val="note"/>
    <w:basedOn w:val="Normal"/>
    <w:autoRedefine/>
    <w:uiPriority w:val="99"/>
    <w:semiHidden/>
    <w:rsid w:val="005C1F33"/>
    <w:pPr>
      <w:widowControl w:val="0"/>
      <w:autoSpaceDE w:val="0"/>
      <w:autoSpaceDN w:val="0"/>
      <w:adjustRightInd w:val="0"/>
      <w:spacing w:after="0" w:line="240" w:lineRule="auto"/>
      <w:ind w:firstLine="720"/>
      <w:textAlignment w:val="center"/>
    </w:pPr>
    <w:rPr>
      <w:rFonts w:ascii="Times New Roman" w:hAnsi="Times New Roman" w:cs="Times LT Std"/>
      <w:color w:val="000000"/>
      <w:sz w:val="20"/>
      <w:szCs w:val="18"/>
    </w:rPr>
  </w:style>
  <w:style w:type="paragraph" w:customStyle="1" w:styleId="ntblockindentnoparaindent">
    <w:name w:val="nt block indent (no para indent)"/>
    <w:basedOn w:val="footnote"/>
    <w:autoRedefine/>
    <w:uiPriority w:val="99"/>
    <w:semiHidden/>
    <w:rsid w:val="005A194A"/>
    <w:pPr>
      <w:autoSpaceDE w:val="0"/>
      <w:autoSpaceDN w:val="0"/>
      <w:adjustRightInd w:val="0"/>
      <w:jc w:val="both"/>
      <w:textAlignment w:val="center"/>
    </w:pPr>
    <w:rPr>
      <w:rFonts w:cs="NewCenturySchlbk"/>
      <w:color w:val="000000"/>
      <w:szCs w:val="18"/>
    </w:rPr>
  </w:style>
  <w:style w:type="paragraph" w:customStyle="1" w:styleId="ntflush">
    <w:name w:val="nt flush"/>
    <w:basedOn w:val="footnote"/>
    <w:autoRedefine/>
    <w:uiPriority w:val="99"/>
    <w:semiHidden/>
    <w:rsid w:val="005A194A"/>
    <w:pPr>
      <w:autoSpaceDE w:val="0"/>
      <w:autoSpaceDN w:val="0"/>
      <w:adjustRightInd w:val="0"/>
      <w:jc w:val="both"/>
      <w:textAlignment w:val="center"/>
    </w:pPr>
    <w:rPr>
      <w:rFonts w:cs="NewCenturySchlbk"/>
      <w:color w:val="000000"/>
      <w:szCs w:val="18"/>
    </w:rPr>
  </w:style>
  <w:style w:type="paragraph" w:customStyle="1" w:styleId="ntindent">
    <w:name w:val="nt indent"/>
    <w:basedOn w:val="footnote"/>
    <w:autoRedefine/>
    <w:uiPriority w:val="99"/>
    <w:semiHidden/>
    <w:rsid w:val="005A194A"/>
    <w:pPr>
      <w:autoSpaceDE w:val="0"/>
      <w:autoSpaceDN w:val="0"/>
      <w:adjustRightInd w:val="0"/>
      <w:textAlignment w:val="center"/>
    </w:pPr>
    <w:rPr>
      <w:rFonts w:cs="Times LT Std"/>
      <w:color w:val="000000"/>
      <w:szCs w:val="18"/>
    </w:rPr>
  </w:style>
  <w:style w:type="paragraph" w:customStyle="1" w:styleId="ntnumberlist">
    <w:name w:val="nt number list"/>
    <w:basedOn w:val="Normal"/>
    <w:autoRedefine/>
    <w:uiPriority w:val="99"/>
    <w:semiHidden/>
    <w:rsid w:val="005C1F33"/>
    <w:pPr>
      <w:widowControl w:val="0"/>
      <w:tabs>
        <w:tab w:val="left" w:pos="600"/>
      </w:tabs>
      <w:autoSpaceDE w:val="0"/>
      <w:autoSpaceDN w:val="0"/>
      <w:adjustRightInd w:val="0"/>
      <w:spacing w:after="0" w:line="240" w:lineRule="auto"/>
      <w:ind w:left="960" w:hanging="240"/>
      <w:textAlignment w:val="center"/>
    </w:pPr>
    <w:rPr>
      <w:rFonts w:ascii="Times New Roman" w:hAnsi="Times New Roman" w:cs="Times LT Std"/>
      <w:color w:val="000000"/>
      <w:sz w:val="20"/>
      <w:szCs w:val="18"/>
    </w:rPr>
  </w:style>
  <w:style w:type="paragraph" w:customStyle="1" w:styleId="ntpara">
    <w:name w:val="nt para"/>
    <w:basedOn w:val="ntblockindentnoparaindent"/>
    <w:autoRedefine/>
    <w:uiPriority w:val="99"/>
    <w:semiHidden/>
    <w:rsid w:val="005A194A"/>
    <w:pPr>
      <w:jc w:val="left"/>
    </w:pPr>
  </w:style>
  <w:style w:type="paragraph" w:customStyle="1" w:styleId="ntregpara">
    <w:name w:val="nt reg para"/>
    <w:basedOn w:val="Normal"/>
    <w:autoRedefine/>
    <w:uiPriority w:val="99"/>
    <w:semiHidden/>
    <w:rsid w:val="005C1F33"/>
    <w:pPr>
      <w:widowControl w:val="0"/>
      <w:tabs>
        <w:tab w:val="left" w:pos="0"/>
        <w:tab w:val="left" w:pos="720"/>
        <w:tab w:val="left" w:pos="1440"/>
        <w:tab w:val="left" w:pos="2160"/>
        <w:tab w:val="left" w:pos="2880"/>
        <w:tab w:val="left" w:pos="3600"/>
        <w:tab w:val="left" w:pos="4320"/>
        <w:tab w:val="left" w:pos="5040"/>
      </w:tabs>
      <w:autoSpaceDE w:val="0"/>
      <w:autoSpaceDN w:val="0"/>
      <w:adjustRightInd w:val="0"/>
      <w:spacing w:after="0" w:line="240" w:lineRule="auto"/>
      <w:ind w:firstLine="720"/>
      <w:jc w:val="both"/>
      <w:textAlignment w:val="center"/>
    </w:pPr>
    <w:rPr>
      <w:rFonts w:ascii="Times New Roman" w:hAnsi="Times New Roman" w:cs="Times LT Std"/>
      <w:color w:val="000000"/>
      <w:sz w:val="20"/>
      <w:szCs w:val="18"/>
    </w:rPr>
  </w:style>
  <w:style w:type="paragraph" w:customStyle="1" w:styleId="nt-indent">
    <w:name w:val="nt-indent"/>
    <w:basedOn w:val="footnote"/>
    <w:autoRedefine/>
    <w:uiPriority w:val="99"/>
    <w:semiHidden/>
    <w:rsid w:val="005A194A"/>
    <w:pPr>
      <w:autoSpaceDE w:val="0"/>
      <w:autoSpaceDN w:val="0"/>
      <w:adjustRightInd w:val="0"/>
      <w:textAlignment w:val="center"/>
    </w:pPr>
    <w:rPr>
      <w:rFonts w:cs="Times LT Std"/>
      <w:color w:val="000000"/>
      <w:szCs w:val="16"/>
    </w:rPr>
  </w:style>
  <w:style w:type="paragraph" w:customStyle="1" w:styleId="Numberlist">
    <w:name w:val="Number list"/>
    <w:basedOn w:val="Normal"/>
    <w:autoRedefine/>
    <w:uiPriority w:val="99"/>
    <w:semiHidden/>
    <w:rsid w:val="005C1F33"/>
    <w:pPr>
      <w:widowControl w:val="0"/>
      <w:tabs>
        <w:tab w:val="left" w:pos="800"/>
      </w:tabs>
      <w:autoSpaceDE w:val="0"/>
      <w:autoSpaceDN w:val="0"/>
      <w:adjustRightInd w:val="0"/>
      <w:spacing w:after="0" w:line="240" w:lineRule="auto"/>
      <w:ind w:left="919" w:hanging="480"/>
      <w:jc w:val="both"/>
      <w:textAlignment w:val="center"/>
    </w:pPr>
    <w:rPr>
      <w:rFonts w:ascii="Times New Roman" w:hAnsi="Times New Roman" w:cs="ITC New Baskerville Std"/>
      <w:color w:val="000000"/>
      <w:sz w:val="24"/>
    </w:rPr>
  </w:style>
  <w:style w:type="paragraph" w:customStyle="1" w:styleId="numberlistplstart">
    <w:name w:val="number list pl_start"/>
    <w:basedOn w:val="Normal"/>
    <w:autoRedefine/>
    <w:semiHidden/>
    <w:qFormat/>
    <w:rsid w:val="005C1F33"/>
    <w:pPr>
      <w:tabs>
        <w:tab w:val="left" w:pos="919"/>
      </w:tabs>
      <w:spacing w:before="240" w:after="0" w:line="240" w:lineRule="auto"/>
      <w:ind w:left="919" w:hanging="480"/>
    </w:pPr>
    <w:rPr>
      <w:rFonts w:ascii="Times New Roman" w:hAnsi="Times New Roman" w:cs="NewCenturySchlbk"/>
      <w:color w:val="000000"/>
      <w:sz w:val="24"/>
    </w:rPr>
  </w:style>
  <w:style w:type="paragraph" w:customStyle="1" w:styleId="numberlist0">
    <w:name w:val="number list"/>
    <w:basedOn w:val="numberlistplstart"/>
    <w:autoRedefine/>
    <w:uiPriority w:val="99"/>
    <w:semiHidden/>
    <w:qFormat/>
    <w:rsid w:val="00C66958"/>
    <w:pPr>
      <w:spacing w:before="0"/>
    </w:pPr>
  </w:style>
  <w:style w:type="paragraph" w:customStyle="1" w:styleId="numberlistplend">
    <w:name w:val="number list pl end"/>
    <w:basedOn w:val="Normal"/>
    <w:autoRedefine/>
    <w:uiPriority w:val="99"/>
    <w:semiHidden/>
    <w:rsid w:val="005C1F33"/>
    <w:pPr>
      <w:tabs>
        <w:tab w:val="left" w:pos="919"/>
      </w:tabs>
      <w:spacing w:after="240" w:line="240" w:lineRule="auto"/>
      <w:ind w:left="919" w:hanging="480"/>
    </w:pPr>
    <w:rPr>
      <w:rFonts w:ascii="Times New Roman" w:hAnsi="Times New Roman" w:cs="Times New Roman"/>
      <w:sz w:val="24"/>
    </w:rPr>
  </w:style>
  <w:style w:type="paragraph" w:customStyle="1" w:styleId="numberlistend">
    <w:name w:val="number list end"/>
    <w:basedOn w:val="numberlistplend"/>
    <w:autoRedefine/>
    <w:uiPriority w:val="99"/>
    <w:semiHidden/>
    <w:qFormat/>
    <w:rsid w:val="005C1F33"/>
  </w:style>
  <w:style w:type="paragraph" w:customStyle="1" w:styleId="numberlistpl">
    <w:name w:val="number list pl"/>
    <w:basedOn w:val="Normal"/>
    <w:autoRedefine/>
    <w:uiPriority w:val="99"/>
    <w:semiHidden/>
    <w:qFormat/>
    <w:rsid w:val="005C1F33"/>
    <w:pPr>
      <w:widowControl w:val="0"/>
      <w:tabs>
        <w:tab w:val="left" w:pos="920"/>
      </w:tabs>
      <w:autoSpaceDE w:val="0"/>
      <w:autoSpaceDN w:val="0"/>
      <w:adjustRightInd w:val="0"/>
      <w:spacing w:after="0" w:line="240" w:lineRule="auto"/>
      <w:ind w:left="919" w:hanging="480"/>
      <w:textAlignment w:val="center"/>
    </w:pPr>
    <w:rPr>
      <w:rFonts w:ascii="Times New Roman" w:hAnsi="Times New Roman" w:cs="ITC New Baskerville Std"/>
      <w:color w:val="000000"/>
      <w:sz w:val="24"/>
    </w:rPr>
  </w:style>
  <w:style w:type="paragraph" w:customStyle="1" w:styleId="numberlistplstart0">
    <w:name w:val="number list pl start"/>
    <w:basedOn w:val="Normal"/>
    <w:next w:val="numberlistplend"/>
    <w:autoRedefine/>
    <w:uiPriority w:val="99"/>
    <w:semiHidden/>
    <w:rsid w:val="00C66958"/>
    <w:pPr>
      <w:widowControl w:val="0"/>
      <w:tabs>
        <w:tab w:val="left" w:pos="920"/>
      </w:tabs>
      <w:autoSpaceDE w:val="0"/>
      <w:autoSpaceDN w:val="0"/>
      <w:adjustRightInd w:val="0"/>
      <w:spacing w:before="240" w:after="0" w:line="240" w:lineRule="auto"/>
      <w:ind w:left="919" w:hanging="480"/>
      <w:textAlignment w:val="center"/>
    </w:pPr>
    <w:rPr>
      <w:rFonts w:ascii="Times New Roman" w:hAnsi="Times New Roman" w:cs="ITC New Baskerville Std"/>
      <w:color w:val="000000"/>
      <w:sz w:val="24"/>
    </w:rPr>
  </w:style>
  <w:style w:type="paragraph" w:customStyle="1" w:styleId="numberlistplal">
    <w:name w:val="number list pl / al"/>
    <w:basedOn w:val="numberlistplstart0"/>
    <w:autoRedefine/>
    <w:semiHidden/>
    <w:qFormat/>
    <w:rsid w:val="005C1F33"/>
    <w:pPr>
      <w:tabs>
        <w:tab w:val="clear" w:pos="920"/>
        <w:tab w:val="left" w:pos="1399"/>
      </w:tabs>
      <w:spacing w:before="0"/>
      <w:ind w:left="1399"/>
    </w:pPr>
  </w:style>
  <w:style w:type="paragraph" w:customStyle="1" w:styleId="numberlistpl2ndlevela">
    <w:name w:val="number list pl /2nd level (a)"/>
    <w:basedOn w:val="numberlistpl"/>
    <w:autoRedefine/>
    <w:uiPriority w:val="99"/>
    <w:semiHidden/>
    <w:rsid w:val="005C1F33"/>
    <w:pPr>
      <w:tabs>
        <w:tab w:val="clear" w:pos="920"/>
        <w:tab w:val="left" w:pos="1180"/>
      </w:tabs>
      <w:ind w:left="1320" w:hanging="360"/>
    </w:pPr>
    <w:rPr>
      <w:rFonts w:cs="Times LT Std"/>
    </w:rPr>
  </w:style>
  <w:style w:type="paragraph" w:customStyle="1" w:styleId="numberlistplal0">
    <w:name w:val="number list pl/al"/>
    <w:basedOn w:val="numberlistpl"/>
    <w:autoRedefine/>
    <w:uiPriority w:val="99"/>
    <w:semiHidden/>
    <w:rsid w:val="005C1F33"/>
    <w:pPr>
      <w:tabs>
        <w:tab w:val="clear" w:pos="920"/>
        <w:tab w:val="left" w:pos="1440"/>
      </w:tabs>
      <w:ind w:left="1440"/>
      <w:jc w:val="both"/>
    </w:pPr>
    <w:rPr>
      <w:rFonts w:cs="Times LT Std"/>
    </w:rPr>
  </w:style>
  <w:style w:type="paragraph" w:customStyle="1" w:styleId="numberlistplalnl">
    <w:name w:val="number list pl/al/nl"/>
    <w:basedOn w:val="numberlistplal0"/>
    <w:autoRedefine/>
    <w:uiPriority w:val="99"/>
    <w:semiHidden/>
    <w:rsid w:val="005C1F33"/>
    <w:pPr>
      <w:tabs>
        <w:tab w:val="clear" w:pos="1440"/>
        <w:tab w:val="left" w:pos="1920"/>
      </w:tabs>
      <w:ind w:left="1920"/>
    </w:pPr>
  </w:style>
  <w:style w:type="paragraph" w:customStyle="1" w:styleId="numberlistplbullet">
    <w:name w:val="number list pl/bullet"/>
    <w:basedOn w:val="Normal"/>
    <w:autoRedefine/>
    <w:uiPriority w:val="99"/>
    <w:semiHidden/>
    <w:rsid w:val="005C1F33"/>
    <w:pPr>
      <w:widowControl w:val="0"/>
      <w:tabs>
        <w:tab w:val="left" w:pos="1060"/>
      </w:tabs>
      <w:autoSpaceDE w:val="0"/>
      <w:autoSpaceDN w:val="0"/>
      <w:adjustRightInd w:val="0"/>
      <w:spacing w:after="0" w:line="240" w:lineRule="auto"/>
      <w:ind w:left="1061" w:hanging="180"/>
      <w:textAlignment w:val="center"/>
    </w:pPr>
    <w:rPr>
      <w:rFonts w:ascii="Times New Roman" w:hAnsi="Times New Roman" w:cs="Times LT Std"/>
      <w:color w:val="000000"/>
      <w:sz w:val="24"/>
    </w:rPr>
  </w:style>
  <w:style w:type="paragraph" w:customStyle="1" w:styleId="numberlistplend0">
    <w:name w:val="number list pl_end"/>
    <w:basedOn w:val="Normal"/>
    <w:autoRedefine/>
    <w:uiPriority w:val="99"/>
    <w:semiHidden/>
    <w:rsid w:val="005C1F33"/>
    <w:pPr>
      <w:widowControl w:val="0"/>
      <w:tabs>
        <w:tab w:val="left" w:pos="920"/>
      </w:tabs>
      <w:autoSpaceDE w:val="0"/>
      <w:autoSpaceDN w:val="0"/>
      <w:adjustRightInd w:val="0"/>
      <w:spacing w:after="240" w:line="240" w:lineRule="auto"/>
      <w:ind w:left="919" w:hanging="480"/>
      <w:textAlignment w:val="center"/>
    </w:pPr>
    <w:rPr>
      <w:rFonts w:ascii="Times New Roman" w:hAnsi="Times New Roman" w:cs="Times New Roman"/>
      <w:sz w:val="24"/>
    </w:rPr>
  </w:style>
  <w:style w:type="paragraph" w:customStyle="1" w:styleId="numberlistpnl">
    <w:name w:val="number list pnl"/>
    <w:basedOn w:val="Normal"/>
    <w:autoRedefine/>
    <w:uiPriority w:val="99"/>
    <w:semiHidden/>
    <w:qFormat/>
    <w:rsid w:val="005C1F33"/>
    <w:pPr>
      <w:widowControl w:val="0"/>
      <w:tabs>
        <w:tab w:val="left" w:pos="1020"/>
      </w:tabs>
      <w:autoSpaceDE w:val="0"/>
      <w:autoSpaceDN w:val="0"/>
      <w:adjustRightInd w:val="0"/>
      <w:spacing w:after="0" w:line="240" w:lineRule="auto"/>
      <w:ind w:left="919" w:hanging="480"/>
      <w:textAlignment w:val="center"/>
    </w:pPr>
    <w:rPr>
      <w:rFonts w:ascii="Times New Roman" w:hAnsi="Times New Roman" w:cs="ITC New Baskerville Std"/>
      <w:color w:val="000000"/>
      <w:sz w:val="24"/>
      <w:szCs w:val="24"/>
    </w:rPr>
  </w:style>
  <w:style w:type="paragraph" w:customStyle="1" w:styleId="numberliststart">
    <w:name w:val="number list start"/>
    <w:basedOn w:val="Normal"/>
    <w:autoRedefine/>
    <w:uiPriority w:val="99"/>
    <w:semiHidden/>
    <w:qFormat/>
    <w:rsid w:val="00714682"/>
    <w:pPr>
      <w:spacing w:before="240" w:after="0" w:line="240" w:lineRule="auto"/>
      <w:ind w:left="919" w:hanging="480"/>
    </w:pPr>
    <w:rPr>
      <w:rFonts w:ascii="Times New Roman" w:hAnsi="Times New Roman"/>
      <w:sz w:val="24"/>
    </w:rPr>
  </w:style>
  <w:style w:type="paragraph" w:customStyle="1" w:styleId="Numberliststart0">
    <w:name w:val="Number list start"/>
    <w:basedOn w:val="Normal"/>
    <w:autoRedefine/>
    <w:uiPriority w:val="99"/>
    <w:semiHidden/>
    <w:rsid w:val="005C1F33"/>
    <w:pPr>
      <w:widowControl w:val="0"/>
      <w:tabs>
        <w:tab w:val="left" w:pos="800"/>
      </w:tabs>
      <w:autoSpaceDE w:val="0"/>
      <w:autoSpaceDN w:val="0"/>
      <w:adjustRightInd w:val="0"/>
      <w:spacing w:before="240" w:after="0" w:line="240" w:lineRule="auto"/>
      <w:ind w:left="919" w:hanging="480"/>
      <w:textAlignment w:val="center"/>
    </w:pPr>
    <w:rPr>
      <w:rFonts w:ascii="Times New Roman" w:eastAsiaTheme="minorHAnsi" w:hAnsi="Times New Roman" w:cs="ITC New Baskerville Std"/>
      <w:color w:val="000000"/>
      <w:sz w:val="24"/>
      <w:szCs w:val="24"/>
    </w:rPr>
  </w:style>
  <w:style w:type="paragraph" w:customStyle="1" w:styleId="numberliststop">
    <w:name w:val="number list stop"/>
    <w:basedOn w:val="numberliststart"/>
    <w:autoRedefine/>
    <w:uiPriority w:val="99"/>
    <w:semiHidden/>
    <w:rsid w:val="005C1F33"/>
    <w:pPr>
      <w:widowControl w:val="0"/>
      <w:tabs>
        <w:tab w:val="left" w:pos="800"/>
      </w:tabs>
      <w:autoSpaceDE w:val="0"/>
      <w:autoSpaceDN w:val="0"/>
      <w:adjustRightInd w:val="0"/>
      <w:spacing w:before="0" w:after="240"/>
      <w:textAlignment w:val="center"/>
    </w:pPr>
    <w:rPr>
      <w:rFonts w:cs="NewCenturySchlbk"/>
      <w:color w:val="000000"/>
    </w:rPr>
  </w:style>
  <w:style w:type="paragraph" w:customStyle="1" w:styleId="numberllistpl2ndlevel">
    <w:name w:val="numberl list pl 2nd level"/>
    <w:basedOn w:val="Normal"/>
    <w:autoRedefine/>
    <w:uiPriority w:val="99"/>
    <w:semiHidden/>
    <w:rsid w:val="005C1F33"/>
    <w:pPr>
      <w:tabs>
        <w:tab w:val="left" w:pos="1400"/>
      </w:tabs>
      <w:spacing w:after="0" w:line="240" w:lineRule="auto"/>
      <w:ind w:left="1399" w:hanging="480"/>
      <w:jc w:val="both"/>
    </w:pPr>
    <w:rPr>
      <w:rFonts w:ascii="Times New Roman" w:hAnsi="Times New Roman"/>
      <w:sz w:val="24"/>
    </w:rPr>
  </w:style>
  <w:style w:type="paragraph" w:customStyle="1" w:styleId="parttextflush">
    <w:name w:val="part text flush"/>
    <w:basedOn w:val="Normal"/>
    <w:autoRedefine/>
    <w:uiPriority w:val="99"/>
    <w:semiHidden/>
    <w:rsid w:val="005C1F33"/>
    <w:pPr>
      <w:widowControl w:val="0"/>
      <w:autoSpaceDE w:val="0"/>
      <w:autoSpaceDN w:val="0"/>
      <w:adjustRightInd w:val="0"/>
      <w:spacing w:after="0" w:line="240" w:lineRule="auto"/>
      <w:textAlignment w:val="center"/>
    </w:pPr>
    <w:rPr>
      <w:rFonts w:ascii="Times New Roman" w:hAnsi="Times New Roman" w:cs="Times LT Std"/>
      <w:i/>
      <w:iCs/>
      <w:color w:val="000000"/>
      <w:sz w:val="24"/>
    </w:rPr>
  </w:style>
  <w:style w:type="paragraph" w:customStyle="1" w:styleId="partboldhead-">
    <w:name w:val="part bold head -/+"/>
    <w:basedOn w:val="parttextflush"/>
    <w:autoRedefine/>
    <w:uiPriority w:val="99"/>
    <w:semiHidden/>
    <w:rsid w:val="005C1F33"/>
    <w:pPr>
      <w:spacing w:after="240"/>
    </w:pPr>
    <w:rPr>
      <w:b/>
      <w:bCs/>
      <w:i w:val="0"/>
      <w:iCs w:val="0"/>
    </w:rPr>
  </w:style>
  <w:style w:type="paragraph" w:customStyle="1" w:styleId="partbulletlist">
    <w:name w:val="part bullet list"/>
    <w:basedOn w:val="Normal"/>
    <w:autoRedefine/>
    <w:uiPriority w:val="99"/>
    <w:semiHidden/>
    <w:rsid w:val="005C1F33"/>
    <w:pPr>
      <w:widowControl w:val="0"/>
      <w:tabs>
        <w:tab w:val="left" w:pos="180"/>
      </w:tabs>
      <w:autoSpaceDE w:val="0"/>
      <w:autoSpaceDN w:val="0"/>
      <w:adjustRightInd w:val="0"/>
      <w:spacing w:after="0" w:line="240" w:lineRule="auto"/>
      <w:ind w:left="180" w:hanging="180"/>
      <w:textAlignment w:val="center"/>
    </w:pPr>
    <w:rPr>
      <w:rFonts w:ascii="Times New Roman" w:hAnsi="Times New Roman" w:cs="Times LT Std"/>
      <w:color w:val="000000"/>
      <w:sz w:val="24"/>
    </w:rPr>
  </w:style>
  <w:style w:type="paragraph" w:customStyle="1" w:styleId="parttextitalic">
    <w:name w:val="part text italic"/>
    <w:basedOn w:val="Normal"/>
    <w:autoRedefine/>
    <w:semiHidden/>
    <w:qFormat/>
    <w:rsid w:val="005C1F33"/>
    <w:pPr>
      <w:spacing w:after="0" w:line="240" w:lineRule="auto"/>
    </w:pPr>
    <w:rPr>
      <w:rFonts w:ascii="Times New Roman" w:hAnsi="Times New Roman"/>
      <w:i/>
      <w:sz w:val="24"/>
    </w:rPr>
  </w:style>
  <w:style w:type="paragraph" w:customStyle="1" w:styleId="PracticeTip">
    <w:name w:val="Practice Tip"/>
    <w:basedOn w:val="text"/>
    <w:autoRedefine/>
    <w:uiPriority w:val="99"/>
    <w:semiHidden/>
    <w:rsid w:val="005C1F33"/>
    <w:pPr>
      <w:widowControl w:val="0"/>
      <w:pBdr>
        <w:top w:val="single" w:sz="4" w:space="1" w:color="auto"/>
        <w:left w:val="single" w:sz="4" w:space="4" w:color="auto"/>
        <w:bottom w:val="single" w:sz="4" w:space="1" w:color="auto"/>
        <w:right w:val="single" w:sz="4" w:space="4" w:color="auto"/>
      </w:pBdr>
      <w:shd w:val="clear" w:color="auto" w:fill="F2F2F2" w:themeFill="background1" w:themeFillShade="F2"/>
      <w:tabs>
        <w:tab w:val="clear" w:pos="1440"/>
        <w:tab w:val="clear" w:pos="2160"/>
        <w:tab w:val="clear" w:pos="2880"/>
        <w:tab w:val="clear" w:pos="3600"/>
        <w:tab w:val="clear" w:pos="4320"/>
        <w:tab w:val="clear" w:pos="5040"/>
        <w:tab w:val="clear" w:pos="5760"/>
      </w:tabs>
      <w:autoSpaceDE w:val="0"/>
      <w:autoSpaceDN w:val="0"/>
      <w:adjustRightInd w:val="0"/>
      <w:spacing w:before="240" w:after="240"/>
      <w:ind w:left="480" w:right="480" w:firstLine="0"/>
      <w:textAlignment w:val="center"/>
    </w:pPr>
    <w:rPr>
      <w:rFonts w:eastAsiaTheme="minorEastAsia" w:cs="Times LT Std"/>
      <w:iCs/>
      <w:color w:val="000000"/>
    </w:rPr>
  </w:style>
  <w:style w:type="paragraph" w:customStyle="1" w:styleId="practicetiptextnoindentwrule">
    <w:name w:val="practice tip text no indent w/rule"/>
    <w:basedOn w:val="Normal"/>
    <w:autoRedefine/>
    <w:uiPriority w:val="99"/>
    <w:semiHidden/>
    <w:rsid w:val="005C1F33"/>
    <w:pPr>
      <w:widowControl w:val="0"/>
      <w:pBdr>
        <w:bottom w:val="single" w:sz="8" w:space="12" w:color="auto"/>
      </w:pBdr>
      <w:autoSpaceDE w:val="0"/>
      <w:autoSpaceDN w:val="0"/>
      <w:adjustRightInd w:val="0"/>
      <w:spacing w:after="240" w:line="240" w:lineRule="auto"/>
      <w:textAlignment w:val="center"/>
    </w:pPr>
    <w:rPr>
      <w:rFonts w:ascii="Times New Roman" w:hAnsi="Times New Roman" w:cs="ITC New Baskerville Std"/>
      <w:color w:val="000000"/>
      <w:sz w:val="24"/>
    </w:rPr>
  </w:style>
  <w:style w:type="paragraph" w:customStyle="1" w:styleId="praticetiphead">
    <w:name w:val="pratice tip head"/>
    <w:basedOn w:val="text"/>
    <w:autoRedefine/>
    <w:uiPriority w:val="99"/>
    <w:semiHidden/>
    <w:rsid w:val="005C1F33"/>
    <w:pPr>
      <w:widowControl w:val="0"/>
      <w:pBdr>
        <w:top w:val="single" w:sz="8" w:space="18" w:color="auto"/>
      </w:pBdr>
      <w:tabs>
        <w:tab w:val="clear" w:pos="1440"/>
        <w:tab w:val="clear" w:pos="2160"/>
        <w:tab w:val="clear" w:pos="2880"/>
        <w:tab w:val="clear" w:pos="3600"/>
        <w:tab w:val="clear" w:pos="4320"/>
        <w:tab w:val="clear" w:pos="5040"/>
        <w:tab w:val="clear" w:pos="5760"/>
      </w:tabs>
      <w:autoSpaceDE w:val="0"/>
      <w:autoSpaceDN w:val="0"/>
      <w:adjustRightInd w:val="0"/>
      <w:spacing w:before="480" w:after="240"/>
      <w:ind w:firstLine="0"/>
      <w:jc w:val="center"/>
      <w:textAlignment w:val="center"/>
    </w:pPr>
    <w:rPr>
      <w:rFonts w:ascii="Times New Roman Bold" w:eastAsiaTheme="minorEastAsia" w:hAnsi="Times New Roman Bold" w:cs="ITC New Baskerville Std"/>
      <w:b/>
      <w:bCs/>
      <w:caps/>
      <w:color w:val="000000"/>
      <w:szCs w:val="22"/>
    </w:rPr>
  </w:style>
  <w:style w:type="paragraph" w:customStyle="1" w:styleId="romanlistIIA">
    <w:name w:val="roman list II.A."/>
    <w:basedOn w:val="Normal"/>
    <w:autoRedefine/>
    <w:uiPriority w:val="99"/>
    <w:semiHidden/>
    <w:rsid w:val="005C1F33"/>
    <w:pPr>
      <w:widowControl w:val="0"/>
      <w:tabs>
        <w:tab w:val="left" w:pos="480"/>
      </w:tabs>
      <w:autoSpaceDE w:val="0"/>
      <w:autoSpaceDN w:val="0"/>
      <w:adjustRightInd w:val="0"/>
      <w:spacing w:before="120" w:after="240" w:line="240" w:lineRule="auto"/>
      <w:ind w:left="480" w:hanging="480"/>
      <w:textAlignment w:val="center"/>
    </w:pPr>
    <w:rPr>
      <w:rFonts w:ascii="Times New Roman" w:hAnsi="Times New Roman" w:cs="Times LT Std"/>
      <w:b/>
      <w:bCs/>
      <w:color w:val="000000"/>
      <w:sz w:val="24"/>
    </w:rPr>
  </w:style>
  <w:style w:type="paragraph" w:customStyle="1" w:styleId="RuleHead">
    <w:name w:val="Rule Head"/>
    <w:basedOn w:val="textflush"/>
    <w:autoRedefine/>
    <w:uiPriority w:val="99"/>
    <w:semiHidden/>
    <w:rsid w:val="005C1F33"/>
    <w:pPr>
      <w:widowControl w:val="0"/>
      <w:autoSpaceDE w:val="0"/>
      <w:autoSpaceDN w:val="0"/>
      <w:adjustRightInd w:val="0"/>
      <w:spacing w:before="240" w:after="240"/>
      <w:textAlignment w:val="center"/>
    </w:pPr>
    <w:rPr>
      <w:rFonts w:eastAsiaTheme="minorEastAsia"/>
      <w:b/>
      <w:bCs/>
      <w:i/>
      <w:iCs/>
      <w:szCs w:val="22"/>
    </w:rPr>
  </w:style>
  <w:style w:type="character" w:customStyle="1" w:styleId="smallcaps">
    <w:name w:val="small caps"/>
    <w:uiPriority w:val="99"/>
    <w:semiHidden/>
    <w:rsid w:val="005C1F33"/>
    <w:rPr>
      <w:rFonts w:ascii="Times New Roman" w:hAnsi="Times New Roman" w:cs="NewCenturySchlbk LT Std"/>
      <w:caps w:val="0"/>
      <w:smallCaps/>
      <w:w w:val="70"/>
    </w:rPr>
  </w:style>
  <w:style w:type="paragraph" w:customStyle="1" w:styleId="StateBold">
    <w:name w:val="State Bold"/>
    <w:basedOn w:val="Normal"/>
    <w:uiPriority w:val="99"/>
    <w:semiHidden/>
    <w:rsid w:val="005C1F33"/>
    <w:pPr>
      <w:widowControl w:val="0"/>
      <w:autoSpaceDE w:val="0"/>
      <w:autoSpaceDN w:val="0"/>
      <w:adjustRightInd w:val="0"/>
      <w:spacing w:before="240" w:after="240" w:line="240" w:lineRule="auto"/>
      <w:textAlignment w:val="center"/>
    </w:pPr>
    <w:rPr>
      <w:rFonts w:ascii="Times New Roman" w:hAnsi="Times New Roman" w:cs="Times LT Std"/>
      <w:b/>
      <w:bCs/>
      <w:color w:val="000000"/>
      <w:sz w:val="24"/>
      <w:szCs w:val="24"/>
    </w:rPr>
  </w:style>
  <w:style w:type="paragraph" w:styleId="Subtitle">
    <w:name w:val="Subtitle"/>
    <w:basedOn w:val="Normal"/>
    <w:next w:val="Normal"/>
    <w:link w:val="SubtitleChar"/>
    <w:uiPriority w:val="11"/>
    <w:qFormat/>
    <w:pPr>
      <w:spacing w:after="0" w:line="240" w:lineRule="auto"/>
      <w:ind w:firstLine="720"/>
    </w:pPr>
    <w:rPr>
      <w:rFonts w:ascii="Times New Roman" w:eastAsia="Times New Roman" w:hAnsi="Times New Roman" w:cs="Times New Roman"/>
      <w:color w:val="5A5A5A"/>
      <w:sz w:val="24"/>
      <w:szCs w:val="24"/>
    </w:rPr>
  </w:style>
  <w:style w:type="character" w:customStyle="1" w:styleId="SubtitleChar">
    <w:name w:val="Subtitle Char"/>
    <w:basedOn w:val="DefaultParagraphFont"/>
    <w:link w:val="Subtitle"/>
    <w:uiPriority w:val="11"/>
    <w:semiHidden/>
    <w:rsid w:val="00845981"/>
    <w:rPr>
      <w:rFonts w:ascii="Times New Roman" w:eastAsia="Times New Roman" w:hAnsi="Times New Roman" w:cs="Times New Roman"/>
      <w:color w:val="5A5A5A"/>
      <w:sz w:val="24"/>
      <w:szCs w:val="24"/>
    </w:rPr>
  </w:style>
  <w:style w:type="character" w:customStyle="1" w:styleId="superscript">
    <w:name w:val="superscript"/>
    <w:uiPriority w:val="99"/>
    <w:semiHidden/>
    <w:rsid w:val="005C1F33"/>
    <w:rPr>
      <w:vertAlign w:val="superscript"/>
    </w:rPr>
  </w:style>
  <w:style w:type="paragraph" w:customStyle="1" w:styleId="TableTitle">
    <w:name w:val="Table Title"/>
    <w:basedOn w:val="Normal"/>
    <w:autoRedefine/>
    <w:uiPriority w:val="99"/>
    <w:semiHidden/>
    <w:rsid w:val="005C1F33"/>
    <w:pPr>
      <w:widowControl w:val="0"/>
      <w:suppressAutoHyphens/>
      <w:autoSpaceDE w:val="0"/>
      <w:autoSpaceDN w:val="0"/>
      <w:adjustRightInd w:val="0"/>
      <w:spacing w:before="240" w:after="240" w:line="240" w:lineRule="auto"/>
      <w:textAlignment w:val="center"/>
    </w:pPr>
    <w:rPr>
      <w:rFonts w:ascii="Times New Roman" w:hAnsi="Times New Roman" w:cs="ITC New Baskerville Std"/>
      <w:b/>
      <w:bCs/>
      <w:color w:val="000000"/>
      <w:sz w:val="24"/>
    </w:rPr>
  </w:style>
  <w:style w:type="paragraph" w:customStyle="1" w:styleId="Text0">
    <w:name w:val="Text"/>
    <w:basedOn w:val="Normal"/>
    <w:autoRedefine/>
    <w:semiHidden/>
    <w:qFormat/>
    <w:rsid w:val="005C1F33"/>
    <w:pPr>
      <w:spacing w:after="0" w:line="240" w:lineRule="auto"/>
    </w:pPr>
    <w:rPr>
      <w:rFonts w:ascii="Times New Roman" w:hAnsi="Times New Roman"/>
      <w:sz w:val="24"/>
    </w:rPr>
  </w:style>
  <w:style w:type="paragraph" w:customStyle="1" w:styleId="text-0">
    <w:name w:val="text +/-"/>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ind w:firstLine="439"/>
      <w:textAlignment w:val="center"/>
    </w:pPr>
    <w:rPr>
      <w:rFonts w:eastAsiaTheme="minorEastAsia" w:cs="Times LT Std"/>
      <w:color w:val="000000"/>
      <w:szCs w:val="22"/>
    </w:rPr>
  </w:style>
  <w:style w:type="paragraph" w:customStyle="1" w:styleId="text1">
    <w:name w:val="text +/+"/>
    <w:basedOn w:val="Normal"/>
    <w:autoRedefine/>
    <w:uiPriority w:val="99"/>
    <w:semiHidden/>
    <w:rsid w:val="005C1F33"/>
    <w:pPr>
      <w:widowControl w:val="0"/>
      <w:autoSpaceDE w:val="0"/>
      <w:autoSpaceDN w:val="0"/>
      <w:adjustRightInd w:val="0"/>
      <w:spacing w:before="120" w:after="120" w:line="240" w:lineRule="auto"/>
      <w:ind w:firstLine="720"/>
      <w:textAlignment w:val="center"/>
    </w:pPr>
    <w:rPr>
      <w:rFonts w:ascii="Times New Roman" w:hAnsi="Times New Roman" w:cs="ITC New Baskerville Std"/>
      <w:color w:val="000000"/>
      <w:sz w:val="24"/>
    </w:rPr>
  </w:style>
  <w:style w:type="paragraph" w:customStyle="1" w:styleId="text16picaindent">
    <w:name w:val="text 1.6 pica indent"/>
    <w:basedOn w:val="Normal"/>
    <w:autoRedefine/>
    <w:uiPriority w:val="99"/>
    <w:semiHidden/>
    <w:rsid w:val="005C1F33"/>
    <w:pPr>
      <w:widowControl w:val="0"/>
      <w:autoSpaceDE w:val="0"/>
      <w:autoSpaceDN w:val="0"/>
      <w:adjustRightInd w:val="0"/>
      <w:spacing w:after="0" w:line="240" w:lineRule="auto"/>
      <w:ind w:left="439"/>
      <w:textAlignment w:val="center"/>
    </w:pPr>
    <w:rPr>
      <w:rFonts w:ascii="Times New Roman" w:hAnsi="Times New Roman" w:cs="Times LT Std"/>
      <w:color w:val="000000"/>
      <w:sz w:val="24"/>
    </w:rPr>
  </w:style>
  <w:style w:type="paragraph" w:customStyle="1" w:styleId="text6emparaindent">
    <w:name w:val="text 6 em para indent"/>
    <w:basedOn w:val="Normal"/>
    <w:autoRedefine/>
    <w:uiPriority w:val="99"/>
    <w:semiHidden/>
    <w:rsid w:val="005C1F33"/>
    <w:pPr>
      <w:widowControl w:val="0"/>
      <w:tabs>
        <w:tab w:val="left" w:pos="360"/>
        <w:tab w:val="left" w:pos="720"/>
        <w:tab w:val="left" w:pos="1080"/>
        <w:tab w:val="left" w:pos="1440"/>
        <w:tab w:val="left" w:pos="1800"/>
      </w:tabs>
      <w:autoSpaceDE w:val="0"/>
      <w:autoSpaceDN w:val="0"/>
      <w:adjustRightInd w:val="0"/>
      <w:spacing w:after="0" w:line="240" w:lineRule="auto"/>
      <w:ind w:firstLine="1320"/>
      <w:textAlignment w:val="center"/>
    </w:pPr>
    <w:rPr>
      <w:rFonts w:ascii="Times New Roman" w:hAnsi="Times New Roman" w:cs="Times LT Std"/>
      <w:b/>
      <w:bCs/>
      <w:color w:val="000000"/>
      <w:sz w:val="24"/>
    </w:rPr>
  </w:style>
  <w:style w:type="paragraph" w:customStyle="1" w:styleId="text6ptsbelow">
    <w:name w:val="text 6 pts below"/>
    <w:basedOn w:val="Normal"/>
    <w:autoRedefine/>
    <w:uiPriority w:val="99"/>
    <w:semiHidden/>
    <w:rsid w:val="005C1F33"/>
    <w:pPr>
      <w:widowControl w:val="0"/>
      <w:autoSpaceDE w:val="0"/>
      <w:autoSpaceDN w:val="0"/>
      <w:adjustRightInd w:val="0"/>
      <w:spacing w:after="120" w:line="240" w:lineRule="auto"/>
      <w:ind w:firstLine="720"/>
      <w:textAlignment w:val="center"/>
    </w:pPr>
    <w:rPr>
      <w:rFonts w:ascii="Times New Roman" w:hAnsi="Times New Roman" w:cs="Times LT Std"/>
      <w:color w:val="000000"/>
      <w:sz w:val="24"/>
    </w:rPr>
  </w:style>
  <w:style w:type="paragraph" w:customStyle="1" w:styleId="text8emparaindent">
    <w:name w:val="text 8 em para indent"/>
    <w:basedOn w:val="text6emparaindent"/>
    <w:autoRedefine/>
    <w:uiPriority w:val="99"/>
    <w:semiHidden/>
    <w:rsid w:val="005C1F33"/>
    <w:pPr>
      <w:ind w:firstLine="1760"/>
    </w:pPr>
    <w:rPr>
      <w:b w:val="0"/>
    </w:rPr>
  </w:style>
  <w:style w:type="paragraph" w:customStyle="1" w:styleId="textaddbld-">
    <w:name w:val="text add bld -/+"/>
    <w:basedOn w:val="Normal"/>
    <w:autoRedefine/>
    <w:uiPriority w:val="99"/>
    <w:semiHidden/>
    <w:rsid w:val="005C1F33"/>
    <w:pPr>
      <w:widowControl w:val="0"/>
      <w:autoSpaceDE w:val="0"/>
      <w:autoSpaceDN w:val="0"/>
      <w:adjustRightInd w:val="0"/>
      <w:spacing w:after="240" w:line="240" w:lineRule="auto"/>
      <w:textAlignment w:val="center"/>
    </w:pPr>
    <w:rPr>
      <w:rFonts w:ascii="Times New Roman" w:hAnsi="Times New Roman" w:cs="NewCenturySchlbk"/>
      <w:b/>
      <w:bCs/>
      <w:color w:val="000000"/>
      <w:sz w:val="24"/>
    </w:rPr>
  </w:style>
  <w:style w:type="paragraph" w:customStyle="1" w:styleId="textaddbld">
    <w:name w:val="text add bld +/+"/>
    <w:basedOn w:val="textaddbld-"/>
    <w:autoRedefine/>
    <w:uiPriority w:val="99"/>
    <w:semiHidden/>
    <w:rsid w:val="005C1F33"/>
    <w:pPr>
      <w:spacing w:before="240"/>
    </w:pPr>
  </w:style>
  <w:style w:type="paragraph" w:customStyle="1" w:styleId="textbold-">
    <w:name w:val="text bold -/+"/>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 bold +/+"/>
    <w:basedOn w:val="textbold-"/>
    <w:autoRedefine/>
    <w:uiPriority w:val="99"/>
    <w:semiHidden/>
    <w:rsid w:val="005C1F33"/>
    <w:pPr>
      <w:spacing w:before="240"/>
    </w:pPr>
    <w:rPr>
      <w:rFonts w:cs="Times LT Std"/>
      <w:szCs w:val="22"/>
    </w:rPr>
  </w:style>
  <w:style w:type="paragraph" w:customStyle="1" w:styleId="textcentered">
    <w:name w:val="text centered"/>
    <w:basedOn w:val="textflush"/>
    <w:autoRedefine/>
    <w:uiPriority w:val="99"/>
    <w:semiHidden/>
    <w:rsid w:val="005C1F33"/>
    <w:pPr>
      <w:widowControl w:val="0"/>
      <w:autoSpaceDE w:val="0"/>
      <w:autoSpaceDN w:val="0"/>
      <w:adjustRightInd w:val="0"/>
      <w:spacing w:after="120"/>
      <w:jc w:val="center"/>
      <w:textAlignment w:val="center"/>
    </w:pPr>
    <w:rPr>
      <w:rFonts w:eastAsiaTheme="minorEastAsia" w:cs="Times LT Std"/>
      <w:szCs w:val="22"/>
    </w:rPr>
  </w:style>
  <w:style w:type="paragraph" w:customStyle="1" w:styleId="textEdNote">
    <w:name w:val="text Ed Note"/>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jc w:val="both"/>
      <w:textAlignment w:val="center"/>
    </w:pPr>
    <w:rPr>
      <w:rFonts w:eastAsiaTheme="minorEastAsia" w:cs="Times LT Std"/>
      <w:color w:val="000000"/>
    </w:rPr>
  </w:style>
  <w:style w:type="paragraph" w:customStyle="1" w:styleId="textEdNote-">
    <w:name w:val="text Ed Note -/+"/>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color w:val="000000"/>
    </w:rPr>
  </w:style>
  <w:style w:type="paragraph" w:customStyle="1" w:styleId="textflushspacebelow">
    <w:name w:val="text flush + space below"/>
    <w:basedOn w:val="textflush"/>
    <w:autoRedefine/>
    <w:uiPriority w:val="99"/>
    <w:semiHidden/>
    <w:rsid w:val="005C1F33"/>
    <w:pPr>
      <w:widowControl w:val="0"/>
      <w:autoSpaceDE w:val="0"/>
      <w:autoSpaceDN w:val="0"/>
      <w:adjustRightInd w:val="0"/>
      <w:spacing w:after="240"/>
      <w:jc w:val="both"/>
      <w:textAlignment w:val="center"/>
    </w:pPr>
    <w:rPr>
      <w:rFonts w:eastAsiaTheme="minorEastAsia" w:cs="Times LT Std"/>
      <w:szCs w:val="22"/>
    </w:rPr>
  </w:style>
  <w:style w:type="paragraph" w:customStyle="1" w:styleId="textednote0">
    <w:name w:val="text ed note +/+"/>
    <w:basedOn w:val="textflushspacebelow"/>
    <w:autoRedefine/>
    <w:uiPriority w:val="99"/>
    <w:semiHidden/>
    <w:rsid w:val="005C1F33"/>
    <w:pPr>
      <w:spacing w:before="240"/>
      <w:jc w:val="left"/>
    </w:pPr>
    <w:rPr>
      <w:i/>
      <w:iCs/>
    </w:rPr>
  </w:style>
  <w:style w:type="paragraph" w:customStyle="1" w:styleId="texteditorsnote">
    <w:name w:val="text editors note +/+"/>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editorsnote-">
    <w:name w:val="text editors note -/+"/>
    <w:basedOn w:val="texteditorsnote"/>
    <w:autoRedefine/>
    <w:uiPriority w:val="99"/>
    <w:semiHidden/>
    <w:rsid w:val="005C1F33"/>
    <w:pPr>
      <w:spacing w:before="0"/>
    </w:pPr>
  </w:style>
  <w:style w:type="paragraph" w:customStyle="1" w:styleId="texteditorsnote-0">
    <w:name w:val="text editors note +/-"/>
    <w:basedOn w:val="Normal"/>
    <w:autoRedefine/>
    <w:uiPriority w:val="99"/>
    <w:semiHidden/>
    <w:rsid w:val="005C1F33"/>
    <w:pPr>
      <w:widowControl w:val="0"/>
      <w:autoSpaceDE w:val="0"/>
      <w:autoSpaceDN w:val="0"/>
      <w:adjustRightInd w:val="0"/>
      <w:spacing w:before="240" w:after="0" w:line="240" w:lineRule="auto"/>
      <w:ind w:firstLine="720"/>
      <w:textAlignment w:val="center"/>
    </w:pPr>
    <w:rPr>
      <w:rFonts w:ascii="Times New Roman" w:hAnsi="Times New Roman" w:cs="ITC New Baskerville Std"/>
      <w:color w:val="000000"/>
      <w:sz w:val="24"/>
      <w:szCs w:val="24"/>
    </w:rPr>
  </w:style>
  <w:style w:type="paragraph" w:customStyle="1" w:styleId="textflush-">
    <w:name w:val="text flush -/+"/>
    <w:basedOn w:val="textflush"/>
    <w:autoRedefine/>
    <w:uiPriority w:val="99"/>
    <w:semiHidden/>
    <w:rsid w:val="005C1F33"/>
    <w:pPr>
      <w:widowControl w:val="0"/>
      <w:autoSpaceDE w:val="0"/>
      <w:autoSpaceDN w:val="0"/>
      <w:adjustRightInd w:val="0"/>
      <w:spacing w:after="240"/>
      <w:textAlignment w:val="center"/>
    </w:pPr>
    <w:rPr>
      <w:rFonts w:eastAsiaTheme="minorEastAsia"/>
      <w:i/>
      <w:iCs/>
      <w:szCs w:val="22"/>
    </w:rPr>
  </w:style>
  <w:style w:type="paragraph" w:customStyle="1" w:styleId="textflush0">
    <w:name w:val="text flush +/+"/>
    <w:basedOn w:val="textflush"/>
    <w:autoRedefine/>
    <w:uiPriority w:val="99"/>
    <w:semiHidden/>
    <w:rsid w:val="005C1F33"/>
    <w:pPr>
      <w:widowControl w:val="0"/>
      <w:autoSpaceDE w:val="0"/>
      <w:autoSpaceDN w:val="0"/>
      <w:adjustRightInd w:val="0"/>
      <w:spacing w:before="240" w:after="240"/>
      <w:textAlignment w:val="center"/>
    </w:pPr>
    <w:rPr>
      <w:rFonts w:eastAsiaTheme="minorEastAsia"/>
      <w:i/>
      <w:iCs/>
      <w:szCs w:val="22"/>
    </w:rPr>
  </w:style>
  <w:style w:type="paragraph" w:customStyle="1" w:styleId="textflushbold">
    <w:name w:val="text flush bold +/+"/>
    <w:basedOn w:val="Normal"/>
    <w:autoRedefine/>
    <w:uiPriority w:val="99"/>
    <w:semiHidden/>
    <w:rsid w:val="005C1F33"/>
    <w:pPr>
      <w:widowControl w:val="0"/>
      <w:autoSpaceDE w:val="0"/>
      <w:autoSpaceDN w:val="0"/>
      <w:adjustRightInd w:val="0"/>
      <w:spacing w:before="240" w:after="240" w:line="240" w:lineRule="auto"/>
      <w:contextualSpacing/>
      <w:textAlignment w:val="center"/>
    </w:pPr>
    <w:rPr>
      <w:rFonts w:ascii="Times New Roman" w:hAnsi="Times New Roman" w:cs="ITC New Baskerville Std"/>
      <w:b/>
      <w:bCs/>
      <w:color w:val="000000"/>
      <w:sz w:val="24"/>
    </w:rPr>
  </w:style>
  <w:style w:type="paragraph" w:customStyle="1" w:styleId="textflushbold-">
    <w:name w:val="text flush bold -/+"/>
    <w:basedOn w:val="textflushbold"/>
    <w:autoRedefine/>
    <w:uiPriority w:val="99"/>
    <w:semiHidden/>
    <w:rsid w:val="005C1F33"/>
    <w:pPr>
      <w:spacing w:before="0"/>
      <w:contextualSpacing w:val="0"/>
    </w:pPr>
  </w:style>
  <w:style w:type="paragraph" w:customStyle="1" w:styleId="textflushbold--">
    <w:name w:val="text flush bold -/-"/>
    <w:basedOn w:val="textflushbold-"/>
    <w:autoRedefine/>
    <w:uiPriority w:val="99"/>
    <w:semiHidden/>
    <w:rsid w:val="005C1F33"/>
    <w:pPr>
      <w:spacing w:after="0"/>
    </w:pPr>
  </w:style>
  <w:style w:type="paragraph" w:customStyle="1" w:styleId="textflushednote-">
    <w:name w:val="text flush ed note -/+"/>
    <w:basedOn w:val="Normal"/>
    <w:autoRedefine/>
    <w:uiPriority w:val="99"/>
    <w:semiHidden/>
    <w:qFormat/>
    <w:rsid w:val="005C1F33"/>
    <w:pPr>
      <w:widowControl w:val="0"/>
      <w:autoSpaceDE w:val="0"/>
      <w:autoSpaceDN w:val="0"/>
      <w:adjustRightInd w:val="0"/>
      <w:spacing w:after="240" w:line="240" w:lineRule="auto"/>
      <w:textAlignment w:val="center"/>
    </w:pPr>
    <w:rPr>
      <w:rFonts w:ascii="Times New Roman" w:hAnsi="Times New Roman" w:cs="Times LT Std"/>
      <w:color w:val="000000"/>
      <w:sz w:val="24"/>
    </w:rPr>
  </w:style>
  <w:style w:type="paragraph" w:customStyle="1" w:styleId="textflushednote">
    <w:name w:val="text flush ed note +/+"/>
    <w:basedOn w:val="textflushednote-"/>
    <w:autoRedefine/>
    <w:uiPriority w:val="99"/>
    <w:semiHidden/>
    <w:rsid w:val="005C1F33"/>
    <w:pPr>
      <w:spacing w:before="240"/>
    </w:pPr>
  </w:style>
  <w:style w:type="paragraph" w:customStyle="1" w:styleId="textinsert-">
    <w:name w:val="text insert -/+"/>
    <w:basedOn w:val="Normal"/>
    <w:autoRedefine/>
    <w:uiPriority w:val="99"/>
    <w:semiHidden/>
    <w:rsid w:val="005C1F33"/>
    <w:pPr>
      <w:widowControl w:val="0"/>
      <w:autoSpaceDE w:val="0"/>
      <w:autoSpaceDN w:val="0"/>
      <w:adjustRightInd w:val="0"/>
      <w:spacing w:before="240" w:after="240" w:line="240" w:lineRule="auto"/>
      <w:ind w:firstLine="720"/>
      <w:contextualSpacing/>
      <w:textAlignment w:val="center"/>
    </w:pPr>
    <w:rPr>
      <w:rFonts w:ascii="Times New Roman" w:hAnsi="Times New Roman" w:cs="ITC New Baskerville Std"/>
      <w:color w:val="000000"/>
      <w:sz w:val="24"/>
    </w:rPr>
  </w:style>
  <w:style w:type="paragraph" w:customStyle="1" w:styleId="textinsert-0">
    <w:name w:val="text insert /+/-"/>
    <w:basedOn w:val="texteditorsnote"/>
    <w:autoRedefine/>
    <w:uiPriority w:val="99"/>
    <w:semiHidden/>
    <w:rsid w:val="005C1F33"/>
    <w:pPr>
      <w:spacing w:after="0"/>
    </w:pPr>
    <w:rPr>
      <w:b/>
      <w:bCs/>
      <w:i/>
      <w:iCs/>
    </w:rPr>
  </w:style>
  <w:style w:type="paragraph" w:customStyle="1" w:styleId="textinsert-1">
    <w:name w:val="text insert +/-"/>
    <w:basedOn w:val="texteditorsnote"/>
    <w:autoRedefine/>
    <w:uiPriority w:val="99"/>
    <w:semiHidden/>
    <w:rsid w:val="005C1F33"/>
    <w:pPr>
      <w:spacing w:after="0"/>
    </w:pPr>
  </w:style>
  <w:style w:type="paragraph" w:customStyle="1" w:styleId="textinsert">
    <w:name w:val="text insert +/+"/>
    <w:basedOn w:val="textflush"/>
    <w:autoRedefine/>
    <w:uiPriority w:val="99"/>
    <w:semiHidden/>
    <w:rsid w:val="005C1F33"/>
    <w:pPr>
      <w:widowControl w:val="0"/>
      <w:autoSpaceDE w:val="0"/>
      <w:autoSpaceDN w:val="0"/>
      <w:adjustRightInd w:val="0"/>
      <w:spacing w:before="240" w:after="240"/>
      <w:ind w:firstLine="720"/>
      <w:textAlignment w:val="center"/>
    </w:pPr>
    <w:rPr>
      <w:rFonts w:eastAsiaTheme="minorEastAsia"/>
      <w:szCs w:val="22"/>
    </w:rPr>
  </w:style>
  <w:style w:type="paragraph" w:customStyle="1" w:styleId="textinsertparaindent">
    <w:name w:val="text insert +/+ para indent"/>
    <w:basedOn w:val="Normal"/>
    <w:autoRedefine/>
    <w:semiHidden/>
    <w:qFormat/>
    <w:rsid w:val="005C1F33"/>
    <w:pPr>
      <w:spacing w:before="240" w:after="240" w:line="240" w:lineRule="auto"/>
      <w:ind w:firstLine="720"/>
    </w:pPr>
    <w:rPr>
      <w:rFonts w:ascii="Times New Roman" w:hAnsi="Times New Roman"/>
      <w:sz w:val="24"/>
    </w:rPr>
  </w:style>
  <w:style w:type="paragraph" w:customStyle="1" w:styleId="textinsertflushbold-">
    <w:name w:val="text insert flush bold -/+"/>
    <w:basedOn w:val="Normal"/>
    <w:autoRedefine/>
    <w:uiPriority w:val="99"/>
    <w:semiHidden/>
    <w:rsid w:val="005C1F33"/>
    <w:pPr>
      <w:widowControl w:val="0"/>
      <w:autoSpaceDE w:val="0"/>
      <w:autoSpaceDN w:val="0"/>
      <w:adjustRightInd w:val="0"/>
      <w:spacing w:after="240" w:line="240" w:lineRule="auto"/>
      <w:textAlignment w:val="center"/>
    </w:pPr>
    <w:rPr>
      <w:rFonts w:ascii="Times New Roman" w:hAnsi="Times New Roman" w:cs="Times LT Std"/>
      <w:b/>
      <w:bCs/>
      <w:color w:val="000000"/>
      <w:sz w:val="24"/>
    </w:rPr>
  </w:style>
  <w:style w:type="paragraph" w:customStyle="1" w:styleId="textinsertflushbold">
    <w:name w:val="text insert flush bold +/+"/>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ind w:firstLine="0"/>
      <w:textAlignment w:val="center"/>
    </w:pPr>
    <w:rPr>
      <w:rFonts w:eastAsiaTheme="minorEastAsia" w:cs="Times LT Std"/>
      <w:b/>
      <w:bCs/>
      <w:color w:val="000000"/>
      <w:szCs w:val="22"/>
    </w:rPr>
  </w:style>
  <w:style w:type="paragraph" w:customStyle="1" w:styleId="textinsert-f">
    <w:name w:val="text insert-f +/+"/>
    <w:basedOn w:val="textinsert"/>
    <w:autoRedefine/>
    <w:uiPriority w:val="99"/>
    <w:semiHidden/>
    <w:rsid w:val="005C1F33"/>
  </w:style>
  <w:style w:type="paragraph" w:customStyle="1" w:styleId="textonpage-">
    <w:name w:val="text on page . . .  -/+"/>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240"/>
      <w:textAlignment w:val="center"/>
    </w:pPr>
    <w:rPr>
      <w:rFonts w:eastAsiaTheme="minorEastAsia" w:cs="ITC New Baskerville Std"/>
      <w:color w:val="000000"/>
    </w:rPr>
  </w:style>
  <w:style w:type="paragraph" w:customStyle="1" w:styleId="textonpage-0">
    <w:name w:val="text on page +/-"/>
    <w:basedOn w:val="text"/>
    <w:autoRedefine/>
    <w:uiPriority w:val="99"/>
    <w:semiHidden/>
    <w:rsid w:val="007D7213"/>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textAlignment w:val="center"/>
    </w:pPr>
    <w:rPr>
      <w:rFonts w:eastAsiaTheme="minorEastAsia" w:cs="ITC New Baskerville Std"/>
      <w:color w:val="000000"/>
    </w:rPr>
  </w:style>
  <w:style w:type="paragraph" w:customStyle="1" w:styleId="textonpage">
    <w:name w:val="text on page +/+"/>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before="240" w:after="240"/>
      <w:textAlignment w:val="center"/>
    </w:pPr>
    <w:rPr>
      <w:rFonts w:eastAsiaTheme="minorEastAsia" w:cs="ITC New Baskerville Std"/>
      <w:color w:val="000000"/>
    </w:rPr>
  </w:style>
  <w:style w:type="paragraph" w:customStyle="1" w:styleId="textonpagebold-flush">
    <w:name w:val="text on page bold -/+ flush"/>
    <w:basedOn w:val="Normal"/>
    <w:autoRedefine/>
    <w:uiPriority w:val="99"/>
    <w:semiHidden/>
    <w:qFormat/>
    <w:rsid w:val="005C1F33"/>
    <w:pPr>
      <w:widowControl w:val="0"/>
      <w:autoSpaceDE w:val="0"/>
      <w:autoSpaceDN w:val="0"/>
      <w:adjustRightInd w:val="0"/>
      <w:spacing w:after="240" w:line="240" w:lineRule="atLeast"/>
      <w:textAlignment w:val="center"/>
    </w:pPr>
    <w:rPr>
      <w:rFonts w:ascii="Times New Roman" w:hAnsi="Times New Roman" w:cs="Times LT Std"/>
      <w:b/>
      <w:bCs/>
      <w:color w:val="000000"/>
      <w:sz w:val="24"/>
    </w:rPr>
  </w:style>
  <w:style w:type="paragraph" w:customStyle="1" w:styleId="textonpagebold">
    <w:name w:val="text on page bold +/+"/>
    <w:basedOn w:val="Normal"/>
    <w:autoRedefine/>
    <w:uiPriority w:val="99"/>
    <w:semiHidden/>
    <w:rsid w:val="005C1F33"/>
    <w:pPr>
      <w:widowControl w:val="0"/>
      <w:autoSpaceDE w:val="0"/>
      <w:autoSpaceDN w:val="0"/>
      <w:adjustRightInd w:val="0"/>
      <w:spacing w:before="240" w:after="240" w:line="240" w:lineRule="auto"/>
      <w:textAlignment w:val="center"/>
    </w:pPr>
    <w:rPr>
      <w:rFonts w:ascii="Times New Roman" w:hAnsi="Times New Roman" w:cs="ITC New Baskerville Std"/>
      <w:b/>
      <w:bCs/>
      <w:color w:val="000000"/>
      <w:sz w:val="24"/>
      <w:szCs w:val="24"/>
    </w:rPr>
  </w:style>
  <w:style w:type="paragraph" w:customStyle="1" w:styleId="textonpageboldflush">
    <w:name w:val="text on page bold +/+ flush"/>
    <w:basedOn w:val="Normal"/>
    <w:autoRedefine/>
    <w:uiPriority w:val="99"/>
    <w:semiHidden/>
    <w:rsid w:val="005C1F33"/>
    <w:pPr>
      <w:widowControl w:val="0"/>
      <w:autoSpaceDE w:val="0"/>
      <w:autoSpaceDN w:val="0"/>
      <w:adjustRightInd w:val="0"/>
      <w:spacing w:before="240" w:after="240" w:line="240" w:lineRule="auto"/>
      <w:textAlignment w:val="center"/>
    </w:pPr>
    <w:rPr>
      <w:rFonts w:ascii="Times New Roman" w:hAnsi="Times New Roman" w:cs="Times LT Std"/>
      <w:b/>
      <w:bCs/>
      <w:color w:val="000000"/>
      <w:sz w:val="24"/>
    </w:rPr>
  </w:style>
  <w:style w:type="paragraph" w:customStyle="1" w:styleId="textwith6ptbelow">
    <w:name w:val="text with 6 pt below"/>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ITC New Baskerville Std"/>
      <w:b/>
      <w:bCs/>
      <w:color w:val="000000"/>
    </w:rPr>
  </w:style>
  <w:style w:type="paragraph" w:customStyle="1" w:styleId="text-bold-">
    <w:name w:val="text-bold -/+"/>
    <w:basedOn w:val="text"/>
    <w:autoRedefine/>
    <w:uiPriority w:val="99"/>
    <w:semiHidden/>
    <w:rsid w:val="005C1F33"/>
    <w:pPr>
      <w:widowControl w:val="0"/>
      <w:tabs>
        <w:tab w:val="clear" w:pos="1440"/>
        <w:tab w:val="clear" w:pos="2160"/>
        <w:tab w:val="clear" w:pos="2880"/>
        <w:tab w:val="clear" w:pos="3600"/>
        <w:tab w:val="clear" w:pos="4320"/>
        <w:tab w:val="clear" w:pos="5040"/>
        <w:tab w:val="clear" w:pos="5760"/>
      </w:tabs>
      <w:autoSpaceDE w:val="0"/>
      <w:autoSpaceDN w:val="0"/>
      <w:adjustRightInd w:val="0"/>
      <w:spacing w:after="240"/>
      <w:ind w:firstLine="0"/>
      <w:textAlignment w:val="center"/>
    </w:pPr>
    <w:rPr>
      <w:rFonts w:eastAsiaTheme="minorEastAsia" w:cs="Times LT Std"/>
      <w:b/>
      <w:bCs/>
      <w:color w:val="000000"/>
      <w:szCs w:val="22"/>
    </w:rPr>
  </w:style>
  <w:style w:type="paragraph" w:customStyle="1" w:styleId="text-bold">
    <w:name w:val="text-bold +/+"/>
    <w:basedOn w:val="text-bold-"/>
    <w:autoRedefine/>
    <w:uiPriority w:val="99"/>
    <w:semiHidden/>
    <w:rsid w:val="005C1F33"/>
    <w:pPr>
      <w:spacing w:before="240"/>
    </w:pPr>
  </w:style>
  <w:style w:type="paragraph" w:customStyle="1" w:styleId="text-flush">
    <w:name w:val="text-flush"/>
    <w:basedOn w:val="text"/>
    <w:autoRedefine/>
    <w:semiHidden/>
    <w:qFormat/>
    <w:rsid w:val="005C1F33"/>
  </w:style>
  <w:style w:type="character" w:customStyle="1" w:styleId="TitleChar">
    <w:name w:val="Title Char"/>
    <w:basedOn w:val="DefaultParagraphFont"/>
    <w:link w:val="Title"/>
    <w:uiPriority w:val="10"/>
    <w:semiHidden/>
    <w:rsid w:val="00845981"/>
    <w:rPr>
      <w:rFonts w:ascii="Times New Roman" w:eastAsiaTheme="majorEastAsia" w:hAnsi="Times New Roman" w:cstheme="majorBidi"/>
      <w:spacing w:val="-10"/>
      <w:kern w:val="28"/>
      <w:sz w:val="56"/>
      <w:szCs w:val="56"/>
    </w:rPr>
  </w:style>
  <w:style w:type="paragraph" w:customStyle="1" w:styleId="TOC1I">
    <w:name w:val="TOC1_I."/>
    <w:basedOn w:val="Normal"/>
    <w:autoRedefine/>
    <w:uiPriority w:val="99"/>
    <w:semiHidden/>
    <w:rsid w:val="005C1F33"/>
    <w:pPr>
      <w:widowControl w:val="0"/>
      <w:tabs>
        <w:tab w:val="right" w:pos="420"/>
        <w:tab w:val="left" w:pos="540"/>
        <w:tab w:val="right" w:leader="dot" w:pos="6240"/>
        <w:tab w:val="right" w:pos="6960"/>
      </w:tabs>
      <w:autoSpaceDE w:val="0"/>
      <w:autoSpaceDN w:val="0"/>
      <w:adjustRightInd w:val="0"/>
      <w:spacing w:after="0" w:line="220" w:lineRule="atLeast"/>
      <w:ind w:left="540" w:hanging="540"/>
      <w:textAlignment w:val="center"/>
    </w:pPr>
    <w:rPr>
      <w:rFonts w:ascii="Times New Roman" w:hAnsi="Times New Roman" w:cs="Times LT Std"/>
      <w:color w:val="000000"/>
      <w:szCs w:val="20"/>
    </w:rPr>
  </w:style>
  <w:style w:type="paragraph" w:customStyle="1" w:styleId="TOC1Secondary">
    <w:name w:val="TOC 1_Secondary"/>
    <w:basedOn w:val="TOC1I"/>
    <w:autoRedefine/>
    <w:uiPriority w:val="99"/>
    <w:semiHidden/>
    <w:qFormat/>
    <w:rsid w:val="005C1F33"/>
    <w:pPr>
      <w:tabs>
        <w:tab w:val="clear" w:pos="420"/>
        <w:tab w:val="clear" w:pos="540"/>
        <w:tab w:val="right" w:pos="480"/>
        <w:tab w:val="left" w:pos="600"/>
      </w:tabs>
      <w:suppressAutoHyphens/>
      <w:spacing w:line="240" w:lineRule="auto"/>
      <w:ind w:left="799" w:hanging="199"/>
    </w:pPr>
    <w:rPr>
      <w:szCs w:val="21"/>
    </w:rPr>
  </w:style>
  <w:style w:type="paragraph" w:customStyle="1" w:styleId="TOCChapter">
    <w:name w:val="TOC Chapter"/>
    <w:basedOn w:val="Normal"/>
    <w:autoRedefine/>
    <w:uiPriority w:val="99"/>
    <w:semiHidden/>
    <w:rsid w:val="005C1F33"/>
    <w:pPr>
      <w:tabs>
        <w:tab w:val="left" w:pos="1440"/>
        <w:tab w:val="right" w:leader="dot" w:pos="5640"/>
        <w:tab w:val="right" w:pos="6240"/>
        <w:tab w:val="right" w:pos="6960"/>
      </w:tabs>
      <w:suppressAutoHyphens/>
      <w:autoSpaceDE w:val="0"/>
      <w:autoSpaceDN w:val="0"/>
      <w:adjustRightInd w:val="0"/>
      <w:spacing w:before="240" w:after="0" w:line="220" w:lineRule="atLeast"/>
      <w:ind w:left="1440" w:hanging="1440"/>
      <w:textAlignment w:val="center"/>
    </w:pPr>
    <w:rPr>
      <w:rFonts w:ascii="Times New Roman" w:eastAsiaTheme="minorHAnsi" w:hAnsi="Times New Roman" w:cs="Times"/>
      <w:smallCaps/>
      <w:color w:val="000000"/>
      <w:spacing w:val="-2"/>
      <w:sz w:val="20"/>
      <w:szCs w:val="20"/>
    </w:rPr>
  </w:style>
  <w:style w:type="paragraph" w:customStyle="1" w:styleId="tocchapter0">
    <w:name w:val="toc chapter #"/>
    <w:basedOn w:val="Normal"/>
    <w:autoRedefine/>
    <w:uiPriority w:val="99"/>
    <w:semiHidden/>
    <w:rsid w:val="005C1F33"/>
    <w:pPr>
      <w:widowControl w:val="0"/>
      <w:tabs>
        <w:tab w:val="left" w:pos="1440"/>
        <w:tab w:val="right" w:leader="dot" w:pos="6240"/>
        <w:tab w:val="right" w:pos="6960"/>
      </w:tabs>
      <w:autoSpaceDE w:val="0"/>
      <w:autoSpaceDN w:val="0"/>
      <w:adjustRightInd w:val="0"/>
      <w:spacing w:before="240" w:after="240" w:line="240" w:lineRule="auto"/>
      <w:ind w:left="1440" w:hanging="1440"/>
      <w:textAlignment w:val="center"/>
    </w:pPr>
    <w:rPr>
      <w:rFonts w:ascii="Times New Roman" w:hAnsi="Times New Roman" w:cs="NewCenturySchlbk"/>
      <w:smallCaps/>
      <w:color w:val="000000"/>
      <w:sz w:val="24"/>
    </w:rPr>
  </w:style>
  <w:style w:type="paragraph" w:customStyle="1" w:styleId="tocflush">
    <w:name w:val="toc flush"/>
    <w:basedOn w:val="Normal"/>
    <w:autoRedefine/>
    <w:uiPriority w:val="99"/>
    <w:semiHidden/>
    <w:rsid w:val="005C1F33"/>
    <w:pPr>
      <w:widowControl w:val="0"/>
      <w:tabs>
        <w:tab w:val="left" w:pos="480"/>
        <w:tab w:val="right" w:leader="dot" w:pos="6240"/>
        <w:tab w:val="right" w:pos="6960"/>
      </w:tabs>
      <w:autoSpaceDE w:val="0"/>
      <w:autoSpaceDN w:val="0"/>
      <w:adjustRightInd w:val="0"/>
      <w:spacing w:after="240" w:line="240" w:lineRule="auto"/>
      <w:textAlignment w:val="center"/>
    </w:pPr>
    <w:rPr>
      <w:rFonts w:ascii="Times New Roman" w:hAnsi="Times New Roman" w:cs="Times New Roman"/>
      <w:smallCaps/>
      <w:color w:val="000000"/>
      <w:sz w:val="24"/>
    </w:rPr>
  </w:style>
  <w:style w:type="paragraph" w:customStyle="1" w:styleId="tocI">
    <w:name w:val="toc I."/>
    <w:basedOn w:val="Normal"/>
    <w:autoRedefine/>
    <w:uiPriority w:val="99"/>
    <w:semiHidden/>
    <w:rsid w:val="005C1F33"/>
    <w:pPr>
      <w:widowControl w:val="0"/>
      <w:tabs>
        <w:tab w:val="right" w:pos="600"/>
        <w:tab w:val="left" w:pos="720"/>
        <w:tab w:val="left" w:leader="dot" w:pos="6240"/>
        <w:tab w:val="left" w:pos="6960"/>
      </w:tabs>
      <w:suppressAutoHyphens/>
      <w:autoSpaceDE w:val="0"/>
      <w:autoSpaceDN w:val="0"/>
      <w:adjustRightInd w:val="0"/>
      <w:spacing w:after="0" w:line="240" w:lineRule="auto"/>
      <w:ind w:left="720" w:hanging="720"/>
      <w:textAlignment w:val="center"/>
    </w:pPr>
    <w:rPr>
      <w:rFonts w:ascii="Times New Roman" w:hAnsi="Times New Roman" w:cs="ITC New Baskerville Std"/>
      <w:color w:val="000000"/>
    </w:rPr>
  </w:style>
  <w:style w:type="paragraph" w:customStyle="1" w:styleId="toc11">
    <w:name w:val="toc1 1."/>
    <w:basedOn w:val="text"/>
    <w:autoRedefine/>
    <w:uiPriority w:val="99"/>
    <w:semiHidden/>
    <w:rsid w:val="00C871CE"/>
    <w:pPr>
      <w:widowControl w:val="0"/>
      <w:tabs>
        <w:tab w:val="clear" w:pos="1440"/>
        <w:tab w:val="clear" w:pos="2160"/>
        <w:tab w:val="clear" w:pos="2880"/>
        <w:tab w:val="clear" w:pos="3600"/>
        <w:tab w:val="clear" w:pos="4320"/>
        <w:tab w:val="clear" w:pos="5040"/>
        <w:tab w:val="clear" w:pos="5760"/>
        <w:tab w:val="left" w:pos="600"/>
        <w:tab w:val="right" w:leader="dot" w:pos="6240"/>
        <w:tab w:val="right" w:pos="6960"/>
      </w:tabs>
      <w:autoSpaceDE w:val="0"/>
      <w:autoSpaceDN w:val="0"/>
      <w:adjustRightInd w:val="0"/>
      <w:spacing w:line="240" w:lineRule="atLeast"/>
      <w:ind w:left="600" w:hanging="600"/>
      <w:textAlignment w:val="center"/>
    </w:pPr>
    <w:rPr>
      <w:rFonts w:eastAsiaTheme="minorEastAsia" w:cs="NewCenturySchlbk"/>
      <w:color w:val="000000"/>
      <w:szCs w:val="22"/>
    </w:rPr>
  </w:style>
  <w:style w:type="paragraph" w:customStyle="1" w:styleId="toc1A">
    <w:name w:val="toc1 A."/>
    <w:basedOn w:val="Normal"/>
    <w:autoRedefine/>
    <w:uiPriority w:val="99"/>
    <w:semiHidden/>
    <w:rsid w:val="005C1F33"/>
    <w:pPr>
      <w:widowControl w:val="0"/>
      <w:tabs>
        <w:tab w:val="left" w:pos="1080"/>
        <w:tab w:val="left" w:leader="dot" w:pos="6240"/>
        <w:tab w:val="left" w:pos="6960"/>
      </w:tabs>
      <w:suppressAutoHyphens/>
      <w:autoSpaceDE w:val="0"/>
      <w:autoSpaceDN w:val="0"/>
      <w:adjustRightInd w:val="0"/>
      <w:spacing w:after="0" w:line="240" w:lineRule="auto"/>
      <w:ind w:left="1080" w:hanging="360"/>
      <w:textAlignment w:val="center"/>
    </w:pPr>
    <w:rPr>
      <w:rFonts w:ascii="Times New Roman" w:hAnsi="Times New Roman" w:cs="ITC New Baskerville Std"/>
      <w:color w:val="000000"/>
    </w:rPr>
  </w:style>
  <w:style w:type="paragraph" w:customStyle="1" w:styleId="TOC1ES">
    <w:name w:val="TOC1 ES"/>
    <w:basedOn w:val="toc1"/>
    <w:autoRedefine/>
    <w:semiHidden/>
    <w:qFormat/>
    <w:rsid w:val="005C1F33"/>
    <w:pPr>
      <w:tabs>
        <w:tab w:val="right" w:pos="960"/>
      </w:tabs>
      <w:ind w:left="960" w:hanging="960"/>
    </w:pPr>
    <w:rPr>
      <w:rFonts w:cs="Times New Roman"/>
    </w:rPr>
  </w:style>
  <w:style w:type="paragraph" w:customStyle="1" w:styleId="TOC1ESDD">
    <w:name w:val="TOC1 ES DD"/>
    <w:basedOn w:val="toc1"/>
    <w:autoRedefine/>
    <w:semiHidden/>
    <w:qFormat/>
    <w:rsid w:val="005C1F33"/>
    <w:pPr>
      <w:tabs>
        <w:tab w:val="left" w:pos="1080"/>
      </w:tabs>
      <w:ind w:left="1080" w:hanging="1080"/>
    </w:pPr>
    <w:rPr>
      <w:rFonts w:cs="Times New Roman"/>
    </w:rPr>
  </w:style>
  <w:style w:type="paragraph" w:customStyle="1" w:styleId="toc1I0">
    <w:name w:val="toc1 I."/>
    <w:basedOn w:val="text"/>
    <w:autoRedefine/>
    <w:uiPriority w:val="99"/>
    <w:semiHidden/>
    <w:qFormat/>
    <w:rsid w:val="005C1F33"/>
    <w:pPr>
      <w:widowControl w:val="0"/>
      <w:tabs>
        <w:tab w:val="clear" w:pos="1440"/>
        <w:tab w:val="clear" w:pos="2160"/>
        <w:tab w:val="clear" w:pos="2880"/>
        <w:tab w:val="clear" w:pos="3600"/>
        <w:tab w:val="clear" w:pos="4320"/>
        <w:tab w:val="clear" w:pos="5040"/>
        <w:tab w:val="clear" w:pos="5760"/>
        <w:tab w:val="right" w:pos="480"/>
        <w:tab w:val="left" w:pos="600"/>
        <w:tab w:val="left" w:leader="dot" w:pos="6240"/>
        <w:tab w:val="right" w:pos="6960"/>
      </w:tabs>
      <w:autoSpaceDE w:val="0"/>
      <w:autoSpaceDN w:val="0"/>
      <w:adjustRightInd w:val="0"/>
      <w:ind w:left="600" w:hanging="600"/>
      <w:textAlignment w:val="center"/>
    </w:pPr>
    <w:rPr>
      <w:rFonts w:eastAsiaTheme="minorEastAsia"/>
      <w:color w:val="000000"/>
      <w:szCs w:val="20"/>
    </w:rPr>
  </w:style>
  <w:style w:type="paragraph" w:customStyle="1" w:styleId="TOC1I1">
    <w:name w:val="TOC1 I."/>
    <w:basedOn w:val="Normal"/>
    <w:autoRedefine/>
    <w:uiPriority w:val="99"/>
    <w:semiHidden/>
    <w:rsid w:val="00714682"/>
    <w:pPr>
      <w:widowControl w:val="0"/>
      <w:tabs>
        <w:tab w:val="right" w:pos="600"/>
        <w:tab w:val="left" w:pos="720"/>
        <w:tab w:val="right" w:leader="dot" w:pos="6240"/>
        <w:tab w:val="left" w:pos="6960"/>
      </w:tabs>
      <w:suppressAutoHyphens/>
      <w:autoSpaceDE w:val="0"/>
      <w:autoSpaceDN w:val="0"/>
      <w:adjustRightInd w:val="0"/>
      <w:spacing w:after="0" w:line="240" w:lineRule="auto"/>
      <w:ind w:left="720" w:hanging="720"/>
      <w:textAlignment w:val="center"/>
    </w:pPr>
    <w:rPr>
      <w:rFonts w:ascii="Times New Roman" w:hAnsi="Times New Roman" w:cs="ITC New Baskerville Std"/>
      <w:color w:val="000000"/>
      <w:szCs w:val="24"/>
    </w:rPr>
  </w:style>
  <w:style w:type="paragraph" w:customStyle="1" w:styleId="TOC1I2">
    <w:name w:val="TOC1_I"/>
    <w:basedOn w:val="Normal"/>
    <w:autoRedefine/>
    <w:uiPriority w:val="99"/>
    <w:semiHidden/>
    <w:rsid w:val="005C1F33"/>
    <w:pPr>
      <w:widowControl w:val="0"/>
      <w:tabs>
        <w:tab w:val="right" w:pos="480"/>
        <w:tab w:val="left" w:pos="600"/>
        <w:tab w:val="right" w:leader="dot" w:pos="6240"/>
        <w:tab w:val="right" w:pos="6960"/>
      </w:tabs>
      <w:suppressAutoHyphens/>
      <w:autoSpaceDE w:val="0"/>
      <w:autoSpaceDN w:val="0"/>
      <w:adjustRightInd w:val="0"/>
      <w:spacing w:after="0" w:line="240" w:lineRule="auto"/>
      <w:ind w:left="600" w:hanging="600"/>
      <w:textAlignment w:val="center"/>
    </w:pPr>
    <w:rPr>
      <w:rFonts w:ascii="Times New Roman" w:hAnsi="Times New Roman" w:cs="Times LT Std"/>
      <w:color w:val="000000"/>
      <w:sz w:val="24"/>
      <w:szCs w:val="24"/>
    </w:rPr>
  </w:style>
  <w:style w:type="paragraph" w:customStyle="1" w:styleId="toc2">
    <w:name w:val="toc2"/>
    <w:basedOn w:val="Normal"/>
    <w:autoRedefine/>
    <w:uiPriority w:val="99"/>
    <w:semiHidden/>
    <w:rsid w:val="00B37064"/>
    <w:pPr>
      <w:widowControl w:val="0"/>
      <w:tabs>
        <w:tab w:val="left" w:pos="720"/>
        <w:tab w:val="right" w:leader="dot" w:pos="6240"/>
        <w:tab w:val="left" w:pos="6960"/>
      </w:tabs>
      <w:autoSpaceDE w:val="0"/>
      <w:autoSpaceDN w:val="0"/>
      <w:adjustRightInd w:val="0"/>
      <w:spacing w:after="0" w:line="240" w:lineRule="auto"/>
      <w:ind w:left="1080" w:hanging="360"/>
      <w:textAlignment w:val="center"/>
    </w:pPr>
    <w:rPr>
      <w:rFonts w:ascii="Times New Roman" w:hAnsi="Times New Roman" w:cs="Times New Roman"/>
      <w:color w:val="000000"/>
    </w:rPr>
  </w:style>
  <w:style w:type="paragraph" w:customStyle="1" w:styleId="toc21">
    <w:name w:val="toc2 1."/>
    <w:basedOn w:val="toc1A"/>
    <w:autoRedefine/>
    <w:uiPriority w:val="99"/>
    <w:semiHidden/>
    <w:rsid w:val="005C1F33"/>
    <w:pPr>
      <w:tabs>
        <w:tab w:val="clear" w:pos="1080"/>
        <w:tab w:val="left" w:pos="1380"/>
      </w:tabs>
      <w:ind w:left="1380" w:hanging="300"/>
    </w:pPr>
  </w:style>
  <w:style w:type="paragraph" w:customStyle="1" w:styleId="toc2A">
    <w:name w:val="toc2 A."/>
    <w:basedOn w:val="Normal"/>
    <w:autoRedefine/>
    <w:uiPriority w:val="99"/>
    <w:semiHidden/>
    <w:rsid w:val="005C1F33"/>
    <w:pPr>
      <w:widowControl w:val="0"/>
      <w:tabs>
        <w:tab w:val="left" w:pos="1080"/>
        <w:tab w:val="right" w:leader="dot" w:pos="6240"/>
        <w:tab w:val="right" w:pos="6960"/>
      </w:tabs>
      <w:autoSpaceDE w:val="0"/>
      <w:autoSpaceDN w:val="0"/>
      <w:adjustRightInd w:val="0"/>
      <w:spacing w:after="0" w:line="240" w:lineRule="auto"/>
      <w:ind w:left="1080" w:hanging="360"/>
      <w:textAlignment w:val="center"/>
    </w:pPr>
    <w:rPr>
      <w:rFonts w:ascii="Times New Roman" w:hAnsi="Times New Roman" w:cs="NewCenturySchlbk"/>
      <w:color w:val="000000"/>
      <w:sz w:val="24"/>
    </w:rPr>
  </w:style>
  <w:style w:type="paragraph" w:customStyle="1" w:styleId="toc2dd">
    <w:name w:val="toc2 dd"/>
    <w:basedOn w:val="Normal"/>
    <w:autoRedefine/>
    <w:uiPriority w:val="99"/>
    <w:semiHidden/>
    <w:qFormat/>
    <w:rsid w:val="005C1F33"/>
    <w:pPr>
      <w:widowControl w:val="0"/>
      <w:tabs>
        <w:tab w:val="left" w:pos="1200"/>
        <w:tab w:val="left" w:leader="dot" w:pos="6240"/>
        <w:tab w:val="left" w:pos="6960"/>
      </w:tabs>
      <w:suppressAutoHyphens/>
      <w:autoSpaceDE w:val="0"/>
      <w:autoSpaceDN w:val="0"/>
      <w:adjustRightInd w:val="0"/>
      <w:spacing w:after="0" w:line="240" w:lineRule="auto"/>
      <w:ind w:left="1200" w:hanging="480"/>
      <w:textAlignment w:val="center"/>
    </w:pPr>
    <w:rPr>
      <w:rFonts w:ascii="Times New Roman" w:hAnsi="Times New Roman" w:cs="ITC New Baskerville Std"/>
      <w:color w:val="000000"/>
      <w:sz w:val="24"/>
    </w:rPr>
  </w:style>
  <w:style w:type="paragraph" w:customStyle="1" w:styleId="TOC2A0">
    <w:name w:val="TOC2_A."/>
    <w:basedOn w:val="TOC1I"/>
    <w:uiPriority w:val="99"/>
    <w:semiHidden/>
    <w:rsid w:val="005C1F33"/>
    <w:pPr>
      <w:tabs>
        <w:tab w:val="clear" w:pos="420"/>
        <w:tab w:val="clear" w:pos="540"/>
      </w:tabs>
      <w:ind w:left="840" w:hanging="300"/>
    </w:pPr>
  </w:style>
  <w:style w:type="paragraph" w:customStyle="1" w:styleId="TOC2secondary">
    <w:name w:val="TOC2_secondary"/>
    <w:basedOn w:val="TOC2A0"/>
    <w:autoRedefine/>
    <w:uiPriority w:val="99"/>
    <w:semiHidden/>
    <w:qFormat/>
    <w:rsid w:val="005C1F33"/>
    <w:pPr>
      <w:tabs>
        <w:tab w:val="left" w:pos="960"/>
      </w:tabs>
      <w:suppressAutoHyphens/>
      <w:spacing w:line="240" w:lineRule="auto"/>
      <w:ind w:left="1320" w:hanging="360"/>
    </w:pPr>
    <w:rPr>
      <w:szCs w:val="21"/>
    </w:rPr>
  </w:style>
  <w:style w:type="paragraph" w:customStyle="1" w:styleId="toc3">
    <w:name w:val="toc3"/>
    <w:basedOn w:val="toc2"/>
    <w:autoRedefine/>
    <w:uiPriority w:val="99"/>
    <w:semiHidden/>
    <w:rsid w:val="001913B8"/>
    <w:pPr>
      <w:tabs>
        <w:tab w:val="left" w:pos="1680"/>
      </w:tabs>
      <w:ind w:left="1680" w:hanging="480"/>
    </w:pPr>
  </w:style>
  <w:style w:type="paragraph" w:customStyle="1" w:styleId="toc31">
    <w:name w:val="toc3 1."/>
    <w:basedOn w:val="toc2A"/>
    <w:autoRedefine/>
    <w:uiPriority w:val="99"/>
    <w:semiHidden/>
    <w:rsid w:val="005C1F33"/>
    <w:pPr>
      <w:tabs>
        <w:tab w:val="left" w:pos="1320"/>
      </w:tabs>
      <w:ind w:left="1320"/>
    </w:pPr>
  </w:style>
  <w:style w:type="paragraph" w:customStyle="1" w:styleId="toc3100">
    <w:name w:val="toc3 100."/>
    <w:basedOn w:val="toc3"/>
    <w:autoRedefine/>
    <w:uiPriority w:val="99"/>
    <w:semiHidden/>
    <w:rsid w:val="005C1F33"/>
    <w:pPr>
      <w:ind w:hanging="600"/>
    </w:pPr>
    <w:rPr>
      <w:rFonts w:cs="ITC New Baskerville Std"/>
    </w:rPr>
  </w:style>
  <w:style w:type="paragraph" w:customStyle="1" w:styleId="toc3a">
    <w:name w:val="toc3 a."/>
    <w:basedOn w:val="toc21"/>
    <w:autoRedefine/>
    <w:uiPriority w:val="99"/>
    <w:semiHidden/>
    <w:rsid w:val="005C1F33"/>
    <w:pPr>
      <w:tabs>
        <w:tab w:val="clear" w:pos="1380"/>
        <w:tab w:val="left" w:pos="1680"/>
      </w:tabs>
      <w:ind w:left="1680"/>
    </w:pPr>
  </w:style>
  <w:style w:type="paragraph" w:customStyle="1" w:styleId="toc3dd">
    <w:name w:val="toc3 dd"/>
    <w:basedOn w:val="toc3"/>
    <w:uiPriority w:val="99"/>
    <w:semiHidden/>
    <w:rsid w:val="005C1F33"/>
    <w:pPr>
      <w:tabs>
        <w:tab w:val="left" w:pos="1500"/>
      </w:tabs>
      <w:spacing w:line="240" w:lineRule="atLeast"/>
      <w:ind w:left="1500"/>
    </w:pPr>
  </w:style>
  <w:style w:type="paragraph" w:customStyle="1" w:styleId="toc3i">
    <w:name w:val="toc3 i."/>
    <w:basedOn w:val="toc2A"/>
    <w:autoRedefine/>
    <w:uiPriority w:val="99"/>
    <w:semiHidden/>
    <w:rsid w:val="00C871CE"/>
    <w:pPr>
      <w:tabs>
        <w:tab w:val="left" w:pos="1320"/>
      </w:tabs>
      <w:ind w:left="1320" w:hanging="480"/>
    </w:pPr>
  </w:style>
  <w:style w:type="paragraph" w:customStyle="1" w:styleId="TOC310">
    <w:name w:val="TOC3_1."/>
    <w:basedOn w:val="TOC2A0"/>
    <w:uiPriority w:val="99"/>
    <w:semiHidden/>
    <w:rsid w:val="005C1F33"/>
    <w:pPr>
      <w:tabs>
        <w:tab w:val="left" w:pos="1200"/>
      </w:tabs>
      <w:ind w:left="1200" w:hanging="360"/>
    </w:pPr>
  </w:style>
  <w:style w:type="paragraph" w:customStyle="1" w:styleId="toc4">
    <w:name w:val="toc4"/>
    <w:basedOn w:val="toc3"/>
    <w:autoRedefine/>
    <w:uiPriority w:val="99"/>
    <w:semiHidden/>
    <w:rsid w:val="001913B8"/>
    <w:pPr>
      <w:tabs>
        <w:tab w:val="left" w:pos="2160"/>
      </w:tabs>
      <w:ind w:left="2160"/>
    </w:pPr>
  </w:style>
  <w:style w:type="paragraph" w:customStyle="1" w:styleId="toc41">
    <w:name w:val="toc4 (1)"/>
    <w:basedOn w:val="toc3a"/>
    <w:autoRedefine/>
    <w:uiPriority w:val="99"/>
    <w:semiHidden/>
    <w:rsid w:val="005C1F33"/>
    <w:pPr>
      <w:tabs>
        <w:tab w:val="clear" w:pos="1680"/>
        <w:tab w:val="left" w:pos="2100"/>
      </w:tabs>
      <w:ind w:left="2100" w:hanging="420"/>
    </w:pPr>
  </w:style>
  <w:style w:type="paragraph" w:customStyle="1" w:styleId="toc4100a">
    <w:name w:val="toc4 100/a"/>
    <w:basedOn w:val="toc4"/>
    <w:autoRedefine/>
    <w:uiPriority w:val="99"/>
    <w:semiHidden/>
    <w:rsid w:val="005C1F33"/>
    <w:pPr>
      <w:tabs>
        <w:tab w:val="left" w:pos="1980"/>
      </w:tabs>
      <w:ind w:left="1980" w:hanging="300"/>
    </w:pPr>
    <w:rPr>
      <w:rFonts w:cs="ITC New Baskerville Std"/>
    </w:rPr>
  </w:style>
  <w:style w:type="paragraph" w:customStyle="1" w:styleId="toc4a">
    <w:name w:val="toc4 a."/>
    <w:basedOn w:val="toc31"/>
    <w:autoRedefine/>
    <w:uiPriority w:val="99"/>
    <w:semiHidden/>
    <w:rsid w:val="005C1F33"/>
    <w:pPr>
      <w:tabs>
        <w:tab w:val="clear" w:pos="1320"/>
        <w:tab w:val="left" w:pos="1680"/>
      </w:tabs>
      <w:spacing w:line="240" w:lineRule="atLeast"/>
      <w:ind w:left="1680"/>
    </w:pPr>
  </w:style>
  <w:style w:type="paragraph" w:customStyle="1" w:styleId="toc4dd">
    <w:name w:val="toc4 dd"/>
    <w:basedOn w:val="toc4"/>
    <w:autoRedefine/>
    <w:uiPriority w:val="99"/>
    <w:semiHidden/>
    <w:qFormat/>
    <w:rsid w:val="005C1F33"/>
    <w:pPr>
      <w:tabs>
        <w:tab w:val="left" w:pos="1920"/>
        <w:tab w:val="right" w:leader="dot" w:pos="5400"/>
        <w:tab w:val="right" w:pos="6240"/>
      </w:tabs>
      <w:spacing w:after="40" w:line="240" w:lineRule="atLeast"/>
      <w:ind w:left="1920" w:hanging="420"/>
    </w:pPr>
    <w:rPr>
      <w:rFonts w:cs="ITC New Baskerville Std"/>
    </w:rPr>
  </w:style>
  <w:style w:type="paragraph" w:customStyle="1" w:styleId="TOC4a0">
    <w:name w:val="TOC4_a."/>
    <w:basedOn w:val="TOC310"/>
    <w:uiPriority w:val="99"/>
    <w:semiHidden/>
    <w:rsid w:val="005C1F33"/>
    <w:pPr>
      <w:tabs>
        <w:tab w:val="clear" w:pos="1200"/>
      </w:tabs>
      <w:ind w:left="1560"/>
    </w:pPr>
  </w:style>
  <w:style w:type="paragraph" w:customStyle="1" w:styleId="toc5">
    <w:name w:val="toc5"/>
    <w:basedOn w:val="toc4"/>
    <w:autoRedefine/>
    <w:uiPriority w:val="99"/>
    <w:semiHidden/>
    <w:rsid w:val="005C1F33"/>
    <w:pPr>
      <w:tabs>
        <w:tab w:val="left" w:pos="2520"/>
      </w:tabs>
      <w:ind w:left="2520"/>
    </w:pPr>
  </w:style>
  <w:style w:type="paragraph" w:customStyle="1" w:styleId="toc5a0">
    <w:name w:val="toc5 (a)"/>
    <w:basedOn w:val="toc41"/>
    <w:autoRedefine/>
    <w:uiPriority w:val="99"/>
    <w:semiHidden/>
    <w:rsid w:val="005C1F33"/>
    <w:pPr>
      <w:tabs>
        <w:tab w:val="clear" w:pos="2100"/>
        <w:tab w:val="left" w:pos="2520"/>
      </w:tabs>
      <w:ind w:left="2520"/>
    </w:pPr>
  </w:style>
  <w:style w:type="paragraph" w:customStyle="1" w:styleId="toc5ii">
    <w:name w:val="toc5 ii."/>
    <w:basedOn w:val="toc4a"/>
    <w:autoRedefine/>
    <w:uiPriority w:val="99"/>
    <w:semiHidden/>
    <w:rsid w:val="005C1F33"/>
    <w:pPr>
      <w:tabs>
        <w:tab w:val="clear" w:pos="1680"/>
        <w:tab w:val="right" w:pos="2160"/>
        <w:tab w:val="left" w:pos="2280"/>
        <w:tab w:val="right" w:pos="6240"/>
      </w:tabs>
      <w:spacing w:line="220" w:lineRule="atLeast"/>
      <w:ind w:left="2280" w:hanging="600"/>
    </w:pPr>
    <w:rPr>
      <w:rFonts w:cs="Times LT Std"/>
      <w:szCs w:val="20"/>
    </w:rPr>
  </w:style>
  <w:style w:type="paragraph" w:customStyle="1" w:styleId="TOC5i">
    <w:name w:val="TOC5_i."/>
    <w:basedOn w:val="TOC4a0"/>
    <w:autoRedefine/>
    <w:uiPriority w:val="99"/>
    <w:semiHidden/>
    <w:qFormat/>
    <w:rsid w:val="005C1F33"/>
    <w:pPr>
      <w:tabs>
        <w:tab w:val="left" w:pos="1440"/>
        <w:tab w:val="right" w:pos="2040"/>
        <w:tab w:val="left" w:pos="2160"/>
      </w:tabs>
      <w:suppressAutoHyphens/>
      <w:spacing w:line="240" w:lineRule="auto"/>
      <w:ind w:left="2160" w:hanging="480"/>
    </w:pPr>
    <w:rPr>
      <w:szCs w:val="21"/>
    </w:rPr>
  </w:style>
  <w:style w:type="paragraph" w:customStyle="1" w:styleId="TOC5ii0">
    <w:name w:val="TOC5_ii."/>
    <w:basedOn w:val="TOC4a0"/>
    <w:autoRedefine/>
    <w:uiPriority w:val="99"/>
    <w:semiHidden/>
    <w:rsid w:val="005C1F33"/>
    <w:pPr>
      <w:tabs>
        <w:tab w:val="right" w:pos="2040"/>
        <w:tab w:val="left" w:pos="2160"/>
        <w:tab w:val="left" w:leader="dot" w:pos="6240"/>
      </w:tabs>
      <w:spacing w:line="240" w:lineRule="atLeast"/>
      <w:ind w:left="2160" w:hanging="480"/>
    </w:pPr>
    <w:rPr>
      <w:szCs w:val="22"/>
    </w:rPr>
  </w:style>
  <w:style w:type="paragraph" w:customStyle="1" w:styleId="toc6">
    <w:name w:val="toc6"/>
    <w:basedOn w:val="toc5"/>
    <w:autoRedefine/>
    <w:uiPriority w:val="99"/>
    <w:semiHidden/>
    <w:rsid w:val="005C1F33"/>
    <w:pPr>
      <w:tabs>
        <w:tab w:val="clear" w:pos="2520"/>
        <w:tab w:val="left" w:pos="3000"/>
      </w:tabs>
      <w:ind w:left="3000"/>
    </w:pPr>
    <w:rPr>
      <w:rFonts w:cs="ITC New Baskerville Std"/>
    </w:rPr>
  </w:style>
  <w:style w:type="paragraph" w:customStyle="1" w:styleId="TOC61">
    <w:name w:val="TOC6 (1)"/>
    <w:basedOn w:val="TOC5ii0"/>
    <w:autoRedefine/>
    <w:uiPriority w:val="99"/>
    <w:semiHidden/>
    <w:rsid w:val="005C1F33"/>
    <w:pPr>
      <w:tabs>
        <w:tab w:val="clear" w:pos="2040"/>
        <w:tab w:val="clear" w:pos="2160"/>
        <w:tab w:val="left" w:pos="2640"/>
      </w:tabs>
      <w:spacing w:line="240" w:lineRule="auto"/>
      <w:ind w:left="2640"/>
    </w:pPr>
  </w:style>
  <w:style w:type="paragraph" w:customStyle="1" w:styleId="toc7">
    <w:name w:val="toc7"/>
    <w:basedOn w:val="toc6"/>
    <w:autoRedefine/>
    <w:uiPriority w:val="99"/>
    <w:semiHidden/>
    <w:qFormat/>
    <w:rsid w:val="005C1F33"/>
    <w:pPr>
      <w:tabs>
        <w:tab w:val="clear" w:pos="3000"/>
        <w:tab w:val="left" w:pos="3360"/>
      </w:tabs>
      <w:ind w:left="3360"/>
    </w:pPr>
  </w:style>
  <w:style w:type="paragraph" w:customStyle="1" w:styleId="toc8">
    <w:name w:val="toc8"/>
    <w:basedOn w:val="toc7"/>
    <w:autoRedefine/>
    <w:uiPriority w:val="99"/>
    <w:semiHidden/>
    <w:qFormat/>
    <w:rsid w:val="005C1F33"/>
    <w:pPr>
      <w:tabs>
        <w:tab w:val="clear" w:pos="3360"/>
        <w:tab w:val="left" w:pos="3840"/>
      </w:tabs>
      <w:ind w:left="3840"/>
    </w:pPr>
  </w:style>
  <w:style w:type="paragraph" w:customStyle="1" w:styleId="toc410">
    <w:name w:val="toc4 (10)"/>
    <w:basedOn w:val="toc41"/>
    <w:uiPriority w:val="99"/>
    <w:semiHidden/>
    <w:rsid w:val="006211F1"/>
    <w:pPr>
      <w:tabs>
        <w:tab w:val="clear" w:pos="2100"/>
        <w:tab w:val="left" w:pos="2160"/>
        <w:tab w:val="right" w:pos="6960"/>
      </w:tabs>
      <w:spacing w:line="240" w:lineRule="atLeast"/>
      <w:ind w:left="2160" w:hanging="480"/>
    </w:pPr>
  </w:style>
  <w:style w:type="paragraph" w:customStyle="1" w:styleId="toc6iii">
    <w:name w:val="toc6 (iii)"/>
    <w:basedOn w:val="toc5a"/>
    <w:uiPriority w:val="99"/>
    <w:semiHidden/>
    <w:rsid w:val="006211F1"/>
    <w:pPr>
      <w:widowControl w:val="0"/>
      <w:tabs>
        <w:tab w:val="clear" w:pos="2100"/>
        <w:tab w:val="left" w:pos="2640"/>
        <w:tab w:val="left" w:pos="3240"/>
        <w:tab w:val="right" w:pos="6960"/>
      </w:tabs>
      <w:ind w:left="3240" w:hanging="600"/>
    </w:pPr>
  </w:style>
  <w:style w:type="paragraph" w:customStyle="1" w:styleId="6thlevelheadar">
    <w:name w:val="6th level head (a)_r"/>
    <w:basedOn w:val="5thlevelhead1i"/>
    <w:autoRedefine/>
    <w:uiPriority w:val="99"/>
    <w:semiHidden/>
    <w:rsid w:val="006211F1"/>
    <w:pPr>
      <w:tabs>
        <w:tab w:val="clear" w:pos="800"/>
      </w:tabs>
      <w:ind w:left="1181"/>
    </w:pPr>
  </w:style>
  <w:style w:type="paragraph" w:customStyle="1" w:styleId="3rdlevelhead10i">
    <w:name w:val="3rd level head 10._i"/>
    <w:basedOn w:val="3rdlevelhead1i"/>
    <w:autoRedefine/>
    <w:uiPriority w:val="99"/>
    <w:semiHidden/>
    <w:qFormat/>
    <w:rsid w:val="00F93941"/>
    <w:pPr>
      <w:keepNext/>
      <w:widowControl w:val="0"/>
      <w:tabs>
        <w:tab w:val="clear" w:pos="360"/>
        <w:tab w:val="left" w:pos="480"/>
      </w:tabs>
      <w:suppressAutoHyphens/>
      <w:autoSpaceDE w:val="0"/>
      <w:autoSpaceDN w:val="0"/>
      <w:adjustRightInd w:val="0"/>
      <w:ind w:left="480" w:hanging="480"/>
      <w:textAlignment w:val="center"/>
    </w:pPr>
    <w:rPr>
      <w:rFonts w:cs="Times LT Std"/>
      <w:iCs/>
      <w:color w:val="000000"/>
    </w:rPr>
  </w:style>
  <w:style w:type="paragraph" w:customStyle="1" w:styleId="toc51">
    <w:name w:val="toc5 (1)"/>
    <w:basedOn w:val="toc4a"/>
    <w:autoRedefine/>
    <w:uiPriority w:val="99"/>
    <w:semiHidden/>
    <w:rsid w:val="00C871CE"/>
    <w:pPr>
      <w:tabs>
        <w:tab w:val="clear" w:pos="1080"/>
        <w:tab w:val="clear" w:pos="1680"/>
        <w:tab w:val="left" w:pos="2160"/>
      </w:tabs>
      <w:ind w:left="2160" w:hanging="480"/>
    </w:pPr>
  </w:style>
  <w:style w:type="paragraph" w:customStyle="1" w:styleId="numberlistpnlstart">
    <w:name w:val="number list pnl start"/>
    <w:basedOn w:val="numberlistpnl"/>
    <w:autoRedefine/>
    <w:uiPriority w:val="99"/>
    <w:semiHidden/>
    <w:rsid w:val="00C871CE"/>
    <w:pPr>
      <w:tabs>
        <w:tab w:val="clear" w:pos="1020"/>
        <w:tab w:val="left" w:pos="840"/>
      </w:tabs>
      <w:spacing w:before="240"/>
    </w:pPr>
    <w:rPr>
      <w:rFonts w:cs="NewCenturySchlbk"/>
      <w:szCs w:val="22"/>
    </w:rPr>
  </w:style>
  <w:style w:type="paragraph" w:customStyle="1" w:styleId="tocED1">
    <w:name w:val="toc ED 1."/>
    <w:basedOn w:val="tocI"/>
    <w:autoRedefine/>
    <w:semiHidden/>
    <w:qFormat/>
    <w:rsid w:val="00FE18BF"/>
    <w:pPr>
      <w:tabs>
        <w:tab w:val="clear" w:pos="600"/>
        <w:tab w:val="clear" w:pos="720"/>
        <w:tab w:val="right" w:pos="480"/>
      </w:tabs>
      <w:ind w:left="480" w:hanging="480"/>
    </w:pPr>
  </w:style>
  <w:style w:type="paragraph" w:customStyle="1" w:styleId="tocEDa">
    <w:name w:val="toc ED a."/>
    <w:basedOn w:val="toc2"/>
    <w:autoRedefine/>
    <w:semiHidden/>
    <w:qFormat/>
    <w:rsid w:val="00FE18BF"/>
    <w:pPr>
      <w:tabs>
        <w:tab w:val="left" w:pos="960"/>
      </w:tabs>
    </w:pPr>
  </w:style>
  <w:style w:type="paragraph" w:customStyle="1" w:styleId="block-f2ndindent">
    <w:name w:val="block-f 2nd indent"/>
    <w:basedOn w:val="text"/>
    <w:autoRedefine/>
    <w:uiPriority w:val="99"/>
    <w:semiHidden/>
    <w:rsid w:val="00FE18BF"/>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firstLine="0"/>
      <w:textAlignment w:val="center"/>
    </w:pPr>
    <w:rPr>
      <w:rFonts w:eastAsiaTheme="minorEastAsia" w:cs="ITC New Baskerville Std"/>
      <w:color w:val="000000"/>
      <w:sz w:val="20"/>
      <w:szCs w:val="22"/>
      <w:lang w:eastAsia="en-US"/>
    </w:rPr>
  </w:style>
  <w:style w:type="paragraph" w:customStyle="1" w:styleId="Indentname">
    <w:name w:val="Indent name"/>
    <w:basedOn w:val="Normal"/>
    <w:autoRedefine/>
    <w:uiPriority w:val="99"/>
    <w:semiHidden/>
    <w:rsid w:val="00FE18BF"/>
    <w:pPr>
      <w:widowControl w:val="0"/>
      <w:tabs>
        <w:tab w:val="left" w:pos="960"/>
        <w:tab w:val="left" w:pos="1440"/>
      </w:tabs>
      <w:autoSpaceDE w:val="0"/>
      <w:autoSpaceDN w:val="0"/>
      <w:adjustRightInd w:val="0"/>
      <w:spacing w:before="240" w:after="0" w:line="240" w:lineRule="auto"/>
      <w:ind w:left="720"/>
      <w:textAlignment w:val="center"/>
    </w:pPr>
    <w:rPr>
      <w:rFonts w:ascii="Times New Roman" w:hAnsi="Times New Roman" w:cs="ITC New Baskerville Std"/>
      <w:color w:val="000000"/>
      <w:sz w:val="24"/>
      <w:szCs w:val="24"/>
    </w:rPr>
  </w:style>
  <w:style w:type="paragraph" w:customStyle="1" w:styleId="HeadingCenter11Underscore">
    <w:name w:val="Heading Center 11 Underscore"/>
    <w:basedOn w:val="Normal"/>
    <w:autoRedefine/>
    <w:uiPriority w:val="99"/>
    <w:semiHidden/>
    <w:rsid w:val="005D1D9F"/>
    <w:pPr>
      <w:widowControl w:val="0"/>
      <w:tabs>
        <w:tab w:val="left" w:pos="480"/>
        <w:tab w:val="left" w:pos="960"/>
        <w:tab w:val="left" w:pos="1440"/>
        <w:tab w:val="left" w:pos="1920"/>
        <w:tab w:val="left" w:pos="2400"/>
        <w:tab w:val="left" w:pos="2880"/>
      </w:tabs>
      <w:autoSpaceDE w:val="0"/>
      <w:autoSpaceDN w:val="0"/>
      <w:adjustRightInd w:val="0"/>
      <w:spacing w:before="240" w:after="120" w:line="240" w:lineRule="auto"/>
      <w:jc w:val="center"/>
      <w:textAlignment w:val="center"/>
    </w:pPr>
    <w:rPr>
      <w:rFonts w:ascii="Times New Roman" w:hAnsi="Times New Roman" w:cs="ITC New Baskerville Std"/>
      <w:bCs/>
      <w:color w:val="000000"/>
      <w:u w:val="thick"/>
    </w:rPr>
  </w:style>
  <w:style w:type="paragraph" w:customStyle="1" w:styleId="HeadingCenter11underscore-">
    <w:name w:val="Heading Center 11 underscore -/+"/>
    <w:basedOn w:val="HeadingCenter11Underscore"/>
    <w:autoRedefine/>
    <w:uiPriority w:val="99"/>
    <w:semiHidden/>
    <w:rsid w:val="00B43F99"/>
    <w:pPr>
      <w:spacing w:before="0"/>
      <w:ind w:firstLine="480"/>
    </w:pPr>
  </w:style>
  <w:style w:type="paragraph" w:customStyle="1" w:styleId="Question">
    <w:name w:val="Question"/>
    <w:basedOn w:val="text"/>
    <w:autoRedefine/>
    <w:uiPriority w:val="99"/>
    <w:semiHidden/>
    <w:rsid w:val="005D1D9F"/>
    <w:pPr>
      <w:widowControl w:val="0"/>
      <w:tabs>
        <w:tab w:val="clear" w:pos="1440"/>
        <w:tab w:val="clear" w:pos="2160"/>
        <w:tab w:val="clear" w:pos="2880"/>
        <w:tab w:val="clear" w:pos="3600"/>
        <w:tab w:val="clear" w:pos="4320"/>
        <w:tab w:val="clear" w:pos="5040"/>
        <w:tab w:val="clear" w:pos="5760"/>
        <w:tab w:val="left" w:pos="480"/>
      </w:tabs>
      <w:autoSpaceDE w:val="0"/>
      <w:autoSpaceDN w:val="0"/>
      <w:adjustRightInd w:val="0"/>
      <w:spacing w:before="480" w:after="240" w:line="260" w:lineRule="atLeast"/>
      <w:ind w:left="480" w:hanging="480"/>
      <w:textAlignment w:val="center"/>
    </w:pPr>
    <w:rPr>
      <w:rFonts w:eastAsiaTheme="minorEastAsia" w:cs="ITC New Baskerville Std"/>
      <w:b/>
      <w:bCs/>
      <w:color w:val="000000"/>
      <w:lang w:eastAsia="en-US"/>
    </w:rPr>
  </w:style>
  <w:style w:type="paragraph" w:customStyle="1" w:styleId="Questiona-">
    <w:name w:val="Question a. -/+"/>
    <w:basedOn w:val="Normal"/>
    <w:autoRedefine/>
    <w:uiPriority w:val="99"/>
    <w:semiHidden/>
    <w:rsid w:val="005D1D9F"/>
    <w:pPr>
      <w:widowControl w:val="0"/>
      <w:tabs>
        <w:tab w:val="left" w:pos="1440"/>
      </w:tabs>
      <w:autoSpaceDE w:val="0"/>
      <w:autoSpaceDN w:val="0"/>
      <w:adjustRightInd w:val="0"/>
      <w:spacing w:after="240" w:line="240" w:lineRule="atLeast"/>
      <w:ind w:left="1440" w:hanging="480"/>
      <w:textAlignment w:val="center"/>
    </w:pPr>
    <w:rPr>
      <w:rFonts w:ascii="Times New Roman" w:hAnsi="Times New Roman" w:cs="ITC New Baskerville Std"/>
      <w:b/>
      <w:bCs/>
      <w:color w:val="000000"/>
    </w:rPr>
  </w:style>
  <w:style w:type="paragraph" w:customStyle="1" w:styleId="TOC2A1">
    <w:name w:val="TOC2 A."/>
    <w:basedOn w:val="TOC1I1"/>
    <w:autoRedefine/>
    <w:uiPriority w:val="99"/>
    <w:semiHidden/>
    <w:rsid w:val="00B37064"/>
    <w:pPr>
      <w:tabs>
        <w:tab w:val="clear" w:pos="600"/>
      </w:tabs>
      <w:ind w:left="1080" w:hanging="360"/>
    </w:pPr>
  </w:style>
  <w:style w:type="paragraph" w:customStyle="1" w:styleId="TOC311">
    <w:name w:val="TOC3 1."/>
    <w:basedOn w:val="TOC2A1"/>
    <w:autoRedefine/>
    <w:uiPriority w:val="99"/>
    <w:semiHidden/>
    <w:rsid w:val="00B37064"/>
    <w:pPr>
      <w:tabs>
        <w:tab w:val="clear" w:pos="720"/>
        <w:tab w:val="left" w:pos="1080"/>
      </w:tabs>
      <w:ind w:left="1440"/>
    </w:pPr>
  </w:style>
  <w:style w:type="paragraph" w:customStyle="1" w:styleId="textboldwp">
    <w:name w:val="text bold w/p"/>
    <w:basedOn w:val="textonpage-0"/>
    <w:autoRedefine/>
    <w:uiPriority w:val="99"/>
    <w:semiHidden/>
    <w:rsid w:val="007D7213"/>
    <w:pPr>
      <w:spacing w:before="120" w:after="120"/>
    </w:pPr>
    <w:rPr>
      <w:b/>
      <w:bCs/>
      <w:lang w:eastAsia="en-US"/>
    </w:rPr>
  </w:style>
  <w:style w:type="paragraph" w:customStyle="1" w:styleId="blocknlrl">
    <w:name w:val="block nl/rl"/>
    <w:basedOn w:val="blocknumberlist"/>
    <w:autoRedefine/>
    <w:uiPriority w:val="99"/>
    <w:semiHidden/>
    <w:rsid w:val="00C55775"/>
    <w:pPr>
      <w:tabs>
        <w:tab w:val="clear" w:pos="1080"/>
        <w:tab w:val="left" w:pos="1400"/>
      </w:tabs>
      <w:ind w:left="1920" w:hanging="480"/>
    </w:pPr>
  </w:style>
  <w:style w:type="paragraph" w:customStyle="1" w:styleId="1stlevelhead10b">
    <w:name w:val="1st level head (10)_b"/>
    <w:basedOn w:val="Normal"/>
    <w:autoRedefine/>
    <w:uiPriority w:val="99"/>
    <w:semiHidden/>
    <w:rsid w:val="003C294A"/>
    <w:pPr>
      <w:keepNext/>
      <w:widowControl w:val="0"/>
      <w:tabs>
        <w:tab w:val="left" w:pos="720"/>
      </w:tabs>
      <w:suppressAutoHyphens/>
      <w:autoSpaceDE w:val="0"/>
      <w:autoSpaceDN w:val="0"/>
      <w:adjustRightInd w:val="0"/>
      <w:spacing w:before="480" w:after="360" w:line="240" w:lineRule="auto"/>
      <w:ind w:left="720" w:hanging="720"/>
      <w:textAlignment w:val="center"/>
    </w:pPr>
    <w:rPr>
      <w:rFonts w:ascii="Times New Roman" w:hAnsi="Times New Roman" w:cs="NewCenturySchlbk"/>
      <w:b/>
      <w:bCs/>
      <w:color w:val="000000"/>
      <w:sz w:val="24"/>
      <w:szCs w:val="24"/>
    </w:rPr>
  </w:style>
  <w:style w:type="paragraph" w:customStyle="1" w:styleId="footnoteintextbox">
    <w:name w:val="footnote in text box"/>
    <w:basedOn w:val="Normal"/>
    <w:autoRedefine/>
    <w:uiPriority w:val="99"/>
    <w:semiHidden/>
    <w:rsid w:val="00DA5785"/>
    <w:pPr>
      <w:pBdr>
        <w:top w:val="single" w:sz="4" w:space="12" w:color="auto"/>
      </w:pBdr>
      <w:autoSpaceDE w:val="0"/>
      <w:autoSpaceDN w:val="0"/>
      <w:adjustRightInd w:val="0"/>
      <w:spacing w:after="0" w:line="240" w:lineRule="auto"/>
      <w:ind w:firstLine="720"/>
      <w:textAlignment w:val="center"/>
    </w:pPr>
    <w:rPr>
      <w:rFonts w:ascii="Times New Roman" w:hAnsi="Times New Roman" w:cs="ITC New Baskerville Std"/>
      <w:color w:val="000000"/>
      <w:sz w:val="20"/>
      <w:szCs w:val="18"/>
    </w:rPr>
  </w:style>
  <w:style w:type="paragraph" w:customStyle="1" w:styleId="block-fbold-">
    <w:name w:val="block-f bold +/-"/>
    <w:basedOn w:val="Normal"/>
    <w:autoRedefine/>
    <w:uiPriority w:val="99"/>
    <w:semiHidden/>
    <w:rsid w:val="00DA5785"/>
    <w:pPr>
      <w:widowControl w:val="0"/>
      <w:tabs>
        <w:tab w:val="left" w:pos="960"/>
        <w:tab w:val="left" w:pos="1440"/>
      </w:tabs>
      <w:autoSpaceDE w:val="0"/>
      <w:autoSpaceDN w:val="0"/>
      <w:adjustRightInd w:val="0"/>
      <w:spacing w:before="240" w:after="0" w:line="240" w:lineRule="auto"/>
      <w:ind w:left="720"/>
      <w:textAlignment w:val="center"/>
    </w:pPr>
    <w:rPr>
      <w:rFonts w:ascii="Times New Roman Bold" w:hAnsi="Times New Roman Bold" w:cs="ITC New Baskerville Std"/>
      <w:b/>
      <w:bCs/>
      <w:color w:val="000000"/>
      <w:sz w:val="20"/>
    </w:rPr>
  </w:style>
  <w:style w:type="paragraph" w:customStyle="1" w:styleId="AdditionalTopicssubheadb">
    <w:name w:val="Additional Topics subhead_b +/+"/>
    <w:basedOn w:val="Normal"/>
    <w:autoRedefine/>
    <w:uiPriority w:val="99"/>
    <w:semiHidden/>
    <w:rsid w:val="00622D6E"/>
    <w:pPr>
      <w:widowControl w:val="0"/>
      <w:tabs>
        <w:tab w:val="left" w:pos="480"/>
        <w:tab w:val="left" w:pos="960"/>
        <w:tab w:val="left" w:pos="1440"/>
        <w:tab w:val="left" w:pos="1920"/>
        <w:tab w:val="left" w:pos="2400"/>
        <w:tab w:val="left" w:pos="2880"/>
      </w:tabs>
      <w:suppressAutoHyphens/>
      <w:autoSpaceDE w:val="0"/>
      <w:autoSpaceDN w:val="0"/>
      <w:adjustRightInd w:val="0"/>
      <w:spacing w:before="240" w:after="240" w:line="260" w:lineRule="atLeast"/>
      <w:textAlignment w:val="center"/>
    </w:pPr>
    <w:rPr>
      <w:rFonts w:ascii="Times New Roman" w:hAnsi="Times New Roman" w:cs="ITC New Baskerville Std"/>
      <w:b/>
      <w:bCs/>
      <w:color w:val="000000"/>
      <w:sz w:val="24"/>
      <w:szCs w:val="24"/>
    </w:rPr>
  </w:style>
  <w:style w:type="paragraph" w:customStyle="1" w:styleId="block-p2ndindent">
    <w:name w:val="block-p 2nd indent"/>
    <w:basedOn w:val="text"/>
    <w:autoRedefine/>
    <w:uiPriority w:val="99"/>
    <w:semiHidden/>
    <w:rsid w:val="00622D6E"/>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ind w:left="1440"/>
      <w:textAlignment w:val="center"/>
    </w:pPr>
    <w:rPr>
      <w:rFonts w:eastAsiaTheme="minorEastAsia" w:cs="ITC New Baskerville Std"/>
      <w:color w:val="000000"/>
      <w:sz w:val="20"/>
      <w:szCs w:val="22"/>
      <w:lang w:eastAsia="en-US"/>
    </w:rPr>
  </w:style>
  <w:style w:type="paragraph" w:customStyle="1" w:styleId="block-f3rdindent">
    <w:name w:val="block-f 3rd indent"/>
    <w:basedOn w:val="block-f2ndindent"/>
    <w:autoRedefine/>
    <w:uiPriority w:val="99"/>
    <w:semiHidden/>
    <w:rsid w:val="00622D6E"/>
    <w:pPr>
      <w:ind w:left="2160"/>
    </w:pPr>
  </w:style>
  <w:style w:type="paragraph" w:customStyle="1" w:styleId="bulletedparagraph-">
    <w:name w:val="bulleted paragraph +/-"/>
    <w:basedOn w:val="text"/>
    <w:autoRedefine/>
    <w:uiPriority w:val="99"/>
    <w:semiHidden/>
    <w:rsid w:val="00622D6E"/>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240"/>
      <w:textAlignment w:val="center"/>
    </w:pPr>
    <w:rPr>
      <w:rFonts w:eastAsiaTheme="minorEastAsia" w:cs="ITC New Baskerville Std"/>
      <w:color w:val="000000"/>
      <w:lang w:eastAsia="en-US"/>
    </w:rPr>
  </w:style>
  <w:style w:type="paragraph" w:customStyle="1" w:styleId="Italicheadindented">
    <w:name w:val="Italic head indented +/+"/>
    <w:basedOn w:val="Normal"/>
    <w:autoRedefine/>
    <w:uiPriority w:val="99"/>
    <w:semiHidden/>
    <w:rsid w:val="005D1D9F"/>
    <w:pPr>
      <w:widowControl w:val="0"/>
      <w:tabs>
        <w:tab w:val="left" w:pos="480"/>
        <w:tab w:val="left" w:pos="960"/>
        <w:tab w:val="left" w:pos="1440"/>
        <w:tab w:val="left" w:pos="1920"/>
        <w:tab w:val="left" w:pos="2400"/>
        <w:tab w:val="left" w:pos="2880"/>
      </w:tabs>
      <w:autoSpaceDE w:val="0"/>
      <w:autoSpaceDN w:val="0"/>
      <w:adjustRightInd w:val="0"/>
      <w:spacing w:before="240" w:after="240" w:line="240" w:lineRule="auto"/>
      <w:ind w:left="720"/>
      <w:textAlignment w:val="center"/>
    </w:pPr>
    <w:rPr>
      <w:rFonts w:ascii="Times New Roman" w:hAnsi="Times New Roman" w:cs="ITC New Baskerville Std"/>
      <w:i/>
      <w:iCs/>
      <w:color w:val="000000"/>
      <w:sz w:val="24"/>
      <w:szCs w:val="24"/>
    </w:rPr>
  </w:style>
  <w:style w:type="paragraph" w:customStyle="1" w:styleId="textednote-0">
    <w:name w:val="text ed note -/+"/>
    <w:basedOn w:val="Normal"/>
    <w:autoRedefine/>
    <w:uiPriority w:val="99"/>
    <w:semiHidden/>
    <w:rsid w:val="00DE724F"/>
    <w:pPr>
      <w:widowControl w:val="0"/>
      <w:tabs>
        <w:tab w:val="left" w:pos="480"/>
        <w:tab w:val="left" w:pos="960"/>
        <w:tab w:val="left" w:pos="1440"/>
        <w:tab w:val="left" w:pos="1920"/>
        <w:tab w:val="left" w:pos="2400"/>
        <w:tab w:val="left" w:pos="2880"/>
      </w:tabs>
      <w:autoSpaceDE w:val="0"/>
      <w:autoSpaceDN w:val="0"/>
      <w:adjustRightInd w:val="0"/>
      <w:spacing w:after="240" w:line="240" w:lineRule="auto"/>
      <w:textAlignment w:val="center"/>
    </w:pPr>
    <w:rPr>
      <w:rFonts w:ascii="Times New Roman" w:hAnsi="Times New Roman" w:cs="ITC New Baskerville Std"/>
      <w:color w:val="000000"/>
      <w:sz w:val="24"/>
      <w:szCs w:val="24"/>
    </w:rPr>
  </w:style>
  <w:style w:type="paragraph" w:customStyle="1" w:styleId="2ndlevelFormHead">
    <w:name w:val="2nd level Form Head"/>
    <w:basedOn w:val="2ndlevelheadAbi"/>
    <w:autoRedefine/>
    <w:uiPriority w:val="99"/>
    <w:semiHidden/>
    <w:rsid w:val="006F260F"/>
    <w:pPr>
      <w:keepNext/>
      <w:widowControl w:val="0"/>
      <w:tabs>
        <w:tab w:val="clear" w:pos="360"/>
        <w:tab w:val="left" w:pos="1500"/>
      </w:tabs>
      <w:suppressAutoHyphens/>
      <w:autoSpaceDE w:val="0"/>
      <w:autoSpaceDN w:val="0"/>
      <w:adjustRightInd w:val="0"/>
      <w:spacing w:before="360"/>
      <w:ind w:left="1500" w:hanging="1500"/>
      <w:textAlignment w:val="center"/>
    </w:pPr>
    <w:rPr>
      <w:rFonts w:ascii="Times New Roman" w:hAnsi="Times New Roman" w:cs="NewCenturySchlbk"/>
      <w:bCs/>
      <w:i w:val="0"/>
      <w:color w:val="000000"/>
      <w:szCs w:val="24"/>
    </w:rPr>
  </w:style>
  <w:style w:type="paragraph" w:customStyle="1" w:styleId="boldheadExample">
    <w:name w:val="bold head +/+ (Example)"/>
    <w:basedOn w:val="textflush"/>
    <w:autoRedefine/>
    <w:uiPriority w:val="99"/>
    <w:semiHidden/>
    <w:rsid w:val="006F260F"/>
    <w:pPr>
      <w:widowControl w:val="0"/>
      <w:autoSpaceDE w:val="0"/>
      <w:autoSpaceDN w:val="0"/>
      <w:adjustRightInd w:val="0"/>
      <w:spacing w:before="240" w:after="240"/>
      <w:textAlignment w:val="center"/>
    </w:pPr>
    <w:rPr>
      <w:rFonts w:eastAsiaTheme="minorEastAsia" w:cs="NewCenturySchlbk"/>
      <w:b/>
      <w:bCs/>
      <w:sz w:val="22"/>
      <w:szCs w:val="22"/>
    </w:rPr>
  </w:style>
  <w:style w:type="paragraph" w:customStyle="1" w:styleId="blockquotelist">
    <w:name w:val="block quote # list"/>
    <w:basedOn w:val="block-f"/>
    <w:autoRedefine/>
    <w:uiPriority w:val="99"/>
    <w:semiHidden/>
    <w:rsid w:val="00887BB4"/>
    <w:pPr>
      <w:widowControl w:val="0"/>
      <w:tabs>
        <w:tab w:val="left" w:pos="860"/>
      </w:tabs>
      <w:autoSpaceDE w:val="0"/>
      <w:autoSpaceDN w:val="0"/>
      <w:adjustRightInd w:val="0"/>
      <w:spacing w:before="0" w:after="120"/>
      <w:ind w:left="859" w:hanging="420"/>
      <w:textAlignment w:val="center"/>
    </w:pPr>
    <w:rPr>
      <w:rFonts w:cs="NewCenturySchlbk"/>
      <w:color w:val="000000"/>
      <w:szCs w:val="20"/>
    </w:rPr>
  </w:style>
  <w:style w:type="paragraph" w:customStyle="1" w:styleId="1stlevelheadIbdd">
    <w:name w:val="1st level head I._b dd"/>
    <w:basedOn w:val="Normal"/>
    <w:autoRedefine/>
    <w:uiPriority w:val="99"/>
    <w:semiHidden/>
    <w:rsid w:val="00887BB4"/>
    <w:pPr>
      <w:keepNext/>
      <w:widowControl w:val="0"/>
      <w:tabs>
        <w:tab w:val="left" w:pos="840"/>
      </w:tabs>
      <w:suppressAutoHyphens/>
      <w:autoSpaceDE w:val="0"/>
      <w:autoSpaceDN w:val="0"/>
      <w:adjustRightInd w:val="0"/>
      <w:spacing w:before="360" w:after="240" w:line="240" w:lineRule="auto"/>
      <w:ind w:left="840" w:hanging="840"/>
      <w:textAlignment w:val="center"/>
    </w:pPr>
    <w:rPr>
      <w:rFonts w:ascii="Times New Roman" w:hAnsi="Times New Roman" w:cs="NewCenturySchlbk"/>
      <w:b/>
      <w:bCs/>
      <w:color w:val="000000"/>
      <w:sz w:val="24"/>
      <w:szCs w:val="24"/>
    </w:rPr>
  </w:style>
  <w:style w:type="paragraph" w:customStyle="1" w:styleId="Blockquote2indent">
    <w:name w:val="Block quote 2 indent"/>
    <w:basedOn w:val="block-f-"/>
    <w:autoRedefine/>
    <w:uiPriority w:val="99"/>
    <w:semiHidden/>
    <w:rsid w:val="00887BB4"/>
    <w:pPr>
      <w:spacing w:before="120"/>
      <w:ind w:left="1440"/>
    </w:pPr>
    <w:rPr>
      <w:rFonts w:cs="NewCenturySchlbk"/>
    </w:rPr>
  </w:style>
  <w:style w:type="paragraph" w:customStyle="1" w:styleId="appendixarticlehead">
    <w:name w:val="appendix article head"/>
    <w:basedOn w:val="Normal"/>
    <w:autoRedefine/>
    <w:uiPriority w:val="99"/>
    <w:semiHidden/>
    <w:rsid w:val="004E041A"/>
    <w:pPr>
      <w:widowControl w:val="0"/>
      <w:tabs>
        <w:tab w:val="center" w:pos="3480"/>
        <w:tab w:val="right" w:pos="6960"/>
      </w:tabs>
      <w:autoSpaceDE w:val="0"/>
      <w:autoSpaceDN w:val="0"/>
      <w:adjustRightInd w:val="0"/>
      <w:spacing w:before="240" w:after="120" w:line="240" w:lineRule="auto"/>
      <w:jc w:val="center"/>
      <w:textAlignment w:val="center"/>
    </w:pPr>
    <w:rPr>
      <w:rFonts w:ascii="Times New Roman" w:hAnsi="Times New Roman" w:cs="NewCenturySchlbk"/>
      <w:color w:val="000000"/>
      <w:sz w:val="24"/>
    </w:rPr>
  </w:style>
  <w:style w:type="paragraph" w:customStyle="1" w:styleId="appendixcenteredhead">
    <w:name w:val="appendix centered head"/>
    <w:basedOn w:val="text"/>
    <w:autoRedefine/>
    <w:uiPriority w:val="99"/>
    <w:semiHidden/>
    <w:rsid w:val="004E041A"/>
    <w:pPr>
      <w:widowControl w:val="0"/>
      <w:tabs>
        <w:tab w:val="clear" w:pos="1440"/>
        <w:tab w:val="clear" w:pos="2160"/>
        <w:tab w:val="clear" w:pos="2880"/>
        <w:tab w:val="clear" w:pos="3600"/>
        <w:tab w:val="clear" w:pos="4320"/>
        <w:tab w:val="clear" w:pos="5040"/>
        <w:tab w:val="clear" w:pos="5760"/>
        <w:tab w:val="center" w:pos="3480"/>
        <w:tab w:val="right" w:pos="6960"/>
      </w:tabs>
      <w:autoSpaceDE w:val="0"/>
      <w:autoSpaceDN w:val="0"/>
      <w:adjustRightInd w:val="0"/>
      <w:spacing w:before="120" w:after="120"/>
      <w:ind w:firstLine="0"/>
      <w:jc w:val="center"/>
      <w:textAlignment w:val="center"/>
    </w:pPr>
    <w:rPr>
      <w:rFonts w:eastAsiaTheme="minorEastAsia" w:cs="NewCenturySchlbk"/>
      <w:color w:val="000000"/>
      <w:szCs w:val="22"/>
      <w:lang w:eastAsia="en-US"/>
    </w:rPr>
  </w:style>
  <w:style w:type="paragraph" w:customStyle="1" w:styleId="Appendixboldhead11">
    <w:name w:val="Appendix bold head 1/1"/>
    <w:basedOn w:val="Normal"/>
    <w:autoRedefine/>
    <w:uiPriority w:val="99"/>
    <w:semiHidden/>
    <w:rsid w:val="004E041A"/>
    <w:pPr>
      <w:keepNext/>
      <w:widowControl w:val="0"/>
      <w:tabs>
        <w:tab w:val="left" w:pos="360"/>
      </w:tabs>
      <w:suppressAutoHyphens/>
      <w:autoSpaceDE w:val="0"/>
      <w:autoSpaceDN w:val="0"/>
      <w:adjustRightInd w:val="0"/>
      <w:spacing w:before="240" w:after="240" w:line="240" w:lineRule="auto"/>
      <w:ind w:left="360" w:hanging="360"/>
      <w:textAlignment w:val="center"/>
    </w:pPr>
    <w:rPr>
      <w:rFonts w:ascii="Times New Roman" w:hAnsi="Times New Roman" w:cs="NewCenturySchlbk"/>
      <w:b/>
      <w:bCs/>
      <w:color w:val="000000"/>
      <w:sz w:val="24"/>
    </w:rPr>
  </w:style>
  <w:style w:type="paragraph" w:customStyle="1" w:styleId="TOC4a1">
    <w:name w:val="TOC4 a."/>
    <w:basedOn w:val="TOC311"/>
    <w:autoRedefine/>
    <w:uiPriority w:val="99"/>
    <w:semiHidden/>
    <w:rsid w:val="0042249A"/>
    <w:pPr>
      <w:tabs>
        <w:tab w:val="clear" w:pos="1080"/>
        <w:tab w:val="left" w:pos="1824"/>
      </w:tabs>
      <w:suppressAutoHyphens w:val="0"/>
      <w:ind w:left="1800"/>
    </w:pPr>
    <w:rPr>
      <w:rFonts w:cs="Times LT Std"/>
      <w:szCs w:val="23"/>
    </w:rPr>
  </w:style>
  <w:style w:type="paragraph" w:customStyle="1" w:styleId="COChapterNumber">
    <w:name w:val="CO_Chapter Number"/>
    <w:basedOn w:val="text"/>
    <w:autoRedefine/>
    <w:uiPriority w:val="99"/>
    <w:semiHidden/>
    <w:rsid w:val="00714682"/>
    <w:pPr>
      <w:tabs>
        <w:tab w:val="clear" w:pos="1440"/>
        <w:tab w:val="clear" w:pos="2160"/>
        <w:tab w:val="clear" w:pos="2880"/>
        <w:tab w:val="clear" w:pos="3600"/>
        <w:tab w:val="clear" w:pos="4320"/>
        <w:tab w:val="clear" w:pos="5040"/>
        <w:tab w:val="clear" w:pos="5760"/>
      </w:tabs>
      <w:suppressAutoHyphens/>
      <w:autoSpaceDE w:val="0"/>
      <w:autoSpaceDN w:val="0"/>
      <w:adjustRightInd w:val="0"/>
      <w:spacing w:after="240"/>
      <w:ind w:firstLine="0"/>
      <w:jc w:val="center"/>
      <w:textAlignment w:val="center"/>
    </w:pPr>
    <w:rPr>
      <w:rFonts w:eastAsiaTheme="minorEastAsia" w:cs="Times LT Std"/>
      <w:smallCaps/>
      <w:color w:val="000000"/>
      <w:sz w:val="36"/>
      <w:szCs w:val="36"/>
      <w:lang w:eastAsia="en-US"/>
    </w:rPr>
  </w:style>
  <w:style w:type="paragraph" w:customStyle="1" w:styleId="COChapterTitle">
    <w:name w:val="CO_Chapter Title"/>
    <w:basedOn w:val="text"/>
    <w:autoRedefine/>
    <w:uiPriority w:val="99"/>
    <w:semiHidden/>
    <w:rsid w:val="00714682"/>
    <w:pPr>
      <w:tabs>
        <w:tab w:val="clear" w:pos="1440"/>
        <w:tab w:val="clear" w:pos="2160"/>
        <w:tab w:val="clear" w:pos="2880"/>
        <w:tab w:val="clear" w:pos="3600"/>
        <w:tab w:val="clear" w:pos="4320"/>
        <w:tab w:val="clear" w:pos="5040"/>
        <w:tab w:val="clear" w:pos="5760"/>
      </w:tabs>
      <w:suppressAutoHyphens/>
      <w:autoSpaceDE w:val="0"/>
      <w:autoSpaceDN w:val="0"/>
      <w:adjustRightInd w:val="0"/>
      <w:spacing w:after="600"/>
      <w:ind w:firstLine="0"/>
      <w:jc w:val="center"/>
      <w:textAlignment w:val="center"/>
    </w:pPr>
    <w:rPr>
      <w:rFonts w:eastAsiaTheme="minorEastAsia" w:cs="Times LT Std"/>
      <w:b/>
      <w:bCs/>
      <w:color w:val="000000"/>
      <w:sz w:val="40"/>
      <w:szCs w:val="40"/>
      <w:lang w:eastAsia="en-US"/>
    </w:rPr>
  </w:style>
  <w:style w:type="paragraph" w:customStyle="1" w:styleId="COitalichead">
    <w:name w:val="CO_italic head"/>
    <w:basedOn w:val="text"/>
    <w:autoRedefine/>
    <w:uiPriority w:val="99"/>
    <w:semiHidden/>
    <w:rsid w:val="00714682"/>
    <w:pPr>
      <w:tabs>
        <w:tab w:val="clear" w:pos="1440"/>
        <w:tab w:val="clear" w:pos="2160"/>
        <w:tab w:val="clear" w:pos="2880"/>
        <w:tab w:val="clear" w:pos="3600"/>
        <w:tab w:val="clear" w:pos="4320"/>
        <w:tab w:val="clear" w:pos="5040"/>
        <w:tab w:val="clear" w:pos="5760"/>
      </w:tabs>
      <w:autoSpaceDE w:val="0"/>
      <w:autoSpaceDN w:val="0"/>
      <w:adjustRightInd w:val="0"/>
      <w:spacing w:before="240" w:after="120"/>
      <w:ind w:firstLine="0"/>
      <w:jc w:val="center"/>
      <w:textAlignment w:val="center"/>
    </w:pPr>
    <w:rPr>
      <w:rFonts w:eastAsiaTheme="minorEastAsia" w:cs="Times LT Std"/>
      <w:b/>
      <w:bCs/>
      <w:i/>
      <w:iCs/>
      <w:color w:val="000000"/>
      <w:lang w:eastAsia="en-US"/>
    </w:rPr>
  </w:style>
  <w:style w:type="paragraph" w:customStyle="1" w:styleId="COName">
    <w:name w:val="CO_Name"/>
    <w:basedOn w:val="text"/>
    <w:autoRedefine/>
    <w:uiPriority w:val="99"/>
    <w:semiHidden/>
    <w:rsid w:val="00714682"/>
    <w:pPr>
      <w:tabs>
        <w:tab w:val="clear" w:pos="1440"/>
        <w:tab w:val="clear" w:pos="2160"/>
        <w:tab w:val="clear" w:pos="2880"/>
        <w:tab w:val="clear" w:pos="3600"/>
        <w:tab w:val="clear" w:pos="4320"/>
        <w:tab w:val="clear" w:pos="5040"/>
        <w:tab w:val="clear" w:pos="5760"/>
      </w:tabs>
      <w:autoSpaceDE w:val="0"/>
      <w:autoSpaceDN w:val="0"/>
      <w:adjustRightInd w:val="0"/>
      <w:ind w:firstLine="0"/>
      <w:jc w:val="center"/>
      <w:textAlignment w:val="center"/>
    </w:pPr>
    <w:rPr>
      <w:rFonts w:eastAsiaTheme="minorEastAsia" w:cs="Times LT Std"/>
      <w:smallCaps/>
      <w:color w:val="000000"/>
      <w:lang w:eastAsia="en-US"/>
    </w:rPr>
  </w:style>
  <w:style w:type="paragraph" w:customStyle="1" w:styleId="COAff">
    <w:name w:val="CO_Aff"/>
    <w:basedOn w:val="text"/>
    <w:autoRedefine/>
    <w:uiPriority w:val="99"/>
    <w:semiHidden/>
    <w:rsid w:val="00714682"/>
    <w:pPr>
      <w:tabs>
        <w:tab w:val="clear" w:pos="1440"/>
        <w:tab w:val="clear" w:pos="2160"/>
        <w:tab w:val="clear" w:pos="2880"/>
        <w:tab w:val="clear" w:pos="3600"/>
        <w:tab w:val="clear" w:pos="4320"/>
        <w:tab w:val="clear" w:pos="5040"/>
        <w:tab w:val="clear" w:pos="5760"/>
      </w:tabs>
      <w:autoSpaceDE w:val="0"/>
      <w:autoSpaceDN w:val="0"/>
      <w:adjustRightInd w:val="0"/>
      <w:spacing w:after="240"/>
      <w:ind w:firstLine="0"/>
      <w:jc w:val="center"/>
      <w:textAlignment w:val="center"/>
    </w:pPr>
    <w:rPr>
      <w:rFonts w:eastAsiaTheme="minorEastAsia" w:cs="Times LT Std"/>
      <w:i/>
      <w:iCs/>
      <w:color w:val="000000"/>
      <w:lang w:eastAsia="en-US"/>
    </w:rPr>
  </w:style>
  <w:style w:type="paragraph" w:customStyle="1" w:styleId="TOC5i0">
    <w:name w:val="TOC5 (i.)"/>
    <w:basedOn w:val="TOC4a1"/>
    <w:autoRedefine/>
    <w:uiPriority w:val="99"/>
    <w:semiHidden/>
    <w:rsid w:val="00714682"/>
    <w:pPr>
      <w:tabs>
        <w:tab w:val="clear" w:pos="1824"/>
        <w:tab w:val="left" w:pos="2280"/>
      </w:tabs>
      <w:ind w:left="2280" w:hanging="600"/>
    </w:pPr>
  </w:style>
  <w:style w:type="paragraph" w:customStyle="1" w:styleId="5thlevelheadiiii0">
    <w:name w:val="5th level head (iii)_i"/>
    <w:basedOn w:val="5thlevelheadii0"/>
    <w:autoRedefine/>
    <w:uiPriority w:val="99"/>
    <w:semiHidden/>
    <w:rsid w:val="00714682"/>
    <w:pPr>
      <w:tabs>
        <w:tab w:val="clear" w:pos="1280"/>
        <w:tab w:val="left" w:pos="1060"/>
      </w:tabs>
      <w:suppressAutoHyphens/>
      <w:ind w:left="1519" w:hanging="600"/>
    </w:pPr>
  </w:style>
  <w:style w:type="paragraph" w:customStyle="1" w:styleId="footnotepnl">
    <w:name w:val="footnote pnl"/>
    <w:basedOn w:val="footnotenl"/>
    <w:autoRedefine/>
    <w:uiPriority w:val="99"/>
    <w:semiHidden/>
    <w:rsid w:val="00BB1206"/>
    <w:pPr>
      <w:tabs>
        <w:tab w:val="clear" w:pos="680"/>
        <w:tab w:val="left" w:pos="720"/>
      </w:tabs>
      <w:ind w:left="1080" w:hanging="360"/>
    </w:pPr>
    <w:rPr>
      <w:rFonts w:cs="Times LT Std"/>
      <w:szCs w:val="18"/>
    </w:rPr>
  </w:style>
  <w:style w:type="paragraph" w:customStyle="1" w:styleId="footnotepnlpnl">
    <w:name w:val="footnote pnl/pnl"/>
    <w:basedOn w:val="footnotepnl"/>
    <w:autoRedefine/>
    <w:uiPriority w:val="99"/>
    <w:semiHidden/>
    <w:rsid w:val="00BB1206"/>
    <w:pPr>
      <w:tabs>
        <w:tab w:val="left" w:pos="1080"/>
      </w:tabs>
      <w:ind w:left="1800"/>
    </w:pPr>
  </w:style>
  <w:style w:type="paragraph" w:customStyle="1" w:styleId="5thlevelheadnospaceii">
    <w:name w:val="5th level head no space (i)_i"/>
    <w:basedOn w:val="5thlevelheadii0"/>
    <w:autoRedefine/>
    <w:uiPriority w:val="99"/>
    <w:semiHidden/>
    <w:rsid w:val="00BB1206"/>
    <w:pPr>
      <w:keepNext/>
      <w:tabs>
        <w:tab w:val="clear" w:pos="1280"/>
        <w:tab w:val="left" w:pos="940"/>
      </w:tabs>
      <w:suppressAutoHyphens/>
      <w:spacing w:before="0"/>
      <w:ind w:left="941" w:hanging="480"/>
    </w:pPr>
  </w:style>
  <w:style w:type="paragraph" w:customStyle="1" w:styleId="footnote2ndindent-p">
    <w:name w:val="footnote 2nd indent-p"/>
    <w:basedOn w:val="footnote2ndindent"/>
    <w:autoRedefine/>
    <w:uiPriority w:val="99"/>
    <w:semiHidden/>
    <w:rsid w:val="00BB1206"/>
    <w:pPr>
      <w:ind w:firstLine="720"/>
    </w:pPr>
    <w:rPr>
      <w:rFonts w:cs="Times LT Std"/>
      <w:szCs w:val="18"/>
    </w:rPr>
  </w:style>
  <w:style w:type="paragraph" w:customStyle="1" w:styleId="Author">
    <w:name w:val="Author"/>
    <w:basedOn w:val="text"/>
    <w:uiPriority w:val="99"/>
    <w:semiHidden/>
    <w:rsid w:val="005D1D9F"/>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480" w:line="300" w:lineRule="atLeast"/>
      <w:ind w:firstLine="0"/>
      <w:jc w:val="center"/>
      <w:textAlignment w:val="center"/>
    </w:pPr>
    <w:rPr>
      <w:rFonts w:eastAsiaTheme="minorEastAsia" w:cs="ITC New Baskerville Std"/>
      <w:color w:val="000000"/>
      <w:sz w:val="28"/>
      <w:szCs w:val="28"/>
      <w:lang w:eastAsia="en-US"/>
    </w:rPr>
  </w:style>
  <w:style w:type="paragraph" w:customStyle="1" w:styleId="blocknumberlistend">
    <w:name w:val="block number list end"/>
    <w:basedOn w:val="blocknumberlist"/>
    <w:autoRedefine/>
    <w:uiPriority w:val="99"/>
    <w:semiHidden/>
    <w:rsid w:val="005D1D9F"/>
    <w:pPr>
      <w:spacing w:after="240"/>
    </w:pPr>
    <w:rPr>
      <w:szCs w:val="22"/>
    </w:rPr>
  </w:style>
  <w:style w:type="paragraph" w:customStyle="1" w:styleId="Questiona">
    <w:name w:val="Question a."/>
    <w:basedOn w:val="Question"/>
    <w:autoRedefine/>
    <w:uiPriority w:val="99"/>
    <w:semiHidden/>
    <w:rsid w:val="005D1D9F"/>
    <w:pPr>
      <w:tabs>
        <w:tab w:val="clear" w:pos="480"/>
        <w:tab w:val="left" w:pos="960"/>
      </w:tabs>
      <w:spacing w:before="240" w:line="240" w:lineRule="auto"/>
      <w:ind w:left="960"/>
    </w:pPr>
    <w:rPr>
      <w:sz w:val="22"/>
      <w:szCs w:val="22"/>
    </w:rPr>
  </w:style>
  <w:style w:type="paragraph" w:customStyle="1" w:styleId="Asterisk">
    <w:name w:val="Asterisk"/>
    <w:basedOn w:val="HeadingCenter11Underscore"/>
    <w:autoRedefine/>
    <w:uiPriority w:val="99"/>
    <w:semiHidden/>
    <w:rsid w:val="005D1D9F"/>
    <w:pPr>
      <w:spacing w:before="0" w:after="0"/>
    </w:pPr>
    <w:rPr>
      <w:b/>
      <w:sz w:val="20"/>
      <w:u w:val="none"/>
    </w:rPr>
  </w:style>
  <w:style w:type="paragraph" w:customStyle="1" w:styleId="IndentName--">
    <w:name w:val="Indent Name -/-"/>
    <w:basedOn w:val="Indentname"/>
    <w:autoRedefine/>
    <w:uiPriority w:val="99"/>
    <w:semiHidden/>
    <w:rsid w:val="005D1D9F"/>
    <w:pPr>
      <w:spacing w:before="0" w:after="240"/>
    </w:pPr>
  </w:style>
  <w:style w:type="paragraph" w:customStyle="1" w:styleId="Italicheadindented-">
    <w:name w:val="Italic head indented -/+"/>
    <w:basedOn w:val="text"/>
    <w:autoRedefine/>
    <w:uiPriority w:val="99"/>
    <w:semiHidden/>
    <w:rsid w:val="005D1D9F"/>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after="240"/>
      <w:ind w:left="720" w:firstLine="0"/>
      <w:textAlignment w:val="center"/>
    </w:pPr>
    <w:rPr>
      <w:rFonts w:eastAsiaTheme="minorEastAsia" w:cs="ITC New Baskerville Std"/>
      <w:i/>
      <w:iCs/>
      <w:color w:val="000000"/>
      <w:lang w:eastAsia="en-US"/>
    </w:rPr>
  </w:style>
  <w:style w:type="paragraph" w:customStyle="1" w:styleId="AdditionalTopicsHead">
    <w:name w:val="Additional Topics Head"/>
    <w:basedOn w:val="text"/>
    <w:autoRedefine/>
    <w:uiPriority w:val="99"/>
    <w:semiHidden/>
    <w:rsid w:val="005D1D9F"/>
    <w:pPr>
      <w:widowControl w:val="0"/>
      <w:tabs>
        <w:tab w:val="clear" w:pos="2160"/>
        <w:tab w:val="clear" w:pos="3600"/>
        <w:tab w:val="clear" w:pos="4320"/>
        <w:tab w:val="clear" w:pos="5040"/>
        <w:tab w:val="clear" w:pos="5760"/>
        <w:tab w:val="left" w:pos="480"/>
        <w:tab w:val="left" w:pos="960"/>
        <w:tab w:val="left" w:pos="1920"/>
        <w:tab w:val="left" w:pos="2400"/>
      </w:tabs>
      <w:autoSpaceDE w:val="0"/>
      <w:autoSpaceDN w:val="0"/>
      <w:adjustRightInd w:val="0"/>
      <w:spacing w:before="480" w:after="240"/>
      <w:ind w:firstLine="0"/>
      <w:jc w:val="center"/>
      <w:textAlignment w:val="center"/>
    </w:pPr>
    <w:rPr>
      <w:rFonts w:eastAsiaTheme="minorEastAsia" w:cs="ITC New Baskerville Std"/>
      <w:b/>
      <w:bCs/>
      <w:color w:val="000000"/>
      <w:u w:val="thick" w:color="000000"/>
      <w:lang w:eastAsia="en-US"/>
    </w:rPr>
  </w:style>
  <w:style w:type="paragraph" w:customStyle="1" w:styleId="AdditionalTopicssubheadb-">
    <w:name w:val="Additional Topics subhead_b -/+"/>
    <w:basedOn w:val="Normal"/>
    <w:autoRedefine/>
    <w:uiPriority w:val="99"/>
    <w:semiHidden/>
    <w:rsid w:val="005D1D9F"/>
    <w:pPr>
      <w:widowControl w:val="0"/>
      <w:tabs>
        <w:tab w:val="left" w:pos="480"/>
        <w:tab w:val="left" w:pos="960"/>
        <w:tab w:val="left" w:pos="1440"/>
        <w:tab w:val="left" w:pos="1920"/>
        <w:tab w:val="left" w:pos="2400"/>
        <w:tab w:val="left" w:pos="2880"/>
      </w:tabs>
      <w:suppressAutoHyphens/>
      <w:autoSpaceDE w:val="0"/>
      <w:autoSpaceDN w:val="0"/>
      <w:adjustRightInd w:val="0"/>
      <w:spacing w:after="240" w:line="240" w:lineRule="auto"/>
      <w:textAlignment w:val="center"/>
    </w:pPr>
    <w:rPr>
      <w:rFonts w:ascii="Times New Roman" w:hAnsi="Times New Roman" w:cs="ITC New Baskerville Std"/>
      <w:b/>
      <w:bCs/>
      <w:color w:val="000000"/>
      <w:sz w:val="24"/>
      <w:szCs w:val="24"/>
    </w:rPr>
  </w:style>
  <w:style w:type="paragraph" w:customStyle="1" w:styleId="IndentName0">
    <w:name w:val="Indent Name +/+"/>
    <w:basedOn w:val="Indentname"/>
    <w:autoRedefine/>
    <w:uiPriority w:val="99"/>
    <w:semiHidden/>
    <w:rsid w:val="005D1D9F"/>
    <w:pPr>
      <w:spacing w:after="240"/>
    </w:pPr>
  </w:style>
  <w:style w:type="paragraph" w:customStyle="1" w:styleId="blocknumberliststart">
    <w:name w:val="block number list start"/>
    <w:basedOn w:val="blocknumberlist"/>
    <w:autoRedefine/>
    <w:uiPriority w:val="99"/>
    <w:semiHidden/>
    <w:rsid w:val="005A194A"/>
    <w:pPr>
      <w:spacing w:before="240"/>
      <w:ind w:left="900"/>
    </w:pPr>
    <w:rPr>
      <w:szCs w:val="22"/>
    </w:rPr>
  </w:style>
  <w:style w:type="paragraph" w:customStyle="1" w:styleId="numberlist1a">
    <w:name w:val="number list 1.a."/>
    <w:basedOn w:val="numberlist0"/>
    <w:autoRedefine/>
    <w:uiPriority w:val="99"/>
    <w:semiHidden/>
    <w:rsid w:val="005D1D9F"/>
    <w:pPr>
      <w:widowControl w:val="0"/>
      <w:tabs>
        <w:tab w:val="clear" w:pos="919"/>
        <w:tab w:val="left" w:pos="1200"/>
      </w:tabs>
      <w:autoSpaceDE w:val="0"/>
      <w:autoSpaceDN w:val="0"/>
      <w:adjustRightInd w:val="0"/>
      <w:ind w:left="1279" w:hanging="360"/>
      <w:textAlignment w:val="center"/>
    </w:pPr>
    <w:rPr>
      <w:rFonts w:cs="ITC New Baskerville Std"/>
      <w:szCs w:val="24"/>
    </w:rPr>
  </w:style>
  <w:style w:type="paragraph" w:customStyle="1" w:styleId="bulletliststart0">
    <w:name w:val="bullet list / start"/>
    <w:basedOn w:val="bulletlist"/>
    <w:autoRedefine/>
    <w:uiPriority w:val="99"/>
    <w:semiHidden/>
    <w:rsid w:val="00444FD2"/>
    <w:pPr>
      <w:widowControl w:val="0"/>
      <w:tabs>
        <w:tab w:val="left" w:pos="720"/>
      </w:tabs>
      <w:autoSpaceDE w:val="0"/>
      <w:autoSpaceDN w:val="0"/>
      <w:adjustRightInd w:val="0"/>
      <w:spacing w:before="240"/>
      <w:textAlignment w:val="center"/>
    </w:pPr>
    <w:rPr>
      <w:rFonts w:cs="ITC New Baskerville Std"/>
      <w:color w:val="000000"/>
      <w:szCs w:val="24"/>
    </w:rPr>
  </w:style>
  <w:style w:type="paragraph" w:customStyle="1" w:styleId="NoParagraphStyle">
    <w:name w:val="[No Paragraph Style]"/>
    <w:semiHidden/>
    <w:rsid w:val="003A0F7D"/>
    <w:pPr>
      <w:widowControl w:val="0"/>
      <w:autoSpaceDE w:val="0"/>
      <w:autoSpaceDN w:val="0"/>
      <w:adjustRightInd w:val="0"/>
      <w:spacing w:after="0" w:line="288" w:lineRule="auto"/>
      <w:textAlignment w:val="center"/>
    </w:pPr>
    <w:rPr>
      <w:rFonts w:ascii="Times Roman" w:eastAsiaTheme="minorEastAsia" w:hAnsi="Times Roman" w:cs="Times Roman"/>
      <w:color w:val="000000"/>
      <w:sz w:val="24"/>
      <w:szCs w:val="24"/>
    </w:rPr>
  </w:style>
  <w:style w:type="paragraph" w:customStyle="1" w:styleId="BasicParagraph">
    <w:name w:val="[Basic Paragraph]"/>
    <w:basedOn w:val="NoParagraphStyle"/>
    <w:uiPriority w:val="99"/>
    <w:semiHidden/>
    <w:rsid w:val="003A0F7D"/>
    <w:pPr>
      <w:spacing w:line="260" w:lineRule="atLeast"/>
    </w:pPr>
    <w:rPr>
      <w:rFonts w:ascii="ITC New Baskerville Std" w:hAnsi="ITC New Baskerville Std" w:cs="ITC New Baskerville Std"/>
    </w:rPr>
  </w:style>
  <w:style w:type="paragraph" w:customStyle="1" w:styleId="textcrossreference">
    <w:name w:val="text cross reference"/>
    <w:basedOn w:val="BasicParagraph"/>
    <w:uiPriority w:val="99"/>
    <w:semiHidden/>
    <w:rsid w:val="003A0F7D"/>
    <w:pPr>
      <w:ind w:firstLine="480"/>
      <w:jc w:val="both"/>
    </w:pPr>
  </w:style>
  <w:style w:type="paragraph" w:customStyle="1" w:styleId="bulletlistend0">
    <w:name w:val="bullet list / end"/>
    <w:basedOn w:val="bulletliststart0"/>
    <w:uiPriority w:val="99"/>
    <w:semiHidden/>
    <w:rsid w:val="003A0F7D"/>
    <w:pPr>
      <w:spacing w:before="0" w:after="240" w:line="260" w:lineRule="atLeast"/>
      <w:ind w:left="720" w:hanging="240"/>
      <w:jc w:val="both"/>
    </w:pPr>
    <w:rPr>
      <w:rFonts w:ascii="ITC New Baskerville Std" w:hAnsi="ITC New Baskerville Std"/>
    </w:rPr>
  </w:style>
  <w:style w:type="paragraph" w:customStyle="1" w:styleId="block1A">
    <w:name w:val="block (1)(A)"/>
    <w:basedOn w:val="blocknumberlist"/>
    <w:uiPriority w:val="99"/>
    <w:semiHidden/>
    <w:rsid w:val="003A0F7D"/>
    <w:pPr>
      <w:tabs>
        <w:tab w:val="clear" w:pos="1080"/>
        <w:tab w:val="left" w:pos="1400"/>
      </w:tabs>
      <w:spacing w:line="230" w:lineRule="atLeast"/>
      <w:ind w:left="1400" w:hanging="480"/>
      <w:jc w:val="both"/>
    </w:pPr>
    <w:rPr>
      <w:rFonts w:ascii="ITC New Baskerville Std" w:hAnsi="ITC New Baskerville Std"/>
      <w:sz w:val="21"/>
    </w:rPr>
  </w:style>
  <w:style w:type="paragraph" w:customStyle="1" w:styleId="block1A1">
    <w:name w:val="block (1)(A)(1)"/>
    <w:basedOn w:val="block1A"/>
    <w:uiPriority w:val="99"/>
    <w:semiHidden/>
    <w:rsid w:val="003A0F7D"/>
    <w:pPr>
      <w:tabs>
        <w:tab w:val="clear" w:pos="1400"/>
        <w:tab w:val="left" w:pos="1880"/>
      </w:tabs>
      <w:ind w:left="1880"/>
    </w:pPr>
  </w:style>
  <w:style w:type="paragraph" w:customStyle="1" w:styleId="block1A1iii">
    <w:name w:val="block (1)(A)(1)(iii)"/>
    <w:basedOn w:val="block1A1"/>
    <w:uiPriority w:val="99"/>
    <w:semiHidden/>
    <w:rsid w:val="003A0F7D"/>
    <w:pPr>
      <w:tabs>
        <w:tab w:val="clear" w:pos="1880"/>
        <w:tab w:val="left" w:pos="2360"/>
      </w:tabs>
      <w:ind w:left="2360"/>
    </w:pPr>
  </w:style>
  <w:style w:type="paragraph" w:customStyle="1" w:styleId="footnotecrossreference">
    <w:name w:val="footnote cross reference"/>
    <w:basedOn w:val="NoParagraphStyle"/>
    <w:uiPriority w:val="99"/>
    <w:semiHidden/>
    <w:rsid w:val="003A0F7D"/>
    <w:pPr>
      <w:spacing w:line="190" w:lineRule="atLeast"/>
      <w:ind w:firstLine="360"/>
      <w:jc w:val="both"/>
    </w:pPr>
    <w:rPr>
      <w:rFonts w:ascii="ITC New Baskerville Std" w:hAnsi="ITC New Baskerville Std" w:cs="ITC New Baskerville Std"/>
      <w:sz w:val="18"/>
      <w:szCs w:val="18"/>
    </w:rPr>
  </w:style>
  <w:style w:type="paragraph" w:customStyle="1" w:styleId="footnotebullet">
    <w:name w:val="footnote bullet"/>
    <w:basedOn w:val="footnoteblock"/>
    <w:autoRedefine/>
    <w:uiPriority w:val="99"/>
    <w:semiHidden/>
    <w:rsid w:val="00996A31"/>
    <w:pPr>
      <w:tabs>
        <w:tab w:val="left" w:pos="540"/>
      </w:tabs>
      <w:ind w:left="900" w:hanging="180"/>
    </w:pPr>
    <w:rPr>
      <w:rFonts w:eastAsiaTheme="minorEastAsia"/>
    </w:rPr>
  </w:style>
  <w:style w:type="paragraph" w:customStyle="1" w:styleId="Exhibttext">
    <w:name w:val="Exhibt text"/>
    <w:basedOn w:val="text"/>
    <w:uiPriority w:val="99"/>
    <w:semiHidden/>
    <w:rsid w:val="003A0F7D"/>
    <w:pPr>
      <w:widowControl w:val="0"/>
      <w:tabs>
        <w:tab w:val="clear" w:pos="1440"/>
        <w:tab w:val="clear" w:pos="2160"/>
        <w:tab w:val="clear" w:pos="2880"/>
        <w:tab w:val="clear" w:pos="3600"/>
        <w:tab w:val="clear" w:pos="4320"/>
        <w:tab w:val="clear" w:pos="5040"/>
        <w:tab w:val="clear" w:pos="5760"/>
      </w:tabs>
      <w:autoSpaceDE w:val="0"/>
      <w:autoSpaceDN w:val="0"/>
      <w:adjustRightInd w:val="0"/>
      <w:spacing w:line="220" w:lineRule="atLeast"/>
      <w:ind w:firstLine="0"/>
      <w:textAlignment w:val="center"/>
    </w:pPr>
    <w:rPr>
      <w:rFonts w:ascii="ITC New Baskerville Std" w:eastAsiaTheme="minorEastAsia" w:hAnsi="ITC New Baskerville Std" w:cs="ITC New Baskerville Std"/>
      <w:color w:val="000000"/>
      <w:sz w:val="20"/>
      <w:szCs w:val="20"/>
      <w:lang w:eastAsia="en-US"/>
    </w:rPr>
  </w:style>
  <w:style w:type="character" w:customStyle="1" w:styleId="footnotesuperscript">
    <w:name w:val="footnote superscript"/>
    <w:uiPriority w:val="99"/>
    <w:semiHidden/>
    <w:rsid w:val="003A0F7D"/>
    <w:rPr>
      <w:vertAlign w:val="superscript"/>
    </w:rPr>
  </w:style>
  <w:style w:type="paragraph" w:styleId="Header">
    <w:name w:val="header"/>
    <w:basedOn w:val="Normal"/>
    <w:link w:val="HeaderChar"/>
    <w:uiPriority w:val="99"/>
    <w:semiHidden/>
    <w:rsid w:val="001972A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45981"/>
    <w:rPr>
      <w:rFonts w:eastAsiaTheme="minorEastAsia"/>
    </w:rPr>
  </w:style>
  <w:style w:type="paragraph" w:styleId="Footer">
    <w:name w:val="footer"/>
    <w:basedOn w:val="Normal"/>
    <w:link w:val="FooterChar"/>
    <w:uiPriority w:val="99"/>
    <w:semiHidden/>
    <w:rsid w:val="001972A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5981"/>
    <w:rPr>
      <w:rFonts w:eastAsiaTheme="minorEastAsia"/>
    </w:rPr>
  </w:style>
  <w:style w:type="paragraph" w:styleId="BalloonText">
    <w:name w:val="Balloon Text"/>
    <w:basedOn w:val="Normal"/>
    <w:link w:val="BalloonTextChar"/>
    <w:uiPriority w:val="99"/>
    <w:semiHidden/>
    <w:rsid w:val="002F68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981"/>
    <w:rPr>
      <w:rFonts w:ascii="Segoe UI" w:eastAsiaTheme="minorEastAsia" w:hAnsi="Segoe UI" w:cs="Segoe UI"/>
      <w:sz w:val="18"/>
      <w:szCs w:val="18"/>
    </w:rPr>
  </w:style>
  <w:style w:type="character" w:styleId="CommentReference">
    <w:name w:val="annotation reference"/>
    <w:basedOn w:val="DefaultParagraphFont"/>
    <w:uiPriority w:val="99"/>
    <w:semiHidden/>
    <w:rsid w:val="00505883"/>
    <w:rPr>
      <w:sz w:val="16"/>
      <w:szCs w:val="16"/>
    </w:rPr>
  </w:style>
  <w:style w:type="paragraph" w:styleId="CommentText">
    <w:name w:val="annotation text"/>
    <w:basedOn w:val="Normal"/>
    <w:link w:val="CommentTextChar"/>
    <w:uiPriority w:val="99"/>
    <w:semiHidden/>
    <w:rsid w:val="00505883"/>
    <w:pPr>
      <w:spacing w:line="240" w:lineRule="auto"/>
    </w:pPr>
    <w:rPr>
      <w:sz w:val="20"/>
      <w:szCs w:val="20"/>
    </w:rPr>
  </w:style>
  <w:style w:type="character" w:customStyle="1" w:styleId="CommentTextChar">
    <w:name w:val="Comment Text Char"/>
    <w:basedOn w:val="DefaultParagraphFont"/>
    <w:link w:val="CommentText"/>
    <w:uiPriority w:val="99"/>
    <w:semiHidden/>
    <w:rsid w:val="00845981"/>
    <w:rPr>
      <w:rFonts w:eastAsiaTheme="minorEastAsia"/>
      <w:sz w:val="20"/>
      <w:szCs w:val="20"/>
    </w:rPr>
  </w:style>
  <w:style w:type="paragraph" w:styleId="CommentSubject">
    <w:name w:val="annotation subject"/>
    <w:basedOn w:val="CommentText"/>
    <w:next w:val="CommentText"/>
    <w:link w:val="CommentSubjectChar"/>
    <w:uiPriority w:val="99"/>
    <w:semiHidden/>
    <w:rsid w:val="00505883"/>
    <w:rPr>
      <w:b/>
      <w:bCs/>
    </w:rPr>
  </w:style>
  <w:style w:type="character" w:customStyle="1" w:styleId="CommentSubjectChar">
    <w:name w:val="Comment Subject Char"/>
    <w:basedOn w:val="CommentTextChar"/>
    <w:link w:val="CommentSubject"/>
    <w:uiPriority w:val="99"/>
    <w:semiHidden/>
    <w:rsid w:val="00845981"/>
    <w:rPr>
      <w:rFonts w:eastAsiaTheme="minorEastAsia"/>
      <w:b/>
      <w:bCs/>
      <w:sz w:val="20"/>
      <w:szCs w:val="20"/>
    </w:rPr>
  </w:style>
  <w:style w:type="table" w:customStyle="1" w:styleId="a">
    <w:name w:val="a"/>
    <w:basedOn w:val="TableNormal"/>
    <w:tblPr>
      <w:tblStyleRowBandSize w:val="1"/>
      <w:tblStyleColBandSize w:val="1"/>
      <w:tblCellMar>
        <w:left w:w="0" w:type="dxa"/>
        <w:right w:w="0" w:type="dxa"/>
      </w:tblCellMar>
    </w:tblPr>
  </w:style>
  <w:style w:type="paragraph" w:customStyle="1" w:styleId="01ChapterNumber">
    <w:name w:val="01 Chapter Number"/>
    <w:basedOn w:val="ChapterNumber"/>
    <w:link w:val="01ChapterNumberChar"/>
    <w:qFormat/>
    <w:rsid w:val="00845981"/>
  </w:style>
  <w:style w:type="character" w:customStyle="1" w:styleId="01ChapterNumberChar">
    <w:name w:val="01 Chapter Number Char"/>
    <w:link w:val="01ChapterNumber"/>
    <w:rsid w:val="00845981"/>
    <w:rPr>
      <w:rFonts w:ascii="Times New Roman" w:eastAsiaTheme="minorEastAsia" w:hAnsi="Times New Roman" w:cs="Times New Roman"/>
      <w:smallCaps/>
      <w:color w:val="000000"/>
      <w:sz w:val="20"/>
      <w:szCs w:val="28"/>
    </w:rPr>
  </w:style>
  <w:style w:type="paragraph" w:customStyle="1" w:styleId="02ChapterTitle">
    <w:name w:val="02 Chapter Title"/>
    <w:basedOn w:val="ChapterTitle"/>
    <w:link w:val="02ChapterTitleChar"/>
    <w:qFormat/>
    <w:rsid w:val="00845981"/>
  </w:style>
  <w:style w:type="character" w:customStyle="1" w:styleId="02ChapterTitleChar">
    <w:name w:val="02 Chapter Title Char"/>
    <w:link w:val="02ChapterTitle"/>
    <w:rsid w:val="00845981"/>
    <w:rPr>
      <w:rFonts w:ascii="Times New Roman" w:eastAsiaTheme="minorEastAsia" w:hAnsi="Times New Roman" w:cs="Times New Roman"/>
      <w:b/>
      <w:color w:val="000000"/>
      <w:sz w:val="28"/>
      <w:szCs w:val="40"/>
    </w:rPr>
  </w:style>
  <w:style w:type="paragraph" w:customStyle="1" w:styleId="10BTextWithoutIndent">
    <w:name w:val="10B Text Without ¶ Indent"/>
    <w:basedOn w:val="Normal"/>
    <w:qFormat/>
    <w:rsid w:val="00845981"/>
    <w:pPr>
      <w:spacing w:before="120" w:after="120" w:line="240" w:lineRule="auto"/>
    </w:pPr>
    <w:rPr>
      <w:rFonts w:ascii="Times New Roman" w:eastAsia="Times New Roman" w:hAnsi="Times New Roman" w:cs="Times New Roman"/>
      <w:sz w:val="24"/>
      <w:szCs w:val="24"/>
    </w:rPr>
  </w:style>
  <w:style w:type="paragraph" w:customStyle="1" w:styleId="03TableofContents">
    <w:name w:val="03 Table of Contents"/>
    <w:basedOn w:val="10BTextWithoutIndent"/>
    <w:link w:val="03TableofContentsChar"/>
    <w:qFormat/>
    <w:rsid w:val="00845981"/>
    <w:pPr>
      <w:widowControl w:val="0"/>
      <w:suppressAutoHyphens/>
      <w:autoSpaceDE w:val="0"/>
      <w:autoSpaceDN w:val="0"/>
      <w:adjustRightInd w:val="0"/>
      <w:spacing w:before="0" w:after="0"/>
      <w:textAlignment w:val="center"/>
    </w:pPr>
    <w:rPr>
      <w:color w:val="000000"/>
    </w:rPr>
  </w:style>
  <w:style w:type="character" w:customStyle="1" w:styleId="03TableofContentsChar">
    <w:name w:val="03 Table of Contents Char"/>
    <w:link w:val="03TableofContents"/>
    <w:rsid w:val="00845981"/>
    <w:rPr>
      <w:rFonts w:ascii="Times New Roman" w:eastAsia="Times New Roman" w:hAnsi="Times New Roman" w:cs="Times New Roman"/>
      <w:color w:val="000000"/>
      <w:sz w:val="24"/>
      <w:szCs w:val="24"/>
    </w:rPr>
  </w:style>
  <w:style w:type="paragraph" w:customStyle="1" w:styleId="04First-LevelHeadIIIIII">
    <w:name w:val="04 First-Level Head I. II. III."/>
    <w:basedOn w:val="Normal"/>
    <w:link w:val="04First-LevelHeadIIIIIIChar"/>
    <w:qFormat/>
    <w:rsid w:val="00845981"/>
    <w:pPr>
      <w:spacing w:before="480" w:after="240" w:line="240" w:lineRule="auto"/>
      <w:jc w:val="center"/>
    </w:pPr>
    <w:rPr>
      <w:rFonts w:ascii="Times New Roman" w:eastAsia="Times New Roman" w:hAnsi="Times New Roman" w:cs="Times New Roman"/>
      <w:smallCaps/>
      <w:sz w:val="24"/>
      <w:szCs w:val="24"/>
    </w:rPr>
  </w:style>
  <w:style w:type="character" w:customStyle="1" w:styleId="04First-LevelHeadIIIIIIChar">
    <w:name w:val="04 First-Level Head I. II. III. Char"/>
    <w:link w:val="04First-LevelHeadIIIIII"/>
    <w:rsid w:val="00845981"/>
    <w:rPr>
      <w:rFonts w:ascii="Times New Roman" w:eastAsia="Times New Roman" w:hAnsi="Times New Roman" w:cs="Times New Roman"/>
      <w:smallCaps/>
      <w:sz w:val="24"/>
      <w:szCs w:val="24"/>
    </w:rPr>
  </w:style>
  <w:style w:type="paragraph" w:customStyle="1" w:styleId="05Second-LevelHeadABC">
    <w:name w:val="05 Second-Level Head A. B. C."/>
    <w:basedOn w:val="Normal"/>
    <w:link w:val="05Second-LevelHeadABCChar"/>
    <w:qFormat/>
    <w:rsid w:val="00845981"/>
    <w:pPr>
      <w:spacing w:before="360" w:after="240" w:line="240" w:lineRule="auto"/>
      <w:ind w:left="720" w:hanging="720"/>
    </w:pPr>
    <w:rPr>
      <w:rFonts w:ascii="Times New Roman" w:eastAsia="Times New Roman" w:hAnsi="Times New Roman" w:cs="Times New Roman"/>
      <w:b/>
      <w:sz w:val="24"/>
      <w:szCs w:val="24"/>
    </w:rPr>
  </w:style>
  <w:style w:type="character" w:customStyle="1" w:styleId="05Second-LevelHeadABCChar">
    <w:name w:val="05 Second-Level Head A. B. C. Char"/>
    <w:link w:val="05Second-LevelHeadABC"/>
    <w:rsid w:val="00845981"/>
    <w:rPr>
      <w:rFonts w:ascii="Times New Roman" w:eastAsia="Times New Roman" w:hAnsi="Times New Roman" w:cs="Times New Roman"/>
      <w:b/>
      <w:sz w:val="24"/>
      <w:szCs w:val="24"/>
    </w:rPr>
  </w:style>
  <w:style w:type="paragraph" w:customStyle="1" w:styleId="06Third-LevelHead123">
    <w:name w:val="06 Third-Level Head 1. 2. 3."/>
    <w:basedOn w:val="Normal"/>
    <w:link w:val="06Third-LevelHead123Char"/>
    <w:qFormat/>
    <w:rsid w:val="00845981"/>
    <w:pPr>
      <w:spacing w:before="360" w:after="240" w:line="240" w:lineRule="auto"/>
      <w:ind w:left="720" w:hanging="720"/>
    </w:pPr>
    <w:rPr>
      <w:rFonts w:ascii="Times New Roman" w:eastAsia="Times New Roman" w:hAnsi="Times New Roman" w:cs="Times New Roman"/>
      <w:b/>
      <w:i/>
      <w:sz w:val="24"/>
      <w:szCs w:val="24"/>
    </w:rPr>
  </w:style>
  <w:style w:type="character" w:customStyle="1" w:styleId="06Third-LevelHead123Char">
    <w:name w:val="06 Third-Level Head 1. 2. 3. Char"/>
    <w:link w:val="06Third-LevelHead123"/>
    <w:rsid w:val="00845981"/>
    <w:rPr>
      <w:rFonts w:ascii="Times New Roman" w:eastAsia="Times New Roman" w:hAnsi="Times New Roman" w:cs="Times New Roman"/>
      <w:b/>
      <w:i/>
      <w:sz w:val="24"/>
      <w:szCs w:val="24"/>
    </w:rPr>
  </w:style>
  <w:style w:type="paragraph" w:customStyle="1" w:styleId="07Fourth-LevelHeadabc">
    <w:name w:val="07 Fourth-Level Head a. b. c."/>
    <w:basedOn w:val="Normal"/>
    <w:link w:val="07Fourth-LevelHeadabcChar"/>
    <w:qFormat/>
    <w:rsid w:val="00845981"/>
    <w:pPr>
      <w:spacing w:before="360" w:after="240" w:line="240" w:lineRule="auto"/>
      <w:ind w:left="720"/>
    </w:pPr>
    <w:rPr>
      <w:rFonts w:ascii="Times New Roman" w:eastAsia="Times New Roman" w:hAnsi="Times New Roman" w:cs="Times New Roman"/>
      <w:i/>
      <w:sz w:val="24"/>
      <w:szCs w:val="24"/>
    </w:rPr>
  </w:style>
  <w:style w:type="character" w:customStyle="1" w:styleId="07Fourth-LevelHeadabcChar">
    <w:name w:val="07 Fourth-Level Head a. b. c. Char"/>
    <w:link w:val="07Fourth-LevelHeadabc"/>
    <w:rsid w:val="00845981"/>
    <w:rPr>
      <w:rFonts w:ascii="Times New Roman" w:eastAsia="Times New Roman" w:hAnsi="Times New Roman" w:cs="Times New Roman"/>
      <w:i/>
      <w:sz w:val="24"/>
      <w:szCs w:val="24"/>
    </w:rPr>
  </w:style>
  <w:style w:type="paragraph" w:customStyle="1" w:styleId="08Fifth-LevelHeadi">
    <w:name w:val="08 Fifth-Level Head (i.)"/>
    <w:aliases w:val="(ii.),(iii.)"/>
    <w:basedOn w:val="Normal"/>
    <w:link w:val="08Fifth-LevelHeadiChar"/>
    <w:qFormat/>
    <w:rsid w:val="00845981"/>
    <w:pPr>
      <w:spacing w:before="360" w:after="240" w:line="240" w:lineRule="auto"/>
      <w:ind w:left="1440"/>
    </w:pPr>
    <w:rPr>
      <w:rFonts w:ascii="Times New Roman" w:eastAsia="Times New Roman" w:hAnsi="Times New Roman" w:cs="Times New Roman"/>
      <w:i/>
      <w:sz w:val="24"/>
      <w:szCs w:val="24"/>
    </w:rPr>
  </w:style>
  <w:style w:type="character" w:customStyle="1" w:styleId="08Fifth-LevelHeadiChar">
    <w:name w:val="08 Fifth-Level Head (i.) Char"/>
    <w:aliases w:val="(ii.) Char,(iii.) Char"/>
    <w:link w:val="08Fifth-LevelHeadi"/>
    <w:rsid w:val="00845981"/>
    <w:rPr>
      <w:rFonts w:ascii="Times New Roman" w:eastAsia="Times New Roman" w:hAnsi="Times New Roman" w:cs="Times New Roman"/>
      <w:i/>
      <w:sz w:val="24"/>
      <w:szCs w:val="24"/>
    </w:rPr>
  </w:style>
  <w:style w:type="paragraph" w:customStyle="1" w:styleId="09ABlockQuoteWithIndent">
    <w:name w:val="09A Block Quote With ¶ Indent"/>
    <w:basedOn w:val="Normal"/>
    <w:qFormat/>
    <w:rsid w:val="00845981"/>
    <w:pPr>
      <w:spacing w:before="120" w:after="120" w:line="240" w:lineRule="auto"/>
      <w:ind w:left="720" w:firstLine="720"/>
    </w:pPr>
    <w:rPr>
      <w:rFonts w:ascii="Times New Roman" w:eastAsia="Times New Roman" w:hAnsi="Times New Roman" w:cs="Times New Roman"/>
      <w:sz w:val="20"/>
      <w:szCs w:val="24"/>
    </w:rPr>
  </w:style>
  <w:style w:type="paragraph" w:customStyle="1" w:styleId="09BBlockQuoteWithoutIndent">
    <w:name w:val="09B Block Quote Without ¶ Indent"/>
    <w:basedOn w:val="Normal"/>
    <w:link w:val="09BBlockQuoteWithoutIndentChar"/>
    <w:qFormat/>
    <w:rsid w:val="00845981"/>
    <w:pPr>
      <w:spacing w:before="120" w:after="120" w:line="240" w:lineRule="auto"/>
      <w:ind w:left="720"/>
    </w:pPr>
    <w:rPr>
      <w:rFonts w:ascii="Times New Roman" w:eastAsia="Times New Roman" w:hAnsi="Times New Roman" w:cs="Times New Roman"/>
      <w:sz w:val="20"/>
      <w:szCs w:val="24"/>
    </w:rPr>
  </w:style>
  <w:style w:type="character" w:customStyle="1" w:styleId="09BBlockQuoteWithoutIndentChar">
    <w:name w:val="09B Block Quote Without ¶ Indent Char"/>
    <w:link w:val="09BBlockQuoteWithoutIndent"/>
    <w:rsid w:val="00845981"/>
    <w:rPr>
      <w:rFonts w:ascii="Times New Roman" w:eastAsia="Times New Roman" w:hAnsi="Times New Roman" w:cs="Times New Roman"/>
      <w:sz w:val="20"/>
      <w:szCs w:val="24"/>
    </w:rPr>
  </w:style>
  <w:style w:type="paragraph" w:customStyle="1" w:styleId="10ATextWithIndent">
    <w:name w:val="10A Text With ¶ Indent"/>
    <w:basedOn w:val="Normal"/>
    <w:link w:val="10ATextWithIndentChar"/>
    <w:qFormat/>
    <w:rsid w:val="00845981"/>
    <w:pPr>
      <w:spacing w:before="120" w:after="120" w:line="240" w:lineRule="auto"/>
      <w:ind w:firstLine="720"/>
    </w:pPr>
    <w:rPr>
      <w:rFonts w:ascii="Times New Roman" w:eastAsia="Times New Roman" w:hAnsi="Times New Roman" w:cs="Times New Roman"/>
      <w:sz w:val="24"/>
      <w:szCs w:val="24"/>
    </w:rPr>
  </w:style>
  <w:style w:type="character" w:customStyle="1" w:styleId="10ATextWithIndentChar">
    <w:name w:val="10A Text With ¶ Indent Char"/>
    <w:link w:val="10ATextWithIndent"/>
    <w:rsid w:val="00845981"/>
    <w:rPr>
      <w:rFonts w:ascii="Times New Roman" w:eastAsia="Times New Roman" w:hAnsi="Times New Roman" w:cs="Times New Roman"/>
      <w:sz w:val="24"/>
      <w:szCs w:val="24"/>
    </w:rPr>
  </w:style>
  <w:style w:type="paragraph" w:customStyle="1" w:styleId="11AFirst-LevelList123forshortphrases">
    <w:name w:val="11A First-Level List (1) (2) (3) (for short phrases)"/>
    <w:basedOn w:val="Normal"/>
    <w:link w:val="11AFirst-LevelList123forshortphrasesChar"/>
    <w:qFormat/>
    <w:rsid w:val="00845981"/>
    <w:pPr>
      <w:spacing w:before="120" w:after="120" w:line="240" w:lineRule="auto"/>
      <w:ind w:left="1267" w:hanging="547"/>
    </w:pPr>
    <w:rPr>
      <w:rFonts w:ascii="Times New Roman" w:eastAsia="Times New Roman" w:hAnsi="Times New Roman" w:cs="Times New Roman"/>
      <w:sz w:val="24"/>
      <w:szCs w:val="24"/>
    </w:rPr>
  </w:style>
  <w:style w:type="character" w:customStyle="1" w:styleId="11AFirst-LevelList123forshortphrasesChar">
    <w:name w:val="11A First-Level List (1) (2) (3) (for short phrases) Char"/>
    <w:link w:val="11AFirst-LevelList123forshortphrases"/>
    <w:rsid w:val="00845981"/>
    <w:rPr>
      <w:rFonts w:ascii="Times New Roman" w:eastAsia="Times New Roman" w:hAnsi="Times New Roman" w:cs="Times New Roman"/>
      <w:sz w:val="24"/>
      <w:szCs w:val="24"/>
    </w:rPr>
  </w:style>
  <w:style w:type="paragraph" w:customStyle="1" w:styleId="11BSecond-LevelListabcforshortphrases">
    <w:name w:val="11B Second-Level List (a) (b) (c) (for short phrases)"/>
    <w:basedOn w:val="Normal"/>
    <w:link w:val="11BSecond-LevelListabcforshortphrasesChar"/>
    <w:qFormat/>
    <w:rsid w:val="00845981"/>
    <w:pPr>
      <w:spacing w:before="120" w:after="120" w:line="240" w:lineRule="auto"/>
    </w:pPr>
    <w:rPr>
      <w:rFonts w:ascii="Times New Roman" w:eastAsia="Times New Roman" w:hAnsi="Times New Roman" w:cs="Times New Roman"/>
      <w:sz w:val="24"/>
      <w:szCs w:val="24"/>
    </w:rPr>
  </w:style>
  <w:style w:type="character" w:customStyle="1" w:styleId="11BSecond-LevelListabcforshortphrasesChar">
    <w:name w:val="11B Second-Level List (a) (b) (c) (for short phrases) Char"/>
    <w:link w:val="11BSecond-LevelListabcforshortphrases"/>
    <w:rsid w:val="00845981"/>
    <w:rPr>
      <w:rFonts w:ascii="Times New Roman" w:eastAsia="Times New Roman" w:hAnsi="Times New Roman" w:cs="Times New Roman"/>
      <w:sz w:val="24"/>
      <w:szCs w:val="24"/>
    </w:rPr>
  </w:style>
  <w:style w:type="paragraph" w:customStyle="1" w:styleId="12AFirst-LevelList123forcompletesentences">
    <w:name w:val="12A First-Level List 1. 2. 3. (for complete sentences)"/>
    <w:basedOn w:val="Normal"/>
    <w:link w:val="12AFirst-LevelList123forcompletesentencesChar"/>
    <w:qFormat/>
    <w:rsid w:val="0038296E"/>
    <w:pPr>
      <w:spacing w:before="120" w:after="120" w:line="240" w:lineRule="auto"/>
      <w:ind w:left="1080" w:hanging="360"/>
    </w:pPr>
    <w:rPr>
      <w:rFonts w:ascii="Times New Roman" w:eastAsia="Times New Roman" w:hAnsi="Times New Roman" w:cs="Times New Roman"/>
      <w:sz w:val="24"/>
      <w:szCs w:val="24"/>
    </w:rPr>
  </w:style>
  <w:style w:type="character" w:customStyle="1" w:styleId="12AFirst-LevelList123forcompletesentencesChar">
    <w:name w:val="12A First-Level List 1. 2. 3. (for complete sentences) Char"/>
    <w:link w:val="12AFirst-LevelList123forcompletesentences"/>
    <w:rsid w:val="0038296E"/>
    <w:rPr>
      <w:rFonts w:ascii="Times New Roman" w:eastAsia="Times New Roman" w:hAnsi="Times New Roman" w:cs="Times New Roman"/>
      <w:sz w:val="24"/>
      <w:szCs w:val="24"/>
    </w:rPr>
  </w:style>
  <w:style w:type="paragraph" w:customStyle="1" w:styleId="12BSecond-LevelListabcforcompletesentences">
    <w:name w:val="12B Second-Level List a. b. c. (for complete sentences)"/>
    <w:basedOn w:val="Normal"/>
    <w:link w:val="12BSecond-LevelListabcforcompletesentencesChar"/>
    <w:qFormat/>
    <w:rsid w:val="00845981"/>
    <w:pPr>
      <w:spacing w:before="120" w:after="120" w:line="240" w:lineRule="auto"/>
    </w:pPr>
    <w:rPr>
      <w:rFonts w:ascii="Times New Roman" w:eastAsia="Times New Roman" w:hAnsi="Times New Roman" w:cs="Times New Roman"/>
      <w:sz w:val="24"/>
      <w:szCs w:val="24"/>
    </w:rPr>
  </w:style>
  <w:style w:type="character" w:customStyle="1" w:styleId="12BSecond-LevelListabcforcompletesentencesChar">
    <w:name w:val="12B Second-Level List a. b. c. (for complete sentences) Char"/>
    <w:link w:val="12BSecond-LevelListabcforcompletesentences"/>
    <w:rsid w:val="00845981"/>
    <w:rPr>
      <w:rFonts w:ascii="Times New Roman" w:eastAsia="Times New Roman" w:hAnsi="Times New Roman" w:cs="Times New Roman"/>
      <w:sz w:val="24"/>
      <w:szCs w:val="24"/>
    </w:rPr>
  </w:style>
  <w:style w:type="paragraph" w:customStyle="1" w:styleId="13AFirst-LevelBulletedList">
    <w:name w:val="13A First-Level Bulleted List"/>
    <w:basedOn w:val="Normal"/>
    <w:link w:val="13AFirst-LevelBulletedListChar"/>
    <w:qFormat/>
    <w:rsid w:val="00845981"/>
    <w:pPr>
      <w:spacing w:before="120" w:after="120" w:line="240" w:lineRule="auto"/>
      <w:ind w:left="1080" w:hanging="360"/>
    </w:pPr>
    <w:rPr>
      <w:rFonts w:ascii="Times New Roman" w:eastAsia="Times New Roman" w:hAnsi="Times New Roman" w:cs="Times New Roman"/>
      <w:sz w:val="24"/>
      <w:szCs w:val="24"/>
    </w:rPr>
  </w:style>
  <w:style w:type="character" w:customStyle="1" w:styleId="13AFirst-LevelBulletedListChar">
    <w:name w:val="13A First-Level Bulleted List Char"/>
    <w:link w:val="13AFirst-LevelBulletedList"/>
    <w:rsid w:val="00845981"/>
    <w:rPr>
      <w:rFonts w:ascii="Times New Roman" w:eastAsia="Times New Roman" w:hAnsi="Times New Roman" w:cs="Times New Roman"/>
      <w:sz w:val="24"/>
      <w:szCs w:val="24"/>
    </w:rPr>
  </w:style>
  <w:style w:type="paragraph" w:customStyle="1" w:styleId="13BSecond-LevelBulletedList">
    <w:name w:val="13B Second-Level Bulleted List"/>
    <w:basedOn w:val="Normal"/>
    <w:link w:val="13BSecond-LevelBulletedListChar"/>
    <w:qFormat/>
    <w:rsid w:val="00845981"/>
    <w:pPr>
      <w:spacing w:before="120" w:after="120" w:line="240" w:lineRule="auto"/>
    </w:pPr>
    <w:rPr>
      <w:rFonts w:ascii="Times New Roman" w:eastAsia="Times New Roman" w:hAnsi="Times New Roman" w:cs="Times New Roman"/>
      <w:sz w:val="24"/>
      <w:szCs w:val="24"/>
    </w:rPr>
  </w:style>
  <w:style w:type="character" w:customStyle="1" w:styleId="13BSecond-LevelBulletedListChar">
    <w:name w:val="13B Second-Level Bulleted List Char"/>
    <w:link w:val="13BSecond-LevelBulletedList"/>
    <w:rsid w:val="00845981"/>
    <w:rPr>
      <w:rFonts w:ascii="Times New Roman" w:eastAsia="Times New Roman" w:hAnsi="Times New Roman" w:cs="Times New Roman"/>
      <w:sz w:val="24"/>
      <w:szCs w:val="24"/>
    </w:rPr>
  </w:style>
  <w:style w:type="paragraph" w:customStyle="1" w:styleId="14Footnote">
    <w:name w:val="14 Footnote"/>
    <w:basedOn w:val="Normal"/>
    <w:qFormat/>
    <w:rsid w:val="004F241F"/>
    <w:pPr>
      <w:spacing w:after="120" w:line="240" w:lineRule="auto"/>
      <w:ind w:firstLine="720"/>
    </w:pPr>
    <w:rPr>
      <w:rFonts w:ascii="Times New Roman" w:eastAsia="Times New Roman" w:hAnsi="Times New Roman" w:cs="Times New Roman"/>
      <w:sz w:val="20"/>
      <w:szCs w:val="24"/>
    </w:rPr>
  </w:style>
  <w:style w:type="paragraph" w:customStyle="1" w:styleId="15AFootnoteBlockQuoteWithIndent">
    <w:name w:val="15A Footnote Block Quote With ¶ Indent"/>
    <w:basedOn w:val="Normal"/>
    <w:qFormat/>
    <w:rsid w:val="00845981"/>
    <w:pPr>
      <w:spacing w:before="120" w:after="120" w:line="240" w:lineRule="auto"/>
      <w:ind w:left="720" w:right="720" w:firstLine="360"/>
      <w:jc w:val="both"/>
    </w:pPr>
    <w:rPr>
      <w:rFonts w:ascii="Times New Roman" w:eastAsia="Times New Roman" w:hAnsi="Times New Roman" w:cs="Times New Roman"/>
      <w:sz w:val="20"/>
      <w:szCs w:val="24"/>
    </w:rPr>
  </w:style>
  <w:style w:type="paragraph" w:customStyle="1" w:styleId="15BFootnoteBlockQuoteWithoutIndent">
    <w:name w:val="15B Footnote Block Quote Without ¶ Indent"/>
    <w:basedOn w:val="Normal"/>
    <w:qFormat/>
    <w:rsid w:val="00845981"/>
    <w:pPr>
      <w:spacing w:before="120" w:after="120" w:line="240" w:lineRule="auto"/>
      <w:ind w:left="720" w:right="720"/>
    </w:pPr>
    <w:rPr>
      <w:rFonts w:ascii="Times New Roman" w:eastAsia="Times New Roman" w:hAnsi="Times New Roman" w:cs="Times New Roman"/>
      <w:sz w:val="20"/>
      <w:szCs w:val="24"/>
    </w:rPr>
  </w:style>
  <w:style w:type="paragraph" w:customStyle="1" w:styleId="16AFirst-LevelFootnoteList123forshortphrases">
    <w:name w:val="16A First-Level Footnote List (1) (2) (3) (for short phrases)"/>
    <w:basedOn w:val="Normal"/>
    <w:qFormat/>
    <w:rsid w:val="00845981"/>
    <w:pPr>
      <w:spacing w:before="120" w:after="120" w:line="240" w:lineRule="auto"/>
    </w:pPr>
    <w:rPr>
      <w:rFonts w:ascii="Times New Roman" w:eastAsia="Times New Roman" w:hAnsi="Times New Roman" w:cs="Times New Roman"/>
      <w:sz w:val="20"/>
      <w:szCs w:val="24"/>
    </w:rPr>
  </w:style>
  <w:style w:type="paragraph" w:customStyle="1" w:styleId="16BSecond-LevelFootnoteListabcforshortphrases">
    <w:name w:val="16B Second-Level Footnote List (a) (b) (c) (for short phrases)"/>
    <w:basedOn w:val="Normal"/>
    <w:qFormat/>
    <w:rsid w:val="00845981"/>
    <w:pPr>
      <w:spacing w:before="120" w:after="120" w:line="240" w:lineRule="auto"/>
    </w:pPr>
    <w:rPr>
      <w:rFonts w:ascii="Times New Roman" w:eastAsia="Times New Roman" w:hAnsi="Times New Roman" w:cs="Times New Roman"/>
      <w:sz w:val="20"/>
      <w:szCs w:val="20"/>
    </w:rPr>
  </w:style>
  <w:style w:type="paragraph" w:customStyle="1" w:styleId="17AFirst-LevelFootnoteList123forcompletesentences">
    <w:name w:val="17A First-Level Footnote List 1. 2. 3. (for complete sentences)"/>
    <w:basedOn w:val="Normal"/>
    <w:qFormat/>
    <w:rsid w:val="00845981"/>
    <w:pPr>
      <w:spacing w:before="120" w:after="120" w:line="240" w:lineRule="auto"/>
    </w:pPr>
    <w:rPr>
      <w:rFonts w:ascii="Times New Roman" w:eastAsia="Times New Roman" w:hAnsi="Times New Roman" w:cs="Times New Roman"/>
      <w:sz w:val="20"/>
      <w:szCs w:val="20"/>
    </w:rPr>
  </w:style>
  <w:style w:type="paragraph" w:customStyle="1" w:styleId="17BSecond-LevelFootnoteListabcforcompletesentences">
    <w:name w:val="17B Second-Level Footnote List a. b. c. (for complete sentences)"/>
    <w:basedOn w:val="Normal"/>
    <w:qFormat/>
    <w:rsid w:val="00845981"/>
    <w:pPr>
      <w:spacing w:before="120" w:after="120" w:line="240" w:lineRule="auto"/>
    </w:pPr>
    <w:rPr>
      <w:rFonts w:ascii="Times New Roman" w:eastAsia="Times New Roman" w:hAnsi="Times New Roman" w:cs="Times New Roman"/>
      <w:sz w:val="20"/>
      <w:szCs w:val="24"/>
    </w:rPr>
  </w:style>
  <w:style w:type="paragraph" w:customStyle="1" w:styleId="18AFirst-LevelFootnoteBulletedList">
    <w:name w:val="18A First-Level Footnote Bulleted List"/>
    <w:basedOn w:val="Normal"/>
    <w:qFormat/>
    <w:rsid w:val="004B216F"/>
    <w:pPr>
      <w:spacing w:before="120" w:after="120" w:line="240" w:lineRule="auto"/>
      <w:ind w:left="900" w:hanging="180"/>
    </w:pPr>
    <w:rPr>
      <w:rFonts w:ascii="Times New Roman" w:eastAsia="Times New Roman" w:hAnsi="Times New Roman" w:cs="Times New Roman"/>
      <w:sz w:val="20"/>
      <w:szCs w:val="24"/>
    </w:rPr>
  </w:style>
  <w:style w:type="paragraph" w:customStyle="1" w:styleId="18BSecond-LevelFootnoteBulletedList">
    <w:name w:val="18B Second-Level Footnote Bulleted List"/>
    <w:basedOn w:val="Normal"/>
    <w:qFormat/>
    <w:rsid w:val="00845981"/>
    <w:pPr>
      <w:spacing w:before="120" w:after="120" w:line="240" w:lineRule="auto"/>
    </w:pPr>
    <w:rPr>
      <w:rFonts w:ascii="Times New Roman" w:eastAsia="Times New Roman" w:hAnsi="Times New Roman" w:cs="Times New Roman"/>
      <w:sz w:val="20"/>
      <w:szCs w:val="24"/>
    </w:rPr>
  </w:style>
  <w:style w:type="paragraph" w:customStyle="1" w:styleId="19Table-Figure-ExhibitTitle">
    <w:name w:val="19 Table-Figure-Exhibit Title"/>
    <w:basedOn w:val="Normal"/>
    <w:qFormat/>
    <w:rsid w:val="00845981"/>
    <w:pPr>
      <w:spacing w:after="0" w:line="240" w:lineRule="auto"/>
      <w:jc w:val="center"/>
    </w:pPr>
    <w:rPr>
      <w:rFonts w:ascii="Times New Roman" w:eastAsia="Times New Roman" w:hAnsi="Times New Roman" w:cs="Times New Roman"/>
      <w:b/>
      <w:sz w:val="24"/>
      <w:szCs w:val="24"/>
    </w:rPr>
  </w:style>
  <w:style w:type="paragraph" w:styleId="Revision">
    <w:name w:val="Revision"/>
    <w:hidden/>
    <w:uiPriority w:val="99"/>
    <w:semiHidden/>
    <w:rsid w:val="00D90047"/>
    <w:pPr>
      <w:spacing w:after="0" w:line="240" w:lineRule="auto"/>
    </w:pPr>
    <w:rPr>
      <w:rFonts w:eastAsiaTheme="minorEastAsia"/>
    </w:rPr>
  </w:style>
  <w:style w:type="paragraph" w:styleId="NormalWeb">
    <w:name w:val="Normal (Web)"/>
    <w:basedOn w:val="Normal"/>
    <w:uiPriority w:val="99"/>
    <w:unhideWhenUsed/>
    <w:rsid w:val="00511F6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F2E83"/>
    <w:rPr>
      <w:i/>
      <w:iCs/>
    </w:rPr>
  </w:style>
  <w:style w:type="table" w:customStyle="1" w:styleId="a0">
    <w:name w:val="a0"/>
    <w:basedOn w:val="TableNormal"/>
    <w:tblPr>
      <w:tblStyleRowBandSize w:val="1"/>
      <w:tblStyleColBandSize w:val="1"/>
      <w:tblCellMar>
        <w:left w:w="0" w:type="dxa"/>
        <w:right w:w="0" w:type="dxa"/>
      </w:tblCellMar>
    </w:tblPr>
  </w:style>
  <w:style w:type="table" w:customStyle="1" w:styleId="a1">
    <w:name w:val="a1"/>
    <w:basedOn w:val="TableNormal"/>
    <w:tblPr>
      <w:tblStyleRowBandSize w:val="1"/>
      <w:tblStyleColBandSize w:val="1"/>
      <w:tblCellMar>
        <w:left w:w="0" w:type="dxa"/>
        <w:right w:w="0" w:type="dxa"/>
      </w:tblCellMar>
    </w:tblPr>
  </w:style>
  <w:style w:type="table" w:customStyle="1" w:styleId="a2">
    <w:name w:val="a2"/>
    <w:basedOn w:val="TableNormal"/>
    <w:tblPr>
      <w:tblStyleRowBandSize w:val="1"/>
      <w:tblStyleColBandSize w:val="1"/>
      <w:tblCellMar>
        <w:left w:w="0" w:type="dxa"/>
        <w:right w:w="0" w:type="dxa"/>
      </w:tblCellMar>
    </w:tblPr>
  </w:style>
  <w:style w:type="paragraph" w:customStyle="1" w:styleId="DocID">
    <w:name w:val="DocID"/>
    <w:basedOn w:val="Footer"/>
    <w:next w:val="Footer"/>
    <w:link w:val="DocIDChar"/>
    <w:rsid w:val="004942C7"/>
    <w:pPr>
      <w:pBdr>
        <w:between w:val="nil"/>
      </w:pBdr>
      <w:tabs>
        <w:tab w:val="clear" w:pos="4680"/>
        <w:tab w:val="clear" w:pos="9360"/>
      </w:tabs>
    </w:pPr>
    <w:rPr>
      <w:rFonts w:ascii="Times New Roman" w:eastAsia="Times New Roman" w:hAnsi="Times New Roman" w:cs="Times New Roman"/>
      <w:sz w:val="18"/>
      <w:szCs w:val="20"/>
    </w:rPr>
  </w:style>
  <w:style w:type="character" w:customStyle="1" w:styleId="DocIDChar">
    <w:name w:val="DocID Char"/>
    <w:basedOn w:val="DefaultParagraphFont"/>
    <w:link w:val="DocID"/>
    <w:rsid w:val="004942C7"/>
    <w:rPr>
      <w:rFonts w:ascii="Times New Roman" w:eastAsia="Times New Roman" w:hAnsi="Times New Roman" w:cs="Times New Roman"/>
      <w:sz w:val="18"/>
      <w:szCs w:val="20"/>
      <w:lang w:val="en-US" w:eastAsia="en-US"/>
    </w:rPr>
  </w:style>
  <w:style w:type="character" w:styleId="Hyperlink">
    <w:name w:val="Hyperlink"/>
    <w:basedOn w:val="DefaultParagraphFont"/>
    <w:uiPriority w:val="99"/>
    <w:unhideWhenUsed/>
    <w:rsid w:val="00985043"/>
    <w:rPr>
      <w:color w:val="0563C1" w:themeColor="hyperlink"/>
      <w:u w:val="single"/>
    </w:rPr>
  </w:style>
  <w:style w:type="character" w:styleId="UnresolvedMention">
    <w:name w:val="Unresolved Mention"/>
    <w:basedOn w:val="DefaultParagraphFont"/>
    <w:uiPriority w:val="99"/>
    <w:rsid w:val="00985043"/>
    <w:rPr>
      <w:color w:val="605E5C"/>
      <w:shd w:val="clear" w:color="auto" w:fill="E1DFDD"/>
    </w:rPr>
  </w:style>
  <w:style w:type="character" w:styleId="FollowedHyperlink">
    <w:name w:val="FollowedHyperlink"/>
    <w:basedOn w:val="DefaultParagraphFont"/>
    <w:uiPriority w:val="99"/>
    <w:semiHidden/>
    <w:unhideWhenUsed/>
    <w:rsid w:val="00985043"/>
    <w:rPr>
      <w:color w:val="954F72" w:themeColor="followedHyperlink"/>
      <w:u w:val="single"/>
    </w:rPr>
  </w:style>
  <w:style w:type="table" w:customStyle="1" w:styleId="a3">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749591">
      <w:bodyDiv w:val="1"/>
      <w:marLeft w:val="0"/>
      <w:marRight w:val="0"/>
      <w:marTop w:val="0"/>
      <w:marBottom w:val="0"/>
      <w:divBdr>
        <w:top w:val="none" w:sz="0" w:space="0" w:color="auto"/>
        <w:left w:val="none" w:sz="0" w:space="0" w:color="auto"/>
        <w:bottom w:val="none" w:sz="0" w:space="0" w:color="auto"/>
        <w:right w:val="none" w:sz="0" w:space="0" w:color="auto"/>
      </w:divBdr>
      <w:divsChild>
        <w:div w:id="607008605">
          <w:marLeft w:val="0"/>
          <w:marRight w:val="0"/>
          <w:marTop w:val="0"/>
          <w:marBottom w:val="0"/>
          <w:divBdr>
            <w:top w:val="none" w:sz="0" w:space="0" w:color="auto"/>
            <w:left w:val="none" w:sz="0" w:space="0" w:color="auto"/>
            <w:bottom w:val="none" w:sz="0" w:space="0" w:color="auto"/>
            <w:right w:val="none" w:sz="0" w:space="0" w:color="auto"/>
          </w:divBdr>
          <w:divsChild>
            <w:div w:id="2068648952">
              <w:marLeft w:val="0"/>
              <w:marRight w:val="0"/>
              <w:marTop w:val="0"/>
              <w:marBottom w:val="0"/>
              <w:divBdr>
                <w:top w:val="none" w:sz="0" w:space="0" w:color="auto"/>
                <w:left w:val="none" w:sz="0" w:space="0" w:color="auto"/>
                <w:bottom w:val="none" w:sz="0" w:space="0" w:color="auto"/>
                <w:right w:val="none" w:sz="0" w:space="0" w:color="auto"/>
              </w:divBdr>
              <w:divsChild>
                <w:div w:id="410352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8366809">
      <w:bodyDiv w:val="1"/>
      <w:marLeft w:val="0"/>
      <w:marRight w:val="0"/>
      <w:marTop w:val="0"/>
      <w:marBottom w:val="0"/>
      <w:divBdr>
        <w:top w:val="none" w:sz="0" w:space="0" w:color="auto"/>
        <w:left w:val="none" w:sz="0" w:space="0" w:color="auto"/>
        <w:bottom w:val="none" w:sz="0" w:space="0" w:color="auto"/>
        <w:right w:val="none" w:sz="0" w:space="0" w:color="auto"/>
      </w:divBdr>
      <w:divsChild>
        <w:div w:id="1226532588">
          <w:marLeft w:val="0"/>
          <w:marRight w:val="0"/>
          <w:marTop w:val="0"/>
          <w:marBottom w:val="0"/>
          <w:divBdr>
            <w:top w:val="none" w:sz="0" w:space="0" w:color="auto"/>
            <w:left w:val="none" w:sz="0" w:space="0" w:color="auto"/>
            <w:bottom w:val="none" w:sz="0" w:space="0" w:color="auto"/>
            <w:right w:val="none" w:sz="0" w:space="0" w:color="auto"/>
          </w:divBdr>
          <w:divsChild>
            <w:div w:id="1540311851">
              <w:marLeft w:val="0"/>
              <w:marRight w:val="0"/>
              <w:marTop w:val="0"/>
              <w:marBottom w:val="0"/>
              <w:divBdr>
                <w:top w:val="none" w:sz="0" w:space="0" w:color="auto"/>
                <w:left w:val="none" w:sz="0" w:space="0" w:color="auto"/>
                <w:bottom w:val="none" w:sz="0" w:space="0" w:color="auto"/>
                <w:right w:val="none" w:sz="0" w:space="0" w:color="auto"/>
              </w:divBdr>
              <w:divsChild>
                <w:div w:id="212418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934759">
      <w:bodyDiv w:val="1"/>
      <w:marLeft w:val="0"/>
      <w:marRight w:val="0"/>
      <w:marTop w:val="0"/>
      <w:marBottom w:val="0"/>
      <w:divBdr>
        <w:top w:val="none" w:sz="0" w:space="0" w:color="auto"/>
        <w:left w:val="none" w:sz="0" w:space="0" w:color="auto"/>
        <w:bottom w:val="none" w:sz="0" w:space="0" w:color="auto"/>
        <w:right w:val="none" w:sz="0" w:space="0" w:color="auto"/>
      </w:divBdr>
      <w:divsChild>
        <w:div w:id="404769254">
          <w:marLeft w:val="0"/>
          <w:marRight w:val="0"/>
          <w:marTop w:val="0"/>
          <w:marBottom w:val="0"/>
          <w:divBdr>
            <w:top w:val="none" w:sz="0" w:space="0" w:color="auto"/>
            <w:left w:val="none" w:sz="0" w:space="0" w:color="auto"/>
            <w:bottom w:val="none" w:sz="0" w:space="0" w:color="auto"/>
            <w:right w:val="none" w:sz="0" w:space="0" w:color="auto"/>
          </w:divBdr>
          <w:divsChild>
            <w:div w:id="1370645775">
              <w:marLeft w:val="0"/>
              <w:marRight w:val="0"/>
              <w:marTop w:val="0"/>
              <w:marBottom w:val="0"/>
              <w:divBdr>
                <w:top w:val="none" w:sz="0" w:space="0" w:color="auto"/>
                <w:left w:val="none" w:sz="0" w:space="0" w:color="auto"/>
                <w:bottom w:val="none" w:sz="0" w:space="0" w:color="auto"/>
                <w:right w:val="none" w:sz="0" w:space="0" w:color="auto"/>
              </w:divBdr>
              <w:divsChild>
                <w:div w:id="50417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9960a99f-e9e2-45ee-ac4b-050a120c791d">
      <Terms xmlns="http://schemas.microsoft.com/office/infopath/2007/PartnerControls"/>
    </lcf76f155ced4ddcb4097134ff3c332f>
    <TaxCatchAll xmlns="15bb1560-9cca-4eb2-8289-4043f38e2e1a"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3080E6161B02D488737AB0EF896D3F2" ma:contentTypeVersion="19" ma:contentTypeDescription="Create a new document." ma:contentTypeScope="" ma:versionID="52cd7f6d132be6b5bc01c66df08000fe">
  <xsd:schema xmlns:xsd="http://www.w3.org/2001/XMLSchema" xmlns:xs="http://www.w3.org/2001/XMLSchema" xmlns:p="http://schemas.microsoft.com/office/2006/metadata/properties" xmlns:ns1="http://schemas.microsoft.com/sharepoint/v3" xmlns:ns2="15bb1560-9cca-4eb2-8289-4043f38e2e1a" xmlns:ns3="9960a99f-e9e2-45ee-ac4b-050a120c791d" targetNamespace="http://schemas.microsoft.com/office/2006/metadata/properties" ma:root="true" ma:fieldsID="e0ecdb1e87aea85ae87abe66d75f9b4f" ns1:_="" ns2:_="" ns3:_="">
    <xsd:import namespace="http://schemas.microsoft.com/sharepoint/v3"/>
    <xsd:import namespace="15bb1560-9cca-4eb2-8289-4043f38e2e1a"/>
    <xsd:import namespace="9960a99f-e9e2-45ee-ac4b-050a120c791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Location" minOccurs="0"/>
                <xsd:element ref="ns1:_ip_UnifiedCompliancePolicyProperties" minOccurs="0"/>
                <xsd:element ref="ns1:_ip_UnifiedCompliancePolicyUIAc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b1560-9cca-4eb2-8289-4043f38e2e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6ca996-ae3f-4819-abf0-bb45b28ae2f2}" ma:internalName="TaxCatchAll" ma:showField="CatchAllData" ma:web="15bb1560-9cca-4eb2-8289-4043f38e2e1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60a99f-e9e2-45ee-ac4b-050a120c791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6f3d206-2968-46ac-ad56-95a95c2927a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32D86DE-C088-4F15-B640-D5EB03D0454B}">
  <ds:schemaRefs>
    <ds:schemaRef ds:uri="http://schemas.microsoft.com/sharepoint/v3/contenttype/forms"/>
  </ds:schemaRefs>
</ds:datastoreItem>
</file>

<file path=customXml/itemProps2.xml><?xml version="1.0" encoding="utf-8"?>
<ds:datastoreItem xmlns:ds="http://schemas.openxmlformats.org/officeDocument/2006/customXml" ds:itemID="{C04A7B2C-26F8-4800-AB40-E43B71724AEE}">
  <ds:schemaRefs>
    <ds:schemaRef ds:uri="http://schemas.microsoft.com/office/2006/metadata/properties"/>
    <ds:schemaRef ds:uri="http://schemas.microsoft.com/office/infopath/2007/PartnerControls"/>
    <ds:schemaRef ds:uri="http://schemas.microsoft.com/sharepoint/v3"/>
    <ds:schemaRef ds:uri="9960a99f-e9e2-45ee-ac4b-050a120c791d"/>
    <ds:schemaRef ds:uri="15bb1560-9cca-4eb2-8289-4043f38e2e1a"/>
  </ds:schemaRefs>
</ds:datastoreItem>
</file>

<file path=customXml/itemProps3.xml><?xml version="1.0" encoding="utf-8"?>
<ds:datastoreItem xmlns:ds="http://schemas.openxmlformats.org/officeDocument/2006/customXml" ds:itemID="{BA88C5EE-0EEA-4BF8-9AE7-044B7D4962F1}">
  <ds:schemaRefs>
    <ds:schemaRef ds:uri="http://schemas.openxmlformats.org/officeDocument/2006/bibliography"/>
  </ds:schemaRefs>
</ds:datastoreItem>
</file>

<file path=customXml/itemProps4.xml><?xml version="1.0" encoding="utf-8"?>
<ds:datastoreItem xmlns:ds="http://schemas.openxmlformats.org/officeDocument/2006/customXml" ds:itemID="{E25EFDBB-F1D6-4426-935A-F32088420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bb1560-9cca-4eb2-8289-4043f38e2e1a"/>
    <ds:schemaRef ds:uri="9960a99f-e9e2-45ee-ac4b-050a120c79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2</TotalTime>
  <Pages>164</Pages>
  <Words>50274</Words>
  <Characters>286564</Characters>
  <Application>Microsoft Office Word</Application>
  <DocSecurity>0</DocSecurity>
  <Lines>2388</Lines>
  <Paragraphs>672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336166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Kline, Elizabeth</dc:creator>
  <cp:lastModifiedBy>Kline, Elizabeth</cp:lastModifiedBy>
  <cp:revision>2</cp:revision>
  <dcterms:created xsi:type="dcterms:W3CDTF">2025-03-18T19:14:00Z</dcterms:created>
  <dcterms:modified xsi:type="dcterms:W3CDTF">2025-03-18T19:14:00Z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86616f-5bb4-45d1-b9c4-7a19bded0f1d_Enabled">
    <vt:lpwstr>true</vt:lpwstr>
  </property>
  <property fmtid="{D5CDD505-2E9C-101B-9397-08002B2CF9AE}" pid="3" name="MSIP_Label_f786616f-5bb4-45d1-b9c4-7a19bded0f1d_SetDate">
    <vt:lpwstr>2023-10-16T16:02:56Z</vt:lpwstr>
  </property>
  <property fmtid="{D5CDD505-2E9C-101B-9397-08002B2CF9AE}" pid="4" name="MSIP_Label_f786616f-5bb4-45d1-b9c4-7a19bded0f1d_Method">
    <vt:lpwstr>Standard</vt:lpwstr>
  </property>
  <property fmtid="{D5CDD505-2E9C-101B-9397-08002B2CF9AE}" pid="5" name="MSIP_Label_f786616f-5bb4-45d1-b9c4-7a19bded0f1d_Name">
    <vt:lpwstr>Public</vt:lpwstr>
  </property>
  <property fmtid="{D5CDD505-2E9C-101B-9397-08002B2CF9AE}" pid="6" name="MSIP_Label_f786616f-5bb4-45d1-b9c4-7a19bded0f1d_SiteId">
    <vt:lpwstr>97be21fd-c601-4b16-9920-f5accc69da65</vt:lpwstr>
  </property>
  <property fmtid="{D5CDD505-2E9C-101B-9397-08002B2CF9AE}" pid="7" name="MSIP_Label_f786616f-5bb4-45d1-b9c4-7a19bded0f1d_ActionId">
    <vt:lpwstr>c3842554-b9c4-44be-b62c-e290bfb7e661</vt:lpwstr>
  </property>
  <property fmtid="{D5CDD505-2E9C-101B-9397-08002B2CF9AE}" pid="8" name="MSIP_Label_f786616f-5bb4-45d1-b9c4-7a19bded0f1d_ContentBits">
    <vt:lpwstr>0</vt:lpwstr>
  </property>
  <property fmtid="{D5CDD505-2E9C-101B-9397-08002B2CF9AE}" pid="9" name="ContentTypeId">
    <vt:lpwstr>0x010100B3080E6161B02D488737AB0EF896D3F2</vt:lpwstr>
  </property>
  <property fmtid="{D5CDD505-2E9C-101B-9397-08002B2CF9AE}" pid="10" name="MediaServiceImageTags">
    <vt:lpwstr/>
  </property>
</Properties>
</file>