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ACAC" w14:textId="77777777" w:rsidR="00254F5D" w:rsidRDefault="00254F5D" w:rsidP="00254F5D">
      <w:pPr>
        <w:pStyle w:val="BDocStart"/>
      </w:pPr>
      <w:sdt>
        <w:sdtPr>
          <w:tag w:val="unit.start.head"/>
          <w:id w:val="391164460"/>
          <w:lock w:val="sdtLocked"/>
          <w:placeholder>
            <w:docPart w:val="AC46FB34C25844C8A520264270F2AA51"/>
          </w:placeholder>
          <w15:appearance w15:val="hidden"/>
        </w:sdtPr>
        <w:sdtContent>
          <w:proofErr w:type="spellStart"/>
          <w:r>
            <w:t>Unit.Start</w:t>
          </w:r>
          <w:proofErr w:type="spellEnd"/>
        </w:sdtContent>
      </w:sdt>
    </w:p>
    <w:sdt>
      <w:sdtPr>
        <w:rPr>
          <w:rStyle w:val="BContentControl"/>
        </w:rPr>
        <w:alias w:val="unit.start"/>
        <w:tag w:val="Unit1"/>
        <w:id w:val="-584837888"/>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4AFA35F3" w14:textId="77777777" w:rsidR="00254F5D" w:rsidRDefault="00254F5D" w:rsidP="00254F5D">
          <w:pPr>
            <w:pStyle w:val="BNormal"/>
          </w:pPr>
          <w:sdt>
            <w:sdtPr>
              <w:rPr>
                <w:rStyle w:val="BContentControl"/>
              </w:rPr>
              <w:alias w:val="banner.name"/>
              <w:tag w:val="banner.name"/>
              <w:id w:val="1461466577"/>
              <w:lock w:val="sdtLocked"/>
              <w:placeholder>
                <w:docPart w:val="D5D772CFC92E486D9655489D073A1789"/>
              </w:placeholder>
              <w:dataBinding w:prefixMappings="xmlns:ns0='http://www.bna.com/gateway/unit.start' " w:xpath="/ns0:document[1]/ns0:unit.start[1]/@banner.name" w:storeItemID="{1068E49B-A83E-4610-8D8B-980E695035F0}"/>
              <w15:appearance w15:val="tags"/>
              <w:text/>
            </w:sdtPr>
            <w:sdtContent>
              <w:r w:rsidRPr="00254F5D">
                <w:rPr>
                  <w:rStyle w:val="BContentControl"/>
                </w:rPr>
                <w:t>enter text</w:t>
              </w:r>
            </w:sdtContent>
          </w:sdt>
          <w:sdt>
            <w:sdtPr>
              <w:rPr>
                <w:rStyle w:val="BContentControl"/>
              </w:rPr>
              <w:alias w:val="bna.id.prefix"/>
              <w:tag w:val="bna.id.prefix"/>
              <w:id w:val="244462549"/>
              <w:lock w:val="sdtLocked"/>
              <w:placeholder>
                <w:docPart w:val="B8A04838451540D2B137CBCE62C0D35E"/>
              </w:placeholder>
              <w:dataBinding w:prefixMappings="xmlns:ns0='http://www.bna.com/gateway/unit.start' " w:xpath="/ns0:document[1]/ns0:unit.start[1]/@bna.id.prefix" w:storeItemID="{1068E49B-A83E-4610-8D8B-980E695035F0}"/>
              <w15:appearance w15:val="tags"/>
              <w:text/>
            </w:sdtPr>
            <w:sdtContent>
              <w:r w:rsidRPr="00254F5D">
                <w:rPr>
                  <w:rStyle w:val="BContentControl"/>
                </w:rPr>
                <w:t>537</w:t>
              </w:r>
            </w:sdtContent>
          </w:sdt>
          <w:r w:rsidRPr="00254F5D">
            <w:rPr>
              <w:rStyle w:val="BContentControl"/>
            </w:rPr>
            <w:t xml:space="preserve"> </w:t>
          </w:r>
          <w:sdt>
            <w:sdtPr>
              <w:rPr>
                <w:rStyle w:val="BContentControl"/>
              </w:rPr>
              <w:alias w:val="class.code*"/>
              <w:tag w:val="class.code"/>
              <w:id w:val="-1595015782"/>
              <w:lock w:val="sdtLocked"/>
              <w:placeholder>
                <w:docPart w:val="6ED0657C5A3D48E0A4142C8375CF0739"/>
              </w:placeholder>
              <w:dataBinding w:prefixMappings="xmlns:ns0='http://www.bna.com/gateway/unit.start' " w:xpath="/ns0:document[1]/ns0:unit.start[1]/@class.code" w:storeItemID="{1068E49B-A83E-4610-8D8B-980E695035F0}"/>
              <w15:appearance w15:val="tags"/>
              <w:text/>
            </w:sdtPr>
            <w:sdtContent>
              <w:r w:rsidRPr="00254F5D">
                <w:rPr>
                  <w:rStyle w:val="BContentControl"/>
                </w:rPr>
                <w:t>A</w:t>
              </w:r>
            </w:sdtContent>
          </w:sdt>
          <w:r w:rsidRPr="00254F5D">
            <w:rPr>
              <w:rStyle w:val="BContentControl"/>
            </w:rPr>
            <w:t xml:space="preserve"> </w:t>
          </w:r>
          <w:sdt>
            <w:sdtPr>
              <w:rPr>
                <w:rStyle w:val="BContentControl"/>
              </w:rPr>
              <w:alias w:val="class.name*"/>
              <w:tag w:val="class.name"/>
              <w:id w:val="441883597"/>
              <w:lock w:val="sdtLocked"/>
              <w:placeholder>
                <w:docPart w:val="0D6F204A87D64DAF8E43FE90779E0B02"/>
              </w:placeholder>
              <w:dataBinding w:prefixMappings="xmlns:ns0='http://www.bna.com/gateway/unit.start' " w:xpath="/ns0:document[1]/ns0:unit.start[1]/@class.name" w:storeItemID="{1068E49B-A83E-4610-8D8B-980E695035F0}"/>
              <w15:appearance w15:val="tags"/>
              <w:text/>
            </w:sdtPr>
            <w:sdtContent>
              <w:r w:rsidRPr="00254F5D">
                <w:rPr>
                  <w:rStyle w:val="BContentControl"/>
                </w:rPr>
                <w:t>Detailed Analysis</w:t>
              </w:r>
            </w:sdtContent>
          </w:sdt>
          <w:r w:rsidRPr="00254F5D">
            <w:rPr>
              <w:rStyle w:val="BContentControl"/>
            </w:rPr>
            <w:t xml:space="preserve"> </w:t>
          </w:r>
          <w:sdt>
            <w:sdtPr>
              <w:rPr>
                <w:rStyle w:val="BContentControl"/>
              </w:rPr>
              <w:alias w:val="copyright.owner"/>
              <w:tag w:val="copyright.owner"/>
              <w:id w:val="915128221"/>
              <w:lock w:val="sdtLocked"/>
              <w:placeholder>
                <w:docPart w:val="FB6793E152FA438BB9A5B469D53128B5"/>
              </w:placeholder>
              <w:dataBinding w:prefixMappings="xmlns:ns0='http://www.bna.com/gateway/unit.start' " w:xpath="/ns0:document[1]/ns0:unit.start[1]/@copyright.owner" w:storeItemID="{1068E49B-A83E-4610-8D8B-980E695035F0}"/>
              <w15:appearance w15:val="tags"/>
              <w:text/>
            </w:sdtPr>
            <w:sdtContent>
              <w:r w:rsidRPr="00254F5D">
                <w:rPr>
                  <w:rStyle w:val="BContentControl"/>
                </w:rPr>
                <w:t>Tax Management Inc.</w:t>
              </w:r>
            </w:sdtContent>
          </w:sdt>
          <w:r w:rsidRPr="00254F5D">
            <w:rPr>
              <w:rStyle w:val="BContentControl"/>
            </w:rPr>
            <w:t xml:space="preserve"> </w:t>
          </w:r>
          <w:sdt>
            <w:sdtPr>
              <w:rPr>
                <w:rStyle w:val="BContentControl"/>
              </w:rPr>
              <w:alias w:val="folio"/>
              <w:tag w:val="folio"/>
              <w:id w:val="-997566935"/>
              <w:lock w:val="sdtLocked"/>
              <w:placeholder>
                <w:docPart w:val="9BBFF04730AF4B328D27C6DEE616DAB9"/>
              </w:placeholder>
              <w:dataBinding w:prefixMappings="xmlns:ns0='http://www.bna.com/gateway/unit.start' " w:xpath="/ns0:document[1]/ns0:unit.start[1]/@folio" w:storeItemID="{1068E49B-A83E-4610-8D8B-980E695035F0}"/>
              <w15:appearance w15:val="tags"/>
              <w:text/>
            </w:sdtPr>
            <w:sdtContent>
              <w:r w:rsidRPr="00254F5D">
                <w:rPr>
                  <w:rStyle w:val="BContentControl"/>
                </w:rPr>
                <w:t>5</w:t>
              </w:r>
            </w:sdtContent>
          </w:sdt>
          <w:r w:rsidRPr="00254F5D">
            <w:rPr>
              <w:rStyle w:val="BContentControl"/>
            </w:rPr>
            <w:t xml:space="preserve"> </w:t>
          </w:r>
          <w:sdt>
            <w:sdtPr>
              <w:rPr>
                <w:rStyle w:val="BContentControl"/>
              </w:rPr>
              <w:alias w:val="part.name"/>
              <w:tag w:val="part.name"/>
              <w:id w:val="-1661157180"/>
              <w:lock w:val="sdtLocked"/>
              <w:placeholder>
                <w:docPart w:val="45631CCFCAA4422B8AD6A345B396C5F6"/>
              </w:placeholder>
              <w:dataBinding w:prefixMappings="xmlns:ns0='http://www.bna.com/gateway/unit.start' " w:xpath="/ns0:document[1]/ns0:unit.start[1]/@part.name" w:storeItemID="{1068E49B-A83E-4610-8D8B-980E695035F0}"/>
              <w15:appearance w15:val="tags"/>
              <w:text/>
            </w:sdtPr>
            <w:sdtContent>
              <w:r w:rsidRPr="00254F5D">
                <w:rPr>
                  <w:rStyle w:val="BContentControl"/>
                </w:rPr>
                <w:t>enter text</w:t>
              </w:r>
            </w:sdtContent>
          </w:sdt>
          <w:r w:rsidRPr="00254F5D">
            <w:rPr>
              <w:rStyle w:val="BContentControl"/>
            </w:rPr>
            <w:t xml:space="preserve"> </w:t>
          </w:r>
          <w:sdt>
            <w:sdtPr>
              <w:rPr>
                <w:rStyle w:val="BContentControl"/>
              </w:rPr>
              <w:alias w:val="part.num"/>
              <w:tag w:val="part.num"/>
              <w:id w:val="-38216769"/>
              <w:lock w:val="sdtLocked"/>
              <w:placeholder>
                <w:docPart w:val="3FBAE1437ADD4697AFC9717365EC869E"/>
              </w:placeholder>
              <w:dataBinding w:prefixMappings="xmlns:ns0='http://www.bna.com/gateway/unit.start' " w:xpath="/ns0:document[1]/ns0:unit.start[1]/@part.num" w:storeItemID="{1068E49B-A83E-4610-8D8B-980E695035F0}"/>
              <w15:appearance w15:val="tags"/>
              <w:text/>
            </w:sdtPr>
            <w:sdtContent>
              <w:r w:rsidRPr="00254F5D">
                <w:rPr>
                  <w:rStyle w:val="BContentControl"/>
                </w:rPr>
                <w:t>enter text</w:t>
              </w:r>
            </w:sdtContent>
          </w:sdt>
          <w:r w:rsidRPr="00254F5D">
            <w:rPr>
              <w:rStyle w:val="BContentControl"/>
            </w:rPr>
            <w:t xml:space="preserve"> </w:t>
          </w:r>
          <w:sdt>
            <w:sdtPr>
              <w:rPr>
                <w:rStyle w:val="BContentControl"/>
              </w:rPr>
              <w:alias w:val="pdm.name"/>
              <w:tag w:val="pdm.name"/>
              <w:id w:val="-1447615175"/>
              <w:lock w:val="sdtLocked"/>
              <w:placeholder>
                <w:docPart w:val="C9B7C0F4588E4D998D743778C467D250"/>
              </w:placeholder>
              <w:dataBinding w:prefixMappings="xmlns:ns0='http://www.bna.com/gateway/unit.start' " w:xpath="/ns0:document[1]/ns0:unit.start[1]/@pdm.name" w:storeItemID="{1068E49B-A83E-4610-8D8B-980E695035F0}"/>
              <w15:appearance w15:val="tags"/>
              <w:text/>
            </w:sdtPr>
            <w:sdtContent>
              <w:r w:rsidRPr="00254F5D">
                <w:rPr>
                  <w:rStyle w:val="BContentControl"/>
                </w:rPr>
                <w:t>DA</w:t>
              </w:r>
            </w:sdtContent>
          </w:sdt>
          <w:r w:rsidRPr="00254F5D">
            <w:rPr>
              <w:rStyle w:val="BContentControl"/>
            </w:rPr>
            <w:t xml:space="preserve"> </w:t>
          </w:r>
          <w:sdt>
            <w:sdtPr>
              <w:rPr>
                <w:rStyle w:val="BContentControl"/>
              </w:rPr>
              <w:alias w:val="portfolio.classification"/>
              <w:tag w:val="portfolio.classification"/>
              <w:id w:val="1938708636"/>
              <w:lock w:val="sdtLocked"/>
              <w:placeholder>
                <w:docPart w:val="9ED59B69FBD648E58228C7CAD70A7744"/>
              </w:placeholder>
              <w:dataBinding w:prefixMappings="xmlns:ns0='http://www.bna.com/gateway/unit.start' " w:xpath="/ns0:document[1]/ns0:unit.start[1]/@portfolio.classification" w:storeItemID="{1068E49B-A83E-4610-8D8B-980E695035F0}"/>
              <w15:appearance w15:val="tags"/>
              <w:text/>
            </w:sdtPr>
            <w:sdtContent>
              <w:r w:rsidRPr="00254F5D">
                <w:rPr>
                  <w:rStyle w:val="BContentControl"/>
                </w:rPr>
                <w:t>id</w:t>
              </w:r>
            </w:sdtContent>
          </w:sdt>
          <w:r w:rsidRPr="00254F5D">
            <w:rPr>
              <w:rStyle w:val="BContentControl"/>
            </w:rPr>
            <w:t xml:space="preserve"> </w:t>
          </w:r>
          <w:sdt>
            <w:sdtPr>
              <w:rPr>
                <w:rStyle w:val="BContentControl"/>
              </w:rPr>
              <w:alias w:val="portfolio.name"/>
              <w:tag w:val="portfolio.name"/>
              <w:id w:val="1672524589"/>
              <w:lock w:val="sdtLocked"/>
              <w:placeholder>
                <w:docPart w:val="486613AC78D34BBA80624C9E31A5A6C0"/>
              </w:placeholder>
              <w:dataBinding w:prefixMappings="xmlns:ns0='http://www.bna.com/gateway/unit.start' " w:xpath="/ns0:document[1]/ns0:unit.start[1]/@portfolio.name" w:storeItemID="{1068E49B-A83E-4610-8D8B-980E695035F0}"/>
              <w15:appearance w15:val="tags"/>
              <w:text/>
            </w:sdtPr>
            <w:sdtContent>
              <w:r w:rsidRPr="00254F5D">
                <w:rPr>
                  <w:rStyle w:val="BContentControl"/>
                </w:rPr>
                <w:t>Qualified Business Income Deduction: Section 199A</w:t>
              </w:r>
            </w:sdtContent>
          </w:sdt>
          <w:r w:rsidRPr="00254F5D">
            <w:rPr>
              <w:rStyle w:val="BContentControl"/>
            </w:rPr>
            <w:t xml:space="preserve"> </w:t>
          </w:r>
          <w:sdt>
            <w:sdtPr>
              <w:rPr>
                <w:rStyle w:val="BContentControl"/>
              </w:rPr>
              <w:alias w:val="publication.num*"/>
              <w:tag w:val="publication.num"/>
              <w:id w:val="-301458851"/>
              <w:lock w:val="sdtLocked"/>
              <w:placeholder>
                <w:docPart w:val="663AD5F007EA4B6489F441F00F3221BC"/>
              </w:placeholder>
              <w:dataBinding w:prefixMappings="xmlns:ns0='http://www.bna.com/gateway/unit.start' " w:xpath="/ns0:document[1]/ns0:unit.start[1]/@publication.num" w:storeItemID="{1068E49B-A83E-4610-8D8B-980E695035F0}"/>
              <w15:appearance w15:val="tags"/>
              <w:text/>
            </w:sdtPr>
            <w:sdtContent>
              <w:r w:rsidRPr="00254F5D">
                <w:rPr>
                  <w:rStyle w:val="BContentControl"/>
                </w:rPr>
                <w:t>537-1st</w:t>
              </w:r>
            </w:sdtContent>
          </w:sdt>
          <w:r w:rsidRPr="00254F5D">
            <w:rPr>
              <w:rStyle w:val="BContentControl"/>
            </w:rPr>
            <w:t xml:space="preserve"> </w:t>
          </w:r>
          <w:sdt>
            <w:sdtPr>
              <w:rPr>
                <w:rStyle w:val="BContentControl"/>
              </w:rPr>
              <w:alias w:val="service.code*"/>
              <w:tag w:val="mUnit1"/>
              <w:id w:val="1725483519"/>
              <w:lock w:val="sdtLocked"/>
              <w:placeholder>
                <w:docPart w:val="D05C97F61FDA4105823EB6AA8757F14C"/>
              </w:placeholder>
              <w:dataBinding w:prefixMappings="xmlns:ns0='http://www.bna.com/gateway/unit.start' " w:xpath="/ns0:document[1]/ns0:unit.start[1]/@service.code" w:storeItemID="{1068E49B-A83E-4610-8D8B-980E695035F0}"/>
              <w15:appearance w15:val="tags"/>
              <w:dropDownList w:lastValue="tmus-por">
                <w:listItem w:displayText="appe-por" w:value="appe-por"/>
                <w:listItem w:displayText="appi-por" w:value="appi-por"/>
                <w:listItem w:displayText="apps-por" w:value="apps-por"/>
                <w:listItem w:displayText="bps-por" w:value="bps-por"/>
                <w:listItem w:displayText="bna-por" w:value="bna-por"/>
                <w:listItem w:displayText="ccl-por" w:value="ccl-por"/>
                <w:listItem w:displayText="cgm-por" w:value="cgm-por"/>
                <w:listItem w:displayText="cps-por" w:value="cps-por"/>
                <w:listItem w:displayText="cpssp-por" w:value="cpssp-por"/>
                <w:listItem w:displayText="edis-por" w:value="edis-por"/>
                <w:listItem w:displayText="egt-por" w:value="egt-por"/>
                <w:listItem w:displayText="fip-por" w:value="fip-por"/>
                <w:listItem w:displayText="hlbs-por" w:value="hlbs-por"/>
                <w:listItem w:displayText="ipa-por" w:value="ipa-por"/>
                <w:listItem w:displayText="lps-por" w:value="lps-por"/>
                <w:listItem w:displayText="pro2-por" w:value="pro2-por"/>
                <w:listItem w:displayText="pvl-por" w:value="pvl-por"/>
                <w:listItem w:displayText="sps-por" w:value="sps-por"/>
                <w:listItem w:displayText="surf-por" w:value="surf-por"/>
                <w:listItem w:displayText="tmcp-por" w:value="tmcp-por"/>
                <w:listItem w:displayText="tmet-por" w:value="tmet-por"/>
                <w:listItem w:displayText="tmip-por" w:value="tmip-por"/>
                <w:listItem w:displayText="tmre-por" w:value="tmre-por"/>
                <w:listItem w:displayText="tms-por" w:value="tms-por"/>
                <w:listItem w:displayText="tmtr-por" w:value="tmtr-por"/>
                <w:listItem w:displayText="tmus-por" w:value="tmus-por"/>
                <w:listItem w:displayText="tps-por" w:value="tps-por"/>
              </w:dropDownList>
            </w:sdtPr>
            <w:sdtContent>
              <w:r w:rsidRPr="00254F5D">
                <w:rPr>
                  <w:rStyle w:val="BContentControl"/>
                </w:rPr>
                <w:t>tmus-por</w:t>
              </w:r>
            </w:sdtContent>
          </w:sdt>
          <w:r w:rsidRPr="00254F5D">
            <w:rPr>
              <w:rStyle w:val="BContentControl"/>
            </w:rPr>
            <w:t xml:space="preserve"> </w:t>
          </w:r>
          <w:sdt>
            <w:sdtPr>
              <w:rPr>
                <w:rStyle w:val="BContentControl"/>
              </w:rPr>
              <w:alias w:val="short.class.name"/>
              <w:tag w:val="short.class.name"/>
              <w:id w:val="-129711195"/>
              <w:lock w:val="sdtLocked"/>
              <w:placeholder>
                <w:docPart w:val="65A6F482A05D4A918F8162992326E307"/>
              </w:placeholder>
              <w:dataBinding w:prefixMappings="xmlns:ns0='http://www.bna.com/gateway/unit.start' " w:xpath="/ns0:document[1]/ns0:unit.start[1]/@short.class.name" w:storeItemID="{1068E49B-A83E-4610-8D8B-980E695035F0}"/>
              <w15:appearance w15:val="tags"/>
              <w:text/>
            </w:sdtPr>
            <w:sdtContent>
              <w:r w:rsidRPr="00254F5D">
                <w:rPr>
                  <w:rStyle w:val="BContentControl"/>
                </w:rPr>
                <w:t>enter text</w:t>
              </w:r>
            </w:sdtContent>
          </w:sdt>
          <w:r w:rsidRPr="00254F5D">
            <w:rPr>
              <w:rStyle w:val="BContentControl"/>
            </w:rPr>
            <w:t xml:space="preserve"> </w:t>
          </w:r>
          <w:sdt>
            <w:sdtPr>
              <w:rPr>
                <w:rStyle w:val="BContentControl"/>
              </w:rPr>
              <w:alias w:val="short.unit.name"/>
              <w:tag w:val="short.unit.name"/>
              <w:id w:val="-1861432004"/>
              <w:lock w:val="sdtLocked"/>
              <w:placeholder>
                <w:docPart w:val="85214B4E06EF4D36926B376D1F69E35D"/>
              </w:placeholder>
              <w:dataBinding w:prefixMappings="xmlns:ns0='http://www.bna.com/gateway/unit.start' " w:xpath="/ns0:document[1]/ns0:unit.start[1]/@short.unit.name" w:storeItemID="{1068E49B-A83E-4610-8D8B-980E695035F0}"/>
              <w15:appearance w15:val="tags"/>
              <w:text/>
            </w:sdtPr>
            <w:sdtContent>
              <w:r w:rsidRPr="00254F5D">
                <w:rPr>
                  <w:rStyle w:val="BContentControl"/>
                </w:rPr>
                <w:t>enter text</w:t>
              </w:r>
            </w:sdtContent>
          </w:sdt>
          <w:r w:rsidRPr="00254F5D">
            <w:rPr>
              <w:rStyle w:val="BContentControl"/>
            </w:rPr>
            <w:t xml:space="preserve"> </w:t>
          </w:r>
          <w:sdt>
            <w:sdtPr>
              <w:rPr>
                <w:rStyle w:val="BContentControl"/>
              </w:rPr>
              <w:alias w:val="subclass.name"/>
              <w:tag w:val="subclass.name"/>
              <w:id w:val="1277763532"/>
              <w:lock w:val="sdtLocked"/>
              <w:placeholder>
                <w:docPart w:val="1E592E2F525A44EBAAA0F08652F60611"/>
              </w:placeholder>
              <w:dataBinding w:prefixMappings="xmlns:ns0='http://www.bna.com/gateway/unit.start' " w:xpath="/ns0:document[1]/ns0:unit.start[1]/@subclass.name" w:storeItemID="{1068E49B-A83E-4610-8D8B-980E695035F0}"/>
              <w15:appearance w15:val="tags"/>
              <w:text/>
            </w:sdtPr>
            <w:sdtContent>
              <w:r w:rsidRPr="00254F5D">
                <w:rPr>
                  <w:rStyle w:val="BContentControl"/>
                </w:rPr>
                <w:t>enter text</w:t>
              </w:r>
            </w:sdtContent>
          </w:sdt>
          <w:r w:rsidRPr="00254F5D">
            <w:rPr>
              <w:rStyle w:val="BContentControl"/>
            </w:rPr>
            <w:t xml:space="preserve"> </w:t>
          </w:r>
          <w:sdt>
            <w:sdtPr>
              <w:rPr>
                <w:rStyle w:val="BContentControl"/>
              </w:rPr>
              <w:alias w:val="unit.code"/>
              <w:tag w:val="unit.code"/>
              <w:id w:val="710691148"/>
              <w:lock w:val="sdtLocked"/>
              <w:placeholder>
                <w:docPart w:val="9FDF8014092E4966B41D41497ABDF2BF"/>
              </w:placeholder>
              <w:dataBinding w:prefixMappings="xmlns:ns0='http://www.bna.com/gateway/unit.start' " w:xpath="/ns0:document[1]/ns0:unit.start[1]/@unit.code" w:storeItemID="{1068E49B-A83E-4610-8D8B-980E695035F0}"/>
              <w15:appearance w15:val="tags"/>
              <w:text/>
            </w:sdtPr>
            <w:sdtContent>
              <w:r w:rsidRPr="00254F5D">
                <w:rPr>
                  <w:rStyle w:val="BContentControl"/>
                </w:rPr>
                <w:t>II</w:t>
              </w:r>
            </w:sdtContent>
          </w:sdt>
          <w:r w:rsidRPr="00254F5D">
            <w:rPr>
              <w:rStyle w:val="BContentControl"/>
            </w:rPr>
            <w:t xml:space="preserve"> </w:t>
          </w:r>
          <w:sdt>
            <w:sdtPr>
              <w:rPr>
                <w:rStyle w:val="BContentControl"/>
              </w:rPr>
              <w:alias w:val="unit.name*"/>
              <w:tag w:val="unit.name"/>
              <w:id w:val="157584305"/>
              <w:lock w:val="sdtLocked"/>
              <w:placeholder>
                <w:docPart w:val="B346F0A276E343188F8BC6DDC25DFE61"/>
              </w:placeholder>
              <w:dataBinding w:prefixMappings="xmlns:ns0='http://www.bna.com/gateway/unit.start' " w:xpath="/ns0:document[1]/ns0:unit.start[1]/@unit.name" w:storeItemID="{1068E49B-A83E-4610-8D8B-980E695035F0}"/>
              <w15:appearance w15:val="tags"/>
              <w:text/>
            </w:sdtPr>
            <w:sdtContent>
              <w:r w:rsidRPr="00254F5D">
                <w:rPr>
                  <w:rStyle w:val="BContentControl"/>
                </w:rPr>
                <w:t>Basics of the Section 199A Deduction</w:t>
              </w:r>
            </w:sdtContent>
          </w:sdt>
          <w:r w:rsidRPr="00254F5D">
            <w:rPr>
              <w:rStyle w:val="BContentControl"/>
            </w:rPr>
            <w:t xml:space="preserve"> </w:t>
          </w:r>
          <w:sdt>
            <w:sdtPr>
              <w:rPr>
                <w:rStyle w:val="BContentControl"/>
              </w:rPr>
              <w:alias w:val="volume.num"/>
              <w:tag w:val="volume.num"/>
              <w:id w:val="-334689037"/>
              <w:lock w:val="sdtLocked"/>
              <w:placeholder>
                <w:docPart w:val="9AEA412F43BB442BA0884D72005A2841"/>
              </w:placeholder>
              <w:dataBinding w:prefixMappings="xmlns:ns0='http://www.bna.com/gateway/unit.start' " w:xpath="/ns0:document[1]/ns0:unit.start[1]/@volume.num" w:storeItemID="{1068E49B-A83E-4610-8D8B-980E695035F0}"/>
              <w15:appearance w15:val="tags"/>
              <w:text/>
            </w:sdtPr>
            <w:sdtContent>
              <w:r w:rsidRPr="00254F5D">
                <w:rPr>
                  <w:rStyle w:val="BContentControl"/>
                </w:rPr>
                <w:t>enter text</w:t>
              </w:r>
            </w:sdtContent>
          </w:sdt>
        </w:p>
        <w:bookmarkEnd w:id="0" w:displacedByCustomXml="next"/>
      </w:sdtContent>
    </w:sdt>
    <w:p w14:paraId="7BF48197" w14:textId="77777777" w:rsidR="00254F5D" w:rsidRPr="00254F5D" w:rsidRDefault="00254F5D" w:rsidP="00254F5D">
      <w:pPr>
        <w:pStyle w:val="BDocStart"/>
      </w:pPr>
      <w:sdt>
        <w:sdtPr>
          <w:tag w:val="DocStart"/>
          <w:id w:val="-1680503039"/>
          <w:lock w:val="sdtLocked"/>
          <w:placeholder>
            <w:docPart w:val="31A4D0139C564256B7EE9A69C71085AE"/>
          </w:placeholder>
          <w15:appearance w15:val="hidden"/>
        </w:sdtPr>
        <w:sdtContent>
          <w:r>
            <w:t>Document</w:t>
          </w:r>
        </w:sdtContent>
      </w:sdt>
    </w:p>
    <w:p w14:paraId="6E1C87A5" w14:textId="77777777" w:rsidR="00485279" w:rsidRDefault="00C26200">
      <w:pPr>
        <w:pStyle w:val="BChapterName"/>
      </w:pPr>
      <w:r>
        <w:t>II. Copy of: Basics of the Section 199A Deduction</w:t>
      </w:r>
    </w:p>
    <w:p w14:paraId="578CC6A4" w14:textId="77777777" w:rsidR="00485279" w:rsidRDefault="00C26200">
      <w:pPr>
        <w:pStyle w:val="BHead1"/>
      </w:pPr>
      <w:r>
        <w:t>A. Mechanics</w:t>
      </w:r>
    </w:p>
    <w:p w14:paraId="4EAD6B9A" w14:textId="77777777" w:rsidR="00485279" w:rsidRDefault="00C26200">
      <w:pPr>
        <w:pStyle w:val="BNormal"/>
      </w:pPr>
      <w:smartTag w:uri="http://www.bna.com/sgml2word/cite" w:element="cite.usc">
        <w:smartTagPr>
          <w:attr w:name="ref" w:val="usc\26\199A"/>
        </w:smartTagPr>
        <w:r>
          <w:t>Section 199A</w:t>
        </w:r>
      </w:smartTag>
      <w:r>
        <w:t xml:space="preserve"> provides a deduction equal to the lesser of (</w:t>
      </w:r>
      <w:proofErr w:type="spellStart"/>
      <w:r>
        <w:t>i</w:t>
      </w:r>
      <w:proofErr w:type="spellEnd"/>
      <w:r>
        <w:t>) the taxpayer’s combined qualified business income amount,</w:t>
      </w:r>
      <w:r>
        <w:rPr>
          <w:rStyle w:val="FootnoteReference"/>
        </w:rPr>
        <w:footnoteReference w:id="1"/>
      </w:r>
      <w:r>
        <w:t xml:space="preserve"> or (ii) 20% of the taxpayer’s taxable income calculated without regard to net capital gain and to the </w:t>
      </w:r>
      <w:smartTag w:uri="http://www.bna.com/sgml2word/cite" w:element="cite.usc">
        <w:smartTagPr>
          <w:attr w:name="ref" w:val="usc\26\199A"/>
        </w:smartTagPr>
        <w:r>
          <w:t>§199A</w:t>
        </w:r>
      </w:smartTag>
      <w:r>
        <w:t xml:space="preserve"> deduction.</w:t>
      </w:r>
      <w:r>
        <w:rPr>
          <w:rStyle w:val="FootnoteReference"/>
        </w:rPr>
        <w:footnoteReference w:id="2"/>
      </w:r>
      <w:r>
        <w:t xml:space="preserve"> This Portfolio refers to the taxable income used for determining the second amount (i.e., taxable income calculated without regard to net capital gain and the </w:t>
      </w:r>
      <w:smartTag w:uri="http://www.bna.com/sgml2word/cite" w:element="cite.usc">
        <w:smartTagPr>
          <w:attr w:name="ref" w:val="usc\26\199A"/>
        </w:smartTagPr>
        <w:r>
          <w:t>§199A</w:t>
        </w:r>
      </w:smartTag>
      <w:r>
        <w:t xml:space="preserve"> deduction) as </w:t>
      </w:r>
      <w:smartTag w:uri="http://www.bna.com/sgml2word/cite" w:element="cite.usc">
        <w:smartTagPr>
          <w:attr w:name="ref" w:val="usc\26\199A"/>
        </w:smartTagPr>
        <w:r>
          <w:t>§199A</w:t>
        </w:r>
      </w:smartTag>
      <w:r>
        <w:t xml:space="preserve"> deduction testing taxable income. </w:t>
      </w:r>
      <w:smartTag w:uri="http://www.bna.com/sgml2word/cite" w:element="cite.usc">
        <w:smartTagPr>
          <w:attr w:name="ref" w:val="usc\26\199A"/>
        </w:smartTagPr>
        <w:r>
          <w:t>Section 199A</w:t>
        </w:r>
      </w:smartTag>
      <w:r>
        <w:t xml:space="preserve"> deduction testing taxable income is distinct from the taxable income </w:t>
      </w:r>
      <w:proofErr w:type="gramStart"/>
      <w:r>
        <w:t>base</w:t>
      </w:r>
      <w:proofErr w:type="gramEnd"/>
      <w:r>
        <w:t xml:space="preserve"> on which tax is actually imposed.</w:t>
      </w:r>
    </w:p>
    <w:p w14:paraId="6E05CD9B" w14:textId="77777777" w:rsidR="00485279" w:rsidRDefault="00C26200">
      <w:pPr>
        <w:pStyle w:val="BNormal"/>
      </w:pPr>
      <w:r>
        <w:t>A taxpayer’s combined qualified business income amount equals the sum of (</w:t>
      </w:r>
      <w:proofErr w:type="spellStart"/>
      <w:r>
        <w:t>i</w:t>
      </w:r>
      <w:proofErr w:type="spellEnd"/>
      <w:r>
        <w:t>) 20% of the taxpayer’s qualified business income (QBI) from each qualified trade or business (QTB)</w:t>
      </w:r>
      <w:r>
        <w:rPr>
          <w:rStyle w:val="FootnoteReference"/>
        </w:rPr>
        <w:footnoteReference w:id="3"/>
      </w:r>
      <w:r>
        <w:t xml:space="preserve"> (as limited by the wage-basis limit),</w:t>
      </w:r>
      <w:r>
        <w:rPr>
          <w:rStyle w:val="FootnoteReference"/>
        </w:rPr>
        <w:footnoteReference w:id="4"/>
      </w:r>
      <w:r>
        <w:t xml:space="preserve"> and (ii) 20% of the taxpayer’s aggregate amount of qualified REIT dividends and qualified publicly traded partnership income.</w:t>
      </w:r>
      <w:r>
        <w:rPr>
          <w:rStyle w:val="FootnoteReference"/>
        </w:rPr>
        <w:footnoteReference w:id="5"/>
      </w:r>
    </w:p>
    <w:p w14:paraId="6FADAB44" w14:textId="77777777" w:rsidR="00485279" w:rsidRDefault="00C26200">
      <w:pPr>
        <w:pStyle w:val="BNormal"/>
      </w:pPr>
      <w:r>
        <w:rPr>
          <w:i/>
        </w:rPr>
        <w:t>Note</w:t>
      </w:r>
      <w:r>
        <w:t>: The regulations describe the QBI element of the deduction differently from the description in the statute. The statute limits the deduction to QBI with respect to each QTB of the taxpayer.</w:t>
      </w:r>
      <w:r>
        <w:rPr>
          <w:rStyle w:val="FootnoteReference"/>
        </w:rPr>
        <w:footnoteReference w:id="6"/>
      </w:r>
      <w:r>
        <w:t xml:space="preserve"> The definition of QTB excludes (</w:t>
      </w:r>
      <w:proofErr w:type="spellStart"/>
      <w:r>
        <w:t>i</w:t>
      </w:r>
      <w:proofErr w:type="spellEnd"/>
      <w:r>
        <w:t>) for all taxpayers, the trade or business of performing services as an employee,</w:t>
      </w:r>
      <w:r>
        <w:rPr>
          <w:rStyle w:val="FootnoteReference"/>
        </w:rPr>
        <w:footnoteReference w:id="7"/>
      </w:r>
      <w:r>
        <w:t xml:space="preserve"> and (ii) for taxpayers above the threshold amount, specified service trades or businesses (SSTBs).</w:t>
      </w:r>
      <w:r>
        <w:rPr>
          <w:rStyle w:val="FootnoteReference"/>
        </w:rPr>
        <w:footnoteReference w:id="8"/>
      </w:r>
      <w:r>
        <w:t xml:space="preserve"> The regulations, on the other hand, limit the deduction to QBI from all trades or businesses (not QTBs), but provide that taxpayers with taxable incomes above the threshold amount are subject to the SSTB rule.</w:t>
      </w:r>
      <w:r>
        <w:rPr>
          <w:rStyle w:val="FootnoteReference"/>
        </w:rPr>
        <w:footnoteReference w:id="9"/>
      </w:r>
      <w:r>
        <w:t xml:space="preserve"> Thus, the regulations arrive at the same QBI element amount as the statute by excluding the trade or business of performing services as an </w:t>
      </w:r>
      <w:r>
        <w:lastRenderedPageBreak/>
        <w:t>employee from the definition of trade or business.</w:t>
      </w:r>
      <w:r>
        <w:rPr>
          <w:rStyle w:val="FootnoteReference"/>
        </w:rPr>
        <w:footnoteReference w:id="10"/>
      </w:r>
      <w:r>
        <w:t xml:space="preserve"> This Portfolio adopts the statutory description with respect to the QBI element of the deduction and, thus, the term QTB is used to refer to a trade or business that qualifies for the deduction.</w:t>
      </w:r>
    </w:p>
    <w:p w14:paraId="7490488F" w14:textId="77777777" w:rsidR="00485279" w:rsidRDefault="00C26200">
      <w:pPr>
        <w:pStyle w:val="BNormal"/>
      </w:pPr>
      <w:r>
        <w:t>Losses with respect to a QTB or a publicly traded partnership (PTP) reduce the combined qualified business income amount.</w:t>
      </w:r>
      <w:r>
        <w:rPr>
          <w:rStyle w:val="FootnoteReference"/>
        </w:rPr>
        <w:footnoteReference w:id="11"/>
      </w:r>
      <w:r>
        <w:t xml:space="preserve"> The regulations provide separate loss netting rules for (</w:t>
      </w:r>
      <w:proofErr w:type="spellStart"/>
      <w:r>
        <w:t>i</w:t>
      </w:r>
      <w:proofErr w:type="spellEnd"/>
      <w:r>
        <w:t>) the QBI element of the deduction, and (ii) the qualified REIT dividend and qualified PTP income element of the deduction.</w:t>
      </w:r>
      <w:r>
        <w:rPr>
          <w:rStyle w:val="FootnoteReference"/>
        </w:rPr>
        <w:footnoteReference w:id="12"/>
      </w:r>
    </w:p>
    <w:p w14:paraId="5E3C95B3" w14:textId="77777777" w:rsidR="00485279" w:rsidRDefault="00C26200">
      <w:pPr>
        <w:pStyle w:val="BNormal"/>
      </w:pPr>
      <w:r>
        <w:rPr>
          <w:i/>
        </w:rPr>
        <w:t>Observation:</w:t>
      </w:r>
      <w:r>
        <w:t xml:space="preserve"> A taxpayer can have a combined qualified business income amount even if the taxpayer has no QBI. This is because the combined qualified business income amount includes not only 20% of QBI, but also 20% of qualified REIT dividends and 20% of qualified publicly traded partnership income.</w:t>
      </w:r>
    </w:p>
    <w:p w14:paraId="5547E8B1" w14:textId="77777777" w:rsidR="00485279" w:rsidRDefault="00C26200">
      <w:pPr>
        <w:pStyle w:val="BNormal"/>
      </w:pPr>
      <w:r>
        <w:t xml:space="preserve">The regulations provide calculation mechanics for the first element of the deduction — 20% of the taxpayer's QBI with respect to each QTB of the taxpayer — that vary depending upon whether the taxable income of the taxpayer is above or below a threshold amount (discussed </w:t>
      </w:r>
      <w:proofErr w:type="spellStart"/>
      <w:r>
        <w:t>in</w:t>
      </w:r>
      <w:smartTag w:uri="http://www.bna.com/sgml2word/cite" w:element="cite.bna.reference">
        <w:smartTagPr>
          <w:attr w:name="bna.id.ref" w:val="TM\537.III.E"/>
        </w:smartTagPr>
        <w:r>
          <w:t>III.E</w:t>
        </w:r>
        <w:proofErr w:type="spellEnd"/>
        <w:r>
          <w:t>.</w:t>
        </w:r>
      </w:smartTag>
      <w:r>
        <w:t>, below).</w:t>
      </w:r>
      <w:r>
        <w:rPr>
          <w:rStyle w:val="FootnoteReference"/>
        </w:rPr>
        <w:footnoteReference w:id="13"/>
      </w:r>
    </w:p>
    <w:p w14:paraId="42B6A106" w14:textId="77777777" w:rsidR="00485279" w:rsidRDefault="00C26200">
      <w:pPr>
        <w:pStyle w:val="BNormal"/>
      </w:pPr>
      <w:r>
        <w:t>Taxpayers with taxable incomes at or below the threshold amount multiply the total QBI amount by 20%.</w:t>
      </w:r>
      <w:r>
        <w:rPr>
          <w:rStyle w:val="FootnoteReference"/>
        </w:rPr>
        <w:footnoteReference w:id="14"/>
      </w:r>
      <w:r>
        <w:t xml:space="preserve"> The "total QBI amount" is defined as the net total QBI from all trades or businesses,</w:t>
      </w:r>
      <w:r>
        <w:rPr>
          <w:rStyle w:val="FootnoteReference"/>
        </w:rPr>
        <w:footnoteReference w:id="15"/>
      </w:r>
      <w:r>
        <w:t xml:space="preserve"> excluding the trade or business of performing services as an employee.</w:t>
      </w:r>
      <w:r>
        <w:rPr>
          <w:rStyle w:val="FootnoteReference"/>
        </w:rPr>
        <w:footnoteReference w:id="16"/>
      </w:r>
      <w:r>
        <w:t xml:space="preserve"> Such taxpayers are not subject to the wage-basis limit (discussed in </w:t>
      </w:r>
      <w:smartTag w:uri="http://www.bna.com/sgml2word/cite" w:element="cite.bna.reference">
        <w:smartTagPr>
          <w:attr w:name="bna.id.ref" w:val="TM\537.III.D"/>
        </w:smartTagPr>
        <w:r>
          <w:t>III.D.</w:t>
        </w:r>
      </w:smartTag>
      <w:r>
        <w:t xml:space="preserve">, below) or the specified service trade or business (SSTB) rule (discussed in </w:t>
      </w:r>
      <w:smartTag w:uri="http://www.bna.com/sgml2word/cite" w:element="cite.bna.reference">
        <w:smartTagPr>
          <w:attr w:name="bna.id.ref" w:val="TM\537.III.C.2.b"/>
        </w:smartTagPr>
        <w:r>
          <w:t>III.C.2.b.</w:t>
        </w:r>
      </w:smartTag>
      <w:r>
        <w:t>, below).</w:t>
      </w:r>
    </w:p>
    <w:p w14:paraId="734C2B08" w14:textId="77777777" w:rsidR="00485279" w:rsidRDefault="00C26200">
      <w:pPr>
        <w:pStyle w:val="BNormal"/>
      </w:pPr>
      <w:r>
        <w:t>Taxpayers with taxable incomes above the threshold amount must calculate a QBI component for each QTB.</w:t>
      </w:r>
      <w:r>
        <w:rPr>
          <w:rStyle w:val="FootnoteReference"/>
        </w:rPr>
        <w:footnoteReference w:id="17"/>
      </w:r>
      <w:r>
        <w:t xml:space="preserve"> The QBI component for a QTB is 20% of QBI, subject to (</w:t>
      </w:r>
      <w:proofErr w:type="spellStart"/>
      <w:r>
        <w:t>i</w:t>
      </w:r>
      <w:proofErr w:type="spellEnd"/>
      <w:r>
        <w:t xml:space="preserve">) the wage-basis limit (discussed in </w:t>
      </w:r>
      <w:smartTag w:uri="http://www.bna.com/sgml2word/cite" w:element="cite.bna.reference">
        <w:smartTagPr>
          <w:attr w:name="bna.id.ref" w:val="TM\537.III.D"/>
        </w:smartTagPr>
        <w:r>
          <w:t>III.D.</w:t>
        </w:r>
      </w:smartTag>
      <w:r>
        <w:t xml:space="preserve">, below), and (ii) the SSTB rule (discussed in </w:t>
      </w:r>
      <w:smartTag w:uri="http://www.bna.com/sgml2word/cite" w:element="cite.bna.reference">
        <w:smartTagPr>
          <w:attr w:name="bna.id.ref" w:val="TM\537.III.C.2.b"/>
        </w:smartTagPr>
        <w:r>
          <w:t>III.C.2.b.</w:t>
        </w:r>
      </w:smartTag>
      <w:r>
        <w:t>, below).</w:t>
      </w:r>
    </w:p>
    <w:p w14:paraId="4C1BD987" w14:textId="77777777" w:rsidR="00485279" w:rsidRDefault="00C26200">
      <w:pPr>
        <w:pStyle w:val="BNormal"/>
      </w:pPr>
      <w:r>
        <w:t xml:space="preserve">For </w:t>
      </w:r>
      <w:proofErr w:type="gramStart"/>
      <w:r>
        <w:t>purposes</w:t>
      </w:r>
      <w:proofErr w:type="gramEnd"/>
      <w:r>
        <w:t xml:space="preserve"> of comparing taxable income to the threshold amounts, taxable income is calculated without regard to the §</w:t>
      </w:r>
      <w:smartTag w:uri="http://www.bna.com/sgml2word/cite" w:element="cite.usc">
        <w:smartTagPr>
          <w:attr w:name="ref" w:val="usc\26\199A"/>
        </w:smartTagPr>
        <w:r>
          <w:t>199A</w:t>
        </w:r>
      </w:smartTag>
      <w:r>
        <w:t xml:space="preserve"> deduction but </w:t>
      </w:r>
      <w:r>
        <w:rPr>
          <w:i/>
        </w:rPr>
        <w:t>with</w:t>
      </w:r>
      <w:r>
        <w:t xml:space="preserve"> regard to net capital gain.</w:t>
      </w:r>
      <w:r>
        <w:rPr>
          <w:rStyle w:val="FootnoteReference"/>
        </w:rPr>
        <w:footnoteReference w:id="18"/>
      </w:r>
      <w:r>
        <w:t xml:space="preserve"> This Portfolio refers to this taxable income amount as threshold testing taxable income. Threshold testing taxable income is distinct from §199A deduction testing taxable income (discussed above). </w:t>
      </w:r>
    </w:p>
    <w:p w14:paraId="6374E130" w14:textId="77777777" w:rsidR="00485279" w:rsidRDefault="00C26200">
      <w:pPr>
        <w:pStyle w:val="BNormal"/>
      </w:pPr>
      <w:r>
        <w:t xml:space="preserve">The calculation of the QBI element of the combined qualified business income amount, including the threshold amount, the wage-basis limit, and the SSTB rule, are discussed in detail at </w:t>
      </w:r>
      <w:smartTag w:uri="http://www.bna.com/sgml2word/cite" w:element="cite.bna.reference">
        <w:smartTagPr>
          <w:attr w:name="bna.id.ref" w:val="TM\537.III"/>
        </w:smartTagPr>
        <w:r>
          <w:t>III.</w:t>
        </w:r>
      </w:smartTag>
      <w:r>
        <w:t>, below.</w:t>
      </w:r>
    </w:p>
    <w:p w14:paraId="15EFE3C7" w14:textId="77777777" w:rsidR="00485279" w:rsidRDefault="00C26200">
      <w:pPr>
        <w:pStyle w:val="BNormal"/>
      </w:pPr>
      <w:r>
        <w:lastRenderedPageBreak/>
        <w:t xml:space="preserve">Beginning in 2026, certain applicable taxpayers are entitled to a minimum deduction for active qualified business income. The minimum deduction is equal to the greater of the </w:t>
      </w:r>
      <w:smartTag w:uri="http://www.bna.com/sgml2word/cite" w:element="cite.usc">
        <w:smartTagPr>
          <w:attr w:name="ref" w:val="usc\26\199A"/>
        </w:smartTagPr>
        <w:r>
          <w:t>§199A</w:t>
        </w:r>
      </w:smartTag>
      <w:r>
        <w:t xml:space="preserve"> deduction </w:t>
      </w:r>
      <w:proofErr w:type="gramStart"/>
      <w:r>
        <w:t>or</w:t>
      </w:r>
      <w:proofErr w:type="gramEnd"/>
      <w:r>
        <w:t xml:space="preserve"> $400, as adjusted for inflation.</w:t>
      </w:r>
      <w:r>
        <w:rPr>
          <w:rStyle w:val="FootnoteReference"/>
        </w:rPr>
        <w:footnoteReference w:id="19"/>
      </w:r>
    </w:p>
    <w:p w14:paraId="2F020E01" w14:textId="77777777" w:rsidR="00485279" w:rsidRDefault="00C26200">
      <w:pPr>
        <w:pStyle w:val="BNormal"/>
      </w:pPr>
      <w:r>
        <w:t xml:space="preserve">Individuals, trusts, and estates are all eligible for the </w:t>
      </w:r>
      <w:smartTag w:uri="http://www.bna.com/sgml2word/cite" w:element="cite.usc">
        <w:smartTagPr>
          <w:attr w:name="ref" w:val="usc\26\199A"/>
        </w:smartTagPr>
        <w:r>
          <w:t>§199A</w:t>
        </w:r>
      </w:smartTag>
      <w:r>
        <w:t xml:space="preserve"> deduction.</w:t>
      </w:r>
      <w:r>
        <w:rPr>
          <w:rStyle w:val="FootnoteReference"/>
        </w:rPr>
        <w:footnoteReference w:id="20"/>
      </w:r>
      <w:r>
        <w:t xml:space="preserve"> The regulations provide computational rules to assist individuals in the calculation of their </w:t>
      </w:r>
      <w:smartTag w:uri="http://www.bna.com/sgml2word/cite" w:element="cite.usc">
        <w:smartTagPr>
          <w:attr w:name="ref" w:val="usc\26\199A"/>
        </w:smartTagPr>
        <w:r>
          <w:t>§199A</w:t>
        </w:r>
      </w:smartTag>
      <w:r>
        <w:t xml:space="preserve"> deduction.</w:t>
      </w:r>
      <w:r>
        <w:rPr>
          <w:rStyle w:val="FootnoteReference"/>
        </w:rPr>
        <w:footnoteReference w:id="21"/>
      </w:r>
      <w:r>
        <w:t xml:space="preserve"> They define the term individual to include </w:t>
      </w:r>
      <w:proofErr w:type="spellStart"/>
      <w:r>
        <w:t>nongrantor</w:t>
      </w:r>
      <w:proofErr w:type="spellEnd"/>
      <w:r>
        <w:t xml:space="preserve"> trusts and estates to the extent that such trusts and estates, and not their beneficiaries, are allowed to claim the </w:t>
      </w:r>
      <w:smartTag w:uri="http://www.bna.com/sgml2word/cite" w:element="cite.usc">
        <w:smartTagPr>
          <w:attr w:name="ref" w:val="usc\26\199A"/>
        </w:smartTagPr>
        <w:r>
          <w:t>§199A</w:t>
        </w:r>
      </w:smartTag>
      <w:r>
        <w:t xml:space="preserve"> deduction.</w:t>
      </w:r>
      <w:r>
        <w:rPr>
          <w:rStyle w:val="FootnoteReference"/>
        </w:rPr>
        <w:footnoteReference w:id="22"/>
      </w:r>
    </w:p>
    <w:p w14:paraId="7CE0057D" w14:textId="77777777" w:rsidR="00485279" w:rsidRDefault="00C26200">
      <w:pPr>
        <w:pStyle w:val="BNormal"/>
      </w:pPr>
      <w:r>
        <w:t>The following examples illustrate the calculation of the deduction:</w:t>
      </w:r>
    </w:p>
    <w:p w14:paraId="393F9767" w14:textId="77777777" w:rsidR="00485279" w:rsidRDefault="00C26200">
      <w:pPr>
        <w:pStyle w:val="BExamplepara"/>
      </w:pPr>
      <w:r>
        <w:rPr>
          <w:rStyle w:val="BExamplehead"/>
          <w:rFonts w:eastAsiaTheme="minorHAnsi"/>
          <w:i/>
        </w:rPr>
        <w:t>Example 1:</w:t>
      </w:r>
      <w:r>
        <w:t xml:space="preserve"> Taxpayer has </w:t>
      </w:r>
      <w:proofErr w:type="gramStart"/>
      <w:r>
        <w:t>threshold</w:t>
      </w:r>
      <w:proofErr w:type="gramEnd"/>
      <w:r>
        <w:t xml:space="preserve"> testing taxable income below the threshold amount. </w:t>
      </w:r>
      <w:proofErr w:type="gramStart"/>
      <w:r>
        <w:t>Taxpayer has</w:t>
      </w:r>
      <w:proofErr w:type="gramEnd"/>
      <w:r>
        <w:t xml:space="preserve"> $40,000 </w:t>
      </w:r>
      <w:proofErr w:type="gramStart"/>
      <w:r>
        <w:t>of</w:t>
      </w:r>
      <w:proofErr w:type="gramEnd"/>
      <w:r>
        <w:t xml:space="preserve"> QBI from QTB 1 and $70,000 </w:t>
      </w:r>
      <w:proofErr w:type="gramStart"/>
      <w:r>
        <w:t>of</w:t>
      </w:r>
      <w:proofErr w:type="gramEnd"/>
      <w:r>
        <w:t xml:space="preserve"> QBI from QTB 2. </w:t>
      </w:r>
      <w:proofErr w:type="gramStart"/>
      <w:r>
        <w:t>Taxpayer has</w:t>
      </w:r>
      <w:proofErr w:type="gramEnd"/>
      <w:r>
        <w:t xml:space="preserve"> no qualified REIT dividends or qualified PTP income. Taxpayer's total QBI amount is $110,000. Taxpayer's combined qualified business income amount is $22,000 (20% of $110,000).</w:t>
      </w:r>
    </w:p>
    <w:p w14:paraId="57A02228" w14:textId="77777777" w:rsidR="00485279" w:rsidRDefault="00C26200">
      <w:pPr>
        <w:pStyle w:val="BExamplepara"/>
      </w:pPr>
      <w:r>
        <w:rPr>
          <w:rStyle w:val="BExamplehead"/>
          <w:rFonts w:eastAsiaTheme="minorHAnsi"/>
          <w:i/>
        </w:rPr>
        <w:t>Example 2:</w:t>
      </w:r>
      <w:r>
        <w:t xml:space="preserve"> Taxpayer has threshold testing taxable income above the threshold amount. Taxpayer's QBI component from QTB 1 is $8,000 and taxpayer's QBI component from QTB 2 is $14,000. </w:t>
      </w:r>
      <w:proofErr w:type="gramStart"/>
      <w:r>
        <w:t>Taxpayer has</w:t>
      </w:r>
      <w:proofErr w:type="gramEnd"/>
      <w:r>
        <w:t xml:space="preserve"> no qualified REIT dividends or qualified PTP income. Taxpayer's combined qualified business income amount is $22,000 ($8,000 plus $14,000).</w:t>
      </w:r>
    </w:p>
    <w:p w14:paraId="354B4D45" w14:textId="77777777" w:rsidR="00485279" w:rsidRDefault="00C26200">
      <w:pPr>
        <w:pStyle w:val="BExamplepara"/>
      </w:pPr>
      <w:r>
        <w:rPr>
          <w:rStyle w:val="BExamplehead"/>
          <w:rFonts w:eastAsiaTheme="minorHAnsi"/>
          <w:i/>
        </w:rPr>
        <w:t>Example 3:</w:t>
      </w:r>
      <w:r>
        <w:t xml:space="preserve"> In 2025, Taxpayer, an unmarried individual, has </w:t>
      </w:r>
      <w:proofErr w:type="gramStart"/>
      <w:r>
        <w:t>threshold</w:t>
      </w:r>
      <w:proofErr w:type="gramEnd"/>
      <w:r>
        <w:t xml:space="preserve"> testing taxable income below the threshold amount. Taxpayer owns a barbershop as a sole proprietor. The barbershop is a QTB, and it generates QBI of $80,000. Taxpayer has additional ordinary income of $32,000, $10,000 of net capital gain, and takes the $15,750 standard deduction.</w:t>
      </w:r>
      <w:r>
        <w:rPr>
          <w:rStyle w:val="FootnoteReference"/>
        </w:rPr>
        <w:footnoteReference w:id="23"/>
      </w:r>
      <w:r>
        <w:t xml:space="preserve"> Taxpayer has no other items of income, gain, deduction, and loss. </w:t>
      </w:r>
      <w:proofErr w:type="gramStart"/>
      <w:r>
        <w:t>Taxpayer has</w:t>
      </w:r>
      <w:proofErr w:type="gramEnd"/>
      <w:r>
        <w:t xml:space="preserve"> a total QBI amount of $80,000 and a combined qualified business income amount of $16,000 (20% of $80,000). Taxpayer’s </w:t>
      </w:r>
      <w:smartTag w:uri="http://www.bna.com/sgml2word/cite" w:element="cite.usc">
        <w:smartTagPr>
          <w:attr w:name="ref" w:val="usc\26\199A"/>
        </w:smartTagPr>
        <w:r>
          <w:t>§199A</w:t>
        </w:r>
      </w:smartTag>
      <w:r>
        <w:t xml:space="preserve"> deduction testing taxable income, which is determined without regard to net capital gain and without regard to the </w:t>
      </w:r>
      <w:smartTag w:uri="http://www.bna.com/sgml2word/cite" w:element="cite.usc">
        <w:smartTagPr>
          <w:attr w:name="ref" w:val="usc\26\199A"/>
        </w:smartTagPr>
        <w:r>
          <w:t>§199A</w:t>
        </w:r>
      </w:smartTag>
      <w:r>
        <w:t xml:space="preserve"> deduction, is $96,250 ($80,000 of QBI, plus $32,000 of other ordinary income, minus the $15,750 standard deduction). Thus, Taxpayer’s </w:t>
      </w:r>
      <w:smartTag w:uri="http://www.bna.com/sgml2word/cite" w:element="cite.usc">
        <w:smartTagPr>
          <w:attr w:name="ref" w:val="usc\26\199A"/>
        </w:smartTagPr>
        <w:r>
          <w:t>§199A</w:t>
        </w:r>
      </w:smartTag>
      <w:r>
        <w:t xml:space="preserve"> deduction is $16,000, which is the lesser of (</w:t>
      </w:r>
      <w:proofErr w:type="spellStart"/>
      <w:r>
        <w:t>i</w:t>
      </w:r>
      <w:proofErr w:type="spellEnd"/>
      <w:r>
        <w:t xml:space="preserve">) the combined qualified business income amount, or $16,000, or (ii) 20% of the $96,250 </w:t>
      </w:r>
      <w:smartTag w:uri="http://www.bna.com/sgml2word/cite" w:element="cite.usc">
        <w:smartTagPr>
          <w:attr w:name="ref" w:val="usc\26\199A"/>
        </w:smartTagPr>
        <w:r>
          <w:t>§199A</w:t>
        </w:r>
      </w:smartTag>
      <w:r>
        <w:t xml:space="preserve"> deduction testing taxable income, or $19,250. Taxpayer’s taxable income is $90,250 ($112,000 total ordinary income, plus $10,000 net capital gain, minus $15,750 standard deduction, minus $16,000 </w:t>
      </w:r>
      <w:smartTag w:uri="http://www.bna.com/sgml2word/cite" w:element="cite.usc">
        <w:smartTagPr>
          <w:attr w:name="ref" w:val="usc\26\199A"/>
        </w:smartTagPr>
        <w:r>
          <w:t>§199A</w:t>
        </w:r>
      </w:smartTag>
      <w:r>
        <w:t xml:space="preserve"> deduction).</w:t>
      </w:r>
    </w:p>
    <w:p w14:paraId="24E029C2" w14:textId="77777777" w:rsidR="00485279" w:rsidRDefault="00C26200">
      <w:pPr>
        <w:pStyle w:val="BExamplepara"/>
      </w:pPr>
      <w:r>
        <w:rPr>
          <w:rStyle w:val="BExamplehead"/>
          <w:rFonts w:eastAsiaTheme="minorHAnsi"/>
          <w:i/>
        </w:rPr>
        <w:t>Example 4:</w:t>
      </w:r>
      <w:r>
        <w:t xml:space="preserve"> Assume the same facts as in </w:t>
      </w:r>
      <w:r>
        <w:rPr>
          <w:i/>
        </w:rPr>
        <w:t>Example 3</w:t>
      </w:r>
      <w:r>
        <w:t>, except that a portion of Taxpayer’s $32,000 additional ordinary income is a $10,000 qualified REIT dividend. Thus, Taxpayer’s combined qualified business income amount is $18,000, which is equal to the sum of (</w:t>
      </w:r>
      <w:proofErr w:type="spellStart"/>
      <w:r>
        <w:t>i</w:t>
      </w:r>
      <w:proofErr w:type="spellEnd"/>
      <w:r>
        <w:t xml:space="preserve">) 20% of the $80,000 total QBI amount, or $16,000, plus (ii) 20% of $10,000 </w:t>
      </w:r>
      <w:r>
        <w:lastRenderedPageBreak/>
        <w:t xml:space="preserve">qualified REIT dividend, or $2,000. Thus, Taxpayer’s </w:t>
      </w:r>
      <w:smartTag w:uri="http://www.bna.com/sgml2word/cite" w:element="cite.usc">
        <w:smartTagPr>
          <w:attr w:name="ref" w:val="usc\26\199A"/>
        </w:smartTagPr>
        <w:r>
          <w:t>§199A</w:t>
        </w:r>
      </w:smartTag>
      <w:r>
        <w:t xml:space="preserve"> deduction is $18,000, which is the lesser of (</w:t>
      </w:r>
      <w:proofErr w:type="spellStart"/>
      <w:r>
        <w:t>i</w:t>
      </w:r>
      <w:proofErr w:type="spellEnd"/>
      <w:r>
        <w:t>) the combined qualified business income amount, or $18,000, or (ii) 20% of the</w:t>
      </w:r>
      <w:r>
        <w:t xml:space="preserve"> $96,250 </w:t>
      </w:r>
      <w:smartTag w:uri="http://www.bna.com/sgml2word/cite" w:element="cite.usc">
        <w:smartTagPr>
          <w:attr w:name="ref" w:val="usc\26\199A"/>
        </w:smartTagPr>
        <w:r>
          <w:t>§199A</w:t>
        </w:r>
      </w:smartTag>
      <w:r>
        <w:t xml:space="preserve"> deduction testing taxable income, or $19,250. Taxpayer’s taxable income is $88,250 ($112,000 total ordinary income, plus $10,000 net capital gain, minus $15,750 standard deduction, minus $18,000 </w:t>
      </w:r>
      <w:smartTag w:uri="http://www.bna.com/sgml2word/cite" w:element="cite.usc">
        <w:smartTagPr>
          <w:attr w:name="ref" w:val="usc\26\199A"/>
        </w:smartTagPr>
        <w:r>
          <w:t>§199A</w:t>
        </w:r>
      </w:smartTag>
      <w:r>
        <w:t xml:space="preserve"> deduction.</w:t>
      </w:r>
    </w:p>
    <w:p w14:paraId="46AEBB36" w14:textId="77777777" w:rsidR="00485279" w:rsidRDefault="00C26200">
      <w:pPr>
        <w:pStyle w:val="BExamplepara"/>
      </w:pPr>
      <w:r>
        <w:rPr>
          <w:rStyle w:val="BExamplehead"/>
          <w:rFonts w:eastAsiaTheme="minorHAnsi"/>
          <w:i/>
        </w:rPr>
        <w:t>Example 5:</w:t>
      </w:r>
      <w:r>
        <w:t xml:space="preserve"> Taxpayer, an unmarried individual, has threshold testing taxable income below the threshold amount. </w:t>
      </w:r>
      <w:proofErr w:type="gramStart"/>
      <w:r>
        <w:t>Taxpayer has</w:t>
      </w:r>
      <w:proofErr w:type="gramEnd"/>
      <w:r>
        <w:t xml:space="preserve"> QBI of $80,000 from </w:t>
      </w:r>
      <w:proofErr w:type="gramStart"/>
      <w:r>
        <w:t>a QTB</w:t>
      </w:r>
      <w:proofErr w:type="gramEnd"/>
      <w:r>
        <w:t xml:space="preserve">. </w:t>
      </w:r>
      <w:proofErr w:type="gramStart"/>
      <w:r>
        <w:t>Taxpayer has</w:t>
      </w:r>
      <w:proofErr w:type="gramEnd"/>
      <w:r>
        <w:t xml:space="preserve"> </w:t>
      </w:r>
      <w:proofErr w:type="gramStart"/>
      <w:r>
        <w:t>additional</w:t>
      </w:r>
      <w:proofErr w:type="gramEnd"/>
      <w:r>
        <w:t xml:space="preserve"> ordinary income of $12,000, a $2,000 capital loss deductible under </w:t>
      </w:r>
      <w:smartTag w:uri="http://www.bna.com/sgml2word/cite" w:element="cite.usc">
        <w:smartTagPr>
          <w:attr w:name="ref" w:val="usc\26\1211(b)"/>
        </w:smartTagPr>
        <w:r>
          <w:t>§1211(b)</w:t>
        </w:r>
      </w:smartTag>
      <w:r>
        <w:t xml:space="preserve">, and </w:t>
      </w:r>
      <w:proofErr w:type="gramStart"/>
      <w:r>
        <w:t>takes</w:t>
      </w:r>
      <w:proofErr w:type="gramEnd"/>
      <w:r>
        <w:t xml:space="preserve"> the $15,750 standard deduction. </w:t>
      </w:r>
      <w:proofErr w:type="gramStart"/>
      <w:r>
        <w:t>Taxpayer has</w:t>
      </w:r>
      <w:proofErr w:type="gramEnd"/>
      <w:r>
        <w:t xml:space="preserve"> no other items of income, gain, deduction, </w:t>
      </w:r>
      <w:proofErr w:type="gramStart"/>
      <w:r>
        <w:t>and</w:t>
      </w:r>
      <w:proofErr w:type="gramEnd"/>
      <w:r>
        <w:t xml:space="preserve"> loss. </w:t>
      </w:r>
      <w:proofErr w:type="gramStart"/>
      <w:r>
        <w:t>Taxpayer has</w:t>
      </w:r>
      <w:proofErr w:type="gramEnd"/>
      <w:r>
        <w:t xml:space="preserve"> a total QBI amount of $80,000 and a combined qualified business income amount is $16,000 (20% of $80,000). Taxpayer’s </w:t>
      </w:r>
      <w:smartTag w:uri="http://www.bna.com/sgml2word/cite" w:element="cite.usc">
        <w:smartTagPr>
          <w:attr w:name="ref" w:val="usc\26\199A"/>
        </w:smartTagPr>
        <w:r>
          <w:t>§199A</w:t>
        </w:r>
      </w:smartTag>
      <w:r>
        <w:t xml:space="preserve"> deduction testing taxable</w:t>
      </w:r>
      <w:r>
        <w:t xml:space="preserve"> income is $74,250 ($80,000 of QBI, plus $12,000 of other ordinary income, less the $2,000 capital loss, less the $15,750 standard deduction). Thus, Taxpayer’s </w:t>
      </w:r>
      <w:smartTag w:uri="http://www.bna.com/sgml2word/cite" w:element="cite.usc">
        <w:smartTagPr>
          <w:attr w:name="ref" w:val="usc\26\199A"/>
        </w:smartTagPr>
        <w:r>
          <w:t>§199A</w:t>
        </w:r>
      </w:smartTag>
      <w:r>
        <w:t xml:space="preserve"> deduction is $14,850, which is the lesser of (</w:t>
      </w:r>
      <w:proofErr w:type="spellStart"/>
      <w:r>
        <w:t>i</w:t>
      </w:r>
      <w:proofErr w:type="spellEnd"/>
      <w:r>
        <w:t xml:space="preserve">) the combined qualified business income amount, or $16,000, or (ii) 20% of the $74,250 </w:t>
      </w:r>
      <w:smartTag w:uri="http://www.bna.com/sgml2word/cite" w:element="cite.usc">
        <w:smartTagPr>
          <w:attr w:name="ref" w:val="usc\26\199A"/>
        </w:smartTagPr>
        <w:r>
          <w:t>§199A</w:t>
        </w:r>
      </w:smartTag>
      <w:r>
        <w:t xml:space="preserve"> deduction testing taxable income, or $14,850. Taxpayer’s taxable income is $59,400 ($92,000 total ordinary income, minus $2,000 net capital loss, minus $15,750 standard deduction, minus $14,850 </w:t>
      </w:r>
      <w:smartTag w:uri="http://www.bna.com/sgml2word/cite" w:element="cite.usc">
        <w:smartTagPr>
          <w:attr w:name="ref" w:val="usc\26\199A"/>
        </w:smartTagPr>
        <w:r>
          <w:t>§199A</w:t>
        </w:r>
      </w:smartTag>
      <w:r>
        <w:t xml:space="preserve"> deduc</w:t>
      </w:r>
      <w:r>
        <w:t>tion).</w:t>
      </w:r>
    </w:p>
    <w:p w14:paraId="3850E840" w14:textId="77777777" w:rsidR="00485279" w:rsidRDefault="00C26200">
      <w:pPr>
        <w:pStyle w:val="BNormal"/>
      </w:pPr>
      <w:r>
        <w:t xml:space="preserve">The </w:t>
      </w:r>
      <w:smartTag w:uri="http://www.bna.com/sgml2word/cite" w:element="cite.usc">
        <w:smartTagPr>
          <w:attr w:name="ref" w:val="usc\26\199A"/>
        </w:smartTagPr>
        <w:r>
          <w:t>§199A</w:t>
        </w:r>
      </w:smartTag>
      <w:r>
        <w:t xml:space="preserve"> deduction is not allowed in calculating adjusted gross income (“AGI”),</w:t>
      </w:r>
      <w:r>
        <w:rPr>
          <w:rStyle w:val="FootnoteReference"/>
        </w:rPr>
        <w:footnoteReference w:id="24"/>
      </w:r>
      <w:r>
        <w:t xml:space="preserve"> which means that the deduction will not affect calculations tied to AGI. In some </w:t>
      </w:r>
      <w:proofErr w:type="gramStart"/>
      <w:r>
        <w:t>cases</w:t>
      </w:r>
      <w:proofErr w:type="gramEnd"/>
      <w:r>
        <w:t xml:space="preserve"> this may be beneficial to taxpayers and in other cases it may be detrimental. For example, for purposes of the calculation of the cap on the charitable contribution deduction, the exclusion of the </w:t>
      </w:r>
      <w:smartTag w:uri="http://www.bna.com/sgml2word/cite" w:element="cite.usc">
        <w:smartTagPr>
          <w:attr w:name="ref" w:val="usc\26\199A"/>
        </w:smartTagPr>
        <w:r>
          <w:t>§199A</w:t>
        </w:r>
      </w:smartTag>
      <w:r>
        <w:t xml:space="preserve"> deduction from the computation of AGI is beneficial to taxpayers because taxpayers would prefer to have a higher amount of AGI in order to be able to take a larger charitable contribution deduction.</w:t>
      </w:r>
      <w:r>
        <w:rPr>
          <w:rStyle w:val="FootnoteReference"/>
        </w:rPr>
        <w:footnoteReference w:id="25"/>
      </w:r>
      <w:r>
        <w:t xml:space="preserve"> In other contexts, the exclusion of the </w:t>
      </w:r>
      <w:smartTag w:uri="http://www.bna.com/sgml2word/cite" w:element="cite.usc">
        <w:smartTagPr>
          <w:attr w:name="ref" w:val="usc\26\199A"/>
        </w:smartTagPr>
        <w:r>
          <w:t>§199A</w:t>
        </w:r>
      </w:smartTag>
      <w:r>
        <w:t xml:space="preserve"> deduction from the computation of AGI can be detrimental to taxpayers. For instance, </w:t>
      </w:r>
      <w:smartTag w:uri="http://www.bna.com/sgml2word/cite" w:element="cite.usc">
        <w:smartTagPr>
          <w:attr w:name="ref" w:val="usc\26\21"/>
        </w:smartTagPr>
        <w:r>
          <w:t>§21</w:t>
        </w:r>
      </w:smartTag>
      <w:r>
        <w:t xml:space="preserve"> provides a credit for an “applicable percentage” of certain expenses for household and dependent care services necessary for gainful employment. The applicable percentage is generally equal to </w:t>
      </w:r>
      <w:proofErr w:type="gramStart"/>
      <w:r>
        <w:t>35%, but</w:t>
      </w:r>
      <w:proofErr w:type="gramEnd"/>
      <w:r>
        <w:t xml:space="preserve"> is subject to a reduction of 1 percentage point for each $2,000 by which the taxpayer’s AGI for the taxable year exceeds $15,000. Thus, for purposes of the calculation of thi</w:t>
      </w:r>
      <w:r>
        <w:t xml:space="preserve">s credit, the exclusion of the </w:t>
      </w:r>
      <w:smartTag w:uri="http://www.bna.com/sgml2word/cite" w:element="cite.usc">
        <w:smartTagPr>
          <w:attr w:name="ref" w:val="usc\26\199A"/>
        </w:smartTagPr>
        <w:r>
          <w:t>§199A</w:t>
        </w:r>
      </w:smartTag>
      <w:r>
        <w:t xml:space="preserve"> deduction from the computation of AGI is detrimental to taxpayers because taxpayers would prefer to have a lower amount of AGI in order to qualify for a higher applicable percentage in calculating the credit.</w:t>
      </w:r>
    </w:p>
    <w:p w14:paraId="12EAACBB" w14:textId="77777777" w:rsidR="00485279" w:rsidRDefault="00C26200">
      <w:pPr>
        <w:pStyle w:val="BNormal"/>
      </w:pPr>
      <w:r>
        <w:t xml:space="preserve">Taxpayers take the </w:t>
      </w:r>
      <w:smartTag w:uri="http://www.bna.com/sgml2word/cite" w:element="cite.usc">
        <w:smartTagPr>
          <w:attr w:name="ref" w:val="usc\26\199A"/>
        </w:smartTagPr>
        <w:r>
          <w:t>§199A</w:t>
        </w:r>
      </w:smartTag>
      <w:r>
        <w:t xml:space="preserve"> deduction into account in computing taxable income.</w:t>
      </w:r>
      <w:r>
        <w:rPr>
          <w:rStyle w:val="FootnoteReference"/>
        </w:rPr>
        <w:footnoteReference w:id="26"/>
      </w:r>
      <w:r>
        <w:t xml:space="preserve"> Individual taxpayers who itemize their deductions may claim the </w:t>
      </w:r>
      <w:smartTag w:uri="http://www.bna.com/sgml2word/cite" w:element="cite.usc">
        <w:smartTagPr>
          <w:attr w:name="ref" w:val="usc\26\199A"/>
        </w:smartTagPr>
        <w:r>
          <w:t>§199A</w:t>
        </w:r>
      </w:smartTag>
      <w:r>
        <w:t xml:space="preserve"> deduction. Individual taxpayers who take the standard deduction may also claim the </w:t>
      </w:r>
      <w:smartTag w:uri="http://www.bna.com/sgml2word/cite" w:element="cite.usc">
        <w:smartTagPr>
          <w:attr w:name="ref" w:val="usc\26\199A"/>
        </w:smartTagPr>
        <w:r>
          <w:t>§199A</w:t>
        </w:r>
      </w:smartTag>
      <w:r>
        <w:t xml:space="preserve"> deduction.</w:t>
      </w:r>
      <w:r>
        <w:rPr>
          <w:rStyle w:val="FootnoteReference"/>
        </w:rPr>
        <w:footnoteReference w:id="27"/>
      </w:r>
    </w:p>
    <w:p w14:paraId="4FF12E5E" w14:textId="77777777" w:rsidR="00485279" w:rsidRDefault="00C26200">
      <w:pPr>
        <w:pStyle w:val="BNormal"/>
      </w:pPr>
      <w:r>
        <w:lastRenderedPageBreak/>
        <w:t xml:space="preserve">The </w:t>
      </w:r>
      <w:smartTag w:uri="http://www.bna.com/sgml2word/cite" w:element="cite.usc">
        <w:smartTagPr>
          <w:attr w:name="ref" w:val="usc\26\199A"/>
        </w:smartTagPr>
        <w:r>
          <w:t>§199A</w:t>
        </w:r>
      </w:smartTag>
      <w:r>
        <w:t xml:space="preserve"> deduction is allowed only for purposes of determining income tax,</w:t>
      </w:r>
      <w:r>
        <w:rPr>
          <w:rStyle w:val="FootnoteReference"/>
        </w:rPr>
        <w:footnoteReference w:id="28"/>
      </w:r>
      <w:r>
        <w:t xml:space="preserve"> and may not, for example, be used in the computation of self-employment taxes (under </w:t>
      </w:r>
      <w:smartTag w:uri="http://www.bna.com/sgml2word/cite" w:element="cite.usc">
        <w:smartTagPr>
          <w:attr w:name="ref" w:val="usc\26\1402"/>
        </w:smartTagPr>
        <w:r>
          <w:t>§1402</w:t>
        </w:r>
      </w:smartTag>
      <w:r>
        <w:t xml:space="preserve">) or net investment income taxes (under </w:t>
      </w:r>
      <w:smartTag w:uri="http://www.bna.com/sgml2word/cite" w:element="cite.usc">
        <w:smartTagPr>
          <w:attr w:name="ref" w:val="usc\26\1411"/>
        </w:smartTagPr>
        <w:r>
          <w:t>§1411</w:t>
        </w:r>
      </w:smartTag>
      <w:r>
        <w:t>).</w:t>
      </w:r>
      <w:r>
        <w:rPr>
          <w:rStyle w:val="FootnoteReference"/>
        </w:rPr>
        <w:footnoteReference w:id="29"/>
      </w:r>
    </w:p>
    <w:p w14:paraId="728C9AF8" w14:textId="77777777" w:rsidR="00485279" w:rsidRDefault="00C26200">
      <w:pPr>
        <w:pStyle w:val="BExamplepara"/>
      </w:pPr>
      <w:r>
        <w:rPr>
          <w:rStyle w:val="BExamplehead"/>
          <w:rFonts w:eastAsiaTheme="minorHAnsi"/>
          <w:i/>
        </w:rPr>
        <w:t>Example 6:</w:t>
      </w:r>
      <w:r>
        <w:t xml:space="preserve"> Taxpayer, an unmarried individual, has threshold testing taxable income below the threshold amount. Taxpayer is a partner in a partnership, which is engaged in a motorcycle repair business that is a QTB. </w:t>
      </w:r>
      <w:proofErr w:type="gramStart"/>
      <w:r>
        <w:t>Taxpayer is</w:t>
      </w:r>
      <w:proofErr w:type="gramEnd"/>
      <w:r>
        <w:t xml:space="preserve"> allocated $70,000 of QBI by the partnership. </w:t>
      </w:r>
      <w:proofErr w:type="gramStart"/>
      <w:r>
        <w:t>Taxpayer has</w:t>
      </w:r>
      <w:proofErr w:type="gramEnd"/>
      <w:r>
        <w:t xml:space="preserve"> $5,000 of additional ordinary income and takes the $15,750 standard deduction. </w:t>
      </w:r>
      <w:proofErr w:type="gramStart"/>
      <w:r>
        <w:t>Taxpayer has</w:t>
      </w:r>
      <w:proofErr w:type="gramEnd"/>
      <w:r>
        <w:t xml:space="preserve"> no other items of income, gain, deduction, </w:t>
      </w:r>
      <w:proofErr w:type="gramStart"/>
      <w:r>
        <w:t>and</w:t>
      </w:r>
      <w:proofErr w:type="gramEnd"/>
      <w:r>
        <w:t xml:space="preserve"> loss. </w:t>
      </w:r>
      <w:proofErr w:type="gramStart"/>
      <w:r>
        <w:t>Taxpayer has</w:t>
      </w:r>
      <w:proofErr w:type="gramEnd"/>
      <w:r>
        <w:t xml:space="preserve"> a total QBI amount of $70,000 and a combined qualified business income amount o</w:t>
      </w:r>
      <w:r>
        <w:t xml:space="preserve">f $14,000 (20% of $70,000). Taxpayer’s </w:t>
      </w:r>
      <w:smartTag w:uri="http://www.bna.com/sgml2word/cite" w:element="cite.usc">
        <w:smartTagPr>
          <w:attr w:name="ref" w:val="usc\26\199A"/>
        </w:smartTagPr>
        <w:r>
          <w:t>§199A</w:t>
        </w:r>
      </w:smartTag>
      <w:r>
        <w:t xml:space="preserve"> deduction testing taxable income is $59,250 ($70,000 of QBI, plus $5,000 of additional ordinary income, minus the $15,750 standard deduction). Thus, Taxpayer’s </w:t>
      </w:r>
      <w:smartTag w:uri="http://www.bna.com/sgml2word/cite" w:element="cite.usc">
        <w:smartTagPr>
          <w:attr w:name="ref" w:val="usc\26\199A"/>
        </w:smartTagPr>
        <w:r>
          <w:t>§199A</w:t>
        </w:r>
      </w:smartTag>
      <w:r>
        <w:t xml:space="preserve"> deduction is $11,850, which is the lesser of (</w:t>
      </w:r>
      <w:proofErr w:type="spellStart"/>
      <w:r>
        <w:t>i</w:t>
      </w:r>
      <w:proofErr w:type="spellEnd"/>
      <w:r>
        <w:t xml:space="preserve">) the combined qualified business income amount, or $14,000, or (ii) 20% of the $59,250 </w:t>
      </w:r>
      <w:smartTag w:uri="http://www.bna.com/sgml2word/cite" w:element="cite.usc">
        <w:smartTagPr>
          <w:attr w:name="ref" w:val="usc\26\199A"/>
        </w:smartTagPr>
        <w:r>
          <w:t>§199A</w:t>
        </w:r>
      </w:smartTag>
      <w:r>
        <w:t xml:space="preserve"> deduction testing taxable income, or $11,850. Taxpayer’s taxable income is $47,400 ($75,000 ordinary income, minus $15,750 standard deduction, minus $11,850 </w:t>
      </w:r>
      <w:smartTag w:uri="http://www.bna.com/sgml2word/cite" w:element="cite.usc">
        <w:smartTagPr>
          <w:attr w:name="ref" w:val="usc\26\199A"/>
        </w:smartTagPr>
        <w:r>
          <w:t>§19</w:t>
        </w:r>
        <w:r>
          <w:t>9A</w:t>
        </w:r>
      </w:smartTag>
      <w:r>
        <w:t xml:space="preserve"> deduction).</w:t>
      </w:r>
    </w:p>
    <w:p w14:paraId="17221F99" w14:textId="77777777" w:rsidR="00485279" w:rsidRDefault="00C26200">
      <w:pPr>
        <w:pStyle w:val="BHead1"/>
      </w:pPr>
      <w:r>
        <w:t>B. Alternative Minimum Tax</w:t>
      </w:r>
    </w:p>
    <w:p w14:paraId="1322DBAB" w14:textId="77777777" w:rsidR="00485279" w:rsidRDefault="00C26200">
      <w:pPr>
        <w:pStyle w:val="BNormal"/>
      </w:pPr>
      <w:r>
        <w:t xml:space="preserve">A taxpayer who is subject to the alternative minimum tax (AMT) under </w:t>
      </w:r>
      <w:smartTag w:uri="http://www.bna.com/sgml2word/cite" w:element="cite.usc">
        <w:smartTagPr>
          <w:attr w:name="ref" w:val="usc\26\55"/>
        </w:smartTagPr>
        <w:r>
          <w:t>§55</w:t>
        </w:r>
      </w:smartTag>
      <w:r>
        <w:t xml:space="preserve"> may take the </w:t>
      </w:r>
      <w:smartTag w:uri="http://www.bna.com/sgml2word/cite" w:element="cite.usc">
        <w:smartTagPr>
          <w:attr w:name="ref" w:val="usc\26\199A"/>
        </w:smartTagPr>
        <w:r>
          <w:t>§199A</w:t>
        </w:r>
      </w:smartTag>
      <w:r>
        <w:t xml:space="preserve"> deduction in computing alternative minimum taxable income. The statute provides that a taxpayer’s QBI for AMT purposes equals the taxpayer’s QBI for regular tax purposes (i.e., a taxpayer's QBI for AMT purposes is determined without regard to any AMT adjustments under </w:t>
      </w:r>
      <w:smartTag w:uri="http://www.bna.com/sgml2word/cite" w:element="cite.usc">
        <w:smartTagPr>
          <w:attr w:name="ref" w:val="usc\26\56"/>
        </w:smartTagPr>
        <w:r>
          <w:t>§56</w:t>
        </w:r>
      </w:smartTag>
      <w:r>
        <w:t>–</w:t>
      </w:r>
      <w:smartTag w:uri="http://www.bna.com/sgml2word/cite" w:element="cite.usc">
        <w:smartTagPr>
          <w:attr w:name="ref" w:val="usc\26\59"/>
        </w:smartTagPr>
        <w:r>
          <w:t>§59</w:t>
        </w:r>
      </w:smartTag>
      <w:r>
        <w:t>).</w:t>
      </w:r>
      <w:r>
        <w:rPr>
          <w:rStyle w:val="FootnoteReference"/>
        </w:rPr>
        <w:footnoteReference w:id="30"/>
      </w:r>
      <w:r>
        <w:t xml:space="preserve"> The regulations, on the other hand, provide that a taxpayer's </w:t>
      </w:r>
      <w:smartTag w:uri="http://www.bna.com/sgml2word/cite" w:element="cite.usc">
        <w:smartTagPr>
          <w:attr w:name="ref" w:val="usc\26\199A"/>
        </w:smartTagPr>
        <w:r>
          <w:t>§199A</w:t>
        </w:r>
      </w:smartTag>
      <w:r>
        <w:t xml:space="preserve"> deduction for AMT purposes equals the taxpayer's </w:t>
      </w:r>
      <w:smartTag w:uri="http://www.bna.com/sgml2word/cite" w:element="cite.usc">
        <w:smartTagPr>
          <w:attr w:name="ref" w:val="usc\26\199A"/>
        </w:smartTagPr>
        <w:r>
          <w:t>§199A</w:t>
        </w:r>
      </w:smartTag>
      <w:r>
        <w:t xml:space="preserve"> deduction for regular tax purposes.</w:t>
      </w:r>
      <w:r>
        <w:rPr>
          <w:rStyle w:val="FootnoteReference"/>
        </w:rPr>
        <w:footnoteReference w:id="31"/>
      </w:r>
      <w:r>
        <w:t xml:space="preserve"> By providing that this AMT rule covers the </w:t>
      </w:r>
      <w:smartTag w:uri="http://www.bna.com/sgml2word/cite" w:element="cite.usc">
        <w:smartTagPr>
          <w:attr w:name="ref" w:val="usc\26\199A"/>
        </w:smartTagPr>
        <w:r>
          <w:t>§199A</w:t>
        </w:r>
      </w:smartTag>
      <w:r>
        <w:t xml:space="preserve"> deduction, and not just the QBI element of the deduction, the regulations have effectively expanded the rule to also cover the qualified REIT dividends/qualified PTP income element of the deduction. Thus, under the regulations, taxpayers are not required to recompute their </w:t>
      </w:r>
      <w:smartTag w:uri="http://www.bna.com/sgml2word/cite" w:element="cite.usc">
        <w:smartTagPr>
          <w:attr w:name="ref" w:val="usc\26\199A"/>
        </w:smartTagPr>
        <w:r>
          <w:t>§199A</w:t>
        </w:r>
      </w:smartTag>
      <w:r>
        <w:t xml:space="preserve"> deduction with respect to qualified REIT dividends and qualified PTP income for AMT purposes.</w:t>
      </w:r>
      <w:r>
        <w:rPr>
          <w:rStyle w:val="FootnoteReference"/>
        </w:rPr>
        <w:footnoteReference w:id="32"/>
      </w:r>
    </w:p>
    <w:p w14:paraId="3B51F39B" w14:textId="77777777" w:rsidR="00485279" w:rsidRDefault="00C26200">
      <w:pPr>
        <w:pStyle w:val="BHead1"/>
      </w:pPr>
      <w:r>
        <w:t xml:space="preserve">C. </w:t>
      </w:r>
      <w:r>
        <w:t>Relevant Passthrough Entities</w:t>
      </w:r>
    </w:p>
    <w:p w14:paraId="51FB5BE5" w14:textId="77777777" w:rsidR="00485279" w:rsidRDefault="00C26200">
      <w:pPr>
        <w:pStyle w:val="BNormal"/>
      </w:pPr>
      <w:r>
        <w:t xml:space="preserve">Partners in a partnership and shareholders in an S corporation are eligible to take the </w:t>
      </w:r>
      <w:smartTag w:uri="http://www.bna.com/sgml2word/cite" w:element="cite.usc">
        <w:smartTagPr>
          <w:attr w:name="ref" w:val="usc\26\199A"/>
        </w:smartTagPr>
        <w:r>
          <w:t>§199A</w:t>
        </w:r>
      </w:smartTag>
      <w:r>
        <w:t xml:space="preserve"> deduction.</w:t>
      </w:r>
      <w:r>
        <w:rPr>
          <w:rStyle w:val="FootnoteReference"/>
        </w:rPr>
        <w:footnoteReference w:id="33"/>
      </w:r>
      <w:r>
        <w:t xml:space="preserve"> Although trusts and estates may themselves take the </w:t>
      </w:r>
      <w:smartTag w:uri="http://www.bna.com/sgml2word/cite" w:element="cite.usc">
        <w:smartTagPr>
          <w:attr w:name="ref" w:val="usc\26\199A"/>
        </w:smartTagPr>
        <w:r>
          <w:t>§199A</w:t>
        </w:r>
      </w:smartTag>
      <w:r>
        <w:t xml:space="preserve"> deduction, it is the beneficiary of a trust or estate that instead may claim the </w:t>
      </w:r>
      <w:smartTag w:uri="http://www.bna.com/sgml2word/cite" w:element="cite.usc">
        <w:smartTagPr>
          <w:attr w:name="ref" w:val="usc\26\199A"/>
        </w:smartTagPr>
        <w:r>
          <w:t>§199A</w:t>
        </w:r>
      </w:smartTag>
      <w:r>
        <w:t xml:space="preserve"> deduction to the extent that the trust or estate passes through relevant items to the beneficiary.</w:t>
      </w:r>
    </w:p>
    <w:p w14:paraId="3301512F" w14:textId="77777777" w:rsidR="00485279" w:rsidRDefault="00C26200">
      <w:pPr>
        <w:pStyle w:val="BNormal"/>
      </w:pPr>
      <w:r>
        <w:lastRenderedPageBreak/>
        <w:t>The regulations create the term "relevant passthrough entity" (RPE) to include partnerships (except for PTPs, which are treated separately) and S corporations that are directly or indirectly owned by at least one individual, trust, or estate.</w:t>
      </w:r>
      <w:r>
        <w:rPr>
          <w:rStyle w:val="FootnoteReference"/>
        </w:rPr>
        <w:footnoteReference w:id="34"/>
      </w:r>
      <w:r>
        <w:t xml:space="preserve"> A trust or estate is also an RPE to the extent that it passes through QBI, W-2 wages, unadjusted basis immediately after acquisition (UBIA) of qualified property, qualified REIT dividends, and qualified PTP income to a beneficiary or beneficiaries.</w:t>
      </w:r>
      <w:r>
        <w:rPr>
          <w:rStyle w:val="FootnoteReference"/>
        </w:rPr>
        <w:footnoteReference w:id="35"/>
      </w:r>
      <w:r>
        <w:t xml:space="preserve"> A taxpayer calculates the </w:t>
      </w:r>
      <w:smartTag w:uri="http://www.bna.com/sgml2word/cite" w:element="cite.usc">
        <w:smartTagPr>
          <w:attr w:name="ref" w:val="usc\26\199A"/>
        </w:smartTagPr>
        <w:r>
          <w:t>§199A</w:t>
        </w:r>
      </w:smartTag>
      <w:r>
        <w:t xml:space="preserve"> deduction with regard to relevant items that the taxpayer receives directly and the taxpayer's allocable share of items from RPEs.</w:t>
      </w:r>
      <w:r>
        <w:rPr>
          <w:rStyle w:val="FootnoteReference"/>
        </w:rPr>
        <w:footnoteReference w:id="36"/>
      </w:r>
    </w:p>
    <w:p w14:paraId="54944E9E" w14:textId="77777777" w:rsidR="00485279" w:rsidRDefault="00C26200">
      <w:pPr>
        <w:pStyle w:val="BHead2"/>
      </w:pPr>
      <w:r>
        <w:t>1. Partnerships and S Corporations</w:t>
      </w:r>
    </w:p>
    <w:p w14:paraId="5898D55E" w14:textId="77777777" w:rsidR="00485279" w:rsidRDefault="00C26200">
      <w:pPr>
        <w:pStyle w:val="BNormal"/>
      </w:pPr>
      <w:r>
        <w:t xml:space="preserve">In the case of a partnership or S corporation, the </w:t>
      </w:r>
      <w:smartTag w:uri="http://www.bna.com/sgml2word/cite" w:element="cite.usc">
        <w:smartTagPr>
          <w:attr w:name="ref" w:val="usc\26\199A"/>
        </w:smartTagPr>
        <w:r>
          <w:t>§199A</w:t>
        </w:r>
      </w:smartTag>
      <w:r>
        <w:t xml:space="preserve"> deduction is determined at the partner or shareholder level.</w:t>
      </w:r>
      <w:r>
        <w:rPr>
          <w:rStyle w:val="FootnoteReference"/>
        </w:rPr>
        <w:footnoteReference w:id="37"/>
      </w:r>
      <w:r>
        <w:t xml:space="preserve"> Each partner (</w:t>
      </w:r>
      <w:proofErr w:type="spellStart"/>
      <w:r>
        <w:t>i</w:t>
      </w:r>
      <w:proofErr w:type="spellEnd"/>
      <w:r>
        <w:t xml:space="preserve">) takes into account the partner’s allocable share of each of the partnership’s qualified items of income, gain, deduction, and loss; (ii) is treated as having </w:t>
      </w:r>
      <w:smartTag w:uri="http://www.bna.com/sgml2word/cite" w:element="cite.fed.form">
        <w:smartTagPr>
          <w:attr w:name="ref" w:val="irs\formw-2"/>
        </w:smartTagPr>
        <w:r>
          <w:t>W-2</w:t>
        </w:r>
      </w:smartTag>
      <w:r>
        <w:t xml:space="preserve"> wages and UBIA of qualified property equal to the partner’s allocable share of the partnership’s </w:t>
      </w:r>
      <w:smartTag w:uri="http://www.bna.com/sgml2word/cite" w:element="cite.fed.form">
        <w:smartTagPr>
          <w:attr w:name="ref" w:val="irs\formw-2"/>
        </w:smartTagPr>
        <w:r>
          <w:t>W-2</w:t>
        </w:r>
      </w:smartTag>
      <w:r>
        <w:t xml:space="preserve"> wages and UBIA of qualified property; and (iii) takes into account the partner's allocable share of the partnership's qualified REIT dividends and qualified PTP income.</w:t>
      </w:r>
      <w:r>
        <w:rPr>
          <w:rStyle w:val="FootnoteReference"/>
        </w:rPr>
        <w:footnoteReference w:id="38"/>
      </w:r>
      <w:r>
        <w:t xml:space="preserve"> Similarly, each S corporation shareholder (</w:t>
      </w:r>
      <w:proofErr w:type="spellStart"/>
      <w:r>
        <w:t>i</w:t>
      </w:r>
      <w:proofErr w:type="spellEnd"/>
      <w:r>
        <w:t xml:space="preserve">) takes into account the shareholder’s pro rata share of each of the S corporation’s qualified items of income, gain, deduction, and loss; (ii) is treated as having </w:t>
      </w:r>
      <w:smartTag w:uri="http://www.bna.com/sgml2word/cite" w:element="cite.fed.form">
        <w:smartTagPr>
          <w:attr w:name="ref" w:val="irs\formw-2"/>
        </w:smartTagPr>
        <w:r>
          <w:t>W-2</w:t>
        </w:r>
      </w:smartTag>
      <w:r>
        <w:t xml:space="preserve"> wages and UBIA of qualified property equal to the shareholder’s pro rata share of the S corporation’s </w:t>
      </w:r>
      <w:smartTag w:uri="http://www.bna.com/sgml2word/cite" w:element="cite.fed.form">
        <w:smartTagPr>
          <w:attr w:name="ref" w:val="irs\formw-2"/>
        </w:smartTagPr>
        <w:r>
          <w:t>W-2</w:t>
        </w:r>
      </w:smartTag>
      <w:r>
        <w:t xml:space="preserve"> wages and UBIA of qualified property; and (iii) takes into account the shareholder's pro rata share of the S corporation's qualified REIT dividends and qualified PTP income.</w:t>
      </w:r>
      <w:r>
        <w:rPr>
          <w:rStyle w:val="FootnoteReference"/>
        </w:rPr>
        <w:footnoteReference w:id="39"/>
      </w:r>
      <w:r>
        <w:t xml:space="preserve"> Qualified items of income, gain, deduction, and loss are discussed in detail in </w:t>
      </w:r>
      <w:smartTag w:uri="http://www.bna.com/sgml2word/cite" w:element="cite.bna.reference">
        <w:smartTagPr>
          <w:attr w:name="bna.id.ref" w:val="TM\537.III.B"/>
        </w:smartTagPr>
        <w:r>
          <w:t>III.B.</w:t>
        </w:r>
      </w:smartTag>
      <w:r>
        <w:t xml:space="preserve">, below. The allocation of </w:t>
      </w:r>
      <w:smartTag w:uri="http://www.bna.com/sgml2word/cite" w:element="cite.fed.form">
        <w:smartTagPr>
          <w:attr w:name="ref" w:val="irs\formw-2"/>
        </w:smartTagPr>
        <w:r>
          <w:t>W-2</w:t>
        </w:r>
      </w:smartTag>
      <w:r>
        <w:t xml:space="preserve"> wages and UBIA of qualified property to partners and shareholders is discussed in detail in </w:t>
      </w:r>
      <w:smartTag w:uri="http://www.bna.com/sgml2word/cite" w:element="cite.bna.reference">
        <w:smartTagPr>
          <w:attr w:name="bna.id.ref" w:val="TM\537.III.D"/>
        </w:smartTagPr>
        <w:r>
          <w:t>III.D.</w:t>
        </w:r>
      </w:smartTag>
      <w:r>
        <w:t xml:space="preserve">, below. Qualified REIT dividends and qualified PTP income are discussed in detail in </w:t>
      </w:r>
      <w:smartTag w:uri="http://www.bna.com/sgml2word/cite" w:element="cite.bna.reference">
        <w:smartTagPr>
          <w:attr w:name="bna.id.ref" w:val="TM\537.IV"/>
        </w:smartTagPr>
        <w:r>
          <w:t>IV.</w:t>
        </w:r>
      </w:smartTag>
      <w:r>
        <w:t>, below.</w:t>
      </w:r>
    </w:p>
    <w:p w14:paraId="7A3E6C68" w14:textId="77777777" w:rsidR="00485279" w:rsidRDefault="00C26200">
      <w:pPr>
        <w:pStyle w:val="BNormal"/>
      </w:pPr>
      <w:r>
        <w:t>The regulations provide that the §199A deduction has no effect on a partner's adjusted basis in its partnership interest, an S corporation shareholder's adjusted basis in its S corporation stock, or an S corporation's accumulated adjustment account.</w:t>
      </w:r>
      <w:r>
        <w:rPr>
          <w:rStyle w:val="FootnoteReference"/>
        </w:rPr>
        <w:footnoteReference w:id="40"/>
      </w:r>
    </w:p>
    <w:p w14:paraId="47D1DC40" w14:textId="77777777" w:rsidR="00485279" w:rsidRDefault="00C26200">
      <w:pPr>
        <w:pStyle w:val="BHead2"/>
      </w:pPr>
      <w:r>
        <w:t>2. Trusts and Estates</w:t>
      </w:r>
    </w:p>
    <w:p w14:paraId="58FB5080" w14:textId="77777777" w:rsidR="00485279" w:rsidRDefault="00C26200">
      <w:pPr>
        <w:pStyle w:val="BNormal"/>
      </w:pPr>
      <w:r>
        <w:t xml:space="preserve">Depending on the specific circumstances, a trust, an estate, the owner of a trust, or the beneficiaries of a trust or estate may take the </w:t>
      </w:r>
      <w:smartTag w:uri="http://www.bna.com/sgml2word/cite" w:element="cite.usc">
        <w:smartTagPr>
          <w:attr w:name="ref" w:val="usc\26\199A"/>
        </w:smartTagPr>
        <w:r>
          <w:t>§199A</w:t>
        </w:r>
      </w:smartTag>
      <w:r>
        <w:t xml:space="preserve"> deduction.</w:t>
      </w:r>
    </w:p>
    <w:p w14:paraId="3C4C22C1" w14:textId="77777777" w:rsidR="00485279" w:rsidRDefault="00C26200">
      <w:pPr>
        <w:pStyle w:val="BNormal"/>
      </w:pPr>
      <w:r>
        <w:t xml:space="preserve">The regulations provide rules for determining the </w:t>
      </w:r>
      <w:smartTag w:uri="http://www.bna.com/sgml2word/cite" w:element="cite.usc">
        <w:smartTagPr>
          <w:attr w:name="ref" w:val="usc\26\199A"/>
        </w:smartTagPr>
        <w:r>
          <w:t>§199A</w:t>
        </w:r>
      </w:smartTag>
      <w:r>
        <w:t xml:space="preserve"> deduction with respect to trusts and estates. To the extent that a grantor or another person is treated as owning all or part of a trust </w:t>
      </w:r>
      <w:r>
        <w:lastRenderedPageBreak/>
        <w:t>under the grantor trust rules,</w:t>
      </w:r>
      <w:r>
        <w:rPr>
          <w:rStyle w:val="FootnoteReference"/>
        </w:rPr>
        <w:footnoteReference w:id="41"/>
      </w:r>
      <w:r>
        <w:t xml:space="preserve"> such person, with respect to the portion of the trust that the person is treated as owning, computes the </w:t>
      </w:r>
      <w:smartTag w:uri="http://www.bna.com/sgml2word/cite" w:element="cite.usc">
        <w:smartTagPr>
          <w:attr w:name="ref" w:val="usc\26\199A"/>
        </w:smartTagPr>
        <w:r>
          <w:t>§199A</w:t>
        </w:r>
      </w:smartTag>
      <w:r>
        <w:t xml:space="preserve"> deduction as if the person conducted the activities of the trust directly.</w:t>
      </w:r>
      <w:r>
        <w:rPr>
          <w:rStyle w:val="FootnoteReference"/>
        </w:rPr>
        <w:footnoteReference w:id="42"/>
      </w:r>
    </w:p>
    <w:p w14:paraId="4FDE214D" w14:textId="77777777" w:rsidR="00485279" w:rsidRDefault="00C26200">
      <w:pPr>
        <w:pStyle w:val="BNormal"/>
      </w:pPr>
      <w:r>
        <w:t xml:space="preserve">The income taxation of the ordinary income of </w:t>
      </w:r>
      <w:proofErr w:type="spellStart"/>
      <w:r>
        <w:t>nongrantor</w:t>
      </w:r>
      <w:proofErr w:type="spellEnd"/>
      <w:r>
        <w:t xml:space="preserve"> trusts and estates generally depends on the distributable net income (DNI) of the trust or estate.</w:t>
      </w:r>
      <w:r>
        <w:rPr>
          <w:rStyle w:val="FootnoteReference"/>
        </w:rPr>
        <w:footnoteReference w:id="43"/>
      </w:r>
      <w:r>
        <w:t xml:space="preserve"> If the trust or estate retains DNI, it is subject to tax on such income, but if the trust or estate distributes DNI it may claim an offsetting deduction, and the income will instead be taxable to the trust's or estate's beneficiary or beneficiaries.</w:t>
      </w:r>
      <w:r>
        <w:rPr>
          <w:rStyle w:val="FootnoteReference"/>
        </w:rPr>
        <w:footnoteReference w:id="44"/>
      </w:r>
    </w:p>
    <w:p w14:paraId="17B062FD" w14:textId="77777777" w:rsidR="00485279" w:rsidRDefault="00C26200">
      <w:pPr>
        <w:pStyle w:val="BNormal"/>
      </w:pPr>
      <w:r>
        <w:t>The regulations follow this framework and provide that QBI, W-2 wages, UBIA of qualified property, qualified REIT dividends, and qualified PTP income are allocated between the trust or estate and each beneficiary based on the DNI of the trust or estate that is distributed or required to be distributed to each beneficiary or that is retained by the trust or estate.</w:t>
      </w:r>
      <w:r>
        <w:rPr>
          <w:rStyle w:val="FootnoteReference"/>
        </w:rPr>
        <w:footnoteReference w:id="45"/>
      </w:r>
      <w:r>
        <w:t xml:space="preserve"> For this purpose, the trust or estate's DNI is determined with regard to the separate share rule of §</w:t>
      </w:r>
      <w:smartTag w:uri="http://www.bna.com/sgml2word/cite" w:element="cite.usc">
        <w:smartTagPr>
          <w:attr w:name="ref" w:val="USC\26\663(c)"/>
        </w:smartTagPr>
        <w:r>
          <w:t>663(c)</w:t>
        </w:r>
      </w:smartTag>
      <w:r>
        <w:t xml:space="preserve">, but without regard to </w:t>
      </w:r>
      <w:smartTag w:uri="http://www.bna.com/sgml2word/cite" w:element="cite.usc">
        <w:smartTagPr>
          <w:attr w:name="ref" w:val="usc\26\199A"/>
        </w:smartTagPr>
        <w:r>
          <w:t>§199A</w:t>
        </w:r>
      </w:smartTag>
      <w:r>
        <w:t>.</w:t>
      </w:r>
      <w:r>
        <w:rPr>
          <w:rStyle w:val="FootnoteReference"/>
        </w:rPr>
        <w:footnoteReference w:id="46"/>
      </w:r>
      <w:r>
        <w:t xml:space="preserve"> The beneficiary treats its share of QBI and other items as though the items had been allocated from an RPE.</w:t>
      </w:r>
      <w:r>
        <w:rPr>
          <w:rStyle w:val="FootnoteReference"/>
        </w:rPr>
        <w:footnoteReference w:id="47"/>
      </w:r>
      <w:r>
        <w:t xml:space="preserve"> If a trust or estate has no DNI for the taxable year, any QBI, W-2 wages, UBIA of qualified property, qualified REIT dividends, and qualified PTP income are allocated entirely to the trust.</w:t>
      </w:r>
      <w:r>
        <w:rPr>
          <w:rStyle w:val="FootnoteReference"/>
        </w:rPr>
        <w:footnoteReference w:id="48"/>
      </w:r>
    </w:p>
    <w:p w14:paraId="64D2397B" w14:textId="77777777" w:rsidR="00485279" w:rsidRDefault="00C26200">
      <w:pPr>
        <w:pStyle w:val="BNormal"/>
      </w:pPr>
      <w:r>
        <w:t>A trust or estate described in §</w:t>
      </w:r>
      <w:smartTag w:uri="http://www.bna.com/sgml2word/cite" w:element="cite.usc">
        <w:smartTagPr>
          <w:attr w:name="ref" w:val="USC\26\663(c)"/>
        </w:smartTagPr>
        <w:r>
          <w:t>663(c)</w:t>
        </w:r>
      </w:smartTag>
      <w:r>
        <w:t xml:space="preserve"> with substantially separate and independent shares for multiple beneficiaries will be treated as a single trust or estate for purposes of: (</w:t>
      </w:r>
      <w:proofErr w:type="spellStart"/>
      <w:r>
        <w:t>i</w:t>
      </w:r>
      <w:proofErr w:type="spellEnd"/>
      <w:r>
        <w:t>) determining whether the taxable income of the trust or estate exceeds the threshold amount; (ii) determining taxable income, net capital gain, net QBI, W-2 wages, UBIA of qualified property, qualified REIT dividends, and qualified PTP income for each trade or business of the trust or estate; and (iii) computing the W-2 wage and UBIA of qualified property limit</w:t>
      </w:r>
      <w:r>
        <w:t xml:space="preserve">ations. The allocation of these items to the separate shares of the trust or estate is governed by the rules of Reg. </w:t>
      </w:r>
      <w:smartTag w:uri="http://www.bna.com/sgml2word/cite" w:element="cite.cfr">
        <w:smartTagPr>
          <w:attr w:name="ref" w:val="cfr\26\1.663(c)-1"/>
        </w:smartTagPr>
        <w:r>
          <w:t>§1.663(c)-1</w:t>
        </w:r>
      </w:smartTag>
      <w:r>
        <w:t xml:space="preserve"> through </w:t>
      </w:r>
      <w:smartTag w:uri="http://www.bna.com/sgml2word/cite" w:element="cite.cfr">
        <w:smartTagPr>
          <w:attr w:name="ref" w:val="cfr\26\1.663(c)-5"/>
        </w:smartTagPr>
        <w:r>
          <w:t>§1.663(c)-5</w:t>
        </w:r>
      </w:smartTag>
      <w:r>
        <w:t>.</w:t>
      </w:r>
      <w:r>
        <w:rPr>
          <w:rStyle w:val="FootnoteReference"/>
        </w:rPr>
        <w:footnoteReference w:id="49"/>
      </w:r>
    </w:p>
    <w:p w14:paraId="6FF41F03" w14:textId="77777777" w:rsidR="00485279" w:rsidRDefault="00C26200">
      <w:pPr>
        <w:pStyle w:val="BNormal"/>
      </w:pPr>
      <w:r>
        <w:t>A charitable remainder trust described in §</w:t>
      </w:r>
      <w:smartTag w:uri="http://www.bna.com/sgml2word/cite" w:element="cite.usc">
        <w:smartTagPr>
          <w:attr w:name="ref" w:val="USC\26\664"/>
        </w:smartTagPr>
        <w:r>
          <w:t>664</w:t>
        </w:r>
      </w:smartTag>
      <w:r>
        <w:t xml:space="preserve"> is not entitled to, and does not calculate, a </w:t>
      </w:r>
      <w:smartTag w:uri="http://www.bna.com/sgml2word/cite" w:element="cite.usc">
        <w:smartTagPr>
          <w:attr w:name="ref" w:val="usc\26\199A"/>
        </w:smartTagPr>
        <w:r>
          <w:t>§199A</w:t>
        </w:r>
      </w:smartTag>
      <w:r>
        <w:t xml:space="preserve"> deduction. However, any taxable recipient of a unitrust or annuity amount from a charitable remainder trust may take into account QBI, qualified REIT dividends, and qualified PTP income of the trust for purposes of determining its own </w:t>
      </w:r>
      <w:smartTag w:uri="http://www.bna.com/sgml2word/cite" w:element="cite.usc">
        <w:smartTagPr>
          <w:attr w:name="ref" w:val="usc\26\199A"/>
        </w:smartTagPr>
        <w:r>
          <w:t>§199A</w:t>
        </w:r>
      </w:smartTag>
      <w:r>
        <w:t xml:space="preserve"> deduction, to the extent that the unitrust or annuity amount distributed to the recipient consists of such </w:t>
      </w:r>
      <w:smartTag w:uri="http://www.bna.com/sgml2word/cite" w:element="cite.usc">
        <w:smartTagPr>
          <w:attr w:name="ref" w:val="usc\26\199A"/>
        </w:smartTagPr>
        <w:r>
          <w:t>§199A</w:t>
        </w:r>
      </w:smartTag>
      <w:r>
        <w:t xml:space="preserve"> items under Reg. </w:t>
      </w:r>
      <w:smartTag w:uri="http://www.bna.com/sgml2word/cite" w:element="cite.cfr">
        <w:smartTagPr>
          <w:attr w:name="ref" w:val="cfr\26\1.664-1(d)"/>
        </w:smartTagPr>
        <w:r>
          <w:t>§1.664-1(d)</w:t>
        </w:r>
      </w:smartTag>
      <w:r>
        <w:t xml:space="preserve">. Such a recipient must determine and apply </w:t>
      </w:r>
      <w:proofErr w:type="gramStart"/>
      <w:r>
        <w:t>its</w:t>
      </w:r>
      <w:proofErr w:type="gramEnd"/>
      <w:r>
        <w:t xml:space="preserve"> own threshold amount for purposes of </w:t>
      </w:r>
      <w:smartTag w:uri="http://www.bna.com/sgml2word/cite" w:element="cite.usc">
        <w:smartTagPr>
          <w:attr w:name="ref" w:val="usc\26\199A"/>
        </w:smartTagPr>
        <w:r>
          <w:t>§199A</w:t>
        </w:r>
      </w:smartTag>
      <w:r>
        <w:t xml:space="preserve">, </w:t>
      </w:r>
      <w:proofErr w:type="gramStart"/>
      <w:r>
        <w:t>taking into account</w:t>
      </w:r>
      <w:proofErr w:type="gramEnd"/>
      <w:r>
        <w:t xml:space="preserve"> any annuity or un</w:t>
      </w:r>
      <w:r>
        <w:t>itrust amounts received from the trust.</w:t>
      </w:r>
      <w:r>
        <w:rPr>
          <w:rStyle w:val="FootnoteReference"/>
        </w:rPr>
        <w:footnoteReference w:id="50"/>
      </w:r>
    </w:p>
    <w:p w14:paraId="0356B58C" w14:textId="77777777" w:rsidR="00485279" w:rsidRDefault="00C26200">
      <w:pPr>
        <w:pStyle w:val="BNormal"/>
      </w:pPr>
      <w:r>
        <w:lastRenderedPageBreak/>
        <w:t xml:space="preserve">Prior to the issuance of the regulations, some commentators had raised the question of whether an electing small business trust (or ESBT) was able to take the </w:t>
      </w:r>
      <w:smartTag w:uri="http://www.bna.com/sgml2word/cite" w:element="cite.usc">
        <w:smartTagPr>
          <w:attr w:name="ref" w:val="usc\26\199A"/>
        </w:smartTagPr>
        <w:r>
          <w:t>§199A</w:t>
        </w:r>
      </w:smartTag>
      <w:r>
        <w:t xml:space="preserve"> deduction.</w:t>
      </w:r>
      <w:r>
        <w:rPr>
          <w:rStyle w:val="FootnoteReference"/>
        </w:rPr>
        <w:footnoteReference w:id="51"/>
      </w:r>
      <w:r>
        <w:t xml:space="preserve"> The regulations provide that an ESBT is entitled to the §199A deduction, and provide rules for how the S portion of an ESBT, the grantor portion of the ESBT, and the non-S portion of the ESBT take QBI and other items into account.</w:t>
      </w:r>
      <w:r>
        <w:rPr>
          <w:rStyle w:val="FootnoteReference"/>
        </w:rPr>
        <w:footnoteReference w:id="52"/>
      </w:r>
    </w:p>
    <w:p w14:paraId="307F6E4A" w14:textId="77777777" w:rsidR="00485279" w:rsidRDefault="00C26200">
      <w:pPr>
        <w:pStyle w:val="BHead1"/>
      </w:pPr>
      <w:r>
        <w:t>D. Foreign Taxpayers</w:t>
      </w:r>
    </w:p>
    <w:p w14:paraId="23B6C9BA" w14:textId="77777777" w:rsidR="00485279" w:rsidRDefault="00C26200">
      <w:pPr>
        <w:pStyle w:val="BNormal"/>
      </w:pPr>
      <w:r>
        <w:t>QBI is limited to income effectively connected with the conduct of a trade or business within the United States.</w:t>
      </w:r>
      <w:r>
        <w:rPr>
          <w:rStyle w:val="FootnoteReference"/>
        </w:rPr>
        <w:footnoteReference w:id="53"/>
      </w:r>
      <w:r>
        <w:t xml:space="preserve"> However, there is no rule limiting the </w:t>
      </w:r>
      <w:smartTag w:uri="http://www.bna.com/sgml2word/cite" w:element="cite.usc">
        <w:smartTagPr>
          <w:attr w:name="ref" w:val="usc\26\199A"/>
        </w:smartTagPr>
        <w:r>
          <w:t>§199A</w:t>
        </w:r>
      </w:smartTag>
      <w:r>
        <w:t xml:space="preserve"> deduction to citizens and residents of the United States. Accordingly, nonresident aliens, foreign trusts, and foreign estates subject to tax under </w:t>
      </w:r>
      <w:smartTag w:uri="http://www.bna.com/sgml2word/cite" w:element="cite.usc">
        <w:smartTagPr>
          <w:attr w:name="ref" w:val="usc\26\871(b)"/>
        </w:smartTagPr>
        <w:r>
          <w:t>§871(b)</w:t>
        </w:r>
      </w:smartTag>
      <w:r>
        <w:t xml:space="preserve"> with respect to income effectively connected with the conduct of a trade or business in the United States should be able to take the deduction with respect to effectively connected income.</w:t>
      </w:r>
      <w:r>
        <w:rPr>
          <w:rStyle w:val="FootnoteReference"/>
        </w:rPr>
        <w:footnoteReference w:id="54"/>
      </w:r>
    </w:p>
    <w:p w14:paraId="3665AAEE" w14:textId="77777777" w:rsidR="00485279" w:rsidRDefault="00C26200">
      <w:pPr>
        <w:pStyle w:val="BHead1"/>
      </w:pPr>
      <w:r>
        <w:t>E. Transition Rule</w:t>
      </w:r>
    </w:p>
    <w:p w14:paraId="755B3570" w14:textId="77777777" w:rsidR="00485279" w:rsidRDefault="00C26200">
      <w:pPr>
        <w:pStyle w:val="BNormal"/>
      </w:pPr>
      <w:r>
        <w:t xml:space="preserve">Section </w:t>
      </w:r>
      <w:smartTag w:uri="http://www.bna.com/sgml2word/cite" w:element="cite.usc">
        <w:smartTagPr>
          <w:attr w:name="ref" w:val="usc\26\199A"/>
        </w:smartTagPr>
        <w:r>
          <w:t>199A</w:t>
        </w:r>
      </w:smartTag>
      <w:r>
        <w:t xml:space="preserve"> applies to taxable years of taxpayers beginning after December 31, 2017.</w:t>
      </w:r>
      <w:r>
        <w:rPr>
          <w:rStyle w:val="FootnoteReference"/>
        </w:rPr>
        <w:footnoteReference w:id="55"/>
      </w:r>
      <w:r>
        <w:t xml:space="preserve"> The regulations provide a transition rule for relevant passthrough entities (RPEs) with a taxable year that began before January 1, 2018 and ends after December 31, 2017. For purposes of determining QBI, W-2 wages, unadjusted basis immediately after acquisition (UBIA) of qualified property, and the aggregate amount of qualified REIT dividends and qualified PTP income, if an RPE allocates such items for such a taxable year, “such items are treated as having been incurred” by the taxpayer during the taxpayer</w:t>
      </w:r>
      <w:r>
        <w:t>'s taxable year in which or with which the RPE's taxable year ends,</w:t>
      </w:r>
      <w:r>
        <w:rPr>
          <w:rStyle w:val="FootnoteReference"/>
        </w:rPr>
        <w:footnoteReference w:id="56"/>
      </w:r>
      <w:r>
        <w:t xml:space="preserve"> and therefore the taxpayer takes such items into account in determining the taxpayer's </w:t>
      </w:r>
      <w:smartTag w:uri="http://www.bna.com/sgml2word/cite" w:element="cite.usc">
        <w:smartTagPr>
          <w:attr w:name="ref" w:val="usc\26\199A"/>
        </w:smartTagPr>
        <w:r>
          <w:t>§199A</w:t>
        </w:r>
      </w:smartTag>
      <w:r>
        <w:t xml:space="preserve"> deduction for 2018.</w:t>
      </w:r>
    </w:p>
    <w:p w14:paraId="471E06BE" w14:textId="77777777" w:rsidR="00485279" w:rsidRDefault="00C26200">
      <w:pPr>
        <w:pStyle w:val="BExamplepara"/>
      </w:pPr>
      <w:r>
        <w:rPr>
          <w:rStyle w:val="BExamplehead"/>
          <w:rFonts w:eastAsiaTheme="minorHAnsi"/>
          <w:i/>
        </w:rPr>
        <w:t>Example 7:</w:t>
      </w:r>
      <w:r>
        <w:t xml:space="preserve"> A, an individual calendar-year taxpayer, owns 20% of an S corporation that engages in </w:t>
      </w:r>
      <w:proofErr w:type="gramStart"/>
      <w:r>
        <w:t>a QTB</w:t>
      </w:r>
      <w:proofErr w:type="gramEnd"/>
      <w:r>
        <w:t xml:space="preserve">. The S corporation has QBI, W-2 wages, UBIA of qualified property, qualified REIT dividends, and qualified PTP income for a taxable year that began on November 1, 2017, and ends on October 31, 2018. A is treated as having incurred such items for the 2018 taxable year and takes such items into account in calculating A's </w:t>
      </w:r>
      <w:smartTag w:uri="http://www.bna.com/sgml2word/cite" w:element="cite.usc">
        <w:smartTagPr>
          <w:attr w:name="ref" w:val="usc\26\199A"/>
        </w:smartTagPr>
        <w:r>
          <w:t>§199A</w:t>
        </w:r>
      </w:smartTag>
      <w:r>
        <w:t xml:space="preserve"> deduction in 2018. The same result would follow if the S corporation had incurred a loss in </w:t>
      </w:r>
      <w:r>
        <w:t>its QTB.</w:t>
      </w:r>
    </w:p>
    <w:p w14:paraId="65F58701" w14:textId="77777777" w:rsidR="00485279" w:rsidRDefault="00C26200">
      <w:pPr>
        <w:pStyle w:val="BHead1"/>
      </w:pPr>
      <w:r>
        <w:t>F. Minimum Deduction for Active Qualified Business Income</w:t>
      </w:r>
    </w:p>
    <w:p w14:paraId="1749255B" w14:textId="77777777" w:rsidR="00485279" w:rsidRDefault="00C26200">
      <w:pPr>
        <w:pStyle w:val="BNormal"/>
      </w:pPr>
      <w:r>
        <w:lastRenderedPageBreak/>
        <w:t>For taxable years beginning after 2025, the One Big Beautiful Bill Act</w:t>
      </w:r>
      <w:r>
        <w:rPr>
          <w:rStyle w:val="FootnoteReference"/>
        </w:rPr>
        <w:footnoteReference w:id="57"/>
      </w:r>
      <w:r>
        <w:t xml:space="preserve"> (OBBBA) establishes a new minimum deduction for certain applicable taxpayers for active qualified business income. The minimum deduction is equal to the greater of the </w:t>
      </w:r>
      <w:smartTag w:uri="http://www.bna.com/sgml2word/cite" w:element="cite.usc">
        <w:smartTagPr>
          <w:attr w:name="ref" w:val="usc\26\199A"/>
        </w:smartTagPr>
        <w:r>
          <w:t>§199A</w:t>
        </w:r>
      </w:smartTag>
      <w:r>
        <w:t xml:space="preserve"> deduction or $400, annually adjusted for inflation.</w:t>
      </w:r>
      <w:r>
        <w:rPr>
          <w:rStyle w:val="FootnoteReference"/>
        </w:rPr>
        <w:footnoteReference w:id="58"/>
      </w:r>
    </w:p>
    <w:p w14:paraId="6C2ACE6D" w14:textId="77777777" w:rsidR="00485279" w:rsidRDefault="00C26200">
      <w:pPr>
        <w:pStyle w:val="BNormal"/>
      </w:pPr>
      <w:r>
        <w:t>To qualify as an applicable taxpayer for a taxable year, a taxpayer must have aggregate qualified business income with respect to all active qualified trades or businesses of the taxpayer of at least $1,000, annually adjusted for inflation. An active qualified trade or business is any qualified trade or business of the taxpayer in which the taxpayer materially participates.</w:t>
      </w:r>
      <w:r>
        <w:rPr>
          <w:rStyle w:val="FootnoteReference"/>
        </w:rPr>
        <w:footnoteReference w:id="59"/>
      </w:r>
    </w:p>
    <w:sectPr w:rsidR="00485279">
      <w:footnotePr>
        <w:numStart w:val="36"/>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30F77" w14:textId="77777777" w:rsidR="00C26200" w:rsidRDefault="00C26200">
      <w:pPr>
        <w:spacing w:before="0" w:after="0"/>
      </w:pPr>
      <w:r>
        <w:separator/>
      </w:r>
    </w:p>
  </w:endnote>
  <w:endnote w:type="continuationSeparator" w:id="0">
    <w:p w14:paraId="24A0CB89" w14:textId="77777777" w:rsidR="00C26200" w:rsidRDefault="00C262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7185" w14:textId="77777777" w:rsidR="00C26200" w:rsidRDefault="00C26200">
      <w:pPr>
        <w:spacing w:before="0" w:after="0"/>
      </w:pPr>
      <w:r>
        <w:separator/>
      </w:r>
    </w:p>
  </w:footnote>
  <w:footnote w:type="continuationSeparator" w:id="0">
    <w:p w14:paraId="2C0DA963" w14:textId="77777777" w:rsidR="00C26200" w:rsidRDefault="00C26200">
      <w:pPr>
        <w:spacing w:before="0" w:after="0"/>
      </w:pPr>
      <w:r>
        <w:continuationSeparator/>
      </w:r>
    </w:p>
  </w:footnote>
  <w:footnote w:id="1">
    <w:p w14:paraId="62D3B663" w14:textId="77777777" w:rsidR="00485279" w:rsidRDefault="00C26200">
      <w:pPr>
        <w:pStyle w:val="FootnoteText"/>
      </w:pPr>
      <w:r>
        <w:rPr>
          <w:rStyle w:val="FootnoteReference"/>
        </w:rPr>
        <w:footnoteRef/>
      </w:r>
      <w:smartTag w:uri="http://www.bna.com/sgml2word/cite" w:element="cite.usc">
        <w:smartTagPr>
          <w:attr w:name="ref" w:val="usc\26\199A(a)(1)"/>
        </w:smartTagPr>
        <w:r>
          <w:t>§199A(a)(1)</w:t>
        </w:r>
      </w:smartTag>
      <w:r>
        <w:t xml:space="preserve">. </w:t>
      </w:r>
    </w:p>
  </w:footnote>
  <w:footnote w:id="2">
    <w:p w14:paraId="6F08CC4E" w14:textId="77777777" w:rsidR="00485279" w:rsidRDefault="00C26200">
      <w:pPr>
        <w:pStyle w:val="FootnoteText"/>
      </w:pPr>
      <w:r>
        <w:rPr>
          <w:rStyle w:val="FootnoteReference"/>
        </w:rPr>
        <w:footnoteRef/>
      </w:r>
      <w:smartTag w:uri="http://www.bna.com/sgml2word/cite" w:element="cite.usc">
        <w:smartTagPr>
          <w:attr w:name="ref" w:val="usc\26\199A(a)(2)"/>
        </w:smartTagPr>
        <w:r>
          <w:t>§199A(a)(2)</w:t>
        </w:r>
      </w:smartTag>
      <w:r>
        <w:t xml:space="preserve">, </w:t>
      </w:r>
      <w:smartTag w:uri="http://www.bna.com/sgml2word/cite" w:element="cite.usc">
        <w:smartTagPr>
          <w:attr w:name="ref" w:val="USC\26\199A(e)(1)"/>
        </w:smartTagPr>
        <w:r>
          <w:t>§199A(e)(1)</w:t>
        </w:r>
      </w:smartTag>
      <w:r>
        <w:t xml:space="preserve">. Net capital gain means net capital gain as defined in </w:t>
      </w:r>
      <w:smartTag w:uri="http://www.bna.com/sgml2word/cite" w:element="cite.usc">
        <w:smartTagPr>
          <w:attr w:name="ref" w:val="usc\26\1222(11)"/>
        </w:smartTagPr>
        <w:r>
          <w:t>§1222(11)</w:t>
        </w:r>
      </w:smartTag>
      <w:r>
        <w:t xml:space="preserve"> plus any qualified dividend income (as defined in </w:t>
      </w:r>
      <w:smartTag w:uri="http://www.bna.com/sgml2word/cite" w:element="cite.usc">
        <w:smartTagPr>
          <w:attr w:name="ref" w:val="usc\26\1(h)(11)(B)"/>
        </w:smartTagPr>
        <w:r>
          <w:t>§1(h)(11)(B)</w:t>
        </w:r>
      </w:smartTag>
      <w:r>
        <w:t xml:space="preserve">) for the taxable year. Reg. </w:t>
      </w:r>
      <w:smartTag w:uri="http://www.bna.com/sgml2word/cite" w:element="cite.cfr">
        <w:smartTagPr>
          <w:attr w:name="ref" w:val="cfr\26\1.199A-1(b)(3)"/>
        </w:smartTagPr>
        <w:r>
          <w:t>§1.199A-1(b)(3)</w:t>
        </w:r>
      </w:smartTag>
      <w:r>
        <w:t xml:space="preserve">. For a visual depiction of the formula in §199A(a), see Formulas Illustrated, </w:t>
      </w:r>
      <w:hyperlink r:id="rId1" w:history="1">
        <w:r>
          <w:rPr>
            <w:rStyle w:val="Hyperlink"/>
            <w:i/>
          </w:rPr>
          <w:t>§199A(a): Qualified Business Income Deduction</w:t>
        </w:r>
      </w:hyperlink>
      <w:r>
        <w:t>.</w:t>
      </w:r>
    </w:p>
  </w:footnote>
  <w:footnote w:id="3">
    <w:p w14:paraId="3F92AC18" w14:textId="77777777" w:rsidR="00485279" w:rsidRDefault="00C26200">
      <w:pPr>
        <w:pStyle w:val="FootnoteText"/>
      </w:pPr>
      <w:r>
        <w:rPr>
          <w:rStyle w:val="FootnoteReference"/>
        </w:rPr>
        <w:footnoteRef/>
      </w:r>
      <w:smartTag w:uri="http://www.bna.com/sgml2word/cite" w:element="cite.usc">
        <w:smartTagPr>
          <w:attr w:name="ref" w:val="USC\26\199A(b)(1)(A)"/>
        </w:smartTagPr>
        <w:r>
          <w:t>§199A(b)(1)(A)</w:t>
        </w:r>
      </w:smartTag>
      <w:r>
        <w:t xml:space="preserve">, </w:t>
      </w:r>
      <w:smartTag w:uri="http://www.bna.com/sgml2word/cite" w:element="cite.usc">
        <w:smartTagPr>
          <w:attr w:name="ref" w:val="usc\26\199A(b)(2)(A)"/>
        </w:smartTagPr>
        <w:r>
          <w:t>§199A(b)(2)(A)</w:t>
        </w:r>
      </w:smartTag>
      <w:r>
        <w:t xml:space="preserve">. </w:t>
      </w:r>
    </w:p>
  </w:footnote>
  <w:footnote w:id="4">
    <w:p w14:paraId="78E0F3F3" w14:textId="77777777" w:rsidR="00485279" w:rsidRDefault="00C26200">
      <w:pPr>
        <w:pStyle w:val="FootnoteText"/>
      </w:pPr>
      <w:r>
        <w:rPr>
          <w:rStyle w:val="FootnoteReference"/>
        </w:rPr>
        <w:footnoteRef/>
      </w:r>
      <w:r>
        <w:t xml:space="preserve">The wage-basis limit is discussed more fully in </w:t>
      </w:r>
      <w:smartTag w:uri="http://www.bna.com/sgml2word/cite" w:element="cite.bna.reference">
        <w:smartTagPr>
          <w:attr w:name="bna.id.ref" w:val="TM\537.III.D"/>
        </w:smartTagPr>
        <w:r>
          <w:t>III.D.</w:t>
        </w:r>
      </w:smartTag>
      <w:r>
        <w:t>, below.</w:t>
      </w:r>
    </w:p>
  </w:footnote>
  <w:footnote w:id="5">
    <w:p w14:paraId="68FBAC4F" w14:textId="77777777" w:rsidR="00485279" w:rsidRDefault="00C26200">
      <w:pPr>
        <w:pStyle w:val="FootnoteText"/>
      </w:pPr>
      <w:r>
        <w:rPr>
          <w:rStyle w:val="FootnoteReference"/>
        </w:rPr>
        <w:footnoteRef/>
      </w:r>
      <w:smartTag w:uri="http://www.bna.com/sgml2word/cite" w:element="cite.usc">
        <w:smartTagPr>
          <w:attr w:name="ref" w:val="usc\26\199A(b)(1)(B)"/>
        </w:smartTagPr>
        <w:r>
          <w:t>§199A(b)(1)(B)</w:t>
        </w:r>
      </w:smartTag>
      <w:r>
        <w:t xml:space="preserve">. Qualified REIT dividends and qualified publicly traded partnership income are defined in Reg. </w:t>
      </w:r>
      <w:smartTag w:uri="http://www.bna.com/sgml2word/cite" w:element="cite.cfr">
        <w:smartTagPr>
          <w:attr w:name="ref" w:val="cfr\26\1.199A-3(c)(2)"/>
        </w:smartTagPr>
        <w:r>
          <w:t>§1.199A-3(c)(2)</w:t>
        </w:r>
      </w:smartTag>
      <w:r>
        <w:t xml:space="preserve"> and </w:t>
      </w:r>
      <w:smartTag w:uri="http://www.bna.com/sgml2word/cite" w:element="cite.cfr">
        <w:smartTagPr>
          <w:attr w:name="ref" w:val="cfr\26\1.199A-3(c)(3)"/>
        </w:smartTagPr>
        <w:r>
          <w:t>§1.199A-3(c)(3)</w:t>
        </w:r>
      </w:smartTag>
      <w:r>
        <w:t xml:space="preserve"> and are discussed more fully in </w:t>
      </w:r>
      <w:smartTag w:uri="http://www.bna.com/sgml2word/cite" w:element="cite.bna.reference">
        <w:smartTagPr>
          <w:attr w:name="bna.id.ref" w:val="TM\537.IV.A"/>
        </w:smartTagPr>
        <w:r>
          <w:t>IV.A.</w:t>
        </w:r>
      </w:smartTag>
      <w:r>
        <w:t xml:space="preserve"> and </w:t>
      </w:r>
      <w:smartTag w:uri="http://www.bna.com/sgml2word/cite" w:element="cite.bna.reference">
        <w:smartTagPr>
          <w:attr w:name="bna.id.ref" w:val="TM\537.IV.B"/>
        </w:smartTagPr>
        <w:r>
          <w:t>IV.B.</w:t>
        </w:r>
      </w:smartTag>
      <w:r>
        <w:t>, below.</w:t>
      </w:r>
    </w:p>
  </w:footnote>
  <w:footnote w:id="6">
    <w:p w14:paraId="1A0E366E" w14:textId="77777777" w:rsidR="00485279" w:rsidRDefault="00C26200">
      <w:pPr>
        <w:pStyle w:val="FootnoteText"/>
      </w:pPr>
      <w:r>
        <w:rPr>
          <w:rStyle w:val="FootnoteReference"/>
        </w:rPr>
        <w:footnoteRef/>
      </w:r>
      <w:r>
        <w:t>§</w:t>
      </w:r>
      <w:smartTag w:uri="http://www.bna.com/sgml2word/cite" w:element="cite.usc">
        <w:smartTagPr>
          <w:attr w:name="ref" w:val="USC\26\199A(b)(1)(A)"/>
        </w:smartTagPr>
        <w:r>
          <w:t>199A(b)(1)(A),</w:t>
        </w:r>
      </w:smartTag>
      <w:r>
        <w:t xml:space="preserve"> §</w:t>
      </w:r>
      <w:smartTag w:uri="http://www.bna.com/sgml2word/cite" w:element="cite.usc">
        <w:smartTagPr>
          <w:attr w:name="ref" w:val="USC\26\199A(b)(2)"/>
        </w:smartTagPr>
        <w:r>
          <w:t>199A(b)(2)(A).</w:t>
        </w:r>
      </w:smartTag>
    </w:p>
  </w:footnote>
  <w:footnote w:id="7">
    <w:p w14:paraId="2E4AEABC" w14:textId="77777777" w:rsidR="00485279" w:rsidRDefault="00C26200">
      <w:pPr>
        <w:pStyle w:val="FootnoteText"/>
      </w:pPr>
      <w:r>
        <w:rPr>
          <w:rStyle w:val="FootnoteReference"/>
        </w:rPr>
        <w:footnoteRef/>
      </w:r>
      <w:r>
        <w:t>§</w:t>
      </w:r>
      <w:smartTag w:uri="http://www.bna.com/sgml2word/cite" w:element="cite.usc">
        <w:smartTagPr>
          <w:attr w:name="ref" w:val="USC\26\199A(d)(1)"/>
        </w:smartTagPr>
        <w:r>
          <w:t>199A(d)(1)(B).</w:t>
        </w:r>
      </w:smartTag>
    </w:p>
  </w:footnote>
  <w:footnote w:id="8">
    <w:p w14:paraId="0B1C00CC" w14:textId="77777777" w:rsidR="00485279" w:rsidRDefault="00C26200">
      <w:pPr>
        <w:pStyle w:val="FootnoteText"/>
      </w:pPr>
      <w:r>
        <w:rPr>
          <w:rStyle w:val="FootnoteReference"/>
        </w:rPr>
        <w:footnoteRef/>
      </w:r>
      <w:r>
        <w:t>§</w:t>
      </w:r>
      <w:smartTag w:uri="http://www.bna.com/sgml2word/cite" w:element="cite.usc">
        <w:smartTagPr>
          <w:attr w:name="ref" w:val="USC\26\199A(d)(1)"/>
        </w:smartTagPr>
        <w:r>
          <w:t>199A(d)(1)(A),</w:t>
        </w:r>
      </w:smartTag>
      <w:r>
        <w:t xml:space="preserve"> §</w:t>
      </w:r>
      <w:smartTag w:uri="http://www.bna.com/sgml2word/cite" w:element="cite.usc">
        <w:smartTagPr>
          <w:attr w:name="ref" w:val="USC\26\199A(d)(3)"/>
        </w:smartTagPr>
        <w:r>
          <w:t>199A(d)(3).</w:t>
        </w:r>
      </w:smartTag>
      <w:r>
        <w:t xml:space="preserve"> SSTBs are discussed more fully in </w:t>
      </w:r>
      <w:smartTag w:uri="http://www.bna.com/sgml2word/cite" w:element="cite.bna.reference">
        <w:smartTagPr>
          <w:attr w:name="bna.id.ref" w:val="TM\537.III.C.2.b"/>
        </w:smartTagPr>
        <w:r>
          <w:t>III.C.2.b.</w:t>
        </w:r>
      </w:smartTag>
      <w:r>
        <w:t>, below.</w:t>
      </w:r>
    </w:p>
  </w:footnote>
  <w:footnote w:id="9">
    <w:p w14:paraId="4C57450F"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d)"/>
        </w:smartTagPr>
        <w:r>
          <w:t>§1.199A-1(d).</w:t>
        </w:r>
      </w:smartTag>
    </w:p>
  </w:footnote>
  <w:footnote w:id="10">
    <w:p w14:paraId="4B013E12"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b)(14)"/>
        </w:smartTagPr>
        <w:r>
          <w:t>§1.199A-1(b)(14)</w:t>
        </w:r>
      </w:smartTag>
      <w:r>
        <w:t>.</w:t>
      </w:r>
    </w:p>
  </w:footnote>
  <w:footnote w:id="11">
    <w:p w14:paraId="09B7086B"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b)(5)"/>
        </w:smartTagPr>
        <w:r>
          <w:t>§1.199A-1(b)(5)</w:t>
        </w:r>
      </w:smartTag>
      <w:r>
        <w:t xml:space="preserve">, </w:t>
      </w:r>
      <w:smartTag w:uri="http://www.bna.com/sgml2word/cite" w:element="cite.cfr">
        <w:smartTagPr>
          <w:attr w:name="ref" w:val="cfr\26\1.199A-1(b)(13)"/>
        </w:smartTagPr>
        <w:r>
          <w:t>§1.199A-1(b)(13)</w:t>
        </w:r>
      </w:smartTag>
      <w:r>
        <w:t xml:space="preserve">. The loss rules are discussed more fully at </w:t>
      </w:r>
      <w:smartTag w:uri="http://www.bna.com/sgml2word/cite" w:element="cite.bna.reference">
        <w:smartTagPr>
          <w:attr w:name="bna.id.ref" w:val="TM\537.III.B.3"/>
        </w:smartTagPr>
        <w:r>
          <w:t>III.B.3.</w:t>
        </w:r>
      </w:smartTag>
      <w:r>
        <w:t xml:space="preserve"> and </w:t>
      </w:r>
      <w:smartTag w:uri="http://www.bna.com/sgml2word/cite" w:element="cite.bna.reference">
        <w:smartTagPr>
          <w:attr w:name="bna.id.ref" w:val="TM\537.IV.C"/>
        </w:smartTagPr>
        <w:r>
          <w:t>IV.C.</w:t>
        </w:r>
      </w:smartTag>
      <w:r>
        <w:t>, below.</w:t>
      </w:r>
    </w:p>
  </w:footnote>
  <w:footnote w:id="12">
    <w:p w14:paraId="4DCA961C"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c)(2)"/>
        </w:smartTagPr>
        <w:r>
          <w:t>§1.199A-1(c)(2)</w:t>
        </w:r>
      </w:smartTag>
      <w:r>
        <w:t xml:space="preserve">, </w:t>
      </w:r>
      <w:smartTag w:uri="http://www.bna.com/sgml2word/cite" w:element="cite.cfr">
        <w:smartTagPr>
          <w:attr w:name="ref" w:val="cfr\26\1.199A-1(d)(2)(iii)"/>
        </w:smartTagPr>
        <w:r>
          <w:t>§1.199A-1(d)(2)(iii)</w:t>
        </w:r>
      </w:smartTag>
      <w:r>
        <w:t xml:space="preserve">, </w:t>
      </w:r>
      <w:smartTag w:uri="http://www.bna.com/sgml2word/cite" w:element="cite.cfr">
        <w:smartTagPr>
          <w:attr w:name="ref" w:val="cfr\26\1.199A-1(d)(3)(iii)"/>
        </w:smartTagPr>
        <w:r>
          <w:t>§1.199A-1(d)(3)(iii)</w:t>
        </w:r>
      </w:smartTag>
      <w:r>
        <w:t>.</w:t>
      </w:r>
    </w:p>
  </w:footnote>
  <w:footnote w:id="13">
    <w:p w14:paraId="6FED9493"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c)"/>
        </w:smartTagPr>
        <w:r>
          <w:t>§1.199A-1(c)</w:t>
        </w:r>
      </w:smartTag>
      <w:r>
        <w:t xml:space="preserve">, </w:t>
      </w:r>
      <w:smartTag w:uri="http://www.bna.com/sgml2word/cite" w:element="cite.cfr">
        <w:smartTagPr>
          <w:attr w:name="ref" w:val="cfr\26\1.199A-1(d)"/>
        </w:smartTagPr>
        <w:r>
          <w:t>§1.199A-1(d).</w:t>
        </w:r>
      </w:smartTag>
    </w:p>
  </w:footnote>
  <w:footnote w:id="14">
    <w:p w14:paraId="0869B488"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c)(1)"/>
        </w:smartTagPr>
        <w:r>
          <w:t>§1.199A-1(c)(1)</w:t>
        </w:r>
      </w:smartTag>
      <w:smartTag w:uri="http://www.bna.com/sgml2word/cite" w:element="cite.cfr">
        <w:smartTagPr>
          <w:attr w:name="ref" w:val="cfr\26\1.199A-1(d)"/>
        </w:smartTagPr>
        <w:r>
          <w:t>.</w:t>
        </w:r>
      </w:smartTag>
    </w:p>
  </w:footnote>
  <w:footnote w:id="15">
    <w:p w14:paraId="5A3F72E3"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b)(14)"/>
        </w:smartTagPr>
        <w:r>
          <w:t>§1.199A-1(b)(14)</w:t>
        </w:r>
      </w:smartTag>
      <w:r>
        <w:t>.</w:t>
      </w:r>
    </w:p>
  </w:footnote>
  <w:footnote w:id="16">
    <w:p w14:paraId="4F27521E"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b)(13)"/>
        </w:smartTagPr>
        <w:r>
          <w:t>§1.199A-1(b)(13)</w:t>
        </w:r>
      </w:smartTag>
      <w:r>
        <w:t>.</w:t>
      </w:r>
    </w:p>
  </w:footnote>
  <w:footnote w:id="17">
    <w:p w14:paraId="32863911"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b)(6)"/>
        </w:smartTagPr>
        <w:r>
          <w:t>§1.199A-1(b)(6)</w:t>
        </w:r>
      </w:smartTag>
      <w:r>
        <w:t xml:space="preserve">, </w:t>
      </w:r>
      <w:smartTag w:uri="http://www.bna.com/sgml2word/cite" w:element="cite.cfr">
        <w:smartTagPr>
          <w:attr w:name="ref" w:val="cfr\26\1.199A-1(d)(2)"/>
        </w:smartTagPr>
        <w:r>
          <w:t>§1.199A-1(d)(2)</w:t>
        </w:r>
      </w:smartTag>
      <w:r>
        <w:t>.</w:t>
      </w:r>
    </w:p>
  </w:footnote>
  <w:footnote w:id="18">
    <w:p w14:paraId="624817CB" w14:textId="77777777" w:rsidR="00485279" w:rsidRDefault="00C26200">
      <w:pPr>
        <w:pStyle w:val="FootnoteText"/>
      </w:pPr>
      <w:r>
        <w:rPr>
          <w:rStyle w:val="FootnoteReference"/>
        </w:rPr>
        <w:footnoteRef/>
      </w:r>
      <w:smartTag w:uri="http://www.bna.com/sgml2word/cite" w:element="cite.usc">
        <w:smartTagPr>
          <w:attr w:name="ref" w:val="USC\26\199A(e)(1)"/>
        </w:smartTagPr>
        <w:r>
          <w:t>§199A(e)(1)</w:t>
        </w:r>
      </w:smartTag>
      <w:r>
        <w:t>.</w:t>
      </w:r>
    </w:p>
  </w:footnote>
  <w:footnote w:id="19">
    <w:p w14:paraId="02C59FB1" w14:textId="77777777" w:rsidR="00485279" w:rsidRDefault="00C26200">
      <w:pPr>
        <w:pStyle w:val="FootnoteText"/>
      </w:pPr>
      <w:r>
        <w:rPr>
          <w:rStyle w:val="FootnoteReference"/>
        </w:rPr>
        <w:footnoteRef/>
      </w:r>
      <w:smartTag w:uri="http://www.bna.com/sgml2word/cite" w:element="cite.usc">
        <w:smartTagPr>
          <w:attr w:name="ref" w:val="usc\26\199A"/>
        </w:smartTagPr>
        <w:r>
          <w:t>§199A(</w:t>
        </w:r>
        <w:proofErr w:type="spellStart"/>
        <w:r>
          <w:t>i</w:t>
        </w:r>
        <w:proofErr w:type="spellEnd"/>
        <w:r>
          <w:t>)</w:t>
        </w:r>
      </w:smartTag>
      <w:r>
        <w:t xml:space="preserve">, amended by the One Big Beautiful Bill Act (OBBBA), </w:t>
      </w:r>
      <w:smartTag w:uri="http://www.bna.com/sgml2word/cite" w:element="cite.pl">
        <w:smartTagPr>
          <w:attr w:name="ref" w:val="PL\119-21\17105(b)"/>
        </w:smartTagPr>
        <w:r>
          <w:t>Pub. L. No. 119-21, §17105(b)</w:t>
        </w:r>
      </w:smartTag>
      <w:r>
        <w:t xml:space="preserve">. For further discussion of the minimum deduction for active qualified business income, see </w:t>
      </w:r>
      <w:smartTag w:uri="http://www.bna.com/sgml2word/cite" w:element="cite.bna.reference">
        <w:smartTagPr>
          <w:attr w:name="bna.id.ref" w:val="TM\537.II"/>
        </w:smartTagPr>
        <w:r>
          <w:t>II.F</w:t>
        </w:r>
      </w:smartTag>
      <w:r>
        <w:t>., below.</w:t>
      </w:r>
    </w:p>
  </w:footnote>
  <w:footnote w:id="20">
    <w:p w14:paraId="728BEDB7" w14:textId="77777777" w:rsidR="00485279" w:rsidRDefault="00C26200">
      <w:pPr>
        <w:pStyle w:val="FootnoteText"/>
      </w:pPr>
      <w:r>
        <w:rPr>
          <w:rStyle w:val="FootnoteReference"/>
        </w:rPr>
        <w:footnoteRef/>
      </w:r>
      <w:r>
        <w:rPr>
          <w:i/>
        </w:rPr>
        <w:t>See</w:t>
      </w:r>
      <w:r>
        <w:t xml:space="preserve"> </w:t>
      </w:r>
      <w:smartTag w:uri="http://www.bna.com/sgml2word/cite" w:element="cite.usc">
        <w:smartTagPr>
          <w:attr w:name="ref" w:val="usc\26\199A(a)"/>
        </w:smartTagPr>
        <w:r>
          <w:t>§199A(a).</w:t>
        </w:r>
      </w:smartTag>
    </w:p>
  </w:footnote>
  <w:footnote w:id="21">
    <w:p w14:paraId="7D2B69F5"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c)"/>
        </w:smartTagPr>
        <w:r>
          <w:t>§1.199A-1(c)</w:t>
        </w:r>
      </w:smartTag>
      <w:r>
        <w:t xml:space="preserve">, </w:t>
      </w:r>
      <w:smartTag w:uri="http://www.bna.com/sgml2word/cite" w:element="cite.cfr">
        <w:smartTagPr>
          <w:attr w:name="ref" w:val="cfr\26\1.199A-1(d)"/>
        </w:smartTagPr>
        <w:r>
          <w:t>§1.199A-1(d).</w:t>
        </w:r>
      </w:smartTag>
    </w:p>
  </w:footnote>
  <w:footnote w:id="22">
    <w:p w14:paraId="058CE31A"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a)(2)"/>
        </w:smartTagPr>
        <w:r>
          <w:t>§1.199A-1(a)(2)</w:t>
        </w:r>
      </w:smartTag>
      <w:r>
        <w:t xml:space="preserve">, </w:t>
      </w:r>
      <w:smartTag w:uri="http://www.bna.com/sgml2word/cite" w:element="cite.cfr">
        <w:smartTagPr>
          <w:attr w:name="ref" w:val="cfr\26\1.199A-6"/>
        </w:smartTagPr>
        <w:r>
          <w:t>§1.199A-6.</w:t>
        </w:r>
      </w:smartTag>
    </w:p>
  </w:footnote>
  <w:footnote w:id="23">
    <w:p w14:paraId="08F1231B" w14:textId="77777777" w:rsidR="00485279" w:rsidRDefault="00C26200">
      <w:pPr>
        <w:pStyle w:val="FootnoteText"/>
      </w:pPr>
      <w:r>
        <w:rPr>
          <w:rStyle w:val="FootnoteReference"/>
        </w:rPr>
        <w:footnoteRef/>
      </w:r>
      <w:r>
        <w:rPr>
          <w:i/>
        </w:rPr>
        <w:t xml:space="preserve">See </w:t>
      </w:r>
      <w:smartTag w:uri="http://www.bna.com/sgml2word/cite" w:element="cite.usc">
        <w:smartTagPr>
          <w:attr w:name="ref" w:val="usc\26\63(c)(1)"/>
        </w:smartTagPr>
        <w:r>
          <w:t>§63(c)(1)</w:t>
        </w:r>
      </w:smartTag>
      <w:r>
        <w:t xml:space="preserve">, </w:t>
      </w:r>
      <w:smartTag w:uri="http://www.bna.com/sgml2word/cite" w:element="cite.usc">
        <w:smartTagPr>
          <w:attr w:name="ref" w:val="usc\26\63(c)(2)(C)"/>
        </w:smartTagPr>
        <w:r>
          <w:t>§63(c)(2)(C)</w:t>
        </w:r>
      </w:smartTag>
      <w:r>
        <w:t xml:space="preserve">, </w:t>
      </w:r>
      <w:smartTag w:uri="http://www.bna.com/sgml2word/cite" w:element="cite.usc">
        <w:smartTagPr>
          <w:attr w:name="ref" w:val="usc\26\63(c)(7)"/>
        </w:smartTagPr>
        <w:r>
          <w:t>§63(c)(7)</w:t>
        </w:r>
      </w:smartTag>
      <w:r>
        <w:t xml:space="preserve">, as amended by the OBBBA, </w:t>
      </w:r>
      <w:smartTag w:uri="http://www.bna.com/sgml2word/cite" w:element="cite.pl">
        <w:smartTagPr>
          <w:attr w:name="ref" w:val="PL\119-21\17105(b)"/>
        </w:smartTagPr>
        <w:r>
          <w:t>Pub. L. No. 119-21, §70102(b)(2)</w:t>
        </w:r>
      </w:smartTag>
      <w:r>
        <w:t xml:space="preserve">. For the standard deduction amount in tax years after 2018, see Tables, Charts &amp; Lists, </w:t>
      </w:r>
      <w:hyperlink r:id="rId2" w:history="1">
        <w:r>
          <w:rPr>
            <w:rStyle w:val="Hyperlink"/>
            <w:i/>
          </w:rPr>
          <w:t>Standard Deduction Tables.</w:t>
        </w:r>
      </w:hyperlink>
    </w:p>
  </w:footnote>
  <w:footnote w:id="24">
    <w:p w14:paraId="25DC814D" w14:textId="77777777" w:rsidR="00485279" w:rsidRDefault="00C26200">
      <w:pPr>
        <w:pStyle w:val="FootnoteText"/>
      </w:pPr>
      <w:r>
        <w:rPr>
          <w:rStyle w:val="FootnoteReference"/>
        </w:rPr>
        <w:footnoteRef/>
      </w:r>
      <w:smartTag w:uri="http://www.bna.com/sgml2word/cite" w:element="cite.usc">
        <w:smartTagPr>
          <w:attr w:name="ref" w:val="usc\26\62(a)"/>
        </w:smartTagPr>
        <w:r>
          <w:t>§62(a)</w:t>
        </w:r>
      </w:smartTag>
      <w:r>
        <w:t xml:space="preserve"> (flush language).</w:t>
      </w:r>
    </w:p>
  </w:footnote>
  <w:footnote w:id="25">
    <w:p w14:paraId="17592D2F" w14:textId="77777777" w:rsidR="00485279" w:rsidRDefault="00C26200">
      <w:pPr>
        <w:pStyle w:val="FootnoteText"/>
      </w:pPr>
      <w:r>
        <w:rPr>
          <w:rStyle w:val="FootnoteReference"/>
        </w:rPr>
        <w:footnoteRef/>
      </w:r>
      <w:r>
        <w:rPr>
          <w:i/>
        </w:rPr>
        <w:t>See</w:t>
      </w:r>
      <w:r>
        <w:t xml:space="preserve"> </w:t>
      </w:r>
      <w:smartTag w:uri="http://www.bna.com/sgml2word/cite" w:element="cite.usc">
        <w:smartTagPr>
          <w:attr w:name="ref" w:val="usc\26\170(b)(1)(A)"/>
        </w:smartTagPr>
        <w:r>
          <w:t>§170(b)(1)</w:t>
        </w:r>
      </w:smartTag>
      <w:r>
        <w:t xml:space="preserve">; </w:t>
      </w:r>
      <w:smartTag w:uri="http://www.bna.com/sgml2word/cite" w:element="cite.bna.reference">
        <w:smartTagPr>
          <w:attr w:name="bna.id.ref" w:val="TM\521"/>
        </w:smartTagPr>
        <w:r>
          <w:t>521</w:t>
        </w:r>
      </w:smartTag>
      <w:r>
        <w:t xml:space="preserve"> T.M., </w:t>
      </w:r>
      <w:r>
        <w:rPr>
          <w:i/>
        </w:rPr>
        <w:t>Charitable Contributions: Income Tax Aspects</w:t>
      </w:r>
      <w:r>
        <w:t xml:space="preserve">, at </w:t>
      </w:r>
      <w:smartTag w:uri="http://www.bna.com/sgml2word/cite" w:element="cite.bna.reference">
        <w:smartTagPr>
          <w:attr w:name="bna.id.ref" w:val="TM\521\VIII"/>
        </w:smartTagPr>
        <w:r>
          <w:t>VIII</w:t>
        </w:r>
      </w:smartTag>
      <w:r>
        <w:t>.</w:t>
      </w:r>
    </w:p>
  </w:footnote>
  <w:footnote w:id="26">
    <w:p w14:paraId="53271F1E" w14:textId="77777777" w:rsidR="00485279" w:rsidRDefault="00C26200">
      <w:pPr>
        <w:pStyle w:val="FootnoteText"/>
      </w:pPr>
      <w:r>
        <w:rPr>
          <w:rStyle w:val="FootnoteReference"/>
        </w:rPr>
        <w:footnoteRef/>
      </w:r>
      <w:smartTag w:uri="http://www.bna.com/sgml2word/cite" w:element="cite.usc">
        <w:smartTagPr>
          <w:attr w:name="ref" w:val="usc\26\63"/>
        </w:smartTagPr>
        <w:r>
          <w:t>§63</w:t>
        </w:r>
      </w:smartTag>
      <w:r>
        <w:t xml:space="preserve">. </w:t>
      </w:r>
      <w:r>
        <w:rPr>
          <w:i/>
        </w:rPr>
        <w:t xml:space="preserve">See also </w:t>
      </w:r>
      <w:smartTag w:uri="http://www.bna.com/sgml2word/cite" w:element="cite.usc">
        <w:smartTagPr>
          <w:attr w:name="ref" w:val="usc\26\641(b)"/>
        </w:smartTagPr>
        <w:r>
          <w:t>§641(b)</w:t>
        </w:r>
      </w:smartTag>
      <w:r>
        <w:t xml:space="preserve"> (providing that the taxable income of trusts and estates is generally computed in the same manner as in the case of an individual).</w:t>
      </w:r>
    </w:p>
  </w:footnote>
  <w:footnote w:id="27">
    <w:p w14:paraId="1EE1A0D6" w14:textId="77777777" w:rsidR="00485279" w:rsidRDefault="00C26200">
      <w:pPr>
        <w:pStyle w:val="FootnoteText"/>
      </w:pPr>
      <w:r>
        <w:rPr>
          <w:rStyle w:val="FootnoteReference"/>
        </w:rPr>
        <w:footnoteRef/>
      </w:r>
      <w:smartTag w:uri="http://www.bna.com/sgml2word/cite" w:element="cite.usc">
        <w:smartTagPr>
          <w:attr w:name="ref" w:val="usc\26\63(b)(3)"/>
        </w:smartTagPr>
        <w:r>
          <w:t>§63(b)(3)</w:t>
        </w:r>
      </w:smartTag>
      <w:r>
        <w:t xml:space="preserve">. Trusts and estates are not eligible to take the standard deduction. </w:t>
      </w:r>
      <w:smartTag w:uri="http://www.bna.com/sgml2word/cite" w:element="cite.usc">
        <w:smartTagPr>
          <w:attr w:name="ref" w:val="usc\26\63(b)"/>
        </w:smartTagPr>
        <w:r>
          <w:t>§63(b)</w:t>
        </w:r>
      </w:smartTag>
      <w:r>
        <w:rPr>
          <w:i/>
        </w:rPr>
        <w:t>.</w:t>
      </w:r>
    </w:p>
  </w:footnote>
  <w:footnote w:id="28">
    <w:p w14:paraId="50E3EA8A" w14:textId="77777777" w:rsidR="00485279" w:rsidRDefault="00C26200">
      <w:pPr>
        <w:pStyle w:val="FootnoteText"/>
      </w:pPr>
      <w:r>
        <w:rPr>
          <w:rStyle w:val="FootnoteReference"/>
        </w:rPr>
        <w:footnoteRef/>
      </w:r>
      <w:smartTag w:uri="http://www.bna.com/sgml2word/cite" w:element="cite.usc">
        <w:smartTagPr>
          <w:attr w:name="ref" w:val="usc\26\199A(f)(3)"/>
        </w:smartTagPr>
        <w:r>
          <w:t>§199A(f)(3)</w:t>
        </w:r>
      </w:smartTag>
      <w:r>
        <w:t xml:space="preserve">. </w:t>
      </w:r>
    </w:p>
  </w:footnote>
  <w:footnote w:id="29">
    <w:p w14:paraId="52A97DD5"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e)(3)"/>
        </w:smartTagPr>
        <w:r>
          <w:t>§1.199A-1(e)(3)</w:t>
        </w:r>
      </w:smartTag>
      <w:r>
        <w:t>.</w:t>
      </w:r>
    </w:p>
  </w:footnote>
  <w:footnote w:id="30">
    <w:p w14:paraId="4B4D3C14" w14:textId="77777777" w:rsidR="00485279" w:rsidRDefault="00C26200">
      <w:pPr>
        <w:pStyle w:val="FootnoteText"/>
      </w:pPr>
      <w:r>
        <w:rPr>
          <w:rStyle w:val="FootnoteReference"/>
        </w:rPr>
        <w:footnoteRef/>
      </w:r>
      <w:smartTag w:uri="http://www.bna.com/sgml2word/cite" w:element="cite.usc">
        <w:smartTagPr>
          <w:attr w:name="ref" w:val="usc\26\199A(f)(2)"/>
        </w:smartTagPr>
        <w:r>
          <w:t>§199A(f)(2)</w:t>
        </w:r>
      </w:smartTag>
      <w:r>
        <w:t xml:space="preserve">. </w:t>
      </w:r>
      <w:r>
        <w:rPr>
          <w:i/>
        </w:rPr>
        <w:t xml:space="preserve">See </w:t>
      </w:r>
      <w:smartTag w:uri="http://www.bna.com/sgml2word/cite" w:element="cite.usc">
        <w:smartTagPr>
          <w:attr w:name="ref" w:val="usc\26\56"/>
        </w:smartTagPr>
        <w:r>
          <w:t>§56</w:t>
        </w:r>
      </w:smartTag>
      <w:r>
        <w:t>–</w:t>
      </w:r>
      <w:smartTag w:uri="http://www.bna.com/sgml2word/cite" w:element="cite.usc">
        <w:smartTagPr>
          <w:attr w:name="ref" w:val="usc\26\58"/>
        </w:smartTagPr>
        <w:r>
          <w:t>§58</w:t>
        </w:r>
      </w:smartTag>
      <w:r>
        <w:t xml:space="preserve"> (listing adjustments and items of preference for AMT purposes). </w:t>
      </w:r>
      <w:r>
        <w:rPr>
          <w:i/>
        </w:rPr>
        <w:t>See also</w:t>
      </w:r>
      <w:r>
        <w:t xml:space="preserve"> </w:t>
      </w:r>
      <w:smartTag w:uri="http://www.bna.com/sgml2word/cite" w:element="cite.usc">
        <w:smartTagPr>
          <w:attr w:name="ref" w:val="usc\26\59(d)(1)(A)"/>
        </w:smartTagPr>
        <w:r>
          <w:t>§59(d)(1)(A)</w:t>
        </w:r>
      </w:smartTag>
      <w:r>
        <w:t xml:space="preserve"> (adjustments relating to the income of a REIT to be apportioned between a REIT and its shareholders in accordance with not-yet-issued regulations).</w:t>
      </w:r>
    </w:p>
  </w:footnote>
  <w:footnote w:id="31">
    <w:p w14:paraId="6D06B416"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e)(5)"/>
        </w:smartTagPr>
        <w:r>
          <w:t>§1.199A-1(e)(5)</w:t>
        </w:r>
      </w:smartTag>
      <w:r>
        <w:t>.</w:t>
      </w:r>
    </w:p>
  </w:footnote>
  <w:footnote w:id="32">
    <w:p w14:paraId="3537B49E" w14:textId="77777777" w:rsidR="00485279" w:rsidRDefault="00C26200">
      <w:pPr>
        <w:pStyle w:val="FootnoteText"/>
      </w:pPr>
      <w:r>
        <w:rPr>
          <w:rStyle w:val="FootnoteReference"/>
        </w:rPr>
        <w:footnoteRef/>
      </w:r>
      <w:r>
        <w:t xml:space="preserve">Because the statute has no rule explicitly addressing AMT adjustments with respect to qualified REIT dividends and qualified PTP income, before the regulations were issued it was not clear whether taxpayers were required to recompute their </w:t>
      </w:r>
      <w:smartTag w:uri="http://www.bna.com/sgml2word/cite" w:element="cite.usc">
        <w:smartTagPr>
          <w:attr w:name="ref" w:val="usc\26\199A"/>
        </w:smartTagPr>
        <w:r>
          <w:t>§199A</w:t>
        </w:r>
      </w:smartTag>
      <w:r>
        <w:t xml:space="preserve"> deduction with respect to such items for AMT purposes.</w:t>
      </w:r>
    </w:p>
  </w:footnote>
  <w:footnote w:id="33">
    <w:p w14:paraId="3518D85B" w14:textId="77777777" w:rsidR="00485279" w:rsidRDefault="00C26200">
      <w:pPr>
        <w:pStyle w:val="FootnoteText"/>
      </w:pPr>
      <w:r>
        <w:rPr>
          <w:rStyle w:val="FootnoteReference"/>
        </w:rPr>
        <w:footnoteRef/>
      </w:r>
      <w:smartTag w:uri="http://www.bna.com/sgml2word/cite" w:element="cite.usc">
        <w:smartTagPr>
          <w:attr w:name="ref" w:val="usc\26\199A(f)(1)"/>
        </w:smartTagPr>
        <w:r>
          <w:t>§199A(f)(1)</w:t>
        </w:r>
      </w:smartTag>
      <w:r>
        <w:t>.</w:t>
      </w:r>
    </w:p>
  </w:footnote>
  <w:footnote w:id="34">
    <w:p w14:paraId="1530F56D"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b)(10)"/>
        </w:smartTagPr>
        <w:r>
          <w:t>§1.199A-1(b)(10)</w:t>
        </w:r>
      </w:smartTag>
      <w:r>
        <w:t xml:space="preserve">. Other passthrough entities, including common trust funds described in Reg. </w:t>
      </w:r>
      <w:smartTag w:uri="http://www.bna.com/sgml2word/cite" w:element="cite.cfr">
        <w:smartTagPr>
          <w:attr w:name="ref" w:val="cfr\26\1.6032-1T"/>
        </w:smartTagPr>
        <w:r>
          <w:t>§1.6032-1T</w:t>
        </w:r>
      </w:smartTag>
      <w:r>
        <w:t xml:space="preserve"> and religious or apostolic organizations described in </w:t>
      </w:r>
      <w:smartTag w:uri="http://www.bna.com/sgml2word/cite" w:element="cite.usc">
        <w:smartTagPr>
          <w:attr w:name="ref" w:val="usc\26\501(d)"/>
        </w:smartTagPr>
        <w:r>
          <w:t>§501(d)</w:t>
        </w:r>
      </w:smartTag>
      <w:r>
        <w:t xml:space="preserve">, are treated as RPEs if the entity files a Form 1065, </w:t>
      </w:r>
      <w:r>
        <w:rPr>
          <w:i/>
        </w:rPr>
        <w:t>U.S. Return of Partnership Income</w:t>
      </w:r>
      <w:r>
        <w:t xml:space="preserve">, and is owned, directly or indirectly, by at least one individual, estate, or trust. Reg. </w:t>
      </w:r>
      <w:smartTag w:uri="http://www.bna.com/sgml2word/cite" w:element="cite.cfr">
        <w:smartTagPr>
          <w:attr w:name="ref" w:val="cfr\26\1.199A-1(b)(10)"/>
        </w:smartTagPr>
        <w:r>
          <w:t>§1.199A-1(b)(10)</w:t>
        </w:r>
      </w:smartTag>
      <w:r>
        <w:t xml:space="preserve">. Note that Reg. </w:t>
      </w:r>
      <w:smartTag w:uri="http://www.bna.com/sgml2word/cite" w:element="cite.cfr">
        <w:smartTagPr>
          <w:attr w:name="ref" w:val="cfr\26\1.6032-1"/>
        </w:smartTagPr>
        <w:r>
          <w:t>§1.6032-1</w:t>
        </w:r>
      </w:smartTag>
      <w:r>
        <w:t xml:space="preserve"> was made permanent, with only </w:t>
      </w:r>
      <w:proofErr w:type="spellStart"/>
      <w:r>
        <w:t>nonsubstantive</w:t>
      </w:r>
      <w:proofErr w:type="spellEnd"/>
      <w:r>
        <w:t xml:space="preserve"> revisions, by T.D. </w:t>
      </w:r>
      <w:smartTag w:uri="http://www.bna.com/sgml2word/cite" w:element="cite.agency.doc">
        <w:smartTagPr>
          <w:attr w:name="ref" w:val="IRS\PREAMBLE\TD9892"/>
        </w:smartTagPr>
        <w:r>
          <w:t>9892</w:t>
        </w:r>
      </w:smartTag>
      <w:r>
        <w:t xml:space="preserve">. Preamble, T.D. </w:t>
      </w:r>
      <w:smartTag w:uri="http://www.bna.com/sgml2word/cite" w:element="cite.agency.doc">
        <w:smartTagPr>
          <w:attr w:name="ref" w:val="IRS\PREAMBLE\TD9892"/>
        </w:smartTagPr>
        <w:r>
          <w:t>9892</w:t>
        </w:r>
      </w:smartTag>
      <w:r>
        <w:t xml:space="preserve">, </w:t>
      </w:r>
      <w:smartTag w:uri="http://www.bna.com/sgml2word/cite" w:element="cite.fr">
        <w:smartTagPr>
          <w:attr w:name="ref" w:val="FR\85\5323"/>
        </w:smartTagPr>
        <w:r>
          <w:t>85 Fed. Reg. 5323</w:t>
        </w:r>
      </w:smartTag>
      <w:r>
        <w:t xml:space="preserve"> (Jan. 30, 2</w:t>
      </w:r>
      <w:r>
        <w:t xml:space="preserve">020). The separate rules that apply to PTPs are discussed in </w:t>
      </w:r>
      <w:smartTag w:uri="http://www.bna.com/sgml2word/cite" w:element="cite.bna.reference">
        <w:smartTagPr>
          <w:attr w:name="bna.id.ref" w:val="TM\537.IV.B"/>
        </w:smartTagPr>
        <w:r>
          <w:t>IV.B.</w:t>
        </w:r>
      </w:smartTag>
      <w:r>
        <w:t>, below.</w:t>
      </w:r>
    </w:p>
  </w:footnote>
  <w:footnote w:id="35">
    <w:p w14:paraId="12440C53"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b)(10)"/>
        </w:smartTagPr>
        <w:r>
          <w:t>§1.199A-1(b)(10)</w:t>
        </w:r>
      </w:smartTag>
      <w:r>
        <w:t xml:space="preserve">. The rules allocating items between a trust or estate and the trust's or estate's beneficiaries are discussed more fully in </w:t>
      </w:r>
      <w:smartTag w:uri="http://www.bna.com/sgml2word/cite" w:element="cite.bna.reference">
        <w:smartTagPr>
          <w:attr w:name="bna.id.ref" w:val="TM\537.II.C.2"/>
        </w:smartTagPr>
        <w:r>
          <w:t>II.C.2.</w:t>
        </w:r>
      </w:smartTag>
      <w:r>
        <w:t>, below.</w:t>
      </w:r>
    </w:p>
  </w:footnote>
  <w:footnote w:id="36">
    <w:p w14:paraId="579988B1"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c)(1)"/>
        </w:smartTagPr>
        <w:r>
          <w:t>§1.199A-1(c)(1)</w:t>
        </w:r>
      </w:smartTag>
      <w:r>
        <w:t xml:space="preserve">, </w:t>
      </w:r>
      <w:smartTag w:uri="http://www.bna.com/sgml2word/cite" w:element="cite.cfr">
        <w:smartTagPr>
          <w:attr w:name="ref" w:val="cfr\26\1.199A-1(d)(1)"/>
        </w:smartTagPr>
        <w:r>
          <w:t>§1.199A-1(d)(1)</w:t>
        </w:r>
      </w:smartTag>
      <w:r>
        <w:t xml:space="preserve">, </w:t>
      </w:r>
      <w:smartTag w:uri="http://www.bna.com/sgml2word/cite" w:element="cite.cfr">
        <w:smartTagPr>
          <w:attr w:name="ref" w:val="cfr\26\1.199A-1(e)(1)"/>
        </w:smartTagPr>
        <w:r>
          <w:t>§1.199A-1(e)(1)</w:t>
        </w:r>
      </w:smartTag>
      <w:r>
        <w:t>.</w:t>
      </w:r>
    </w:p>
  </w:footnote>
  <w:footnote w:id="37">
    <w:p w14:paraId="381DE583" w14:textId="77777777" w:rsidR="00485279" w:rsidRDefault="00C26200">
      <w:pPr>
        <w:pStyle w:val="FootnoteText"/>
      </w:pPr>
      <w:r>
        <w:rPr>
          <w:rStyle w:val="FootnoteReference"/>
        </w:rPr>
        <w:footnoteRef/>
      </w:r>
      <w:smartTag w:uri="http://www.bna.com/sgml2word/cite" w:element="cite.usc">
        <w:smartTagPr>
          <w:attr w:name="ref" w:val="usc\26\199A(f)(1)(A)(i)"/>
        </w:smartTagPr>
        <w:r>
          <w:t>§199A(f)(1)(A)(</w:t>
        </w:r>
        <w:proofErr w:type="spellStart"/>
        <w:r>
          <w:t>i</w:t>
        </w:r>
        <w:proofErr w:type="spellEnd"/>
        <w:r>
          <w:t>)</w:t>
        </w:r>
      </w:smartTag>
      <w:r>
        <w:t xml:space="preserve">; Reg. </w:t>
      </w:r>
      <w:smartTag w:uri="http://www.bna.com/sgml2word/cite" w:element="cite.cfr">
        <w:smartTagPr>
          <w:attr w:name="ref" w:val="cfr\26\1.199A-1(e)"/>
        </w:smartTagPr>
        <w:r>
          <w:t>§1.199A-1(e)(1)</w:t>
        </w:r>
      </w:smartTag>
      <w:r>
        <w:t>.</w:t>
      </w:r>
    </w:p>
  </w:footnote>
  <w:footnote w:id="38">
    <w:p w14:paraId="6DFAAC0D" w14:textId="77777777" w:rsidR="00485279" w:rsidRDefault="00C26200">
      <w:pPr>
        <w:pStyle w:val="FootnoteText"/>
      </w:pPr>
      <w:r>
        <w:rPr>
          <w:rStyle w:val="FootnoteReference"/>
        </w:rPr>
        <w:footnoteRef/>
      </w:r>
      <w:r>
        <w:t>§</w:t>
      </w:r>
      <w:smartTag w:uri="http://www.bna.com/sgml2word/cite" w:element="cite.usc">
        <w:smartTagPr>
          <w:attr w:name="ref" w:val="USC\26\199A(f)(1)(A)"/>
        </w:smartTagPr>
        <w:r>
          <w:t>199A(f)(1)(A)(ii),</w:t>
        </w:r>
      </w:smartTag>
      <w:r>
        <w:t xml:space="preserve"> §</w:t>
      </w:r>
      <w:smartTag w:uri="http://www.bna.com/sgml2word/cite" w:element="cite.usc">
        <w:smartTagPr>
          <w:attr w:name="ref" w:val="USC\26\199A(f)(1)(A)"/>
        </w:smartTagPr>
        <w:r>
          <w:t>199A(f)(1)(A)(iii);</w:t>
        </w:r>
      </w:smartTag>
      <w:r>
        <w:t xml:space="preserve"> Reg. </w:t>
      </w:r>
      <w:smartTag w:uri="http://www.bna.com/sgml2word/cite" w:element="cite.cfr">
        <w:smartTagPr>
          <w:attr w:name="ref" w:val="cfr\26\1.199A-1(c)"/>
        </w:smartTagPr>
        <w:r>
          <w:t>§1.199A-1(c)(1)</w:t>
        </w:r>
      </w:smartTag>
      <w:r>
        <w:t>, §</w:t>
      </w:r>
      <w:smartTag w:uri="http://www.bna.com/sgml2word/cite" w:element="cite.cfr">
        <w:smartTagPr>
          <w:attr w:name="ref" w:val="cfr\26\1.199A-1(d)"/>
        </w:smartTagPr>
        <w:r>
          <w:t>1.199A-1(d)(1).</w:t>
        </w:r>
      </w:smartTag>
    </w:p>
  </w:footnote>
  <w:footnote w:id="39">
    <w:p w14:paraId="44A76A48" w14:textId="77777777" w:rsidR="00485279" w:rsidRDefault="00C26200">
      <w:pPr>
        <w:pStyle w:val="FootnoteText"/>
      </w:pPr>
      <w:r>
        <w:rPr>
          <w:rStyle w:val="FootnoteReference"/>
        </w:rPr>
        <w:footnoteRef/>
      </w:r>
      <w:smartTag w:uri="http://www.bna.com/sgml2word/cite" w:element="cite.usc">
        <w:smartTagPr>
          <w:attr w:name="ref" w:val="usc\26\199A(f)(1)(A)(ii)"/>
        </w:smartTagPr>
        <w:r>
          <w:t>§199A(f)(1)(A)(ii)</w:t>
        </w:r>
      </w:smartTag>
      <w:r>
        <w:t xml:space="preserve">, </w:t>
      </w:r>
      <w:smartTag w:uri="http://www.bna.com/sgml2word/cite" w:element="cite.usc">
        <w:smartTagPr>
          <w:attr w:name="ref" w:val="usc\26\199A(f)(1)(A)(iii)"/>
        </w:smartTagPr>
        <w:r>
          <w:t>§199A(f)(1)(A)(iii)</w:t>
        </w:r>
      </w:smartTag>
      <w:r>
        <w:t xml:space="preserve">; Reg. </w:t>
      </w:r>
      <w:smartTag w:uri="http://www.bna.com/sgml2word/cite" w:element="cite.cfr">
        <w:smartTagPr>
          <w:attr w:name="ref" w:val="cfr\26\1.199A-1(c)"/>
        </w:smartTagPr>
        <w:r>
          <w:t>§1.199A-1(c)(1)</w:t>
        </w:r>
      </w:smartTag>
      <w:r>
        <w:t xml:space="preserve">, </w:t>
      </w:r>
      <w:smartTag w:uri="http://www.bna.com/sgml2word/cite" w:element="cite.cfr">
        <w:smartTagPr>
          <w:attr w:name="ref" w:val="cfr\26\1.199A-1(d)"/>
        </w:smartTagPr>
        <w:r>
          <w:t>§1.199A-1(d)(1).</w:t>
        </w:r>
      </w:smartTag>
    </w:p>
  </w:footnote>
  <w:footnote w:id="40">
    <w:p w14:paraId="65A513DC"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e)(1)"/>
        </w:smartTagPr>
        <w:r>
          <w:t>§1.199A-1(e)(1)</w:t>
        </w:r>
      </w:smartTag>
      <w:r>
        <w:t>.</w:t>
      </w:r>
    </w:p>
  </w:footnote>
  <w:footnote w:id="41">
    <w:p w14:paraId="08F7D89C" w14:textId="77777777" w:rsidR="00485279" w:rsidRDefault="00C26200">
      <w:pPr>
        <w:pStyle w:val="FootnoteText"/>
      </w:pPr>
      <w:r>
        <w:rPr>
          <w:rStyle w:val="FootnoteReference"/>
        </w:rPr>
        <w:footnoteRef/>
      </w:r>
      <w:r>
        <w:rPr>
          <w:i/>
        </w:rPr>
        <w:t>See</w:t>
      </w:r>
      <w:r>
        <w:t xml:space="preserve"> §</w:t>
      </w:r>
      <w:smartTag w:uri="http://www.bna.com/sgml2word/cite" w:element="cite.usc">
        <w:smartTagPr>
          <w:attr w:name="ref" w:val="USC\26\671"/>
        </w:smartTagPr>
        <w:r>
          <w:t>671</w:t>
        </w:r>
      </w:smartTag>
      <w:r>
        <w:t>–</w:t>
      </w:r>
      <w:smartTag w:uri="http://www.bna.com/sgml2word/cite" w:element="cite.usc">
        <w:smartTagPr>
          <w:attr w:name="ref" w:val="USC\26\679"/>
        </w:smartTagPr>
        <w:r>
          <w:t>§679</w:t>
        </w:r>
      </w:smartTag>
      <w:r>
        <w:t>.</w:t>
      </w:r>
    </w:p>
  </w:footnote>
  <w:footnote w:id="42">
    <w:p w14:paraId="273D8B8D"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6(d)(2)"/>
        </w:smartTagPr>
        <w:r>
          <w:t>§1.199A-6(d)(2)</w:t>
        </w:r>
      </w:smartTag>
      <w:r>
        <w:t>.</w:t>
      </w:r>
    </w:p>
  </w:footnote>
  <w:footnote w:id="43">
    <w:p w14:paraId="7F1F6082" w14:textId="77777777" w:rsidR="00485279" w:rsidRDefault="00C26200">
      <w:pPr>
        <w:pStyle w:val="FootnoteText"/>
      </w:pPr>
      <w:r>
        <w:rPr>
          <w:rStyle w:val="FootnoteReference"/>
        </w:rPr>
        <w:footnoteRef/>
      </w:r>
      <w:r>
        <w:rPr>
          <w:i/>
        </w:rPr>
        <w:t>See</w:t>
      </w:r>
      <w:r>
        <w:t xml:space="preserve"> §</w:t>
      </w:r>
      <w:smartTag w:uri="http://www.bna.com/sgml2word/cite" w:element="cite.usc">
        <w:smartTagPr>
          <w:attr w:name="ref" w:val="USC\26\643"/>
        </w:smartTagPr>
        <w:r>
          <w:t>643</w:t>
        </w:r>
      </w:smartTag>
      <w:r>
        <w:t xml:space="preserve"> (defining DNI).</w:t>
      </w:r>
    </w:p>
  </w:footnote>
  <w:footnote w:id="44">
    <w:p w14:paraId="71C65595" w14:textId="77777777" w:rsidR="00485279" w:rsidRDefault="00C26200">
      <w:pPr>
        <w:pStyle w:val="FootnoteText"/>
      </w:pPr>
      <w:r>
        <w:rPr>
          <w:rStyle w:val="FootnoteReference"/>
        </w:rPr>
        <w:footnoteRef/>
      </w:r>
      <w:r>
        <w:rPr>
          <w:i/>
        </w:rPr>
        <w:t>See</w:t>
      </w:r>
      <w:r>
        <w:t xml:space="preserve"> §</w:t>
      </w:r>
      <w:smartTag w:uri="http://www.bna.com/sgml2word/cite" w:element="cite.usc">
        <w:smartTagPr>
          <w:attr w:name="ref" w:val="USC\26\661"/>
        </w:smartTagPr>
        <w:r>
          <w:t>661,</w:t>
        </w:r>
      </w:smartTag>
      <w:r>
        <w:t xml:space="preserve"> §</w:t>
      </w:r>
      <w:smartTag w:uri="http://www.bna.com/sgml2word/cite" w:element="cite.usc">
        <w:smartTagPr>
          <w:attr w:name="ref" w:val="USC\26\662"/>
        </w:smartTagPr>
        <w:r>
          <w:t>662.</w:t>
        </w:r>
      </w:smartTag>
      <w:r>
        <w:t xml:space="preserve"> For a more detailed discussion of the taxation of trusts and estates, see </w:t>
      </w:r>
      <w:smartTag w:uri="http://www.bna.com/sgml2word/cite" w:element="cite.bna.reference">
        <w:smartTagPr>
          <w:attr w:name="bna.id.ref" w:val="TM\852"/>
        </w:smartTagPr>
        <w:r>
          <w:t>852</w:t>
        </w:r>
      </w:smartTag>
      <w:r>
        <w:t xml:space="preserve"> T.M., </w:t>
      </w:r>
      <w:r>
        <w:rPr>
          <w:i/>
        </w:rPr>
        <w:t>Income Taxation of Trusts and Estates</w:t>
      </w:r>
      <w:r>
        <w:t>.</w:t>
      </w:r>
    </w:p>
  </w:footnote>
  <w:footnote w:id="45">
    <w:p w14:paraId="60CE26CB"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6(d)(3)(ii)"/>
        </w:smartTagPr>
        <w:r>
          <w:t>§1.199A-6(d)(3)(ii)</w:t>
        </w:r>
      </w:smartTag>
      <w:r>
        <w:t>.</w:t>
      </w:r>
    </w:p>
  </w:footnote>
  <w:footnote w:id="46">
    <w:p w14:paraId="5FB328B7"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6(d)(3)(ii)"/>
        </w:smartTagPr>
        <w:r>
          <w:t>§1.199A-6(d)(3)(ii)</w:t>
        </w:r>
      </w:smartTag>
      <w:r>
        <w:t>.</w:t>
      </w:r>
    </w:p>
  </w:footnote>
  <w:footnote w:id="47">
    <w:p w14:paraId="772DCEB1"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6(d)(1)"/>
        </w:smartTagPr>
        <w:r>
          <w:t>§1.199A-6(d)(1)</w:t>
        </w:r>
      </w:smartTag>
      <w:r>
        <w:t>.</w:t>
      </w:r>
    </w:p>
  </w:footnote>
  <w:footnote w:id="48">
    <w:p w14:paraId="335F50D1"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6(d)(3)(ii)"/>
        </w:smartTagPr>
        <w:r>
          <w:t>§1.199A-6(d)(3)(ii)</w:t>
        </w:r>
      </w:smartTag>
      <w:r>
        <w:t>.</w:t>
      </w:r>
    </w:p>
  </w:footnote>
  <w:footnote w:id="49">
    <w:p w14:paraId="6AAC26C8"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6(d)(3)(iii)"/>
        </w:smartTagPr>
        <w:r>
          <w:t>§1.199A-6(d)(3)(iii)</w:t>
        </w:r>
      </w:smartTag>
      <w:r>
        <w:t xml:space="preserve">, added by T.D. </w:t>
      </w:r>
      <w:smartTag w:uri="http://www.bna.com/sgml2word/cite" w:element="cite.agency.doc">
        <w:smartTagPr>
          <w:attr w:name="ref" w:val="IRS\PREAMBLE\TD9899"/>
        </w:smartTagPr>
        <w:r>
          <w:t>9899</w:t>
        </w:r>
      </w:smartTag>
      <w:r>
        <w:t xml:space="preserve">, </w:t>
      </w:r>
      <w:smartTag w:uri="http://www.bna.com/sgml2word/cite" w:element="cite.fr">
        <w:smartTagPr>
          <w:attr w:name="ref" w:val="FR\85\38060"/>
        </w:smartTagPr>
        <w:r>
          <w:t>85 Fed. Reg. 38,060</w:t>
        </w:r>
      </w:smartTag>
      <w:r>
        <w:t xml:space="preserve"> (June 25, 2020), which adopts, with modifications, the proposed regulations in </w:t>
      </w:r>
      <w:smartTag w:uri="http://www.bna.com/sgml2word/cite" w:element="cite.agency.doc">
        <w:smartTagPr>
          <w:attr w:name="ref" w:val="irs\nprm\REG-134652-18"/>
        </w:smartTagPr>
        <w:r>
          <w:t>REG-134652-18</w:t>
        </w:r>
      </w:smartTag>
      <w:r>
        <w:t xml:space="preserve">, </w:t>
      </w:r>
      <w:smartTag w:uri="http://www.bna.com/sgml2word/cite" w:element="cite.fr">
        <w:smartTagPr>
          <w:attr w:name="ref" w:val="fr\84\3015"/>
        </w:smartTagPr>
        <w:r>
          <w:t>84 Fed. Reg. 3015</w:t>
        </w:r>
      </w:smartTag>
      <w:r>
        <w:t xml:space="preserve"> (Feb. 8, 2019). The final regulations of T.D. </w:t>
      </w:r>
      <w:smartTag w:uri="http://www.bna.com/sgml2word/cite" w:element="cite.agency.doc">
        <w:smartTagPr>
          <w:attr w:name="ref" w:val="IRS\PREAMBLE\TD9899"/>
        </w:smartTagPr>
        <w:r>
          <w:t>9899</w:t>
        </w:r>
      </w:smartTag>
      <w:r>
        <w:t xml:space="preserve"> apply to tax years beginning after August 24, 2020.</w:t>
      </w:r>
    </w:p>
  </w:footnote>
  <w:footnote w:id="50">
    <w:p w14:paraId="6958C416"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6(d)(3)(v)"/>
        </w:smartTagPr>
        <w:r>
          <w:t>§1.199A-6(d)(3)(v)</w:t>
        </w:r>
      </w:smartTag>
      <w:r>
        <w:t xml:space="preserve">, added by T.D. </w:t>
      </w:r>
      <w:smartTag w:uri="http://www.bna.com/sgml2word/cite" w:element="cite.agency.doc">
        <w:smartTagPr>
          <w:attr w:name="ref" w:val="IRS\PREAMBLE\TD9899"/>
        </w:smartTagPr>
        <w:r>
          <w:t>9899</w:t>
        </w:r>
      </w:smartTag>
      <w:r>
        <w:t xml:space="preserve">, which adopts, with modifications, the proposed regulations in </w:t>
      </w:r>
      <w:smartTag w:uri="http://www.bna.com/sgml2word/cite" w:element="cite.agency.doc">
        <w:smartTagPr>
          <w:attr w:name="ref" w:val="irs\nprm\REG-134652-18"/>
        </w:smartTagPr>
        <w:r>
          <w:t>REG-134652-18</w:t>
        </w:r>
      </w:smartTag>
      <w:r>
        <w:t>.</w:t>
      </w:r>
    </w:p>
  </w:footnote>
  <w:footnote w:id="51">
    <w:p w14:paraId="0D675C62" w14:textId="77777777" w:rsidR="00485279" w:rsidRDefault="00C26200">
      <w:pPr>
        <w:pStyle w:val="FootnoteText"/>
      </w:pPr>
      <w:r>
        <w:rPr>
          <w:rStyle w:val="FootnoteReference"/>
        </w:rPr>
        <w:footnoteRef/>
      </w:r>
      <w:r>
        <w:rPr>
          <w:i/>
        </w:rPr>
        <w:t xml:space="preserve">See </w:t>
      </w:r>
      <w:r>
        <w:t xml:space="preserve">Letter from Annette Nellen, AICPA Tax Exec. Comm., to David Kautter, Acting IRS Commissioner (Feb. 21, 2018) (available at </w:t>
      </w:r>
      <w:hyperlink r:id="rId3" w:history="1">
        <w:r>
          <w:rPr>
            <w:rStyle w:val="Hyperlink"/>
          </w:rPr>
          <w:t>https://www.aicpa.org/content/dam/aicpa/advocacy/tax/downloadabledocuments/20180221-aicpa-sec-99a-qbi-comment-letter-faq.pdf</w:t>
        </w:r>
      </w:hyperlink>
      <w:r>
        <w:t xml:space="preserve">); N.Y. State Bar </w:t>
      </w:r>
      <w:proofErr w:type="spellStart"/>
      <w:r>
        <w:t>Ass’n</w:t>
      </w:r>
      <w:proofErr w:type="spellEnd"/>
      <w:r>
        <w:t xml:space="preserve"> Tax Section, </w:t>
      </w:r>
      <w:r>
        <w:rPr>
          <w:i/>
        </w:rPr>
        <w:t>Report on Section 199A</w:t>
      </w:r>
      <w:r>
        <w:t xml:space="preserve"> at 33 (Mar.23, 2018) (available at </w:t>
      </w:r>
      <w:hyperlink r:id="rId4" w:history="1">
        <w:r>
          <w:rPr>
            <w:rStyle w:val="Hyperlink"/>
          </w:rPr>
          <w:t>http://www.nysba.org/Sections/Tax/Tax_Section_Reports/Tax_Reports_2018/1392_Report.html</w:t>
        </w:r>
      </w:hyperlink>
      <w:r>
        <w:t>).</w:t>
      </w:r>
    </w:p>
  </w:footnote>
  <w:footnote w:id="52">
    <w:p w14:paraId="514FCDA7"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6(d)(3)(vi)"/>
        </w:smartTagPr>
        <w:r>
          <w:t>§1.199A-6(d)(3)(vi)</w:t>
        </w:r>
      </w:smartTag>
      <w:r>
        <w:t>.</w:t>
      </w:r>
    </w:p>
  </w:footnote>
  <w:footnote w:id="53">
    <w:p w14:paraId="7D916664" w14:textId="77777777" w:rsidR="00485279" w:rsidRDefault="00C26200">
      <w:pPr>
        <w:pStyle w:val="FootnoteText"/>
      </w:pPr>
      <w:r>
        <w:rPr>
          <w:rStyle w:val="FootnoteReference"/>
        </w:rPr>
        <w:footnoteRef/>
      </w:r>
      <w:smartTag w:uri="http://www.bna.com/sgml2word/cite" w:element="cite.usc">
        <w:smartTagPr>
          <w:attr w:name="ref" w:val="usc\26\199A(c)(3)(A)(i)"/>
        </w:smartTagPr>
        <w:r>
          <w:t>§199A(c)(3)(A)(</w:t>
        </w:r>
        <w:proofErr w:type="spellStart"/>
        <w:r>
          <w:t>i</w:t>
        </w:r>
        <w:proofErr w:type="spellEnd"/>
        <w:r>
          <w:t>)</w:t>
        </w:r>
      </w:smartTag>
      <w:r>
        <w:t xml:space="preserve">; Reg. </w:t>
      </w:r>
      <w:smartTag w:uri="http://www.bna.com/sgml2word/cite" w:element="cite.cfr">
        <w:smartTagPr>
          <w:attr w:name="ref" w:val="cfr\26\1.199A-3(b)(2)(i)(A)"/>
        </w:smartTagPr>
        <w:r>
          <w:t>§1.199A-3(b)(2)(</w:t>
        </w:r>
        <w:proofErr w:type="spellStart"/>
        <w:r>
          <w:t>i</w:t>
        </w:r>
        <w:proofErr w:type="spellEnd"/>
        <w:r>
          <w:t>)(A)</w:t>
        </w:r>
      </w:smartTag>
      <w:r>
        <w:t xml:space="preserve">. </w:t>
      </w:r>
      <w:r>
        <w:rPr>
          <w:i/>
        </w:rPr>
        <w:t>See</w:t>
      </w:r>
      <w:r>
        <w:t xml:space="preserve"> </w:t>
      </w:r>
      <w:smartTag w:uri="http://www.bna.com/sgml2word/cite" w:element="cite.bna.reference">
        <w:smartTagPr>
          <w:attr w:name="bna.id.ref" w:val="TM\537.III.B.1"/>
        </w:smartTagPr>
        <w:r>
          <w:t>III.B.1.</w:t>
        </w:r>
      </w:smartTag>
      <w:r>
        <w:t>, below.</w:t>
      </w:r>
    </w:p>
  </w:footnote>
  <w:footnote w:id="54">
    <w:p w14:paraId="4E120BA7" w14:textId="77777777" w:rsidR="00485279" w:rsidRDefault="00C26200">
      <w:pPr>
        <w:pStyle w:val="FootnoteText"/>
      </w:pPr>
      <w:r>
        <w:rPr>
          <w:rStyle w:val="FootnoteReference"/>
        </w:rPr>
        <w:footnoteRef/>
      </w:r>
      <w:smartTag w:uri="http://www.bna.com/sgml2word/cite" w:element="cite.usc">
        <w:smartTagPr>
          <w:attr w:name="ref" w:val="usc\26\873(a)"/>
        </w:smartTagPr>
        <w:r>
          <w:t>§873(a)</w:t>
        </w:r>
      </w:smartTag>
      <w:r>
        <w:t xml:space="preserve">; Reg. </w:t>
      </w:r>
      <w:smartTag w:uri="http://www.bna.com/sgml2word/cite" w:element="cite.cfr">
        <w:smartTagPr>
          <w:attr w:name="ref" w:val="cfr\26\1.873-1(a)(1)"/>
        </w:smartTagPr>
        <w:r>
          <w:t>§1.873-1(a)(1)</w:t>
        </w:r>
      </w:smartTag>
      <w:r>
        <w:t xml:space="preserve">. </w:t>
      </w:r>
    </w:p>
  </w:footnote>
  <w:footnote w:id="55">
    <w:p w14:paraId="2555F34A" w14:textId="77777777" w:rsidR="00485279" w:rsidRDefault="00C26200">
      <w:pPr>
        <w:pStyle w:val="FootnoteText"/>
      </w:pPr>
      <w:r>
        <w:rPr>
          <w:rStyle w:val="FootnoteReference"/>
        </w:rPr>
        <w:footnoteRef/>
      </w:r>
      <w:smartTag w:uri="http://www.bna.com/sgml2word/cite" w:element="cite.usc">
        <w:smartTagPr>
          <w:attr w:name="ref" w:val="usc\26\199A"/>
        </w:smartTagPr>
        <w:r>
          <w:t>§199A</w:t>
        </w:r>
      </w:smartTag>
      <w:r>
        <w:t xml:space="preserve">, as amended by the One Big Beautiful Bill Act (OBBBA), </w:t>
      </w:r>
      <w:smartTag w:uri="http://www.bna.com/sgml2word/cite" w:element="cite.pl">
        <w:smartTagPr>
          <w:attr w:name="ref" w:val="PL\119-21\70105"/>
        </w:smartTagPr>
        <w:r>
          <w:t>Pub. L. No. 119-21, §70105</w:t>
        </w:r>
      </w:smartTag>
      <w:r>
        <w:t>.</w:t>
      </w:r>
    </w:p>
  </w:footnote>
  <w:footnote w:id="56">
    <w:p w14:paraId="6D632DC1" w14:textId="77777777" w:rsidR="00485279" w:rsidRDefault="00C26200">
      <w:pPr>
        <w:pStyle w:val="FootnoteText"/>
      </w:pPr>
      <w:r>
        <w:rPr>
          <w:rStyle w:val="FootnoteReference"/>
        </w:rPr>
        <w:footnoteRef/>
      </w:r>
      <w:r>
        <w:t xml:space="preserve">Reg. </w:t>
      </w:r>
      <w:smartTag w:uri="http://www.bna.com/sgml2word/cite" w:element="cite.cfr">
        <w:smartTagPr>
          <w:attr w:name="ref" w:val="cfr\26\1.199A-1(f)(2)"/>
        </w:smartTagPr>
        <w:r>
          <w:t>§1.199A-1(f)(2)</w:t>
        </w:r>
      </w:smartTag>
      <w:r>
        <w:t xml:space="preserve">, </w:t>
      </w:r>
      <w:smartTag w:uri="http://www.bna.com/sgml2word/cite" w:element="cite.cfr">
        <w:smartTagPr>
          <w:attr w:name="ref" w:val="cfr\26\1.199A-2(d)(2)(ii)"/>
        </w:smartTagPr>
        <w:r>
          <w:t>§1.199A-2(d)(2)(ii),</w:t>
        </w:r>
      </w:smartTag>
      <w:r>
        <w:t xml:space="preserve"> </w:t>
      </w:r>
      <w:smartTag w:uri="http://www.bna.com/sgml2word/cite" w:element="cite.cfr">
        <w:smartTagPr>
          <w:attr w:name="ref" w:val="cfr\26\1.199A-3(e)(2)(ii)"/>
        </w:smartTagPr>
        <w:r>
          <w:t>§1.199A-3(e)(2)(ii)</w:t>
        </w:r>
      </w:smartTag>
      <w:r>
        <w:t xml:space="preserve">, </w:t>
      </w:r>
      <w:smartTag w:uri="http://www.bna.com/sgml2word/cite" w:element="cite.cfr">
        <w:smartTagPr>
          <w:attr w:name="ref" w:val="cfr\26\1.199A-4(e)(2)"/>
        </w:smartTagPr>
        <w:r>
          <w:t>§1.199A-4(e)(2),</w:t>
        </w:r>
      </w:smartTag>
      <w:r>
        <w:t xml:space="preserve"> </w:t>
      </w:r>
      <w:smartTag w:uri="http://www.bna.com/sgml2word/cite" w:element="cite.cfr">
        <w:smartTagPr>
          <w:attr w:name="ref" w:val="cfr\26\1.199A-5(e)(2)(ii)"/>
        </w:smartTagPr>
        <w:r>
          <w:t>§1.199A-5(e)(2)(ii),</w:t>
        </w:r>
      </w:smartTag>
      <w:r>
        <w:t xml:space="preserve"> </w:t>
      </w:r>
      <w:smartTag w:uri="http://www.bna.com/sgml2word/cite" w:element="cite.cfr">
        <w:smartTagPr>
          <w:attr w:name="ref" w:val="cfr\26\1.199A-6(e)(2)(ii)"/>
        </w:smartTagPr>
        <w:r>
          <w:t>§1.199A-6(e)(2)(ii).</w:t>
        </w:r>
      </w:smartTag>
    </w:p>
  </w:footnote>
  <w:footnote w:id="57">
    <w:p w14:paraId="10DF3715" w14:textId="77777777" w:rsidR="00485279" w:rsidRDefault="00C26200">
      <w:pPr>
        <w:pStyle w:val="FootnoteText"/>
      </w:pPr>
      <w:r>
        <w:rPr>
          <w:rStyle w:val="FootnoteReference"/>
        </w:rPr>
        <w:footnoteRef/>
      </w:r>
      <w:smartTag w:uri="http://www.bna.com/sgml2word/cite" w:element="cite.pl">
        <w:smartTagPr>
          <w:attr w:name="ref" w:val="PL\119-21\70105"/>
        </w:smartTagPr>
        <w:r>
          <w:t>Pub. L. No. 119-21, §70105</w:t>
        </w:r>
      </w:smartTag>
      <w:r>
        <w:t>.</w:t>
      </w:r>
    </w:p>
  </w:footnote>
  <w:footnote w:id="58">
    <w:p w14:paraId="5E50DEBE" w14:textId="77777777" w:rsidR="00485279" w:rsidRDefault="00C26200">
      <w:pPr>
        <w:pStyle w:val="FootnoteText"/>
      </w:pPr>
      <w:r>
        <w:rPr>
          <w:rStyle w:val="FootnoteReference"/>
        </w:rPr>
        <w:footnoteRef/>
      </w:r>
      <w:smartTag w:uri="http://www.bna.com/sgml2word/cite" w:element="cite.usc">
        <w:smartTagPr>
          <w:attr w:name="ref" w:val="usc\26\199A(i)(1)"/>
        </w:smartTagPr>
        <w:r>
          <w:t>§199A(</w:t>
        </w:r>
        <w:proofErr w:type="spellStart"/>
        <w:r>
          <w:t>i</w:t>
        </w:r>
        <w:proofErr w:type="spellEnd"/>
        <w:r>
          <w:t>)(1)</w:t>
        </w:r>
      </w:smartTag>
      <w:r>
        <w:t xml:space="preserve">, as amended by the OBBBA, </w:t>
      </w:r>
      <w:smartTag w:uri="http://www.bna.com/sgml2word/cite" w:element="cite.pl">
        <w:smartTagPr>
          <w:attr w:name="ref" w:val="PL\119-21\70105"/>
        </w:smartTagPr>
        <w:r>
          <w:t>Pub. L. No. 119-21, §70105(b)</w:t>
        </w:r>
      </w:smartTag>
      <w:r>
        <w:t xml:space="preserve">. </w:t>
      </w:r>
      <w:r>
        <w:rPr>
          <w:i/>
        </w:rPr>
        <w:t>See</w:t>
      </w:r>
      <w:r>
        <w:t xml:space="preserve"> </w:t>
      </w:r>
      <w:smartTag w:uri="http://www.bna.com/sgml2word/cite" w:element="cite.usc">
        <w:smartTagPr>
          <w:attr w:name="ref" w:val="usc\26\199A(i)(3)"/>
        </w:smartTagPr>
        <w:r>
          <w:t>§199A(</w:t>
        </w:r>
        <w:proofErr w:type="spellStart"/>
        <w:r>
          <w:t>i</w:t>
        </w:r>
        <w:proofErr w:type="spellEnd"/>
        <w:r>
          <w:t>)(3)</w:t>
        </w:r>
      </w:smartTag>
      <w:r>
        <w:t xml:space="preserve"> (inflation adjustment calculation). For the inflation-adjusted threshold amounts, see Tables, Charts, and Lists, </w:t>
      </w:r>
      <w:hyperlink r:id="rId5" w:history="1">
        <w:r>
          <w:rPr>
            <w:rStyle w:val="Hyperlink"/>
            <w:i/>
          </w:rPr>
          <w:t>Qualified Business Income</w:t>
        </w:r>
      </w:hyperlink>
      <w:r>
        <w:t>.</w:t>
      </w:r>
    </w:p>
  </w:footnote>
  <w:footnote w:id="59">
    <w:p w14:paraId="5F7E0F1D" w14:textId="77777777" w:rsidR="00485279" w:rsidRDefault="00C26200">
      <w:pPr>
        <w:pStyle w:val="FootnoteText"/>
      </w:pPr>
      <w:r>
        <w:rPr>
          <w:rStyle w:val="FootnoteReference"/>
        </w:rPr>
        <w:footnoteRef/>
      </w:r>
      <w:smartTag w:uri="http://www.bna.com/sgml2word/cite" w:element="cite.usc">
        <w:smartTagPr>
          <w:attr w:name="ref" w:val="usc\26\199A(i)(2)"/>
        </w:smartTagPr>
        <w:r>
          <w:t>§199A(</w:t>
        </w:r>
        <w:proofErr w:type="spellStart"/>
        <w:r>
          <w:t>i</w:t>
        </w:r>
        <w:proofErr w:type="spellEnd"/>
        <w:r>
          <w:t>)(2)</w:t>
        </w:r>
      </w:smartTag>
      <w:r>
        <w:t xml:space="preserve">, as amended by the OBBBA, </w:t>
      </w:r>
      <w:smartTag w:uri="http://www.bna.com/sgml2word/cite" w:element="cite.pl">
        <w:smartTagPr>
          <w:attr w:name="ref" w:val="PL\119-21\70105"/>
        </w:smartTagPr>
        <w:r>
          <w:t>Pub. L. No. 119-21, §70105(b)</w:t>
        </w:r>
      </w:smartTag>
      <w:r>
        <w:t xml:space="preserve">. </w:t>
      </w:r>
      <w:r>
        <w:rPr>
          <w:i/>
        </w:rPr>
        <w:t>See</w:t>
      </w:r>
      <w:r>
        <w:t xml:space="preserve"> </w:t>
      </w:r>
      <w:smartTag w:uri="http://www.bna.com/sgml2word/cite" w:element="cite.usc">
        <w:smartTagPr>
          <w:attr w:name="ref" w:val="usc\26\469(h)"/>
        </w:smartTagPr>
        <w:r>
          <w:t>§469(h)</w:t>
        </w:r>
      </w:smartTag>
      <w:r>
        <w:t xml:space="preserve"> (defining materially participation as being involved in the operations of an activity on a basis which is regular, continuous, and substantial); </w:t>
      </w:r>
      <w:r>
        <w:rPr>
          <w:i/>
        </w:rPr>
        <w:t>see also</w:t>
      </w:r>
      <w:r>
        <w:t xml:space="preserve"> </w:t>
      </w:r>
      <w:smartTag w:uri="http://www.bna.com/sgml2word/cite" w:element="cite.usc">
        <w:smartTagPr>
          <w:attr w:name="ref" w:val="usc\26\199A(i)(3)"/>
        </w:smartTagPr>
        <w:r>
          <w:t>§199A(</w:t>
        </w:r>
        <w:proofErr w:type="spellStart"/>
        <w:r>
          <w:t>i</w:t>
        </w:r>
        <w:proofErr w:type="spellEnd"/>
        <w:r>
          <w:t>)(3)</w:t>
        </w:r>
      </w:smartTag>
      <w:r>
        <w:t xml:space="preserve"> (inflation adjustment calculator). For the inflation-adjusted threshold amounts, see Tables, Charts, and Lists, </w:t>
      </w:r>
      <w:hyperlink r:id="rId6" w:history="1">
        <w:r>
          <w:rPr>
            <w:rStyle w:val="Hyperlink"/>
            <w:i/>
          </w:rPr>
          <w:t>Qualified Business Income</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892064">
    <w:abstractNumId w:val="28"/>
  </w:num>
  <w:num w:numId="2" w16cid:durableId="932326427">
    <w:abstractNumId w:val="31"/>
  </w:num>
  <w:num w:numId="3" w16cid:durableId="1785348889">
    <w:abstractNumId w:val="2"/>
  </w:num>
  <w:num w:numId="4" w16cid:durableId="1868330951">
    <w:abstractNumId w:val="7"/>
  </w:num>
  <w:num w:numId="5" w16cid:durableId="2042512087">
    <w:abstractNumId w:val="8"/>
  </w:num>
  <w:num w:numId="6" w16cid:durableId="1454330443">
    <w:abstractNumId w:val="6"/>
  </w:num>
  <w:num w:numId="7" w16cid:durableId="1068189445">
    <w:abstractNumId w:val="16"/>
  </w:num>
  <w:num w:numId="8" w16cid:durableId="386492924">
    <w:abstractNumId w:val="29"/>
  </w:num>
  <w:num w:numId="9" w16cid:durableId="743255980">
    <w:abstractNumId w:val="22"/>
  </w:num>
  <w:num w:numId="10" w16cid:durableId="378016020">
    <w:abstractNumId w:val="0"/>
  </w:num>
  <w:num w:numId="11" w16cid:durableId="1812363851">
    <w:abstractNumId w:val="9"/>
  </w:num>
  <w:num w:numId="12" w16cid:durableId="1723597149">
    <w:abstractNumId w:val="3"/>
  </w:num>
  <w:num w:numId="13" w16cid:durableId="2137333532">
    <w:abstractNumId w:val="27"/>
  </w:num>
  <w:num w:numId="14" w16cid:durableId="821123508">
    <w:abstractNumId w:val="25"/>
  </w:num>
  <w:num w:numId="15" w16cid:durableId="580333553">
    <w:abstractNumId w:val="24"/>
  </w:num>
  <w:num w:numId="16" w16cid:durableId="1665206120">
    <w:abstractNumId w:val="10"/>
  </w:num>
  <w:num w:numId="17" w16cid:durableId="1603611543">
    <w:abstractNumId w:val="30"/>
  </w:num>
  <w:num w:numId="18" w16cid:durableId="514342051">
    <w:abstractNumId w:val="11"/>
  </w:num>
  <w:num w:numId="19" w16cid:durableId="1416786075">
    <w:abstractNumId w:val="19"/>
  </w:num>
  <w:num w:numId="20" w16cid:durableId="1941448875">
    <w:abstractNumId w:val="13"/>
  </w:num>
  <w:num w:numId="21" w16cid:durableId="1244148683">
    <w:abstractNumId w:val="15"/>
  </w:num>
  <w:num w:numId="22" w16cid:durableId="1970166658">
    <w:abstractNumId w:val="20"/>
  </w:num>
  <w:num w:numId="23" w16cid:durableId="1883790193">
    <w:abstractNumId w:val="21"/>
  </w:num>
  <w:num w:numId="24" w16cid:durableId="59523857">
    <w:abstractNumId w:val="31"/>
  </w:num>
  <w:num w:numId="25" w16cid:durableId="1629698476">
    <w:abstractNumId w:val="31"/>
  </w:num>
  <w:num w:numId="26" w16cid:durableId="1034774067">
    <w:abstractNumId w:val="12"/>
  </w:num>
  <w:num w:numId="27" w16cid:durableId="1189105009">
    <w:abstractNumId w:val="18"/>
  </w:num>
  <w:num w:numId="28" w16cid:durableId="360787119">
    <w:abstractNumId w:val="23"/>
  </w:num>
  <w:num w:numId="29" w16cid:durableId="96027980">
    <w:abstractNumId w:val="5"/>
  </w:num>
  <w:num w:numId="30" w16cid:durableId="890111435">
    <w:abstractNumId w:val="26"/>
  </w:num>
  <w:num w:numId="31" w16cid:durableId="191116693">
    <w:abstractNumId w:val="1"/>
  </w:num>
  <w:num w:numId="32" w16cid:durableId="1675451391">
    <w:abstractNumId w:val="17"/>
  </w:num>
  <w:num w:numId="33" w16cid:durableId="96215495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numStart w:val="3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279"/>
    <w:rsid w:val="00254F5D"/>
    <w:rsid w:val="00485279"/>
    <w:rsid w:val="00633865"/>
    <w:rsid w:val="00C26200"/>
  </w:rsids>
  <m:mathPr>
    <m:mathFont m:val="Cambria Math"/>
    <m:brkBin m:val="before"/>
    <m:brkBinSub m:val="--"/>
    <m:smallFrac m:val="0"/>
    <m:dispDef/>
    <m:lMargin m:val="0"/>
    <m:rMargin m:val="0"/>
    <m:defJc m:val="centerGroup"/>
    <m:wrapIndent m:val="1440"/>
    <m:intLim m:val="subSup"/>
    <m:naryLim m:val="undOvr"/>
  </m:mathPr>
  <w:attachedSchema w:val="http://www.bna.com/sgml2word/cite"/>
  <w:themeFontLang w:val="en-US"/>
  <w:clrSchemeMapping w:bg1="light1" w:t1="dark1" w:bg2="light2" w:t2="dark2" w:accent1="accent1" w:accent2="accent2" w:accent3="accent3" w:accent4="accent4" w:accent5="accent5" w:accent6="accent6" w:hyperlink="hyperlink" w:followedHyperlink="followedHyperlink"/>
  <w:smartTagType w:namespaceuri="http://www.bna.com/sgml2word/cite" w:name="cite.fr"/>
  <w:smartTagType w:namespaceuri="http://www.bna.com/sgml2word/cite" w:name="cite.agency.doc"/>
  <w:smartTagType w:namespaceuri="http://www.bna.com/sgml2word/cite" w:name="cite.pl"/>
  <w:smartTagType w:namespaceuri="http://www.bna.com/sgml2word/cite" w:name="cite.cfr"/>
  <w:smartTagType w:namespaceuri="http://www.bna.com/sgml2word/cite" w:name="cite.fed.form"/>
  <w:smartTagType w:namespaceuri="http://www.bna.com/sgml2word/cite" w:name="cite.bna.reference"/>
  <w:smartTagType w:namespaceuri="http://www.bna.com/sgml2word/cite" w:name="cite.usc"/>
  <w:shapeDefaults>
    <o:shapedefaults v:ext="edit" spidmax="1026"/>
    <o:shapelayout v:ext="edit">
      <o:idmap v:ext="edit" data="1"/>
    </o:shapelayout>
  </w:shapeDefaults>
  <w:decimalSymbol w:val="."/>
  <w:listSeparator w:val=","/>
  <w14:docId w14:val="0D09BD31"/>
  <w15:docId w15:val="{CFA634E3-CF36-4641-A44C-725BE889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73021"/>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0F476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96607D"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semiHidden/>
    <w:rsid w:val="00654070"/>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ascii="Calibri" w:eastAsiaTheme="minorEastAsia" w:hAnsi="Calibri" w:cs="Calibri"/>
      <w:color w:val="000000"/>
      <w:kern w:val="0"/>
      <w:sz w:val="22"/>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77206D" w:themeColor="accent5" w:themeShade="BF"/>
    </w:rPr>
  </w:style>
  <w:style w:type="paragraph" w:customStyle="1" w:styleId="BCitationNote">
    <w:name w:val="BCitationNote"/>
    <w:rsid w:val="00B25CAA"/>
    <w:rPr>
      <w:rFonts w:eastAsiaTheme="majorEastAsia"/>
      <w:b/>
      <w:bCs/>
      <w:color w:val="77206D"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71717" w:themeFill="background2" w:themeFillShade="1A"/>
      <w:spacing w:before="0"/>
    </w:pPr>
    <w:rPr>
      <w:rFonts w:ascii="Arial" w:eastAsia="Times New Roman" w:hAnsi="Arial" w:cs="Arial"/>
      <w:b/>
      <w:color w:val="83CAEB"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4EA72E"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4EA72E"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2D2949"/>
    <w:rPr>
      <w:color w:val="275317"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156082"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156082" w:themeColor="accent1"/>
      <w:kern w:val="0"/>
      <w:sz w:val="28"/>
      <w:szCs w:val="28"/>
      <w:lang w:bidi="ar-SA"/>
    </w:rPr>
  </w:style>
  <w:style w:type="paragraph" w:customStyle="1" w:styleId="BAuthor">
    <w:name w:val="BAuthor"/>
    <w:basedOn w:val="BNormal"/>
    <w:link w:val="BAuthorChar"/>
    <w:rsid w:val="004E67F5"/>
    <w:rPr>
      <w:color w:val="BF4E14" w:themeColor="accent2" w:themeShade="BF"/>
      <w:sz w:val="20"/>
      <w:szCs w:val="20"/>
    </w:rPr>
  </w:style>
  <w:style w:type="character" w:customStyle="1" w:styleId="BAuthorChar">
    <w:name w:val="BAuthor Char"/>
    <w:basedOn w:val="BNormalChar"/>
    <w:link w:val="BAuthor"/>
    <w:rsid w:val="004E67F5"/>
    <w:rPr>
      <w:rFonts w:eastAsia="Times New Roman"/>
      <w:color w:val="BF4E14" w:themeColor="accent2" w:themeShade="BF"/>
      <w:kern w:val="0"/>
      <w:sz w:val="20"/>
      <w:szCs w:val="20"/>
      <w:lang w:bidi="ar-SA"/>
    </w:rPr>
  </w:style>
  <w:style w:type="paragraph" w:customStyle="1" w:styleId="BBioinfo">
    <w:name w:val="BBio_info"/>
    <w:basedOn w:val="BBox"/>
    <w:next w:val="BNormal"/>
    <w:semiHidden/>
    <w:rsid w:val="00510D71"/>
    <w:rPr>
      <w:color w:val="000000" w:themeColor="text1"/>
    </w:rPr>
  </w:style>
  <w:style w:type="paragraph" w:customStyle="1" w:styleId="BBox">
    <w:name w:val="BBox"/>
    <w:basedOn w:val="BOutsideauthorinfo"/>
    <w:next w:val="BNormal"/>
    <w:link w:val="BBoxChar"/>
    <w:semiHidden/>
    <w:rsid w:val="002027C7"/>
  </w:style>
  <w:style w:type="paragraph" w:customStyle="1" w:styleId="BHeadline">
    <w:name w:val="BHeadline"/>
    <w:basedOn w:val="Normal"/>
    <w:next w:val="BNormal"/>
    <w:rsid w:val="00994780"/>
    <w:rPr>
      <w:b/>
      <w:color w:val="0A2F41" w:themeColor="accent1" w:themeShade="80"/>
      <w:sz w:val="28"/>
      <w:szCs w:val="28"/>
    </w:rPr>
  </w:style>
  <w:style w:type="paragraph" w:customStyle="1" w:styleId="BOrganization">
    <w:name w:val="BOrganization"/>
    <w:basedOn w:val="BNormal"/>
    <w:rsid w:val="004E67F5"/>
    <w:rPr>
      <w:color w:val="BF4E1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character" w:customStyle="1" w:styleId="BBoxChar">
    <w:name w:val="BBox Char"/>
    <w:basedOn w:val="BQuotelongChar"/>
    <w:link w:val="BBox"/>
    <w:semiHidden/>
    <w:rsid w:val="00D7154A"/>
    <w:rPr>
      <w:rFonts w:ascii="Calibri" w:eastAsia="Times New Roman" w:hAnsi="Calibri" w:cs="Arial"/>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0E2841" w:themeColor="text2"/>
    </w:rPr>
  </w:style>
  <w:style w:type="paragraph" w:customStyle="1" w:styleId="BPlanpointpara">
    <w:name w:val="BPlan_point_para"/>
    <w:basedOn w:val="BCommentpara"/>
    <w:rsid w:val="00831EE4"/>
    <w:rPr>
      <w:color w:val="0A1D30" w:themeColor="text2" w:themeShade="BF"/>
    </w:rPr>
  </w:style>
  <w:style w:type="paragraph" w:customStyle="1" w:styleId="BRelatedTo">
    <w:name w:val="BRelatedTo"/>
    <w:basedOn w:val="BNormal"/>
    <w:next w:val="BNormal"/>
    <w:rsid w:val="00FC161A"/>
    <w:rPr>
      <w:color w:val="156082"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77206D" w:themeColor="accent5" w:themeShade="BF"/>
    </w:rPr>
  </w:style>
  <w:style w:type="character" w:customStyle="1" w:styleId="BBNAidChar">
    <w:name w:val="BBNA_id Char"/>
    <w:basedOn w:val="BNormalChar"/>
    <w:link w:val="BBNAid"/>
    <w:rsid w:val="00B82085"/>
    <w:rPr>
      <w:rFonts w:eastAsia="Times New Roman"/>
      <w:b/>
      <w:color w:val="77206D"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RelatedTo"/>
    <w:next w:val="BNormal"/>
    <w:link w:val="BVerbatimmarkupChar"/>
    <w:qFormat/>
    <w:rsid w:val="005C20E0"/>
    <w:rPr>
      <w:color w:val="FF0000"/>
      <w:sz w:val="24"/>
    </w:rPr>
  </w:style>
  <w:style w:type="character" w:customStyle="1" w:styleId="BVerbatimmarkupChar">
    <w:name w:val="BVerbatim_markup Char"/>
    <w:basedOn w:val="DefaultParagraphFont"/>
    <w:link w:val="BVerbatimmarkup"/>
    <w:rsid w:val="005C20E0"/>
    <w:rPr>
      <w:rFonts w:eastAsia="Times New Roman"/>
      <w:color w:val="FF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aicpa.org/content/dam/aicpa/advocacy/tax/downloadabledocuments/20180221-aicpa-sec-99a-qbi-comment-letter-faq.pdf" TargetMode="External"/><Relationship Id="rId2" Type="http://schemas.openxmlformats.org/officeDocument/2006/relationships/hyperlink" Target="https://www.bloomberglaw.com/product/tax/document/X4PN9P60000000" TargetMode="External"/><Relationship Id="rId1" Type="http://schemas.openxmlformats.org/officeDocument/2006/relationships/hyperlink" Target="https://www.bloomberglaw.com/product/tax/document/XBCF9CFC000000" TargetMode="External"/><Relationship Id="rId6" Type="http://schemas.openxmlformats.org/officeDocument/2006/relationships/hyperlink" Target="https://www.bloomberglaw.com/product/tax/document/XCGR616K000000" TargetMode="External"/><Relationship Id="rId5" Type="http://schemas.openxmlformats.org/officeDocument/2006/relationships/hyperlink" Target="https://www.bloomberglaw.com/product/tax/document/XCGR616K000000" TargetMode="External"/><Relationship Id="rId4" Type="http://schemas.openxmlformats.org/officeDocument/2006/relationships/hyperlink" Target="http://www.nysba.org/Sections/Tax/Tax_Section_Reports/Tax_Reports_2018/1392_Repor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devl\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9B026A6-CC82-47E3-8253-D3A414EB63C7}"/>
      </w:docPartPr>
      <w:docPartBody>
        <w:p w:rsidR="00E900EA" w:rsidRDefault="00E900EA">
          <w:r w:rsidRPr="00F87277">
            <w:rPr>
              <w:rStyle w:val="PlaceholderText"/>
            </w:rPr>
            <w:t>Click or tap here to enter text.</w:t>
          </w:r>
        </w:p>
      </w:docPartBody>
    </w:docPart>
    <w:docPart>
      <w:docPartPr>
        <w:name w:val="AC46FB34C25844C8A520264270F2AA51"/>
        <w:category>
          <w:name w:val="General"/>
          <w:gallery w:val="placeholder"/>
        </w:category>
        <w:types>
          <w:type w:val="bbPlcHdr"/>
        </w:types>
        <w:behaviors>
          <w:behavior w:val="content"/>
        </w:behaviors>
        <w:guid w:val="{D1FCAFD2-824C-4035-B83A-CC8B09EA1340}"/>
      </w:docPartPr>
      <w:docPartBody>
        <w:p w:rsidR="00E900EA" w:rsidRDefault="00E900EA">
          <w:r w:rsidRPr="00F87277">
            <w:rPr>
              <w:rStyle w:val="PlaceholderText"/>
            </w:rPr>
            <w:t>Unit.Start</w:t>
          </w:r>
        </w:p>
      </w:docPartBody>
    </w:docPart>
    <w:docPart>
      <w:docPartPr>
        <w:name w:val="31A4D0139C564256B7EE9A69C71085AE"/>
        <w:category>
          <w:name w:val="General"/>
          <w:gallery w:val="placeholder"/>
        </w:category>
        <w:types>
          <w:type w:val="bbPlcHdr"/>
        </w:types>
        <w:behaviors>
          <w:behavior w:val="content"/>
        </w:behaviors>
        <w:guid w:val="{D8E81852-6C51-4391-ADA8-1801A6A86550}"/>
      </w:docPartPr>
      <w:docPartBody>
        <w:p w:rsidR="00E900EA" w:rsidRDefault="00E900EA">
          <w:r w:rsidRPr="00F87277">
            <w:rPr>
              <w:rStyle w:val="PlaceholderText"/>
            </w:rPr>
            <w:t>Document</w:t>
          </w:r>
        </w:p>
      </w:docPartBody>
    </w:docPart>
    <w:docPart>
      <w:docPartPr>
        <w:name w:val="D5D772CFC92E486D9655489D073A1789"/>
        <w:category>
          <w:name w:val="General"/>
          <w:gallery w:val="placeholder"/>
        </w:category>
        <w:types>
          <w:type w:val="bbPlcHdr"/>
        </w:types>
        <w:behaviors>
          <w:behavior w:val="content"/>
        </w:behaviors>
        <w:guid w:val="{66DBF58D-DD48-4C45-99E2-520918453612}"/>
      </w:docPartPr>
      <w:docPartBody>
        <w:p w:rsidR="00E900EA" w:rsidRDefault="00E900EA">
          <w:r w:rsidRPr="00F87277">
            <w:rPr>
              <w:rStyle w:val="PlaceholderText"/>
            </w:rPr>
            <w:t>enter text</w:t>
          </w:r>
        </w:p>
      </w:docPartBody>
    </w:docPart>
    <w:docPart>
      <w:docPartPr>
        <w:name w:val="B8A04838451540D2B137CBCE62C0D35E"/>
        <w:category>
          <w:name w:val="General"/>
          <w:gallery w:val="placeholder"/>
        </w:category>
        <w:types>
          <w:type w:val="bbPlcHdr"/>
        </w:types>
        <w:behaviors>
          <w:behavior w:val="content"/>
        </w:behaviors>
        <w:guid w:val="{9AB46F51-57EA-47D5-AB85-E8DC2D9AB2E2}"/>
      </w:docPartPr>
      <w:docPartBody>
        <w:p w:rsidR="00E900EA" w:rsidRDefault="00E900EA">
          <w:r w:rsidRPr="00F87277">
            <w:rPr>
              <w:rStyle w:val="PlaceholderText"/>
            </w:rPr>
            <w:t>537</w:t>
          </w:r>
        </w:p>
      </w:docPartBody>
    </w:docPart>
    <w:docPart>
      <w:docPartPr>
        <w:name w:val="6ED0657C5A3D48E0A4142C8375CF0739"/>
        <w:category>
          <w:name w:val="General"/>
          <w:gallery w:val="placeholder"/>
        </w:category>
        <w:types>
          <w:type w:val="bbPlcHdr"/>
        </w:types>
        <w:behaviors>
          <w:behavior w:val="content"/>
        </w:behaviors>
        <w:guid w:val="{379CDD91-A414-4BF3-A5A0-9F531570253B}"/>
      </w:docPartPr>
      <w:docPartBody>
        <w:p w:rsidR="00E900EA" w:rsidRDefault="00E900EA">
          <w:r w:rsidRPr="00F87277">
            <w:rPr>
              <w:rStyle w:val="PlaceholderText"/>
            </w:rPr>
            <w:t>A</w:t>
          </w:r>
        </w:p>
      </w:docPartBody>
    </w:docPart>
    <w:docPart>
      <w:docPartPr>
        <w:name w:val="0D6F204A87D64DAF8E43FE90779E0B02"/>
        <w:category>
          <w:name w:val="General"/>
          <w:gallery w:val="placeholder"/>
        </w:category>
        <w:types>
          <w:type w:val="bbPlcHdr"/>
        </w:types>
        <w:behaviors>
          <w:behavior w:val="content"/>
        </w:behaviors>
        <w:guid w:val="{19623C4F-E77B-4E72-BFAD-1EE3ABEA5BEF}"/>
      </w:docPartPr>
      <w:docPartBody>
        <w:p w:rsidR="00E900EA" w:rsidRDefault="00E900EA">
          <w:r w:rsidRPr="00F87277">
            <w:rPr>
              <w:rStyle w:val="PlaceholderText"/>
            </w:rPr>
            <w:t>Detailed Analysis</w:t>
          </w:r>
        </w:p>
      </w:docPartBody>
    </w:docPart>
    <w:docPart>
      <w:docPartPr>
        <w:name w:val="FB6793E152FA438BB9A5B469D53128B5"/>
        <w:category>
          <w:name w:val="General"/>
          <w:gallery w:val="placeholder"/>
        </w:category>
        <w:types>
          <w:type w:val="bbPlcHdr"/>
        </w:types>
        <w:behaviors>
          <w:behavior w:val="content"/>
        </w:behaviors>
        <w:guid w:val="{A8E14660-E1A3-4E74-A968-CFB8356DC201}"/>
      </w:docPartPr>
      <w:docPartBody>
        <w:p w:rsidR="00E900EA" w:rsidRDefault="00E900EA">
          <w:r w:rsidRPr="00F87277">
            <w:rPr>
              <w:rStyle w:val="PlaceholderText"/>
            </w:rPr>
            <w:t>Tax Management Inc.</w:t>
          </w:r>
        </w:p>
      </w:docPartBody>
    </w:docPart>
    <w:docPart>
      <w:docPartPr>
        <w:name w:val="9BBFF04730AF4B328D27C6DEE616DAB9"/>
        <w:category>
          <w:name w:val="General"/>
          <w:gallery w:val="placeholder"/>
        </w:category>
        <w:types>
          <w:type w:val="bbPlcHdr"/>
        </w:types>
        <w:behaviors>
          <w:behavior w:val="content"/>
        </w:behaviors>
        <w:guid w:val="{A9D2ECE0-5A85-472A-9E01-EBC388242B66}"/>
      </w:docPartPr>
      <w:docPartBody>
        <w:p w:rsidR="00E900EA" w:rsidRDefault="00E900EA">
          <w:r w:rsidRPr="00F87277">
            <w:rPr>
              <w:rStyle w:val="PlaceholderText"/>
            </w:rPr>
            <w:t>5</w:t>
          </w:r>
        </w:p>
      </w:docPartBody>
    </w:docPart>
    <w:docPart>
      <w:docPartPr>
        <w:name w:val="45631CCFCAA4422B8AD6A345B396C5F6"/>
        <w:category>
          <w:name w:val="General"/>
          <w:gallery w:val="placeholder"/>
        </w:category>
        <w:types>
          <w:type w:val="bbPlcHdr"/>
        </w:types>
        <w:behaviors>
          <w:behavior w:val="content"/>
        </w:behaviors>
        <w:guid w:val="{69F73FA9-B3DE-42F0-8495-84E0193D8EFB}"/>
      </w:docPartPr>
      <w:docPartBody>
        <w:p w:rsidR="00E900EA" w:rsidRDefault="00E900EA">
          <w:r w:rsidRPr="00F87277">
            <w:rPr>
              <w:rStyle w:val="PlaceholderText"/>
            </w:rPr>
            <w:t>enter text</w:t>
          </w:r>
        </w:p>
      </w:docPartBody>
    </w:docPart>
    <w:docPart>
      <w:docPartPr>
        <w:name w:val="3FBAE1437ADD4697AFC9717365EC869E"/>
        <w:category>
          <w:name w:val="General"/>
          <w:gallery w:val="placeholder"/>
        </w:category>
        <w:types>
          <w:type w:val="bbPlcHdr"/>
        </w:types>
        <w:behaviors>
          <w:behavior w:val="content"/>
        </w:behaviors>
        <w:guid w:val="{A88FFF06-F309-46BB-88E3-BA7C81D2A3B1}"/>
      </w:docPartPr>
      <w:docPartBody>
        <w:p w:rsidR="00E900EA" w:rsidRDefault="00E900EA">
          <w:r w:rsidRPr="00F87277">
            <w:rPr>
              <w:rStyle w:val="PlaceholderText"/>
            </w:rPr>
            <w:t>enter text</w:t>
          </w:r>
        </w:p>
      </w:docPartBody>
    </w:docPart>
    <w:docPart>
      <w:docPartPr>
        <w:name w:val="C9B7C0F4588E4D998D743778C467D250"/>
        <w:category>
          <w:name w:val="General"/>
          <w:gallery w:val="placeholder"/>
        </w:category>
        <w:types>
          <w:type w:val="bbPlcHdr"/>
        </w:types>
        <w:behaviors>
          <w:behavior w:val="content"/>
        </w:behaviors>
        <w:guid w:val="{8F3885DD-038D-4AE6-84EA-59C298FF7A91}"/>
      </w:docPartPr>
      <w:docPartBody>
        <w:p w:rsidR="00E900EA" w:rsidRDefault="00E900EA">
          <w:r w:rsidRPr="00F87277">
            <w:rPr>
              <w:rStyle w:val="PlaceholderText"/>
            </w:rPr>
            <w:t>DA</w:t>
          </w:r>
        </w:p>
      </w:docPartBody>
    </w:docPart>
    <w:docPart>
      <w:docPartPr>
        <w:name w:val="9ED59B69FBD648E58228C7CAD70A7744"/>
        <w:category>
          <w:name w:val="General"/>
          <w:gallery w:val="placeholder"/>
        </w:category>
        <w:types>
          <w:type w:val="bbPlcHdr"/>
        </w:types>
        <w:behaviors>
          <w:behavior w:val="content"/>
        </w:behaviors>
        <w:guid w:val="{837D5D84-FEE7-4BDE-927B-9068ABD30B9F}"/>
      </w:docPartPr>
      <w:docPartBody>
        <w:p w:rsidR="00E900EA" w:rsidRDefault="00E900EA">
          <w:r w:rsidRPr="00F87277">
            <w:rPr>
              <w:rStyle w:val="PlaceholderText"/>
            </w:rPr>
            <w:t>id</w:t>
          </w:r>
        </w:p>
      </w:docPartBody>
    </w:docPart>
    <w:docPart>
      <w:docPartPr>
        <w:name w:val="486613AC78D34BBA80624C9E31A5A6C0"/>
        <w:category>
          <w:name w:val="General"/>
          <w:gallery w:val="placeholder"/>
        </w:category>
        <w:types>
          <w:type w:val="bbPlcHdr"/>
        </w:types>
        <w:behaviors>
          <w:behavior w:val="content"/>
        </w:behaviors>
        <w:guid w:val="{046E1C54-1456-4BBD-9DD6-198D7478408F}"/>
      </w:docPartPr>
      <w:docPartBody>
        <w:p w:rsidR="00E900EA" w:rsidRDefault="00E900EA">
          <w:r w:rsidRPr="00F87277">
            <w:rPr>
              <w:rStyle w:val="PlaceholderText"/>
            </w:rPr>
            <w:t>Qualified Business Income Deduction: Section 199A</w:t>
          </w:r>
        </w:p>
      </w:docPartBody>
    </w:docPart>
    <w:docPart>
      <w:docPartPr>
        <w:name w:val="663AD5F007EA4B6489F441F00F3221BC"/>
        <w:category>
          <w:name w:val="General"/>
          <w:gallery w:val="placeholder"/>
        </w:category>
        <w:types>
          <w:type w:val="bbPlcHdr"/>
        </w:types>
        <w:behaviors>
          <w:behavior w:val="content"/>
        </w:behaviors>
        <w:guid w:val="{AE99FC60-D118-46E1-BBB2-E5E9FCF415E7}"/>
      </w:docPartPr>
      <w:docPartBody>
        <w:p w:rsidR="00E900EA" w:rsidRDefault="00E900EA">
          <w:r w:rsidRPr="00F87277">
            <w:rPr>
              <w:rStyle w:val="PlaceholderText"/>
            </w:rPr>
            <w:t>537-1st</w:t>
          </w:r>
        </w:p>
      </w:docPartBody>
    </w:docPart>
    <w:docPart>
      <w:docPartPr>
        <w:name w:val="D05C97F61FDA4105823EB6AA8757F14C"/>
        <w:category>
          <w:name w:val="General"/>
          <w:gallery w:val="placeholder"/>
        </w:category>
        <w:types>
          <w:type w:val="bbPlcHdr"/>
        </w:types>
        <w:behaviors>
          <w:behavior w:val="content"/>
        </w:behaviors>
        <w:guid w:val="{22F0CBD9-98D6-4557-AB4B-A4D380A32FDE}"/>
      </w:docPartPr>
      <w:docPartBody>
        <w:p w:rsidR="00E900EA" w:rsidRDefault="00E900EA">
          <w:r w:rsidRPr="00F87277">
            <w:rPr>
              <w:rStyle w:val="PlaceholderText"/>
            </w:rPr>
            <w:t>tmus-por</w:t>
          </w:r>
        </w:p>
      </w:docPartBody>
    </w:docPart>
    <w:docPart>
      <w:docPartPr>
        <w:name w:val="65A6F482A05D4A918F8162992326E307"/>
        <w:category>
          <w:name w:val="General"/>
          <w:gallery w:val="placeholder"/>
        </w:category>
        <w:types>
          <w:type w:val="bbPlcHdr"/>
        </w:types>
        <w:behaviors>
          <w:behavior w:val="content"/>
        </w:behaviors>
        <w:guid w:val="{E475B209-9BF4-4D42-AE1E-DEC595D1E915}"/>
      </w:docPartPr>
      <w:docPartBody>
        <w:p w:rsidR="00E900EA" w:rsidRDefault="00E900EA">
          <w:r w:rsidRPr="00F87277">
            <w:rPr>
              <w:rStyle w:val="PlaceholderText"/>
            </w:rPr>
            <w:t>enter text</w:t>
          </w:r>
        </w:p>
      </w:docPartBody>
    </w:docPart>
    <w:docPart>
      <w:docPartPr>
        <w:name w:val="85214B4E06EF4D36926B376D1F69E35D"/>
        <w:category>
          <w:name w:val="General"/>
          <w:gallery w:val="placeholder"/>
        </w:category>
        <w:types>
          <w:type w:val="bbPlcHdr"/>
        </w:types>
        <w:behaviors>
          <w:behavior w:val="content"/>
        </w:behaviors>
        <w:guid w:val="{0852892D-2356-4A96-957D-ABCDB7ECAE60}"/>
      </w:docPartPr>
      <w:docPartBody>
        <w:p w:rsidR="00E900EA" w:rsidRDefault="00E900EA">
          <w:r w:rsidRPr="00F87277">
            <w:rPr>
              <w:rStyle w:val="PlaceholderText"/>
            </w:rPr>
            <w:t>enter text</w:t>
          </w:r>
        </w:p>
      </w:docPartBody>
    </w:docPart>
    <w:docPart>
      <w:docPartPr>
        <w:name w:val="1E592E2F525A44EBAAA0F08652F60611"/>
        <w:category>
          <w:name w:val="General"/>
          <w:gallery w:val="placeholder"/>
        </w:category>
        <w:types>
          <w:type w:val="bbPlcHdr"/>
        </w:types>
        <w:behaviors>
          <w:behavior w:val="content"/>
        </w:behaviors>
        <w:guid w:val="{42218BA1-0E37-4F3B-908A-F1EB27A12B19}"/>
      </w:docPartPr>
      <w:docPartBody>
        <w:p w:rsidR="00E900EA" w:rsidRDefault="00E900EA">
          <w:r w:rsidRPr="00F87277">
            <w:rPr>
              <w:rStyle w:val="PlaceholderText"/>
            </w:rPr>
            <w:t>enter text</w:t>
          </w:r>
        </w:p>
      </w:docPartBody>
    </w:docPart>
    <w:docPart>
      <w:docPartPr>
        <w:name w:val="9FDF8014092E4966B41D41497ABDF2BF"/>
        <w:category>
          <w:name w:val="General"/>
          <w:gallery w:val="placeholder"/>
        </w:category>
        <w:types>
          <w:type w:val="bbPlcHdr"/>
        </w:types>
        <w:behaviors>
          <w:behavior w:val="content"/>
        </w:behaviors>
        <w:guid w:val="{00A13DA7-6D09-4BB9-8F7A-AAC8F63590A9}"/>
      </w:docPartPr>
      <w:docPartBody>
        <w:p w:rsidR="00E900EA" w:rsidRDefault="00E900EA">
          <w:r w:rsidRPr="00F87277">
            <w:rPr>
              <w:rStyle w:val="PlaceholderText"/>
            </w:rPr>
            <w:t>II</w:t>
          </w:r>
        </w:p>
      </w:docPartBody>
    </w:docPart>
    <w:docPart>
      <w:docPartPr>
        <w:name w:val="B346F0A276E343188F8BC6DDC25DFE61"/>
        <w:category>
          <w:name w:val="General"/>
          <w:gallery w:val="placeholder"/>
        </w:category>
        <w:types>
          <w:type w:val="bbPlcHdr"/>
        </w:types>
        <w:behaviors>
          <w:behavior w:val="content"/>
        </w:behaviors>
        <w:guid w:val="{B3C7792B-71B8-48C2-BC97-E5385134262C}"/>
      </w:docPartPr>
      <w:docPartBody>
        <w:p w:rsidR="00E900EA" w:rsidRDefault="00E900EA">
          <w:r w:rsidRPr="00F87277">
            <w:rPr>
              <w:rStyle w:val="PlaceholderText"/>
            </w:rPr>
            <w:t>Basics of the Section 199A Deduction</w:t>
          </w:r>
        </w:p>
      </w:docPartBody>
    </w:docPart>
    <w:docPart>
      <w:docPartPr>
        <w:name w:val="9AEA412F43BB442BA0884D72005A2841"/>
        <w:category>
          <w:name w:val="General"/>
          <w:gallery w:val="placeholder"/>
        </w:category>
        <w:types>
          <w:type w:val="bbPlcHdr"/>
        </w:types>
        <w:behaviors>
          <w:behavior w:val="content"/>
        </w:behaviors>
        <w:guid w:val="{A2D15D52-8E52-430B-B686-2E79D8A85ACB}"/>
      </w:docPartPr>
      <w:docPartBody>
        <w:p w:rsidR="00E900EA" w:rsidRDefault="00E900EA">
          <w:r w:rsidRPr="00F87277">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EA"/>
    <w:rsid w:val="00633865"/>
    <w:rsid w:val="00E9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00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reference.service.codes xmlns="ReferenceServiceCodes">
  <dropdownlist>
    <listitem value="aacm-ref"/>
    <listitem value="about-ref"/>
    <listitem value="acctfa-ref"/>
    <listitem value="acrc-ref"/>
    <listitem value="ada-ref"/>
    <listitem value="adco-ref"/>
    <listitem value="adlaw-ref"/>
    <listitem value="adlawco-ref"/>
    <listitem value="adlawdig-ref"/>
    <listitem value="aicpa-ref"/>
    <listitem value="alrc-ref"/>
    <listitem value="alre-refapc-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kcc-ref"/>
    <listitem value="bkccomp-ref"/>
    <listitem value="bkccredit-ref"/>
    <listitem value="bkcesc-ref"/>
    <listitem value="bkcgift-ref"/>
    <listitem value="bkcisales-ref"/>
    <listitem value="bkclbrok-ref"/>
    <listitem value="bkclcards-ref"/>
    <listitem value="bkclcoll-ref"/>
    <listitem value="bkclins-ref"/>
    <listitem value="bkcldebt-ref"/>
    <listitem value="bkclorig-ref"/>
    <listitem value="bkclpayd-ref"/>
    <listitem value="bkclrefnd-ref"/>
    <listitem value="bkclsales-ref"/>
    <listitem value="bkclserv-ref"/>
    <listitem value="bkclsmall-ref"/>
    <listitem value="bkclspec-ref"/>
    <listitem value="bkcltitl-ref"/>
    <listitem value="bkcltrans-ref"/>
    <listitem value="bkcmort-ref"/>
    <listitem value="bkcudap-ref"/>
    <listitem value="bkcusry-ref"/>
    <listitem value="bkrp-ref"/>
    <listitem value="blaw-ref"/>
    <listitem value="blawcoa-ref"/>
    <listitem value="blawdm-ref"/>
    <listitem value="blawln-ref"/>
    <listitem value="blawls-ref"/>
    <listitem value="blawpg-ref"/>
    <listitem value="blawsp-ref"/>
    <listitem value="blawtr-ref"/>
    <listitem value="blre-ref"/>
    <listitem value="bna-ref"/>
    <listitem value="bnahndbk-ref"/>
    <listitem value="bpc-ref"/>
    <listitem value="bpfa-ref"/>
    <listitem value="bppi-ref"/>
    <listitem value=" bppt-ref"/>
    <listitem value="bprc-ref"/>
    <listitem value="bpre-ref"/>
    <listitem value="bpse-ref"/>
    <listitem value="bsty-ref"/>
    <listitem value="btac-ref"/>
    <listitem value="btt-ref"/>
    <listitem value="btta-ref"/>
    <listitem value="bwd-ref"/>
    <listitem value="cable-ref"/>
    <listitem value="carn-ref"/>
    <listitem value="cbg-ref"/>
    <listitem value="cblw-ref"/>
    <listitem value="cbn-ref"/>
    <listitem value="cbnco-ref"/>
    <listitem value="cbp-ref"/>
    <listitem value="cbtt-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t-ref"/>
    <listitem value="cmp-ref"/>
    <listitem value="cms-ref"/>
    <listitem value="comrg-ref"/>
    <listitem value="comrgco-ref"/>
    <listitem value="comrge-ref"/>
    <listitem value="comrul-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co-ref"/>
    <listitem value="eblw-ref"/>
    <listitem value="ecan-ref"/>
    <listitem value="ecc-ref"/>
    <listitem value="ecel-ref"/>
    <listitem value="ecfr-ref"/>
    <listitem value="ecj-ref"/>
    <listitem value="eclr-ref"/>
    <listitem value="eclw-ref"/>
    <listitem value="econ-ref"/>
    <listitem value="edg-ref"/>
    <listitem value="edlw-ref"/>
    <listitem value="edrc-ref"/>
    <listitem value="edre-ref"/>
    <listitem value="eeo-ref"/>
    <listitem value="eg-ref"/>
    <listitem value="egcd-ref"/>
    <listitem value="eglw-ref"/>
    <listitem value="ehsdsn-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nra-ref"/>
    <listitem value="fleg-ref"/>
    <listitem value="flegtr-ref"/>
    <listitem value="fllt-ref"/>
    <listitem value="flltr-ref"/>
    <listitem value="flltsr-ref"/>
    <listitem value="flr-ref"/>
    <listitem value="fmine-ref"/>
    <listitem value="fminee-ref"/>
    <listitem value="form-ref"/>
    <listitem value="fr-ref"/>
    <listitem value="frcom-ref"/>
    <listitem value="fsoc-ref"/>
    <listitem value="gasb-ref"/>
    <listitem value="gebwd-ref"/>
    <listitem value="gelw-ref"/>
    <listitem value="gin-ref"/>
    <listitem value="gtf-ref"/>
    <listitem value="gtg-ref"/>
    <listitem value="harc-ref"/>
    <listitem value="haz-ref"/>
    <listitem value="haze-ref"/>
    <listitem value="hblw-ref"/>
    <listitem value="hbss-ref"/>
    <listitem value="hccg-ref"/>
    <listitem value="hccw-ref"/>
    <listitem value="hesw-ref"/>
    <listitem value="hhs-ref"/>
    <listitem value="hlaw-ref"/>
    <listitem value="hlcfraud-ref"/>
    <listitem value="hlcinsgen-ref"/>
    <listitem value="hlcinsman-ref"/>
    <listitem value="hlcitech-ref"/>
    <listitem value="hlcpriv-ref"/>
    <listitem value="hlrc-ref"/>
    <listitem value="hlre-ref"/>
    <listitem value="hlst-ref"/>
    <listitem value="hrcc-ref"/>
    <listitem value="hrcd-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ia-ref"/>
    <listitem value="iasb-ref"/>
    <listitem value="ibfd-ref"/>
    <listitem value="icr-ref"/>
    <listitem value="idsn-ref"/>
    <listitem value="ier-ref"/>
    <listitem value="ierco-ref"/>
    <listitem value="ilr-ref"/>
    <listitem value="ilrc-ref"/>
    <listitem value="ilrco-ref"/>
    <listitem value="ilrpmb-ref"/>
    <listitem value="ilre-ref"/>
    <listitem value="iner-ref"/>
    <listitem value="ipl-ref"/>
    <listitem value="iplw-ref"/>
    <listitem value="ippt-ref"/>
    <listitem value="iprc-ref"/>
    <listitem value="ipre-ref"/>
    <listitem value="ipsrc-ref"/>
    <listitem value="ipydsn-ref"/>
    <listitem value="irs-ref"/>
    <listitem value="itax-ref"/>
    <listitem value="itlw-ref"/>
    <listitem value="itr-ref"/>
    <listitem value="itrc-ref"/>
    <listitem value="itrco-ref"/>
    <listitem value="itre-ref"/>
    <listitem value="jcr-ref"/>
    <listitem value="josh-ref"/>
    <listitem value="la-ref"/>
    <listitem value="laco-ref"/>
    <listitem value="lbpwtr-ref"/>
    <listitem value="leg-ref"/>
    <listitem value="lelw-ref"/>
    <listitem value="lerc-ref"/>
    <listitem value="lere-ref"/>
    <listitem value="lest-ref"/>
    <listitem value="lorc-ref"/>
    <listitem value="lore-ref"/>
    <listitem value="lr-ref"/>
    <listitem value="lrmsd-ref"/>
    <listitem value="lrrmco-ref"/>
    <listitem value="lrx-ref"/>
    <listitem value="mbca-ref"/>
    <listitem value="medco-ref"/>
    <listitem value="medw-ref"/>
    <listitem value="miscdec-ref"/>
    <listitem value="mm-ref"/>
    <listitem value="mopc-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t-ref"/>
    <listitem value="pwatch-ref"/>
    <listitem value="pydsn-ref"/>
    <listitem value="pyirccn-ref"/>
    <listitem value="pylw-ref"/>
    <listitem value="rkpg-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pgd-ref"/>
    <listitem value="splw-ref"/>
    <listitem value="spse-ref"/>
    <listitem value="sqrc-ref"/>
    <listitem value="srpg-ref"/>
    <listitem value="ssl-ref"/>
    <listitem value="stadec-ref"/>
    <listitem value="staform-ref"/>
    <listitem value="stag-ref"/>
    <listitem value="state-ref"/>
    <listitem value="stcon-ref"/>
    <listitem value="stegt-ref"/>
    <listitem value="stegtarc-ref"/>
    <listitem value="stleg-ref"/>
    <listitem value="stlegdig-ref"/>
    <listitem value="stxdtr-ref"/>
    <listitem value="tafc-ref"/>
    <listitem value="telerpts-ref"/>
    <listitem value="terc-ref"/>
    <listitem value="tmci-ref"/>
    <listitem value="tmcit-ref"/>
    <listitem value="tmcitarc-ref"/>
    <listitem value="tmcitncb-ref"/>
    <listitem value="tmcsf-ref"/>
    <listitem value="tmcss-ref"/>
    <listitem value="tmdiag-ref"/>
    <listitem value="tmel-ref"/>
    <listitem value="tmelec-ref"/>
    <listitem value="tmextn-ref"/>
    <listitem value="tmextnarc-ref"/>
    <listitem value="tmforms-ref"/>
    <listitem value="tmformsarc-ref"/>
    <listitem value="tmgo-ref"/>
    <listitem value="tmgp-ref"/>
    <listitem value="tmhc-ref"/>
    <listitem value="tmiit-ref"/>
    <listitem value="tmiitarc-ref"/>
    <listitem value="tmintforms-ref"/>
    <listitem value="tmirccn-ref"/>
    <listitem value="tmise-ref"/>
    <listitem value="tmiwt-ref"/>
    <listitem value="tmlbl-ref"/>
    <listitem value="tmleg-ref"/>
    <listitem value="tmnxc-ref"/>
    <listitem value="tmnxsu-ref"/>
    <listitem value="tmnxt-ref"/>
    <listitem value="tmprtn-ref"/>
    <listitem value="tmprtnarc-ref"/>
    <listitem value="tmps-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arc-ref"/>
    <listitem value="tmtcl-ref"/>
    <listitem value="tmxto-ref"/>
    <listitem value="tools-ref"/>
    <listitem value="tpcdl-ref"/>
    <listitem value="tpsfa-ref"/>
    <listitem value="ttb-ref"/>
    <listitem value="txpg-ref"/>
    <listitem value="txtr-ref"/>
    <listitem value="txtri-ref"/>
    <listitem value="txtri2-ref"/>
    <listitem value="ulr-ref"/>
    <listitem value="urlw-ref"/>
    <listitem value="usc-ref"/>
    <listitem value="uscarc-ref"/>
    <listitem value="uslw-ref"/>
    <listitem value="vatn-ref"/>
    <listitem value="wccd-ref"/>
    <listitem value="webw-ref"/>
    <listitem value="wh-ref"/>
    <listitem value="wh2co-ref"/>
    <listitem value="whco-ref"/>
    <listitem value="whm-ref"/>
    <listitem value="wmg-ref"/>
    <listitem value="wpc-ref"/>
    <listitem value="wrls-ref"/>
    <listitem value="wrr-ref"/>
    <listitem value="xclw-ref"/>
    <listitem value="xcpc-ref"/>
    <listitem value="xpdt-ref"/>
  </dropdownlist>
</reference.service.codes>
</file>

<file path=customXml/item3.xml><?xml version="1.0" encoding="utf-8"?>
<document xmlns="http://www.bna.com/gateway/unit.start">
  <unit.start bna.id.prefix="537" class.code="A" class.name="Detailed Analysis" continued="1" copyright.owner="Tax Management Inc." folio="5" pdm.name="DA" portfolio.classification="id" portfolio.name="Qualified Business Income Deduction: Section 199A" print.tagline="1" publication.num="537-1st" service.code="tmus-por" unit.code="II" unit.name="Basics of the Section 199A Deduction" banner.name="enter text" part.name="enter text" part.num="enter text" short.class.name="enter text" short.unit.name="enter text" subclass.name="enter text" volume.num="enter text"/>
</document>
</file>

<file path=customXml/itemProps1.xml><?xml version="1.0" encoding="utf-8"?>
<ds:datastoreItem xmlns:ds="http://schemas.openxmlformats.org/officeDocument/2006/customXml" ds:itemID="{9E970509-A842-4A6B-A7FC-740E03F9BA13}">
  <ds:schemaRefs>
    <ds:schemaRef ds:uri="PortfolioServiceCodes"/>
  </ds:schemaRefs>
</ds:datastoreItem>
</file>

<file path=customXml/itemProps2.xml><?xml version="1.0" encoding="utf-8"?>
<ds:datastoreItem xmlns:ds="http://schemas.openxmlformats.org/officeDocument/2006/customXml" ds:itemID="{DF270D66-850B-4A7E-9C96-135D89D25EF8}">
  <ds:schemaRefs>
    <ds:schemaRef ds:uri="ReferenceServiceCodes"/>
  </ds:schemaRefs>
</ds:datastoreItem>
</file>

<file path=customXml/itemProps3.xml><?xml version="1.0" encoding="utf-8"?>
<ds:datastoreItem xmlns:ds="http://schemas.openxmlformats.org/officeDocument/2006/customXml" ds:itemID="{1068E49B-A83E-4610-8D8B-980E695035F0}">
  <ds:schemaRefs>
    <ds:schemaRef ds:uri="http://www.bna.com/gateway/unit.start"/>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BPub_Prep</Template>
  <TotalTime>1</TotalTime>
  <Pages>9</Pages>
  <Words>3202</Words>
  <Characters>18253</Characters>
  <Application>Microsoft Office Word</Application>
  <DocSecurity>0</DocSecurity>
  <Lines>152</Lines>
  <Paragraphs>42</Paragraphs>
  <ScaleCrop>false</ScaleCrop>
  <Company>Bloomberg Industry Group</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Ricky</dc:creator>
  <cp:lastModifiedBy>Cruz, Ricky</cp:lastModifiedBy>
  <cp:revision>2</cp:revision>
  <dcterms:created xsi:type="dcterms:W3CDTF">2025-07-21T15:37:00Z</dcterms:created>
  <dcterms:modified xsi:type="dcterms:W3CDTF">2025-07-21T15:37:00Z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portfolio</vt:lpwstr>
  </property>
</Properties>
</file>