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0C06" w14:textId="77777777" w:rsidR="0072569C" w:rsidRDefault="00FB002D">
      <w:pPr>
        <w:pStyle w:val="BChapterName"/>
      </w:pPr>
      <w:r>
        <w:t>Business Operations in Portugal</w:t>
      </w:r>
    </w:p>
    <w:p w14:paraId="496E2BE8" w14:textId="77777777" w:rsidR="0072569C" w:rsidRDefault="00FB002D">
      <w:pPr>
        <w:pStyle w:val="BNormal"/>
      </w:pPr>
      <w:r>
        <w:t>PORTFOLIO DESCRIPTION</w:t>
      </w:r>
    </w:p>
    <w:p w14:paraId="22972DB0" w14:textId="77777777" w:rsidR="0072569C" w:rsidRDefault="00FB002D">
      <w:pPr>
        <w:pStyle w:val="BNormal"/>
      </w:pPr>
      <w:r>
        <w:t xml:space="preserve">Tax Management Portfolio, </w:t>
      </w:r>
      <w:r>
        <w:rPr>
          <w:i/>
        </w:rPr>
        <w:t>Business Operations in Portugal</w:t>
      </w:r>
      <w:r>
        <w:t xml:space="preserve">, No. 7310-1st, contains information designed to enable U.S. and other foreign investors to understand the commercial and tax law likely to be of concern to them when conducting their operations in Portugal. </w:t>
      </w:r>
    </w:p>
    <w:p w14:paraId="1CC07A94" w14:textId="77777777" w:rsidR="0072569C" w:rsidRDefault="00FB002D">
      <w:pPr>
        <w:pStyle w:val="BNormal"/>
      </w:pPr>
      <w:r>
        <w:t xml:space="preserve">The Portfolio analyzes in detail the statutory and procedural framework relevant to foreign investment in Portugal, as well as the general aspects of corporate law that may help a foreign investor to choose the best investment structure. </w:t>
      </w:r>
    </w:p>
    <w:p w14:paraId="1F2B37BD" w14:textId="77777777" w:rsidR="0072569C" w:rsidRDefault="00FB002D">
      <w:pPr>
        <w:pStyle w:val="BNormal"/>
      </w:pPr>
      <w:r>
        <w:t xml:space="preserve">The Portfolio also provides a detailed analysis of the Portuguese income tax as it applies to individuals, corporations and partnership-like entities. It also discusses value added tax, stamp tax, real estate transfer tax, real property tax, social security contributions and other taxes on transactions and services as well as local and regional taxes. </w:t>
      </w:r>
    </w:p>
    <w:p w14:paraId="58061B6F" w14:textId="77777777" w:rsidR="0072569C" w:rsidRDefault="00FB002D">
      <w:pPr>
        <w:pStyle w:val="BNormal"/>
      </w:pPr>
      <w:r>
        <w:t xml:space="preserve">This Portfolio may be cited as de Carvalho, 7310 T.M., </w:t>
      </w:r>
      <w:r>
        <w:rPr>
          <w:i/>
        </w:rPr>
        <w:t>Business Operations in Portugal</w:t>
      </w:r>
      <w:r>
        <w:t>.</w:t>
      </w:r>
    </w:p>
    <w:p w14:paraId="7D575FFD" w14:textId="77777777" w:rsidR="0072569C" w:rsidRDefault="00FB002D">
      <w:pPr>
        <w:pStyle w:val="BNormal"/>
      </w:pPr>
      <w:r>
        <w:br/>
      </w:r>
      <w:r>
        <w:br/>
      </w:r>
      <w:r>
        <w:br/>
      </w:r>
      <w:r>
        <w:br/>
      </w:r>
      <w:r>
        <w:br/>
      </w:r>
      <w:r>
        <w:br/>
      </w:r>
      <w:r>
        <w:br/>
      </w:r>
      <w:r>
        <w:br/>
      </w:r>
      <w:r>
        <w:br/>
      </w:r>
      <w:r>
        <w:br/>
      </w:r>
      <w:r>
        <w:br/>
      </w:r>
      <w:r>
        <w:br/>
      </w:r>
      <w:r>
        <w:br/>
      </w:r>
      <w:r>
        <w:br/>
      </w:r>
    </w:p>
    <w:p w14:paraId="1C0A77FB" w14:textId="77777777" w:rsidR="0072569C" w:rsidRDefault="00FB002D">
      <w:pPr>
        <w:pStyle w:val="BProductionNote"/>
      </w:pPr>
      <w:r>
        <w:t>Table: please review</w:t>
      </w:r>
    </w:p>
    <w:tbl>
      <w:tblPr>
        <w:tblStyle w:val="TableGrid"/>
        <w:tblW w:w="0" w:type="auto"/>
        <w:tblLook w:val="04A0" w:firstRow="1" w:lastRow="0" w:firstColumn="1" w:lastColumn="0" w:noHBand="0" w:noVBand="1"/>
      </w:tblPr>
      <w:tblGrid>
        <w:gridCol w:w="9350"/>
      </w:tblGrid>
      <w:tr w:rsidR="0072569C" w14:paraId="7C179BC9" w14:textId="77777777">
        <w:tc>
          <w:tcPr>
            <w:tcW w:w="10080" w:type="dxa"/>
          </w:tcPr>
          <w:p w14:paraId="58A99074" w14:textId="77777777" w:rsidR="0072569C" w:rsidRDefault="00FB002D">
            <w:r>
              <w:t xml:space="preserve">This Bloomberg Tax Portfolio is not intended to provide legal, accounting, or tax advice for any purpose and does not apply to any </w:t>
            </w:r>
            <w:proofErr w:type="gramStart"/>
            <w:r>
              <w:t>particular person</w:t>
            </w:r>
            <w:proofErr w:type="gramEnd"/>
            <w:r>
              <w:t xml:space="preserve"> or factual situation. Neither the author nor the publisher assumes responsibility for the reader's reliance on information or opinions expressed in it, and the reader is encouraged to verify all items by reviewing the original sources.</w:t>
            </w:r>
          </w:p>
        </w:tc>
      </w:tr>
    </w:tbl>
    <w:p w14:paraId="30C07292" w14:textId="77777777" w:rsidR="0072569C" w:rsidRDefault="0072569C">
      <w:pPr>
        <w:pStyle w:val="BNormal"/>
      </w:pPr>
    </w:p>
    <w:p w14:paraId="61F80AF3" w14:textId="77777777" w:rsidR="0072569C" w:rsidRDefault="00FB002D">
      <w:pPr>
        <w:pStyle w:val="BNormal"/>
      </w:pPr>
      <w:r>
        <w:t>              </w:t>
      </w:r>
      <w:r>
        <w:rPr>
          <w:b/>
        </w:rPr>
        <w:t>AUTHOR PROFILES</w:t>
      </w:r>
    </w:p>
    <w:p w14:paraId="03C90A29" w14:textId="77777777" w:rsidR="0072569C" w:rsidRDefault="00FB002D">
      <w:pPr>
        <w:pStyle w:val="BNormal"/>
      </w:pPr>
      <w:r>
        <w:t xml:space="preserve">Filipe Romão, admitted to the Portuguese Bar; education: University of Lisbon (Law Degree, 1995); Catholic University of Portugal, Porto (Post-Graduation in Management, 1997); Instituto Superior de </w:t>
      </w:r>
      <w:proofErr w:type="spellStart"/>
      <w:r>
        <w:t>Gestão</w:t>
      </w:r>
      <w:proofErr w:type="spellEnd"/>
      <w:r>
        <w:t xml:space="preserve">, Lisbon (Postgraduate Degree in Tax Law, 1999). </w:t>
      </w:r>
    </w:p>
    <w:p w14:paraId="5297805D" w14:textId="77777777" w:rsidR="0072569C" w:rsidRDefault="00FB002D">
      <w:pPr>
        <w:pStyle w:val="BNormal"/>
      </w:pPr>
      <w:r>
        <w:t>André Pestana Nascimento, admitted to the Portuguese Bar (2005); education: University of Lisbon (Law Degree, 2003); University of Lisbon (Postgraduate Degree in Employment and Social Security Law, 2006): Immigration; Labor Relations.</w:t>
      </w:r>
    </w:p>
    <w:p w14:paraId="192455D7" w14:textId="77777777" w:rsidR="0072569C" w:rsidRDefault="00FB002D">
      <w:pPr>
        <w:pStyle w:val="BNormal"/>
      </w:pPr>
      <w:r>
        <w:lastRenderedPageBreak/>
        <w:t xml:space="preserve">António Castro Caldas, admitted to the Portuguese Bar (2002); education: Catholic University of Lisbon, Portugal (Law Degree, 2000); Instituto Superior de </w:t>
      </w:r>
      <w:proofErr w:type="spellStart"/>
      <w:r>
        <w:t>Gestão</w:t>
      </w:r>
      <w:proofErr w:type="spellEnd"/>
      <w:r>
        <w:t>, Lisbon (Postgraduate Degree in Tax Law, 2003).</w:t>
      </w:r>
    </w:p>
    <w:p w14:paraId="21FDDBB8" w14:textId="77777777" w:rsidR="0072569C" w:rsidRDefault="00FB002D">
      <w:pPr>
        <w:pStyle w:val="BNormal"/>
      </w:pPr>
      <w:r>
        <w:t xml:space="preserve">Catarina Fernandes, admitted to the Portuguese Bar (2014); education: University of Lisbon (Law Degree, 2009, and </w:t>
      </w:r>
      <w:proofErr w:type="gramStart"/>
      <w:r>
        <w:t>Master's Degree</w:t>
      </w:r>
      <w:proofErr w:type="gramEnd"/>
      <w:r>
        <w:t xml:space="preserve"> in Tax Law, 2012); Pantheon-Sorbonne University of Paris and Complutense University of Madrid (Double postgraduate degree in Law, Economics and Political Studies of the EU, 2011); University of Coimbra (Post-Graduate Degree in Tax Law, 2016).</w:t>
      </w:r>
    </w:p>
    <w:p w14:paraId="22E2E7AE" w14:textId="77777777" w:rsidR="0072569C" w:rsidRDefault="00FB002D">
      <w:pPr>
        <w:pStyle w:val="BNormal"/>
      </w:pPr>
      <w:r>
        <w:t xml:space="preserve">Cláudia Reis Duarte, admitted to the Portuguese Bar (2005); education: Nova Law School (Law Degree, 2003); Instituto Superior de </w:t>
      </w:r>
      <w:proofErr w:type="spellStart"/>
      <w:r>
        <w:t>Ciências</w:t>
      </w:r>
      <w:proofErr w:type="spellEnd"/>
      <w:r>
        <w:t xml:space="preserve"> do </w:t>
      </w:r>
      <w:proofErr w:type="spellStart"/>
      <w:r>
        <w:t>Trabalho</w:t>
      </w:r>
      <w:proofErr w:type="spellEnd"/>
      <w:r>
        <w:t xml:space="preserve"> e da </w:t>
      </w:r>
      <w:proofErr w:type="spellStart"/>
      <w:r>
        <w:t>Empresa</w:t>
      </w:r>
      <w:proofErr w:type="spellEnd"/>
      <w:r>
        <w:t xml:space="preserve"> — ISCTE (Postgraduate Degree in Taxation, 2004).</w:t>
      </w:r>
    </w:p>
    <w:p w14:paraId="75DEBCC6" w14:textId="77777777" w:rsidR="0072569C" w:rsidRDefault="00FB002D">
      <w:pPr>
        <w:pStyle w:val="BNormal"/>
      </w:pPr>
      <w:r>
        <w:t>Francisco Cunha Ferreira, admitted to Portuguese Bar (2008); education: University of Lisbon (Law Degree, 2005).</w:t>
      </w:r>
    </w:p>
    <w:p w14:paraId="7CFCEB77" w14:textId="77777777" w:rsidR="0072569C" w:rsidRDefault="00FB002D">
      <w:pPr>
        <w:pStyle w:val="BNormal"/>
      </w:pPr>
      <w:r>
        <w:t>Gerard Everaert, admitted to the Portuguese Bar (2017); education: University of Lisbon (Law Degree, 2012); Catholic University of Portugal (</w:t>
      </w:r>
      <w:proofErr w:type="gramStart"/>
      <w:r>
        <w:t>Master's Degree</w:t>
      </w:r>
      <w:proofErr w:type="gramEnd"/>
      <w:r>
        <w:t xml:space="preserve"> in Tax Law, 2013).</w:t>
      </w:r>
    </w:p>
    <w:p w14:paraId="0DE23808" w14:textId="77777777" w:rsidR="0072569C" w:rsidRDefault="00FB002D">
      <w:pPr>
        <w:pStyle w:val="BNormal"/>
      </w:pPr>
      <w:r>
        <w:t>Hélder Frias, admitted to the Portuguese Bar (2009); education: University of Lisbon (Law Degree, 2006).</w:t>
      </w:r>
    </w:p>
    <w:p w14:paraId="3A8C51DD" w14:textId="77777777" w:rsidR="0072569C" w:rsidRDefault="00FB002D">
      <w:pPr>
        <w:pStyle w:val="BNormal"/>
      </w:pPr>
      <w:r>
        <w:t xml:space="preserve">Joana Torres </w:t>
      </w:r>
      <w:proofErr w:type="spellStart"/>
      <w:r>
        <w:t>Ereio</w:t>
      </w:r>
      <w:proofErr w:type="spellEnd"/>
      <w:r>
        <w:t>, admitted to the Portuguese Bar (2010); education: University of Coimbra (Law Degree, 2007): Catholic University of Lisbon (Postgraduate degree in Commercial Law, 2011); University of Lisbon (Intensive Course on Corporate Finance, 2012); Católica School of Business &amp; Economics (Accounting and Finance Course, 2015).</w:t>
      </w:r>
    </w:p>
    <w:p w14:paraId="342D65A6" w14:textId="77777777" w:rsidR="0072569C" w:rsidRDefault="00FB002D">
      <w:pPr>
        <w:pStyle w:val="BNormal"/>
      </w:pPr>
      <w:r>
        <w:t xml:space="preserve">Mariana </w:t>
      </w:r>
      <w:proofErr w:type="spellStart"/>
      <w:r>
        <w:t>Coentro</w:t>
      </w:r>
      <w:proofErr w:type="spellEnd"/>
      <w:r>
        <w:t xml:space="preserve"> Ribeiro, admitted to the Portuguese Bar (2014); education: Nova School of Law (Law Degree, 2011); Catholic University of Portugal (</w:t>
      </w:r>
      <w:proofErr w:type="gramStart"/>
      <w:r>
        <w:t>Master's Degree in Law and Business</w:t>
      </w:r>
      <w:proofErr w:type="gramEnd"/>
      <w:r>
        <w:t>, 2012, and Postgraduate Degree in Taxation, 2015).</w:t>
      </w:r>
    </w:p>
    <w:p w14:paraId="4CA16D64" w14:textId="77777777" w:rsidR="0072569C" w:rsidRDefault="00FB002D">
      <w:pPr>
        <w:pStyle w:val="BNormal"/>
      </w:pPr>
      <w:r>
        <w:t xml:space="preserve">Marta Pontes, admitted to the Portuguese Bar (2003); education: University of Lisbon (Law Degree, 2001); Instituto Superior de </w:t>
      </w:r>
      <w:proofErr w:type="spellStart"/>
      <w:r>
        <w:t>Gestão</w:t>
      </w:r>
      <w:proofErr w:type="spellEnd"/>
      <w:r>
        <w:t>, Lisbon (</w:t>
      </w:r>
      <w:proofErr w:type="spellStart"/>
      <w:r>
        <w:t>Postraduate</w:t>
      </w:r>
      <w:proofErr w:type="spellEnd"/>
      <w:r>
        <w:t xml:space="preserve"> Degree in Tax Law, 2003).</w:t>
      </w:r>
    </w:p>
    <w:p w14:paraId="67EE783B" w14:textId="77777777" w:rsidR="0072569C" w:rsidRDefault="00FB002D">
      <w:pPr>
        <w:pStyle w:val="BNormal"/>
      </w:pPr>
      <w:r>
        <w:t>Martim Teixeira, admitted to the Portuguese Bar (2017); education: University of Lisbon (Law Degree, 2010); Catholic University of Portugal (Postgraduate Degree in Taxation, 2011).</w:t>
      </w:r>
    </w:p>
    <w:p w14:paraId="428766A5" w14:textId="77777777" w:rsidR="0072569C" w:rsidRDefault="00FB002D">
      <w:pPr>
        <w:pStyle w:val="BNormal"/>
      </w:pPr>
      <w:r>
        <w:t xml:space="preserve">Miguel Durham </w:t>
      </w:r>
      <w:proofErr w:type="spellStart"/>
      <w:r>
        <w:t>Agrellos</w:t>
      </w:r>
      <w:proofErr w:type="spellEnd"/>
      <w:r>
        <w:t xml:space="preserve">, admitted to the Portuguese Bar; education: Catholic University of Portugal, Porto (Law Degree, 1998); Catholic </w:t>
      </w:r>
      <w:r>
        <w:t xml:space="preserve">University of Portugal, Porto (Postgraduate degree in Management, 1999); Instituto Superior de </w:t>
      </w:r>
      <w:proofErr w:type="spellStart"/>
      <w:r>
        <w:t>Gestão</w:t>
      </w:r>
      <w:proofErr w:type="spellEnd"/>
      <w:r>
        <w:t>, Lisbon (Postgraduate Degree in Tax Law, 2003).</w:t>
      </w:r>
    </w:p>
    <w:p w14:paraId="5F79A167" w14:textId="77777777" w:rsidR="0072569C" w:rsidRDefault="00FB002D">
      <w:pPr>
        <w:pStyle w:val="BNormal"/>
      </w:pPr>
      <w:r>
        <w:t>Miguel Stokes, admitted to the Portuguese Bar (2013); education: Nova School of Law (Law Degree, 2009); University of Lisbon (Postgraduate Degree in Securities Law, 2013); London School of Economics (LL.M. in Corporate and Capital Markets, 2016).</w:t>
      </w:r>
    </w:p>
    <w:p w14:paraId="5831E7F9" w14:textId="77777777" w:rsidR="0072569C" w:rsidRDefault="00FB002D">
      <w:pPr>
        <w:pStyle w:val="BNormal"/>
      </w:pPr>
      <w:r>
        <w:t>Nuno Salazar Casanova, admitted to the Portuguese Bar (2004); education: University of Lisbon (Law Degree, 2002).</w:t>
      </w:r>
    </w:p>
    <w:p w14:paraId="0D9D2975" w14:textId="77777777" w:rsidR="0072569C" w:rsidRDefault="00FB002D">
      <w:pPr>
        <w:pStyle w:val="BNormal"/>
      </w:pPr>
      <w:r>
        <w:t>Pedro Roma, admitted to the Portuguese Bar (2017); education: University of Lisbon (Law Degree, 2012); University of Lisbon (</w:t>
      </w:r>
      <w:proofErr w:type="gramStart"/>
      <w:r>
        <w:t>Master's Degree in Law and Economics</w:t>
      </w:r>
      <w:proofErr w:type="gramEnd"/>
      <w:r>
        <w:t xml:space="preserve"> — Tax, 2018).</w:t>
      </w:r>
    </w:p>
    <w:p w14:paraId="614C137E" w14:textId="77777777" w:rsidR="0072569C" w:rsidRDefault="00FB002D">
      <w:pPr>
        <w:pStyle w:val="BNormal"/>
      </w:pPr>
      <w:r>
        <w:t>Raquel Maurício, admitted to the Portuguese Bar (2014); education: Catholic University of Portugal (Law Degree, 2010).</w:t>
      </w:r>
    </w:p>
    <w:p w14:paraId="3E94A622" w14:textId="77777777" w:rsidR="0072569C" w:rsidRDefault="00FB002D">
      <w:pPr>
        <w:pStyle w:val="BNormal"/>
      </w:pPr>
      <w:r>
        <w:t>Tânia Luísa Faria, admitted to the Portuguese Bar (2006); education: University of Lisbon (Law Degree, 2004); University of Lisbon (Postgraduate Degree in Regulatory Authorities, 2007); Queen Mary-University of London (Postgraduate studies in EU Competition Law, 2009); University of Lisbon (</w:t>
      </w:r>
      <w:proofErr w:type="gramStart"/>
      <w:r>
        <w:t>Master's Degree in Law and Economics</w:t>
      </w:r>
      <w:proofErr w:type="gramEnd"/>
      <w:r>
        <w:t>, 2012); University of Lisbon (Ph.D. Student — Law and Economics, 2013).</w:t>
      </w:r>
    </w:p>
    <w:p w14:paraId="67B64CA0" w14:textId="77777777" w:rsidR="0072569C" w:rsidRDefault="00FB002D">
      <w:pPr>
        <w:pStyle w:val="BNormal"/>
      </w:pPr>
      <w:r>
        <w:t xml:space="preserve">Tiago Pedro Rodrigues, admitted to the Portuguese Bar (2005); education: University of Lisbon (Law Degree, 2003); Instituto Superior de </w:t>
      </w:r>
      <w:proofErr w:type="spellStart"/>
      <w:r>
        <w:t>Gestão</w:t>
      </w:r>
      <w:proofErr w:type="spellEnd"/>
      <w:r>
        <w:t>, Lisbon (Post-Graduation in Tax Law, 2005); Queen Mary University of London (LL.M. in Tax Law, 2008); Chartered Institute of Taxation (Advanced Diploma in International Taxation, 2008).</w:t>
      </w:r>
    </w:p>
    <w:p w14:paraId="57A69401" w14:textId="77777777" w:rsidR="0072569C" w:rsidRDefault="00FB002D">
      <w:pPr>
        <w:pStyle w:val="BNormal"/>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sectPr w:rsidR="007256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989366">
    <w:abstractNumId w:val="28"/>
  </w:num>
  <w:num w:numId="2" w16cid:durableId="1556621240">
    <w:abstractNumId w:val="31"/>
  </w:num>
  <w:num w:numId="3" w16cid:durableId="1537699470">
    <w:abstractNumId w:val="2"/>
  </w:num>
  <w:num w:numId="4" w16cid:durableId="37359737">
    <w:abstractNumId w:val="7"/>
  </w:num>
  <w:num w:numId="5" w16cid:durableId="1479607915">
    <w:abstractNumId w:val="8"/>
  </w:num>
  <w:num w:numId="6" w16cid:durableId="725566870">
    <w:abstractNumId w:val="6"/>
  </w:num>
  <w:num w:numId="7" w16cid:durableId="1440679625">
    <w:abstractNumId w:val="16"/>
  </w:num>
  <w:num w:numId="8" w16cid:durableId="1717506319">
    <w:abstractNumId w:val="29"/>
  </w:num>
  <w:num w:numId="9" w16cid:durableId="123280835">
    <w:abstractNumId w:val="22"/>
  </w:num>
  <w:num w:numId="10" w16cid:durableId="1398938925">
    <w:abstractNumId w:val="0"/>
  </w:num>
  <w:num w:numId="11" w16cid:durableId="561209631">
    <w:abstractNumId w:val="9"/>
  </w:num>
  <w:num w:numId="12" w16cid:durableId="268438425">
    <w:abstractNumId w:val="3"/>
  </w:num>
  <w:num w:numId="13" w16cid:durableId="1092698683">
    <w:abstractNumId w:val="27"/>
  </w:num>
  <w:num w:numId="14" w16cid:durableId="1545096505">
    <w:abstractNumId w:val="25"/>
  </w:num>
  <w:num w:numId="15" w16cid:durableId="618487737">
    <w:abstractNumId w:val="24"/>
  </w:num>
  <w:num w:numId="16" w16cid:durableId="1938323503">
    <w:abstractNumId w:val="10"/>
  </w:num>
  <w:num w:numId="17" w16cid:durableId="1153988484">
    <w:abstractNumId w:val="30"/>
  </w:num>
  <w:num w:numId="18" w16cid:durableId="215969045">
    <w:abstractNumId w:val="11"/>
  </w:num>
  <w:num w:numId="19" w16cid:durableId="771049161">
    <w:abstractNumId w:val="19"/>
  </w:num>
  <w:num w:numId="20" w16cid:durableId="1307588809">
    <w:abstractNumId w:val="13"/>
  </w:num>
  <w:num w:numId="21" w16cid:durableId="276255894">
    <w:abstractNumId w:val="15"/>
  </w:num>
  <w:num w:numId="22" w16cid:durableId="1576547009">
    <w:abstractNumId w:val="20"/>
  </w:num>
  <w:num w:numId="23" w16cid:durableId="1702046090">
    <w:abstractNumId w:val="21"/>
  </w:num>
  <w:num w:numId="24" w16cid:durableId="2076588636">
    <w:abstractNumId w:val="31"/>
  </w:num>
  <w:num w:numId="25" w16cid:durableId="1620794411">
    <w:abstractNumId w:val="31"/>
  </w:num>
  <w:num w:numId="26" w16cid:durableId="181668740">
    <w:abstractNumId w:val="12"/>
  </w:num>
  <w:num w:numId="27" w16cid:durableId="992835063">
    <w:abstractNumId w:val="18"/>
  </w:num>
  <w:num w:numId="28" w16cid:durableId="2041666100">
    <w:abstractNumId w:val="23"/>
  </w:num>
  <w:num w:numId="29" w16cid:durableId="842088057">
    <w:abstractNumId w:val="5"/>
  </w:num>
  <w:num w:numId="30" w16cid:durableId="398408028">
    <w:abstractNumId w:val="26"/>
  </w:num>
  <w:num w:numId="31" w16cid:durableId="800807731">
    <w:abstractNumId w:val="1"/>
  </w:num>
  <w:num w:numId="32" w16cid:durableId="711658277">
    <w:abstractNumId w:val="17"/>
  </w:num>
  <w:num w:numId="33" w16cid:durableId="107697147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9C"/>
    <w:rsid w:val="0072569C"/>
    <w:rsid w:val="008F37CE"/>
    <w:rsid w:val="00FB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14F5"/>
  <w15:docId w15:val="{4985384D-144C-43E3-A4C9-8E6A6AD7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2.xml><?xml version="1.0" encoding="utf-8"?>
<document xmlns="http://www.bna.com/gateway/unit.start">
  <unit.start copyright.owner="Tax Management Inc." bna.id.prefix="7310" class.code="0" class.name="Portfolio Description Sheet" pdm.name="PortDesSheet" portfolio.classification="bo" portfolio.name="Business Operations in Portugal" publication.num="7310-1st" service.code="tmip-por" unit.code="PD" unit.name="FOREIGN INCOME" folio="iii"/>
</document>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DF270D66-850B-4A7E-9C96-135D89D25EF8}">
  <ds:schemaRefs>
    <ds:schemaRef ds:uri="ReferenceServiceCodes"/>
  </ds:schemaRefs>
</ds:datastoreItem>
</file>

<file path=customXml/itemProps2.xml><?xml version="1.0" encoding="utf-8"?>
<ds:datastoreItem xmlns:ds="http://schemas.openxmlformats.org/officeDocument/2006/customXml" ds:itemID="{1068E49B-A83E-4610-8D8B-980E695035F0}">
  <ds:schemaRefs>
    <ds:schemaRef ds:uri="http://www.bna.com/gateway/unit.start"/>
  </ds:schemaRefs>
</ds:datastoreItem>
</file>

<file path=customXml/itemProps3.xml><?xml version="1.0" encoding="utf-8"?>
<ds:datastoreItem xmlns:ds="http://schemas.openxmlformats.org/officeDocument/2006/customXml" ds:itemID="{9E970509-A842-4A6B-A7FC-740E03F9BA13}">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3</Pages>
  <Words>860</Words>
  <Characters>4905</Characters>
  <Application>Microsoft Office Word</Application>
  <DocSecurity>0</DocSecurity>
  <Lines>40</Lines>
  <Paragraphs>11</Paragraphs>
  <ScaleCrop>false</ScaleCrop>
  <Company>Bloomberg Industry Group</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2024-11-13T16:29:00Z</dcterms:created>
  <dcterms:modified xsi:type="dcterms:W3CDTF">2024-11-13T16:29:00Z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