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767F3" w14:textId="77777777" w:rsidR="00D84736" w:rsidRDefault="00D84736">
      <w:pPr>
        <w:pStyle w:val="p"/>
      </w:pPr>
      <w:r w:rsidRPr="003D716E">
        <w:rPr>
          <w:b/>
          <w:bCs/>
          <w:sz w:val="24"/>
          <w:szCs w:val="24"/>
        </w:rPr>
        <w:t>Syria</w:t>
      </w:r>
      <w:r w:rsidRPr="00D56218">
        <w:rPr>
          <w:sz w:val="24"/>
          <w:szCs w:val="24"/>
        </w:rPr>
        <w:br/>
      </w:r>
      <w:r w:rsidRPr="00D56218">
        <w:rPr>
          <w:sz w:val="24"/>
          <w:szCs w:val="24"/>
        </w:rPr>
        <w:br/>
      </w:r>
      <w:r w:rsidRPr="003D716E">
        <w:rPr>
          <w:b/>
          <w:bCs/>
        </w:rPr>
        <w:t xml:space="preserve">1. Overview </w:t>
      </w:r>
      <w:r w:rsidRPr="00D56218">
        <w:rPr>
          <w:b/>
          <w:bCs/>
        </w:rPr>
        <w:br/>
      </w:r>
      <w:r w:rsidRPr="00D56218">
        <w:rPr>
          <w:b/>
          <w:bCs/>
        </w:rPr>
        <w:br/>
      </w:r>
      <w:r w:rsidRPr="003D716E">
        <w:rPr>
          <w:b/>
          <w:bCs/>
        </w:rPr>
        <w:t xml:space="preserve">1.1. Government and Tax System </w:t>
      </w:r>
      <w:r w:rsidRPr="00D56218">
        <w:rPr>
          <w:b/>
          <w:bCs/>
        </w:rPr>
        <w:br/>
      </w:r>
      <w:r>
        <w:t>Syria is a democratic republic with an elected executive president, a Parliament which promulgates laws and an independent judiciary system.</w:t>
      </w:r>
    </w:p>
    <w:p w14:paraId="2ACBC2E6" w14:textId="4407390B" w:rsidR="00D84736" w:rsidRDefault="00D84736">
      <w:pPr>
        <w:pStyle w:val="p"/>
      </w:pPr>
      <w:r>
        <w:t xml:space="preserve">Legislation must be passed by the Parliament and approved by the President or issued (as a Legislative Decree) by the President. It </w:t>
      </w:r>
      <w:proofErr w:type="gramStart"/>
      <w:r>
        <w:t>becomes</w:t>
      </w:r>
      <w:proofErr w:type="gramEnd"/>
      <w:r>
        <w:t xml:space="preserve"> law once published in the Official Gazette.</w:t>
      </w:r>
    </w:p>
    <w:p w14:paraId="6600C16D" w14:textId="77777777" w:rsidR="00D84736" w:rsidRDefault="00D84736">
      <w:pPr>
        <w:pStyle w:val="p"/>
      </w:pPr>
      <w:r>
        <w:t>All tax-related issues in Syria are governed by the Ministry of Finance. The Ministry has Directorates (of Finance) located across the country; there is one Directorate for each of the 13 Governorates in Syria.</w:t>
      </w:r>
    </w:p>
    <w:p w14:paraId="46096490" w14:textId="77777777" w:rsidR="00D84736" w:rsidRDefault="00D84736">
      <w:pPr>
        <w:pStyle w:val="p"/>
      </w:pPr>
      <w:r>
        <w:t xml:space="preserve">The main legislative sources for the Syrian tax system are: </w:t>
      </w:r>
    </w:p>
    <w:p w14:paraId="7163CCB7" w14:textId="1E6B2802" w:rsidR="00D84736" w:rsidRDefault="00D56218">
      <w:pPr>
        <w:pStyle w:val="p"/>
      </w:pPr>
      <w:r>
        <w:rPr>
          <w:noProof/>
        </w:rPr>
        <w:drawing>
          <wp:inline distT="0" distB="0" distL="0" distR="0" wp14:anchorId="558EFB86" wp14:editId="4A8DE2A2">
            <wp:extent cx="130810" cy="1308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Law </w:t>
      </w:r>
      <w:r w:rsidR="00D56971">
        <w:t xml:space="preserve">No. </w:t>
      </w:r>
      <w:r w:rsidR="00D84736">
        <w:t>24/2003 (Income Tax Law)</w:t>
      </w:r>
      <w:r w:rsidR="00615740">
        <w:t xml:space="preserve">, as </w:t>
      </w:r>
      <w:proofErr w:type="gramStart"/>
      <w:r w:rsidR="00615740">
        <w:t>amended</w:t>
      </w:r>
      <w:r w:rsidR="00D84736">
        <w:t>;</w:t>
      </w:r>
      <w:proofErr w:type="gramEnd"/>
    </w:p>
    <w:p w14:paraId="1CB1719B" w14:textId="239B3B12" w:rsidR="00D84736" w:rsidRDefault="00D56218">
      <w:pPr>
        <w:pStyle w:val="p"/>
      </w:pPr>
      <w:r>
        <w:rPr>
          <w:noProof/>
        </w:rPr>
        <w:drawing>
          <wp:inline distT="0" distB="0" distL="0" distR="0" wp14:anchorId="69543126" wp14:editId="5F43FDB9">
            <wp:extent cx="130810" cy="13081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Law </w:t>
      </w:r>
      <w:r w:rsidR="00D56971">
        <w:t xml:space="preserve">No. </w:t>
      </w:r>
      <w:r w:rsidR="00D84736">
        <w:t>25/2003 (Tax Evasion Law</w:t>
      </w:r>
      <w:proofErr w:type="gramStart"/>
      <w:r w:rsidR="00D84736">
        <w:t>);</w:t>
      </w:r>
      <w:proofErr w:type="gramEnd"/>
    </w:p>
    <w:p w14:paraId="6B208A74" w14:textId="63E2429A" w:rsidR="00D84736" w:rsidRDefault="00D56218">
      <w:pPr>
        <w:pStyle w:val="p"/>
      </w:pPr>
      <w:r>
        <w:rPr>
          <w:noProof/>
        </w:rPr>
        <w:drawing>
          <wp:inline distT="0" distB="0" distL="0" distR="0" wp14:anchorId="0C9ACC53" wp14:editId="56F43E4E">
            <wp:extent cx="130810" cy="13081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Legislative Decree </w:t>
      </w:r>
      <w:r w:rsidR="00D56971">
        <w:t xml:space="preserve">No. </w:t>
      </w:r>
      <w:r w:rsidR="00D84736">
        <w:t>56/2004 (Inheritance fees</w:t>
      </w:r>
      <w:proofErr w:type="gramStart"/>
      <w:r w:rsidR="00D84736">
        <w:t>);</w:t>
      </w:r>
      <w:proofErr w:type="gramEnd"/>
    </w:p>
    <w:p w14:paraId="5A6C811F" w14:textId="469D7BD1" w:rsidR="00D84736" w:rsidRDefault="00D56218">
      <w:pPr>
        <w:pStyle w:val="p"/>
      </w:pPr>
      <w:r>
        <w:rPr>
          <w:noProof/>
        </w:rPr>
        <w:drawing>
          <wp:inline distT="0" distB="0" distL="0" distR="0" wp14:anchorId="299D55F5" wp14:editId="22F60394">
            <wp:extent cx="130810" cy="13081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Legislative Decree </w:t>
      </w:r>
      <w:r w:rsidR="00D56971">
        <w:t xml:space="preserve">No. </w:t>
      </w:r>
      <w:r w:rsidR="00D84736" w:rsidRPr="00415893">
        <w:rPr>
          <w:highlight w:val="red"/>
        </w:rPr>
        <w:t>44</w:t>
      </w:r>
      <w:r w:rsidR="00D84736">
        <w:t>/200</w:t>
      </w:r>
      <w:r w:rsidR="00D84736" w:rsidRPr="00415893">
        <w:rPr>
          <w:highlight w:val="red"/>
        </w:rPr>
        <w:t>5</w:t>
      </w:r>
      <w:r w:rsidR="00D84736">
        <w:t xml:space="preserve"> </w:t>
      </w:r>
      <w:r w:rsidR="00D84736" w:rsidRPr="00415893">
        <w:rPr>
          <w:highlight w:val="red"/>
        </w:rPr>
        <w:t>(Stamp Duty Law</w:t>
      </w:r>
      <w:proofErr w:type="gramStart"/>
      <w:r w:rsidR="00D84736" w:rsidRPr="00415893">
        <w:rPr>
          <w:highlight w:val="red"/>
        </w:rPr>
        <w:t>)</w:t>
      </w:r>
      <w:r w:rsidR="00D84736">
        <w:t>;</w:t>
      </w:r>
      <w:proofErr w:type="gramEnd"/>
    </w:p>
    <w:p w14:paraId="0867189B" w14:textId="236C93EA" w:rsidR="00D84736" w:rsidRDefault="00D56218">
      <w:pPr>
        <w:pStyle w:val="p"/>
      </w:pPr>
      <w:r>
        <w:rPr>
          <w:noProof/>
        </w:rPr>
        <w:drawing>
          <wp:inline distT="0" distB="0" distL="0" distR="0" wp14:anchorId="547D9E2B" wp14:editId="71621B46">
            <wp:extent cx="130810" cy="13081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Legislative Decree </w:t>
      </w:r>
      <w:r w:rsidR="00615740">
        <w:t xml:space="preserve">No. </w:t>
      </w:r>
      <w:r w:rsidR="00D84736" w:rsidRPr="00415893">
        <w:rPr>
          <w:highlight w:val="red"/>
        </w:rPr>
        <w:t>61</w:t>
      </w:r>
      <w:r w:rsidR="00D84736">
        <w:t>/200</w:t>
      </w:r>
      <w:r w:rsidR="00D84736" w:rsidRPr="00415893">
        <w:rPr>
          <w:highlight w:val="red"/>
        </w:rPr>
        <w:t>7</w:t>
      </w:r>
      <w:r w:rsidR="00D84736">
        <w:t xml:space="preserve"> </w:t>
      </w:r>
      <w:r w:rsidR="00D84736" w:rsidRPr="00415893">
        <w:rPr>
          <w:highlight w:val="red"/>
        </w:rPr>
        <w:t>(Reassessment of Assets</w:t>
      </w:r>
      <w:proofErr w:type="gramStart"/>
      <w:r w:rsidR="00D84736" w:rsidRPr="00415893">
        <w:rPr>
          <w:highlight w:val="red"/>
        </w:rPr>
        <w:t>);</w:t>
      </w:r>
      <w:proofErr w:type="gramEnd"/>
    </w:p>
    <w:p w14:paraId="67A5DD7F" w14:textId="7681EA49" w:rsidR="00D84736" w:rsidRDefault="00D56218">
      <w:pPr>
        <w:pStyle w:val="p"/>
      </w:pPr>
      <w:r>
        <w:rPr>
          <w:noProof/>
        </w:rPr>
        <w:drawing>
          <wp:inline distT="0" distB="0" distL="0" distR="0" wp14:anchorId="4621FB2D" wp14:editId="305A35BE">
            <wp:extent cx="130810" cy="13081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Legislative Decree </w:t>
      </w:r>
      <w:r w:rsidR="00842DC9">
        <w:t xml:space="preserve">No. </w:t>
      </w:r>
      <w:r w:rsidR="00D84736">
        <w:t>46/2015 (Tax on Salaries and Wages); and</w:t>
      </w:r>
    </w:p>
    <w:p w14:paraId="612F2E45" w14:textId="16DCFCCB" w:rsidR="00D84736" w:rsidRDefault="00D56218">
      <w:pPr>
        <w:pStyle w:val="p"/>
      </w:pPr>
      <w:r>
        <w:rPr>
          <w:noProof/>
        </w:rPr>
        <w:drawing>
          <wp:inline distT="0" distB="0" distL="0" distR="0" wp14:anchorId="20ADBD00" wp14:editId="3AC446CD">
            <wp:extent cx="130810" cy="13081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Law No. 15/2021 (Real Estate Sales Tax Law).</w:t>
      </w:r>
    </w:p>
    <w:tbl>
      <w:tblPr>
        <w:tblStyle w:val="TableGrid"/>
        <w:tblW w:w="0" w:type="auto"/>
        <w:tblLook w:val="04A0" w:firstRow="1" w:lastRow="0" w:firstColumn="1" w:lastColumn="0" w:noHBand="0" w:noVBand="1"/>
      </w:tblPr>
      <w:tblGrid>
        <w:gridCol w:w="9350"/>
      </w:tblGrid>
      <w:tr w:rsidR="005D00E7" w:rsidRPr="005D00E7" w14:paraId="04B03B25" w14:textId="77777777" w:rsidTr="005D00E7">
        <w:tc>
          <w:tcPr>
            <w:tcW w:w="9350" w:type="dxa"/>
          </w:tcPr>
          <w:p w14:paraId="3D2E0E0E" w14:textId="77777777" w:rsidR="005D00E7" w:rsidRDefault="005D00E7" w:rsidP="005D00E7">
            <w:pPr>
              <w:ind w:left="150"/>
              <w:rPr>
                <w:rFonts w:ascii="Courier New" w:hAnsi="Courier New" w:cs="Courier New"/>
                <w:sz w:val="16"/>
                <w:szCs w:val="16"/>
              </w:rPr>
            </w:pPr>
            <w:r w:rsidRPr="00F610FF">
              <w:rPr>
                <w:rFonts w:ascii="Courier New" w:hAnsi="Courier New" w:cs="Courier New"/>
                <w:highlight w:val="cyan"/>
              </w:rPr>
              <w:t xml:space="preserve">From </w:t>
            </w:r>
            <w:r w:rsidRPr="004C140A">
              <w:rPr>
                <w:rFonts w:ascii="Courier New" w:hAnsi="Courier New" w:cs="Courier New"/>
                <w:highlight w:val="cyan"/>
              </w:rPr>
              <w:t xml:space="preserve">Innodata </w:t>
            </w:r>
            <w:proofErr w:type="spellStart"/>
            <w:proofErr w:type="gramStart"/>
            <w:r w:rsidRPr="004C140A">
              <w:rPr>
                <w:rFonts w:ascii="Courier New" w:hAnsi="Courier New" w:cs="Courier New"/>
                <w:highlight w:val="cyan"/>
              </w:rPr>
              <w:t>XML,</w:t>
            </w:r>
            <w:r>
              <w:rPr>
                <w:rFonts w:ascii="Courier New" w:hAnsi="Courier New" w:cs="Courier New"/>
                <w:highlight w:val="cyan"/>
              </w:rPr>
              <w:t>incorrect</w:t>
            </w:r>
            <w:proofErr w:type="spellEnd"/>
            <w:proofErr w:type="gramEnd"/>
            <w:r>
              <w:rPr>
                <w:rFonts w:ascii="Courier New" w:hAnsi="Courier New" w:cs="Courier New"/>
                <w:highlight w:val="cyan"/>
              </w:rPr>
              <w:t xml:space="preserve"> text</w:t>
            </w:r>
            <w:r w:rsidRPr="004C140A">
              <w:rPr>
                <w:rFonts w:ascii="Courier New" w:hAnsi="Courier New" w:cs="Courier New"/>
                <w:highlight w:val="cyan"/>
              </w:rPr>
              <w:t>:</w:t>
            </w:r>
          </w:p>
          <w:p w14:paraId="49D0D13E" w14:textId="4D611BD8" w:rsidR="005D00E7" w:rsidRPr="005D00E7" w:rsidRDefault="005D00E7" w:rsidP="005D00E7">
            <w:pPr>
              <w:rPr>
                <w:rFonts w:ascii="Courier New" w:hAnsi="Courier New" w:cs="Courier New"/>
                <w:sz w:val="16"/>
                <w:szCs w:val="16"/>
              </w:rPr>
            </w:pPr>
            <w:r w:rsidRPr="005D00E7">
              <w:rPr>
                <w:rFonts w:ascii="Courier New" w:hAnsi="Courier New" w:cs="Courier New"/>
                <w:sz w:val="16"/>
                <w:szCs w:val="16"/>
              </w:rPr>
              <w:t xml:space="preserve">&lt;para </w:t>
            </w:r>
            <w:proofErr w:type="spellStart"/>
            <w:proofErr w:type="gramStart"/>
            <w:r w:rsidRPr="005D00E7">
              <w:rPr>
                <w:rFonts w:ascii="Courier New" w:hAnsi="Courier New" w:cs="Courier New"/>
                <w:sz w:val="16"/>
                <w:szCs w:val="16"/>
              </w:rPr>
              <w:t>include.in.chart</w:t>
            </w:r>
            <w:proofErr w:type="spellEnd"/>
            <w:proofErr w:type="gramEnd"/>
            <w:r w:rsidRPr="005D00E7">
              <w:rPr>
                <w:rFonts w:ascii="Courier New" w:hAnsi="Courier New" w:cs="Courier New"/>
                <w:sz w:val="16"/>
                <w:szCs w:val="16"/>
              </w:rPr>
              <w:t>="1"&gt;The main legislative sources for the Syrian tax system are:</w:t>
            </w:r>
          </w:p>
          <w:p w14:paraId="6AF812DC" w14:textId="77777777" w:rsidR="005D00E7" w:rsidRPr="005D00E7" w:rsidRDefault="005D00E7" w:rsidP="005D00E7">
            <w:pPr>
              <w:rPr>
                <w:rFonts w:ascii="Courier New" w:hAnsi="Courier New" w:cs="Courier New"/>
                <w:sz w:val="16"/>
                <w:szCs w:val="16"/>
              </w:rPr>
            </w:pPr>
            <w:r w:rsidRPr="005D00E7">
              <w:rPr>
                <w:rFonts w:ascii="Courier New" w:hAnsi="Courier New" w:cs="Courier New"/>
                <w:sz w:val="16"/>
                <w:szCs w:val="16"/>
              </w:rPr>
              <w:t>&lt;</w:t>
            </w:r>
            <w:proofErr w:type="spellStart"/>
            <w:proofErr w:type="gramStart"/>
            <w:r w:rsidRPr="005D00E7">
              <w:rPr>
                <w:rFonts w:ascii="Courier New" w:hAnsi="Courier New" w:cs="Courier New"/>
                <w:sz w:val="16"/>
                <w:szCs w:val="16"/>
              </w:rPr>
              <w:t>list.item</w:t>
            </w:r>
            <w:proofErr w:type="spellEnd"/>
            <w:proofErr w:type="gramEnd"/>
            <w:r w:rsidRPr="005D00E7">
              <w:rPr>
                <w:rFonts w:ascii="Courier New" w:hAnsi="Courier New" w:cs="Courier New"/>
                <w:sz w:val="16"/>
                <w:szCs w:val="16"/>
              </w:rPr>
              <w:t>&gt;&amp;#8226;&amp;#8201;&lt;hang/&gt;Law No. 24/2003 (Income Tax Law), as amended;&lt;/</w:t>
            </w:r>
            <w:proofErr w:type="spellStart"/>
            <w:r w:rsidRPr="005D00E7">
              <w:rPr>
                <w:rFonts w:ascii="Courier New" w:hAnsi="Courier New" w:cs="Courier New"/>
                <w:sz w:val="16"/>
                <w:szCs w:val="16"/>
              </w:rPr>
              <w:t>list.item</w:t>
            </w:r>
            <w:proofErr w:type="spellEnd"/>
            <w:r w:rsidRPr="005D00E7">
              <w:rPr>
                <w:rFonts w:ascii="Courier New" w:hAnsi="Courier New" w:cs="Courier New"/>
                <w:sz w:val="16"/>
                <w:szCs w:val="16"/>
              </w:rPr>
              <w:t>&gt;</w:t>
            </w:r>
          </w:p>
          <w:p w14:paraId="49F86BDF" w14:textId="77777777" w:rsidR="005D00E7" w:rsidRPr="005D00E7" w:rsidRDefault="005D00E7" w:rsidP="005D00E7">
            <w:pPr>
              <w:rPr>
                <w:rFonts w:ascii="Courier New" w:hAnsi="Courier New" w:cs="Courier New"/>
                <w:sz w:val="16"/>
                <w:szCs w:val="16"/>
              </w:rPr>
            </w:pPr>
            <w:r w:rsidRPr="005D00E7">
              <w:rPr>
                <w:rFonts w:ascii="Courier New" w:hAnsi="Courier New" w:cs="Courier New"/>
                <w:sz w:val="16"/>
                <w:szCs w:val="16"/>
              </w:rPr>
              <w:t>&lt;</w:t>
            </w:r>
            <w:proofErr w:type="spellStart"/>
            <w:proofErr w:type="gramStart"/>
            <w:r w:rsidRPr="005D00E7">
              <w:rPr>
                <w:rFonts w:ascii="Courier New" w:hAnsi="Courier New" w:cs="Courier New"/>
                <w:sz w:val="16"/>
                <w:szCs w:val="16"/>
              </w:rPr>
              <w:t>list.item</w:t>
            </w:r>
            <w:proofErr w:type="spellEnd"/>
            <w:proofErr w:type="gramEnd"/>
            <w:r w:rsidRPr="005D00E7">
              <w:rPr>
                <w:rFonts w:ascii="Courier New" w:hAnsi="Courier New" w:cs="Courier New"/>
                <w:sz w:val="16"/>
                <w:szCs w:val="16"/>
              </w:rPr>
              <w:t>&gt;&amp;#8226;&amp;#8201;&lt;hang/&gt;Law No. 25/2003 (Tax Evasion Law);&lt;/</w:t>
            </w:r>
            <w:proofErr w:type="spellStart"/>
            <w:r w:rsidRPr="005D00E7">
              <w:rPr>
                <w:rFonts w:ascii="Courier New" w:hAnsi="Courier New" w:cs="Courier New"/>
                <w:sz w:val="16"/>
                <w:szCs w:val="16"/>
              </w:rPr>
              <w:t>list.item</w:t>
            </w:r>
            <w:proofErr w:type="spellEnd"/>
            <w:r w:rsidRPr="005D00E7">
              <w:rPr>
                <w:rFonts w:ascii="Courier New" w:hAnsi="Courier New" w:cs="Courier New"/>
                <w:sz w:val="16"/>
                <w:szCs w:val="16"/>
              </w:rPr>
              <w:t>&gt;</w:t>
            </w:r>
          </w:p>
          <w:p w14:paraId="5A4F1DDB" w14:textId="77777777" w:rsidR="005D00E7" w:rsidRPr="005D00E7" w:rsidRDefault="005D00E7" w:rsidP="005D00E7">
            <w:pPr>
              <w:rPr>
                <w:rFonts w:ascii="Courier New" w:hAnsi="Courier New" w:cs="Courier New"/>
                <w:sz w:val="16"/>
                <w:szCs w:val="16"/>
              </w:rPr>
            </w:pPr>
            <w:r w:rsidRPr="005D00E7">
              <w:rPr>
                <w:rFonts w:ascii="Courier New" w:hAnsi="Courier New" w:cs="Courier New"/>
                <w:sz w:val="16"/>
                <w:szCs w:val="16"/>
              </w:rPr>
              <w:t>&lt;</w:t>
            </w:r>
            <w:proofErr w:type="spellStart"/>
            <w:proofErr w:type="gramStart"/>
            <w:r w:rsidRPr="005D00E7">
              <w:rPr>
                <w:rFonts w:ascii="Courier New" w:hAnsi="Courier New" w:cs="Courier New"/>
                <w:sz w:val="16"/>
                <w:szCs w:val="16"/>
              </w:rPr>
              <w:t>list.item</w:t>
            </w:r>
            <w:proofErr w:type="spellEnd"/>
            <w:proofErr w:type="gramEnd"/>
            <w:r w:rsidRPr="005D00E7">
              <w:rPr>
                <w:rFonts w:ascii="Courier New" w:hAnsi="Courier New" w:cs="Courier New"/>
                <w:sz w:val="16"/>
                <w:szCs w:val="16"/>
              </w:rPr>
              <w:t>&gt;&amp;#8226;&amp;#8201;&lt;hang/&gt;Legislative Decree No. 56/2004 (Inheritance fees); &lt;/</w:t>
            </w:r>
            <w:proofErr w:type="spellStart"/>
            <w:r w:rsidRPr="005D00E7">
              <w:rPr>
                <w:rFonts w:ascii="Courier New" w:hAnsi="Courier New" w:cs="Courier New"/>
                <w:sz w:val="16"/>
                <w:szCs w:val="16"/>
              </w:rPr>
              <w:t>list.item</w:t>
            </w:r>
            <w:proofErr w:type="spellEnd"/>
            <w:r w:rsidRPr="005D00E7">
              <w:rPr>
                <w:rFonts w:ascii="Courier New" w:hAnsi="Courier New" w:cs="Courier New"/>
                <w:sz w:val="16"/>
                <w:szCs w:val="16"/>
              </w:rPr>
              <w:t>&gt;</w:t>
            </w:r>
          </w:p>
          <w:p w14:paraId="28393E37" w14:textId="77777777" w:rsidR="005D00E7" w:rsidRPr="005D00E7" w:rsidRDefault="005D00E7" w:rsidP="005D00E7">
            <w:pPr>
              <w:rPr>
                <w:rFonts w:ascii="Courier New" w:hAnsi="Courier New" w:cs="Courier New"/>
                <w:sz w:val="16"/>
                <w:szCs w:val="16"/>
              </w:rPr>
            </w:pPr>
            <w:r w:rsidRPr="005D00E7">
              <w:rPr>
                <w:rFonts w:ascii="Courier New" w:hAnsi="Courier New" w:cs="Courier New"/>
                <w:sz w:val="16"/>
                <w:szCs w:val="16"/>
              </w:rPr>
              <w:t>&lt;</w:t>
            </w:r>
            <w:proofErr w:type="spellStart"/>
            <w:proofErr w:type="gramStart"/>
            <w:r w:rsidRPr="005D00E7">
              <w:rPr>
                <w:rFonts w:ascii="Courier New" w:hAnsi="Courier New" w:cs="Courier New"/>
                <w:sz w:val="16"/>
                <w:szCs w:val="16"/>
              </w:rPr>
              <w:t>list.item</w:t>
            </w:r>
            <w:proofErr w:type="spellEnd"/>
            <w:proofErr w:type="gramEnd"/>
            <w:r w:rsidRPr="005D00E7">
              <w:rPr>
                <w:rFonts w:ascii="Courier New" w:hAnsi="Courier New" w:cs="Courier New"/>
                <w:sz w:val="16"/>
                <w:szCs w:val="16"/>
              </w:rPr>
              <w:t>&gt;&amp;#8226;&amp;#8201;&lt;hang/&gt;</w:t>
            </w:r>
            <w:r w:rsidRPr="005D00E7">
              <w:rPr>
                <w:rFonts w:ascii="Courier New" w:hAnsi="Courier New" w:cs="Courier New"/>
                <w:sz w:val="16"/>
                <w:szCs w:val="16"/>
                <w:highlight w:val="red"/>
              </w:rPr>
              <w:t>Legislative Decree No. 56/2004 (Inheritance fees)</w:t>
            </w:r>
            <w:r w:rsidRPr="005D00E7">
              <w:rPr>
                <w:rFonts w:ascii="Courier New" w:hAnsi="Courier New" w:cs="Courier New"/>
                <w:sz w:val="16"/>
                <w:szCs w:val="16"/>
              </w:rPr>
              <w:t>; &lt;/</w:t>
            </w:r>
            <w:proofErr w:type="spellStart"/>
            <w:r w:rsidRPr="005D00E7">
              <w:rPr>
                <w:rFonts w:ascii="Courier New" w:hAnsi="Courier New" w:cs="Courier New"/>
                <w:sz w:val="16"/>
                <w:szCs w:val="16"/>
              </w:rPr>
              <w:t>list.item</w:t>
            </w:r>
            <w:proofErr w:type="spellEnd"/>
            <w:r w:rsidRPr="005D00E7">
              <w:rPr>
                <w:rFonts w:ascii="Courier New" w:hAnsi="Courier New" w:cs="Courier New"/>
                <w:sz w:val="16"/>
                <w:szCs w:val="16"/>
              </w:rPr>
              <w:t>&gt;</w:t>
            </w:r>
          </w:p>
          <w:p w14:paraId="37148DC9" w14:textId="77777777" w:rsidR="005D00E7" w:rsidRPr="005D00E7" w:rsidRDefault="005D00E7" w:rsidP="005D00E7">
            <w:pPr>
              <w:rPr>
                <w:rFonts w:ascii="Courier New" w:hAnsi="Courier New" w:cs="Courier New"/>
                <w:sz w:val="16"/>
                <w:szCs w:val="16"/>
              </w:rPr>
            </w:pPr>
            <w:r w:rsidRPr="005D00E7">
              <w:rPr>
                <w:rFonts w:ascii="Courier New" w:hAnsi="Courier New" w:cs="Courier New"/>
                <w:sz w:val="16"/>
                <w:szCs w:val="16"/>
              </w:rPr>
              <w:t>&lt;</w:t>
            </w:r>
            <w:proofErr w:type="spellStart"/>
            <w:proofErr w:type="gramStart"/>
            <w:r w:rsidRPr="005D00E7">
              <w:rPr>
                <w:rFonts w:ascii="Courier New" w:hAnsi="Courier New" w:cs="Courier New"/>
                <w:sz w:val="16"/>
                <w:szCs w:val="16"/>
              </w:rPr>
              <w:t>list.item</w:t>
            </w:r>
            <w:proofErr w:type="spellEnd"/>
            <w:proofErr w:type="gramEnd"/>
            <w:r w:rsidRPr="005D00E7">
              <w:rPr>
                <w:rFonts w:ascii="Courier New" w:hAnsi="Courier New" w:cs="Courier New"/>
                <w:sz w:val="16"/>
                <w:szCs w:val="16"/>
              </w:rPr>
              <w:t>&gt;&amp;#8226;&amp;#8201;&lt;hang/&gt;</w:t>
            </w:r>
            <w:r w:rsidRPr="005D00E7">
              <w:rPr>
                <w:rFonts w:ascii="Courier New" w:hAnsi="Courier New" w:cs="Courier New"/>
                <w:sz w:val="16"/>
                <w:szCs w:val="16"/>
                <w:highlight w:val="red"/>
              </w:rPr>
              <w:t>Legislative Decree No. 56/2004 (Inheritance fees)</w:t>
            </w:r>
            <w:r w:rsidRPr="005D00E7">
              <w:rPr>
                <w:rFonts w:ascii="Courier New" w:hAnsi="Courier New" w:cs="Courier New"/>
                <w:sz w:val="16"/>
                <w:szCs w:val="16"/>
              </w:rPr>
              <w:t>; &lt;/</w:t>
            </w:r>
            <w:proofErr w:type="spellStart"/>
            <w:r w:rsidRPr="005D00E7">
              <w:rPr>
                <w:rFonts w:ascii="Courier New" w:hAnsi="Courier New" w:cs="Courier New"/>
                <w:sz w:val="16"/>
                <w:szCs w:val="16"/>
              </w:rPr>
              <w:t>list.item</w:t>
            </w:r>
            <w:proofErr w:type="spellEnd"/>
            <w:r w:rsidRPr="005D00E7">
              <w:rPr>
                <w:rFonts w:ascii="Courier New" w:hAnsi="Courier New" w:cs="Courier New"/>
                <w:sz w:val="16"/>
                <w:szCs w:val="16"/>
              </w:rPr>
              <w:t>&gt;</w:t>
            </w:r>
          </w:p>
          <w:p w14:paraId="2A902EA3" w14:textId="77777777" w:rsidR="005D00E7" w:rsidRPr="005D00E7" w:rsidRDefault="005D00E7" w:rsidP="005D00E7">
            <w:pPr>
              <w:rPr>
                <w:rFonts w:ascii="Courier New" w:hAnsi="Courier New" w:cs="Courier New"/>
                <w:sz w:val="16"/>
                <w:szCs w:val="16"/>
              </w:rPr>
            </w:pPr>
            <w:r w:rsidRPr="005D00E7">
              <w:rPr>
                <w:rFonts w:ascii="Courier New" w:hAnsi="Courier New" w:cs="Courier New"/>
                <w:sz w:val="16"/>
                <w:szCs w:val="16"/>
              </w:rPr>
              <w:t>&lt;</w:t>
            </w:r>
            <w:proofErr w:type="spellStart"/>
            <w:proofErr w:type="gramStart"/>
            <w:r w:rsidRPr="005D00E7">
              <w:rPr>
                <w:rFonts w:ascii="Courier New" w:hAnsi="Courier New" w:cs="Courier New"/>
                <w:sz w:val="16"/>
                <w:szCs w:val="16"/>
              </w:rPr>
              <w:t>list.item</w:t>
            </w:r>
            <w:proofErr w:type="spellEnd"/>
            <w:proofErr w:type="gramEnd"/>
            <w:r w:rsidRPr="005D00E7">
              <w:rPr>
                <w:rFonts w:ascii="Courier New" w:hAnsi="Courier New" w:cs="Courier New"/>
                <w:sz w:val="16"/>
                <w:szCs w:val="16"/>
              </w:rPr>
              <w:t>&gt;&amp;#8226;&amp;#8201;&lt;hang/&gt;Legislative Decree No. 46/2015 (Tax on Salaries and Wages); and &lt;/</w:t>
            </w:r>
            <w:proofErr w:type="spellStart"/>
            <w:r w:rsidRPr="005D00E7">
              <w:rPr>
                <w:rFonts w:ascii="Courier New" w:hAnsi="Courier New" w:cs="Courier New"/>
                <w:sz w:val="16"/>
                <w:szCs w:val="16"/>
              </w:rPr>
              <w:t>list.item</w:t>
            </w:r>
            <w:proofErr w:type="spellEnd"/>
            <w:r w:rsidRPr="005D00E7">
              <w:rPr>
                <w:rFonts w:ascii="Courier New" w:hAnsi="Courier New" w:cs="Courier New"/>
                <w:sz w:val="16"/>
                <w:szCs w:val="16"/>
              </w:rPr>
              <w:t>&gt;</w:t>
            </w:r>
          </w:p>
          <w:p w14:paraId="2F7DB5B2" w14:textId="7859FC27" w:rsidR="005D00E7" w:rsidRPr="005D00E7" w:rsidRDefault="005D00E7" w:rsidP="005D00E7">
            <w:pPr>
              <w:rPr>
                <w:rFonts w:ascii="Courier New" w:hAnsi="Courier New" w:cs="Courier New"/>
                <w:sz w:val="16"/>
                <w:szCs w:val="16"/>
              </w:rPr>
            </w:pPr>
            <w:r w:rsidRPr="005D00E7">
              <w:rPr>
                <w:rFonts w:ascii="Courier New" w:hAnsi="Courier New" w:cs="Courier New"/>
                <w:sz w:val="16"/>
                <w:szCs w:val="16"/>
              </w:rPr>
              <w:t>&lt;</w:t>
            </w:r>
            <w:proofErr w:type="spellStart"/>
            <w:proofErr w:type="gramStart"/>
            <w:r w:rsidRPr="005D00E7">
              <w:rPr>
                <w:rFonts w:ascii="Courier New" w:hAnsi="Courier New" w:cs="Courier New"/>
                <w:sz w:val="16"/>
                <w:szCs w:val="16"/>
              </w:rPr>
              <w:t>list.item</w:t>
            </w:r>
            <w:proofErr w:type="spellEnd"/>
            <w:proofErr w:type="gramEnd"/>
            <w:r w:rsidRPr="005D00E7">
              <w:rPr>
                <w:rFonts w:ascii="Courier New" w:hAnsi="Courier New" w:cs="Courier New"/>
                <w:sz w:val="16"/>
                <w:szCs w:val="16"/>
              </w:rPr>
              <w:t>&gt;&amp;#8226;&amp;#8201;&lt;hang/&gt;Law No. 15/2021 (Real Estate Sales Tax Law). &lt;/</w:t>
            </w:r>
            <w:proofErr w:type="spellStart"/>
            <w:proofErr w:type="gramStart"/>
            <w:r w:rsidRPr="005D00E7">
              <w:rPr>
                <w:rFonts w:ascii="Courier New" w:hAnsi="Courier New" w:cs="Courier New"/>
                <w:sz w:val="16"/>
                <w:szCs w:val="16"/>
              </w:rPr>
              <w:t>list.item</w:t>
            </w:r>
            <w:proofErr w:type="spellEnd"/>
            <w:proofErr w:type="gramEnd"/>
            <w:r w:rsidRPr="005D00E7">
              <w:rPr>
                <w:rFonts w:ascii="Courier New" w:hAnsi="Courier New" w:cs="Courier New"/>
                <w:sz w:val="16"/>
                <w:szCs w:val="16"/>
              </w:rPr>
              <w:t>&gt;&lt;/para&gt;</w:t>
            </w:r>
          </w:p>
        </w:tc>
      </w:tr>
    </w:tbl>
    <w:p w14:paraId="6A0F04CD" w14:textId="77777777" w:rsidR="00D84736" w:rsidRDefault="00D84736">
      <w:pPr>
        <w:rPr>
          <w:sz w:val="24"/>
          <w:szCs w:val="24"/>
        </w:rPr>
      </w:pPr>
    </w:p>
    <w:p w14:paraId="5D38105A" w14:textId="77777777" w:rsidR="00D84736" w:rsidRDefault="00D84736">
      <w:pPr>
        <w:pStyle w:val="p"/>
      </w:pPr>
      <w:r>
        <w:rPr>
          <w:sz w:val="24"/>
          <w:szCs w:val="24"/>
        </w:rPr>
        <w:br/>
      </w:r>
      <w:r>
        <w:rPr>
          <w:b/>
          <w:bCs/>
        </w:rPr>
        <w:t xml:space="preserve">1.2. Currency </w:t>
      </w:r>
      <w:r>
        <w:rPr>
          <w:b/>
          <w:bCs/>
        </w:rPr>
        <w:br/>
      </w:r>
      <w:r>
        <w:t>The currency of Syria is the Syrian Lira (or Syrian Pound).</w:t>
      </w:r>
    </w:p>
    <w:p w14:paraId="4AD82B68" w14:textId="77777777" w:rsidR="00D84736" w:rsidRDefault="00D84736">
      <w:pPr>
        <w:pStyle w:val="p"/>
      </w:pPr>
      <w:r>
        <w:rPr>
          <w:sz w:val="24"/>
          <w:szCs w:val="24"/>
        </w:rPr>
        <w:br/>
      </w:r>
      <w:r>
        <w:rPr>
          <w:b/>
          <w:bCs/>
        </w:rPr>
        <w:t xml:space="preserve">1.3. Membership of International Organizations </w:t>
      </w:r>
      <w:r>
        <w:rPr>
          <w:b/>
          <w:bCs/>
        </w:rPr>
        <w:br/>
      </w:r>
      <w:r>
        <w:t>Syria is a member of numerous international organizations, including the Arab Bank for Economic Development in Africa (ABEDA), Arab Fund for Economic and Social Development (AFESD), League of Arab States (LAS), Arab Monetary Fund (AMF), World Customs Organization (WCO), Group of 24 (G-24), Group of 77 (G-77), International Bank for Reconstruction and Development (IBRD), International Chamber of Commerce (ICC), International Development Association (IDA), Islamic Development Bank (IDB), International Fund for Agricultural Development (IFAD), International Finance Corporation (IFC), International Labor Organization (ILO), International Monetary Fund (IMF), Organization of Arab Petroleum Exporting Countries (OAPEC).</w:t>
      </w:r>
    </w:p>
    <w:p w14:paraId="6205FF09" w14:textId="77777777" w:rsidR="00D84736" w:rsidRDefault="00D84736" w:rsidP="00157404">
      <w:pPr>
        <w:pStyle w:val="p"/>
      </w:pPr>
      <w:r>
        <w:t>However, most of these memberships have been suspended due to the current war in Syria.</w:t>
      </w:r>
    </w:p>
    <w:p w14:paraId="1B15D656" w14:textId="42CA05E0" w:rsidR="00D84736" w:rsidRDefault="00D84736">
      <w:pPr>
        <w:pStyle w:val="p"/>
      </w:pPr>
      <w:r>
        <w:rPr>
          <w:sz w:val="24"/>
          <w:szCs w:val="24"/>
        </w:rPr>
        <w:br/>
      </w:r>
      <w:r>
        <w:rPr>
          <w:b/>
          <w:bCs/>
        </w:rPr>
        <w:t xml:space="preserve">1.4. Official Websites </w:t>
      </w:r>
      <w:r>
        <w:rPr>
          <w:b/>
          <w:bCs/>
        </w:rPr>
        <w:br/>
      </w:r>
      <w:r w:rsidR="00444EDA" w:rsidRPr="00444EDA">
        <w:t xml:space="preserve">The following are the official relevant tax, finance, or other authority websites for </w:t>
      </w:r>
      <w:r w:rsidR="00444EDA">
        <w:t>Syria</w:t>
      </w:r>
      <w:r w:rsidR="00444EDA" w:rsidRPr="00444EDA">
        <w:t>:</w:t>
      </w:r>
    </w:p>
    <w:p w14:paraId="2FCC6175" w14:textId="4C3AB8D2" w:rsidR="00D84736" w:rsidRDefault="00D56218">
      <w:pPr>
        <w:pStyle w:val="p"/>
      </w:pPr>
      <w:r>
        <w:rPr>
          <w:noProof/>
        </w:rPr>
        <w:drawing>
          <wp:inline distT="0" distB="0" distL="0" distR="0" wp14:anchorId="44385FB3" wp14:editId="22F3C2BD">
            <wp:extent cx="130810" cy="13081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Ministry of Finance — </w:t>
      </w:r>
      <w:hyperlink r:id="rId12" w:history="1">
        <w:r w:rsidR="00D84736" w:rsidRPr="00B66D60">
          <w:rPr>
            <w:rStyle w:val="Hyperlink"/>
            <w:i/>
            <w:iCs/>
          </w:rPr>
          <w:t>www.syrianfinance.gov.sy</w:t>
        </w:r>
      </w:hyperlink>
    </w:p>
    <w:p w14:paraId="4EC39288" w14:textId="4E9685A6" w:rsidR="00D84736" w:rsidRDefault="00D56218">
      <w:pPr>
        <w:pStyle w:val="p"/>
      </w:pPr>
      <w:r>
        <w:rPr>
          <w:noProof/>
        </w:rPr>
        <w:drawing>
          <wp:inline distT="0" distB="0" distL="0" distR="0" wp14:anchorId="41BC206E" wp14:editId="20D7DAC3">
            <wp:extent cx="130810" cy="13081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Tax Committee — </w:t>
      </w:r>
      <w:hyperlink r:id="rId13" w:history="1">
        <w:r w:rsidR="00D84736" w:rsidRPr="00B66D60">
          <w:rPr>
            <w:rStyle w:val="Hyperlink"/>
            <w:i/>
            <w:iCs/>
          </w:rPr>
          <w:t>www.syriantax.gov.sy</w:t>
        </w:r>
      </w:hyperlink>
    </w:p>
    <w:p w14:paraId="3FD93AC1" w14:textId="4BB0DF16" w:rsidR="00D84736" w:rsidRDefault="00D56218">
      <w:pPr>
        <w:pStyle w:val="p"/>
      </w:pPr>
      <w:r>
        <w:rPr>
          <w:noProof/>
        </w:rPr>
        <w:lastRenderedPageBreak/>
        <w:drawing>
          <wp:inline distT="0" distB="0" distL="0" distR="0" wp14:anchorId="693503F6" wp14:editId="4766A8DF">
            <wp:extent cx="130810" cy="13081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Syrian Parliament — </w:t>
      </w:r>
      <w:hyperlink r:id="rId14" w:history="1">
        <w:r w:rsidR="00D84736" w:rsidRPr="00B66D60">
          <w:rPr>
            <w:rStyle w:val="Hyperlink"/>
            <w:i/>
            <w:iCs/>
          </w:rPr>
          <w:t>http://parliament.gov.sy/arabic/index.php</w:t>
        </w:r>
      </w:hyperlink>
    </w:p>
    <w:tbl>
      <w:tblPr>
        <w:tblStyle w:val="TableGrid"/>
        <w:tblW w:w="0" w:type="auto"/>
        <w:tblLook w:val="04A0" w:firstRow="1" w:lastRow="0" w:firstColumn="1" w:lastColumn="0" w:noHBand="0" w:noVBand="1"/>
      </w:tblPr>
      <w:tblGrid>
        <w:gridCol w:w="9350"/>
      </w:tblGrid>
      <w:tr w:rsidR="005D00E7" w14:paraId="698081DD" w14:textId="77777777" w:rsidTr="005D00E7">
        <w:tc>
          <w:tcPr>
            <w:tcW w:w="9350" w:type="dxa"/>
          </w:tcPr>
          <w:p w14:paraId="293F6A00" w14:textId="77777777" w:rsidR="005D00E7" w:rsidRDefault="005D00E7" w:rsidP="005D00E7">
            <w:pPr>
              <w:rPr>
                <w:rFonts w:ascii="Courier New" w:hAnsi="Courier New" w:cs="Courier New"/>
              </w:rPr>
            </w:pPr>
            <w:r w:rsidRPr="00DB031A">
              <w:rPr>
                <w:rFonts w:ascii="Courier New" w:hAnsi="Courier New" w:cs="Courier New"/>
                <w:highlight w:val="cyan"/>
              </w:rPr>
              <w:t>From Innodata xml:</w:t>
            </w:r>
          </w:p>
          <w:p w14:paraId="0F7CBFD7" w14:textId="197D71BC" w:rsidR="005D00E7" w:rsidRPr="00DB031A" w:rsidRDefault="005D00E7" w:rsidP="005D00E7">
            <w:pPr>
              <w:ind w:left="720"/>
              <w:rPr>
                <w:rFonts w:ascii="Courier New" w:hAnsi="Courier New" w:cs="Courier New"/>
                <w:sz w:val="16"/>
                <w:szCs w:val="16"/>
              </w:rPr>
            </w:pPr>
            <w:r w:rsidRPr="00DB031A">
              <w:rPr>
                <w:rFonts w:ascii="Courier New" w:hAnsi="Courier New" w:cs="Courier New"/>
                <w:sz w:val="16"/>
                <w:szCs w:val="16"/>
              </w:rPr>
              <w:t>&lt;</w:t>
            </w:r>
            <w:proofErr w:type="spellStart"/>
            <w:proofErr w:type="gramStart"/>
            <w:r w:rsidRPr="00DB031A">
              <w:rPr>
                <w:rFonts w:ascii="Courier New" w:hAnsi="Courier New" w:cs="Courier New"/>
                <w:sz w:val="16"/>
                <w:szCs w:val="16"/>
              </w:rPr>
              <w:t>list.item</w:t>
            </w:r>
            <w:proofErr w:type="spellEnd"/>
            <w:proofErr w:type="gramEnd"/>
            <w:r w:rsidRPr="00DB031A">
              <w:rPr>
                <w:rFonts w:ascii="Courier New" w:hAnsi="Courier New" w:cs="Courier New"/>
                <w:sz w:val="16"/>
                <w:szCs w:val="16"/>
              </w:rPr>
              <w:t>&gt;&amp;#8226;&amp;#8201;&lt;hang/&gt;Ministry of Finance &amp;#151; &lt;</w:t>
            </w:r>
            <w:proofErr w:type="spellStart"/>
            <w:r w:rsidRPr="00DB031A">
              <w:rPr>
                <w:rFonts w:ascii="Courier New" w:hAnsi="Courier New" w:cs="Courier New"/>
                <w:sz w:val="16"/>
                <w:szCs w:val="16"/>
              </w:rPr>
              <w:t>emph</w:t>
            </w:r>
            <w:proofErr w:type="spellEnd"/>
            <w:r w:rsidRPr="00DB031A">
              <w:rPr>
                <w:rFonts w:ascii="Courier New" w:hAnsi="Courier New" w:cs="Courier New"/>
                <w:sz w:val="16"/>
                <w:szCs w:val="16"/>
              </w:rPr>
              <w:t>&gt;&lt;cite.url ref="</w:t>
            </w:r>
            <w:r w:rsidRPr="00DB031A">
              <w:rPr>
                <w:rFonts w:ascii="Courier New" w:hAnsi="Courier New" w:cs="Courier New"/>
                <w:strike/>
                <w:sz w:val="16"/>
                <w:szCs w:val="16"/>
                <w:highlight w:val="red"/>
              </w:rPr>
              <w:t>C:\Users\SH8550\Downloads\</w:t>
            </w:r>
            <w:r w:rsidRPr="00DB031A">
              <w:rPr>
                <w:rFonts w:ascii="Courier New" w:hAnsi="Courier New" w:cs="Courier New"/>
                <w:sz w:val="16"/>
                <w:szCs w:val="16"/>
              </w:rPr>
              <w:t>www.syrianfinance.gov.sy"&gt;www.syrianfinance.gov.sy&lt;/cite.url&gt;&lt;/emph&gt;&lt;/list.item&gt;</w:t>
            </w:r>
          </w:p>
          <w:p w14:paraId="3FD846F0" w14:textId="77777777" w:rsidR="005D00E7" w:rsidRPr="00DB031A" w:rsidRDefault="005D00E7" w:rsidP="005D00E7">
            <w:pPr>
              <w:ind w:left="720"/>
              <w:rPr>
                <w:rFonts w:ascii="Courier New" w:hAnsi="Courier New" w:cs="Courier New"/>
                <w:sz w:val="16"/>
                <w:szCs w:val="16"/>
              </w:rPr>
            </w:pPr>
            <w:r w:rsidRPr="00DB031A">
              <w:rPr>
                <w:rFonts w:ascii="Courier New" w:hAnsi="Courier New" w:cs="Courier New"/>
                <w:sz w:val="16"/>
                <w:szCs w:val="16"/>
              </w:rPr>
              <w:t>&lt;</w:t>
            </w:r>
            <w:proofErr w:type="spellStart"/>
            <w:proofErr w:type="gramStart"/>
            <w:r w:rsidRPr="00DB031A">
              <w:rPr>
                <w:rFonts w:ascii="Courier New" w:hAnsi="Courier New" w:cs="Courier New"/>
                <w:sz w:val="16"/>
                <w:szCs w:val="16"/>
              </w:rPr>
              <w:t>list.item</w:t>
            </w:r>
            <w:proofErr w:type="spellEnd"/>
            <w:proofErr w:type="gramEnd"/>
            <w:r w:rsidRPr="00DB031A">
              <w:rPr>
                <w:rFonts w:ascii="Courier New" w:hAnsi="Courier New" w:cs="Courier New"/>
                <w:sz w:val="16"/>
                <w:szCs w:val="16"/>
              </w:rPr>
              <w:t>&gt;&amp;#8226;&amp;#8201;&lt;hang/&gt;Tax Committee &amp;#151; &lt;</w:t>
            </w:r>
            <w:proofErr w:type="spellStart"/>
            <w:r w:rsidRPr="00DB031A">
              <w:rPr>
                <w:rFonts w:ascii="Courier New" w:hAnsi="Courier New" w:cs="Courier New"/>
                <w:sz w:val="16"/>
                <w:szCs w:val="16"/>
              </w:rPr>
              <w:t>emph</w:t>
            </w:r>
            <w:proofErr w:type="spellEnd"/>
            <w:r w:rsidRPr="00DB031A">
              <w:rPr>
                <w:rFonts w:ascii="Courier New" w:hAnsi="Courier New" w:cs="Courier New"/>
                <w:sz w:val="16"/>
                <w:szCs w:val="16"/>
              </w:rPr>
              <w:t>&gt;&lt;cite.url ref="</w:t>
            </w:r>
            <w:r w:rsidRPr="00DB031A">
              <w:rPr>
                <w:rFonts w:ascii="Courier New" w:hAnsi="Courier New" w:cs="Courier New"/>
                <w:strike/>
                <w:sz w:val="16"/>
                <w:szCs w:val="16"/>
                <w:highlight w:val="red"/>
              </w:rPr>
              <w:t>C:\Users\SH8550\Downloads\</w:t>
            </w:r>
            <w:r w:rsidRPr="00DB031A">
              <w:rPr>
                <w:rFonts w:ascii="Courier New" w:hAnsi="Courier New" w:cs="Courier New"/>
                <w:sz w:val="16"/>
                <w:szCs w:val="16"/>
              </w:rPr>
              <w:t>www.syriantax.gov.sy"&gt;www.syriantax.gov.sy&lt;/cite.url&gt;&lt;/emph&gt;&lt;/list.item&gt;</w:t>
            </w:r>
          </w:p>
          <w:p w14:paraId="7991CD5E" w14:textId="77777777" w:rsidR="005D00E7" w:rsidRDefault="005D00E7">
            <w:pPr>
              <w:rPr>
                <w:sz w:val="24"/>
                <w:szCs w:val="24"/>
              </w:rPr>
            </w:pPr>
          </w:p>
        </w:tc>
      </w:tr>
    </w:tbl>
    <w:p w14:paraId="0BAFE5AB" w14:textId="77777777" w:rsidR="00D84736" w:rsidRDefault="00D84736">
      <w:pPr>
        <w:rPr>
          <w:sz w:val="24"/>
          <w:szCs w:val="24"/>
        </w:rPr>
      </w:pPr>
    </w:p>
    <w:p w14:paraId="760A85A5" w14:textId="77777777" w:rsidR="00D84736" w:rsidRDefault="00D84736">
      <w:pPr>
        <w:pStyle w:val="p"/>
      </w:pPr>
      <w:r>
        <w:rPr>
          <w:sz w:val="24"/>
          <w:szCs w:val="24"/>
        </w:rPr>
        <w:br/>
      </w:r>
      <w:r>
        <w:rPr>
          <w:b/>
          <w:bCs/>
        </w:rPr>
        <w:t xml:space="preserve">1.5. Automatic Exchange of Information </w:t>
      </w:r>
      <w:r>
        <w:rPr>
          <w:b/>
          <w:bCs/>
        </w:rPr>
        <w:br/>
      </w:r>
      <w:r>
        <w:t>Currently, Syria is not a party to any agreements for the automatic exchange of information.</w:t>
      </w:r>
    </w:p>
    <w:p w14:paraId="0CB5F172" w14:textId="77777777" w:rsidR="00D84736" w:rsidRDefault="00D84736">
      <w:pPr>
        <w:pStyle w:val="p"/>
      </w:pPr>
      <w:r>
        <w:rPr>
          <w:sz w:val="24"/>
          <w:szCs w:val="24"/>
        </w:rPr>
        <w:br/>
      </w:r>
      <w:r>
        <w:rPr>
          <w:b/>
          <w:bCs/>
        </w:rPr>
        <w:t xml:space="preserve">2. Corporate Tax Computation and Administration </w:t>
      </w:r>
      <w:r>
        <w:rPr>
          <w:b/>
          <w:bCs/>
        </w:rPr>
        <w:br/>
      </w:r>
      <w:r>
        <w:rPr>
          <w:b/>
          <w:bCs/>
        </w:rPr>
        <w:br/>
        <w:t xml:space="preserve">2.1. Residence, Taxable Status, Entity Characterization </w:t>
      </w:r>
      <w:r>
        <w:rPr>
          <w:b/>
          <w:bCs/>
        </w:rPr>
        <w:br/>
      </w:r>
      <w:r>
        <w:rPr>
          <w:b/>
          <w:bCs/>
        </w:rPr>
        <w:br/>
        <w:t xml:space="preserve">2.1.1. Residence </w:t>
      </w:r>
      <w:r>
        <w:rPr>
          <w:b/>
          <w:bCs/>
        </w:rPr>
        <w:br/>
      </w:r>
      <w:r>
        <w:t>A company is a resident of Syria if it is incorporated, established, or formed in Syria.</w:t>
      </w:r>
      <w:r w:rsidRPr="00CE3533">
        <w:rPr>
          <w:rStyle w:val="FootnoteReference"/>
        </w:rPr>
        <w:footnoteReference w:customMarkFollows="1" w:id="2"/>
        <w:t>1</w:t>
      </w:r>
    </w:p>
    <w:p w14:paraId="3AFC6879" w14:textId="77777777" w:rsidR="00D84736" w:rsidRDefault="00D84736">
      <w:pPr>
        <w:pStyle w:val="p"/>
      </w:pPr>
      <w:r>
        <w:rPr>
          <w:sz w:val="24"/>
          <w:szCs w:val="24"/>
        </w:rPr>
        <w:br/>
      </w:r>
      <w:r>
        <w:rPr>
          <w:b/>
          <w:bCs/>
        </w:rPr>
        <w:t xml:space="preserve">2.1.2. Taxable Status </w:t>
      </w:r>
      <w:r>
        <w:rPr>
          <w:b/>
          <w:bCs/>
        </w:rPr>
        <w:br/>
      </w:r>
      <w:r>
        <w:t>Companies are subject to corporate income tax on their taxable income.</w:t>
      </w:r>
    </w:p>
    <w:p w14:paraId="0040BD6E" w14:textId="7F920D50" w:rsidR="00D84736" w:rsidRDefault="00D84736">
      <w:pPr>
        <w:pStyle w:val="p"/>
      </w:pPr>
      <w:r w:rsidRPr="00DB031A">
        <w:rPr>
          <w:highlight w:val="red"/>
        </w:rPr>
        <w:t xml:space="preserve">See </w:t>
      </w:r>
      <w:r w:rsidR="00AD64B5" w:rsidRPr="00DB031A">
        <w:rPr>
          <w:highlight w:val="red"/>
        </w:rPr>
        <w:t>[</w:t>
      </w:r>
      <w:proofErr w:type="gramStart"/>
      <w:r w:rsidR="00AD64B5" w:rsidRPr="00DB031A">
        <w:rPr>
          <w:highlight w:val="red"/>
        </w:rPr>
        <w:t>3.1.</w:t>
      </w:r>
      <w:r w:rsidR="00AD64B5" w:rsidRPr="00AD64B5">
        <w:rPr>
          <w:highlight w:val="yellow"/>
        </w:rPr>
        <w:t>1]</w:t>
      </w:r>
      <w:r w:rsidR="00AD64B5" w:rsidRPr="00F610FF">
        <w:rPr>
          <w:highlight w:val="yellow"/>
        </w:rPr>
        <w:t>Section</w:t>
      </w:r>
      <w:proofErr w:type="gramEnd"/>
      <w:r w:rsidR="00AD64B5" w:rsidRPr="00F610FF">
        <w:rPr>
          <w:highlight w:val="yellow"/>
        </w:rPr>
        <w:t xml:space="preserve"> 3.1.1</w:t>
      </w:r>
      <w:r w:rsidR="00AD64B5" w:rsidRPr="00AD64B5">
        <w:rPr>
          <w:highlight w:val="yellow"/>
        </w:rPr>
        <w:t>[end]</w:t>
      </w:r>
      <w:r>
        <w:t xml:space="preserve"> and </w:t>
      </w:r>
      <w:r w:rsidR="00AD64B5" w:rsidRPr="00AD64B5">
        <w:rPr>
          <w:highlight w:val="yellow"/>
        </w:rPr>
        <w:t>[3.1.2]</w:t>
      </w:r>
      <w:r w:rsidR="00AD64B5" w:rsidRPr="00F610FF">
        <w:rPr>
          <w:highlight w:val="yellow"/>
        </w:rPr>
        <w:t>Section 3.1.2</w:t>
      </w:r>
      <w:r w:rsidR="00AD64B5" w:rsidRPr="00AD64B5">
        <w:rPr>
          <w:highlight w:val="yellow"/>
        </w:rPr>
        <w:t>[end]</w:t>
      </w:r>
      <w:r>
        <w:t>.</w:t>
      </w:r>
    </w:p>
    <w:tbl>
      <w:tblPr>
        <w:tblStyle w:val="TableGrid"/>
        <w:tblW w:w="0" w:type="auto"/>
        <w:tblLook w:val="04A0" w:firstRow="1" w:lastRow="0" w:firstColumn="1" w:lastColumn="0" w:noHBand="0" w:noVBand="1"/>
      </w:tblPr>
      <w:tblGrid>
        <w:gridCol w:w="9350"/>
      </w:tblGrid>
      <w:tr w:rsidR="005D00E7" w14:paraId="1369BC78" w14:textId="77777777" w:rsidTr="005D00E7">
        <w:tc>
          <w:tcPr>
            <w:tcW w:w="9350" w:type="dxa"/>
          </w:tcPr>
          <w:p w14:paraId="1AA8106C" w14:textId="77777777" w:rsidR="005D00E7" w:rsidRPr="00DB031A" w:rsidRDefault="005D00E7" w:rsidP="005D00E7">
            <w:pPr>
              <w:pStyle w:val="p"/>
              <w:rPr>
                <w:rFonts w:ascii="Courier New" w:hAnsi="Courier New" w:cs="Courier New"/>
              </w:rPr>
            </w:pPr>
            <w:r w:rsidRPr="00DB031A">
              <w:rPr>
                <w:rFonts w:ascii="Courier New" w:hAnsi="Courier New" w:cs="Courier New"/>
                <w:highlight w:val="cyan"/>
              </w:rPr>
              <w:t>From Innodata XML: space missing between “See” and “&lt;”. On product, this would like “</w:t>
            </w:r>
            <w:proofErr w:type="spellStart"/>
            <w:r w:rsidRPr="00DB031A">
              <w:rPr>
                <w:rFonts w:ascii="Courier New" w:hAnsi="Courier New" w:cs="Courier New"/>
                <w:highlight w:val="cyan"/>
              </w:rPr>
              <w:t>SeeSection</w:t>
            </w:r>
            <w:proofErr w:type="spellEnd"/>
            <w:r w:rsidRPr="00DB031A">
              <w:rPr>
                <w:rFonts w:ascii="Courier New" w:hAnsi="Courier New" w:cs="Courier New"/>
                <w:highlight w:val="cyan"/>
              </w:rPr>
              <w:t>”</w:t>
            </w:r>
            <w:r>
              <w:rPr>
                <w:rFonts w:ascii="Courier New" w:hAnsi="Courier New" w:cs="Courier New"/>
              </w:rPr>
              <w:t xml:space="preserve"> </w:t>
            </w:r>
          </w:p>
          <w:p w14:paraId="3C8AC9F0" w14:textId="77777777" w:rsidR="005D00E7" w:rsidRPr="00DB031A" w:rsidRDefault="005D00E7" w:rsidP="005D00E7">
            <w:pPr>
              <w:pStyle w:val="p"/>
              <w:rPr>
                <w:rFonts w:ascii="Courier New" w:hAnsi="Courier New" w:cs="Courier New"/>
                <w:sz w:val="16"/>
                <w:szCs w:val="16"/>
              </w:rPr>
            </w:pPr>
            <w:proofErr w:type="spellStart"/>
            <w:proofErr w:type="gramStart"/>
            <w:r w:rsidRPr="00DB031A">
              <w:rPr>
                <w:rFonts w:ascii="Courier New" w:hAnsi="Courier New" w:cs="Courier New"/>
                <w:sz w:val="16"/>
                <w:szCs w:val="16"/>
              </w:rPr>
              <w:t>in.chart</w:t>
            </w:r>
            <w:proofErr w:type="spellEnd"/>
            <w:proofErr w:type="gramEnd"/>
            <w:r w:rsidRPr="00DB031A">
              <w:rPr>
                <w:rFonts w:ascii="Courier New" w:hAnsi="Courier New" w:cs="Courier New"/>
                <w:sz w:val="16"/>
                <w:szCs w:val="16"/>
              </w:rPr>
              <w:t>="1"&gt;Companies are subject to corporate income tax on their taxable income.&lt;/para&gt;</w:t>
            </w:r>
          </w:p>
          <w:p w14:paraId="3371D9B3" w14:textId="77777777" w:rsidR="005D00E7" w:rsidRPr="00DB031A" w:rsidRDefault="005D00E7" w:rsidP="005D00E7">
            <w:pPr>
              <w:pStyle w:val="p"/>
              <w:rPr>
                <w:rFonts w:ascii="Courier New" w:hAnsi="Courier New" w:cs="Courier New"/>
                <w:sz w:val="16"/>
                <w:szCs w:val="16"/>
              </w:rPr>
            </w:pPr>
            <w:r w:rsidRPr="00DB031A">
              <w:rPr>
                <w:rFonts w:ascii="Courier New" w:hAnsi="Courier New" w:cs="Courier New"/>
                <w:sz w:val="16"/>
                <w:szCs w:val="16"/>
              </w:rPr>
              <w:t xml:space="preserve">&lt;para </w:t>
            </w:r>
            <w:proofErr w:type="spellStart"/>
            <w:proofErr w:type="gramStart"/>
            <w:r w:rsidRPr="00DB031A">
              <w:rPr>
                <w:rFonts w:ascii="Courier New" w:hAnsi="Courier New" w:cs="Courier New"/>
                <w:sz w:val="16"/>
                <w:szCs w:val="16"/>
              </w:rPr>
              <w:t>include.in.chart</w:t>
            </w:r>
            <w:proofErr w:type="spellEnd"/>
            <w:proofErr w:type="gramEnd"/>
            <w:r w:rsidRPr="00DB031A">
              <w:rPr>
                <w:rFonts w:ascii="Courier New" w:hAnsi="Courier New" w:cs="Courier New"/>
                <w:sz w:val="16"/>
                <w:szCs w:val="16"/>
              </w:rPr>
              <w:t>="1"&gt;&lt;cite&gt;</w:t>
            </w:r>
            <w:r w:rsidRPr="00DB031A">
              <w:rPr>
                <w:rFonts w:ascii="Courier New" w:hAnsi="Courier New" w:cs="Courier New"/>
                <w:sz w:val="16"/>
                <w:szCs w:val="16"/>
                <w:highlight w:val="red"/>
              </w:rPr>
              <w:t>See&lt;</w:t>
            </w:r>
            <w:proofErr w:type="spellStart"/>
            <w:r w:rsidRPr="00DB031A">
              <w:rPr>
                <w:rFonts w:ascii="Courier New" w:hAnsi="Courier New" w:cs="Courier New"/>
                <w:sz w:val="16"/>
                <w:szCs w:val="16"/>
                <w:highlight w:val="red"/>
              </w:rPr>
              <w:t>cite.bna.reference</w:t>
            </w:r>
            <w:proofErr w:type="spellEnd"/>
            <w:r w:rsidRPr="00DB031A">
              <w:rPr>
                <w:rFonts w:ascii="Courier New" w:hAnsi="Courier New" w:cs="Courier New"/>
                <w:sz w:val="16"/>
                <w:szCs w:val="16"/>
                <w:highlight w:val="red"/>
              </w:rPr>
              <w:t xml:space="preserve"> ref="gtg2\</w:t>
            </w:r>
            <w:proofErr w:type="spellStart"/>
            <w:r w:rsidRPr="00DB031A">
              <w:rPr>
                <w:rFonts w:ascii="Courier New" w:hAnsi="Courier New" w:cs="Courier New"/>
                <w:sz w:val="16"/>
                <w:szCs w:val="16"/>
                <w:highlight w:val="red"/>
              </w:rPr>
              <w:t>sy</w:t>
            </w:r>
            <w:proofErr w:type="spellEnd"/>
            <w:r w:rsidRPr="00DB031A">
              <w:rPr>
                <w:rFonts w:ascii="Courier New" w:hAnsi="Courier New" w:cs="Courier New"/>
                <w:sz w:val="16"/>
                <w:szCs w:val="16"/>
                <w:highlight w:val="red"/>
              </w:rPr>
              <w:t>\3.1.1"&gt;</w:t>
            </w:r>
            <w:r w:rsidRPr="00DB031A">
              <w:rPr>
                <w:rFonts w:ascii="Courier New" w:hAnsi="Courier New" w:cs="Courier New"/>
                <w:sz w:val="16"/>
                <w:szCs w:val="16"/>
              </w:rPr>
              <w:t>Section 3.1.1&lt;/</w:t>
            </w:r>
            <w:proofErr w:type="spellStart"/>
            <w:r w:rsidRPr="00DB031A">
              <w:rPr>
                <w:rFonts w:ascii="Courier New" w:hAnsi="Courier New" w:cs="Courier New"/>
                <w:sz w:val="16"/>
                <w:szCs w:val="16"/>
              </w:rPr>
              <w:t>cite.bna.reference</w:t>
            </w:r>
            <w:proofErr w:type="spellEnd"/>
            <w:r w:rsidRPr="00DB031A">
              <w:rPr>
                <w:rFonts w:ascii="Courier New" w:hAnsi="Courier New" w:cs="Courier New"/>
                <w:sz w:val="16"/>
                <w:szCs w:val="16"/>
              </w:rPr>
              <w:t>&gt;</w:t>
            </w:r>
          </w:p>
          <w:p w14:paraId="71F65D64" w14:textId="77777777" w:rsidR="005D00E7" w:rsidRDefault="005D00E7">
            <w:pPr>
              <w:pStyle w:val="p"/>
              <w:ind w:firstLine="0"/>
              <w:rPr>
                <w:sz w:val="24"/>
                <w:szCs w:val="24"/>
              </w:rPr>
            </w:pPr>
          </w:p>
        </w:tc>
      </w:tr>
    </w:tbl>
    <w:p w14:paraId="4EAFE5C6" w14:textId="5F7B131A" w:rsidR="00D84736" w:rsidRDefault="00D84736">
      <w:pPr>
        <w:pStyle w:val="p"/>
      </w:pPr>
      <w:r>
        <w:rPr>
          <w:sz w:val="24"/>
          <w:szCs w:val="24"/>
        </w:rPr>
        <w:br/>
      </w:r>
      <w:r>
        <w:rPr>
          <w:b/>
          <w:bCs/>
        </w:rPr>
        <w:t xml:space="preserve">2.1.3. Legal Classification of Nonresident Entities </w:t>
      </w:r>
      <w:r>
        <w:rPr>
          <w:b/>
          <w:bCs/>
        </w:rPr>
        <w:br/>
      </w:r>
      <w:r>
        <w:t>Income tax is levied on each and every person, natural or legal, gaining any profit or income from activities performed in Syria.</w:t>
      </w:r>
      <w:r w:rsidRPr="00CE3533">
        <w:rPr>
          <w:rStyle w:val="FootnoteReference"/>
        </w:rPr>
        <w:footnoteReference w:customMarkFollows="1" w:id="3"/>
        <w:t>2</w:t>
      </w:r>
    </w:p>
    <w:p w14:paraId="4D0EBB57" w14:textId="77777777" w:rsidR="00D84736" w:rsidRDefault="00D84736">
      <w:pPr>
        <w:pStyle w:val="p"/>
      </w:pPr>
      <w:r>
        <w:t>Nonresident entities conducting activities, through a branch, office or agent, in Syria are subject to income tax on profits derived from activities conducted in Syria.</w:t>
      </w:r>
    </w:p>
    <w:p w14:paraId="4935DBBC" w14:textId="77777777" w:rsidR="00D84736" w:rsidRDefault="00D84736">
      <w:pPr>
        <w:pStyle w:val="p"/>
      </w:pPr>
      <w:r>
        <w:rPr>
          <w:sz w:val="24"/>
          <w:szCs w:val="24"/>
        </w:rPr>
        <w:br/>
      </w:r>
      <w:r>
        <w:rPr>
          <w:b/>
          <w:bCs/>
        </w:rPr>
        <w:t xml:space="preserve">2.2. Corporate Tax Base </w:t>
      </w:r>
      <w:r>
        <w:rPr>
          <w:b/>
          <w:bCs/>
        </w:rPr>
        <w:br/>
      </w:r>
      <w:r>
        <w:rPr>
          <w:b/>
          <w:bCs/>
        </w:rPr>
        <w:br/>
        <w:t xml:space="preserve">2.2.1. Resident Corporations </w:t>
      </w:r>
      <w:r>
        <w:rPr>
          <w:b/>
          <w:bCs/>
        </w:rPr>
        <w:br/>
      </w:r>
      <w:r>
        <w:t>Syria generally operates a territorial tax system on business income. Resident companies whose income is derived from activities carried out in Syria are subject to income tax. Business income derived from activities conducted outside Syria is generally not taxable in Syria.</w:t>
      </w:r>
      <w:r w:rsidRPr="00CE3533">
        <w:rPr>
          <w:rStyle w:val="FootnoteReference"/>
        </w:rPr>
        <w:footnoteReference w:customMarkFollows="1" w:id="4"/>
        <w:t>3</w:t>
      </w:r>
      <w:r>
        <w:t xml:space="preserve"> Exceptions include the tax on capital income, which is levied on qualifying foreign-source income provided the income is declared in the corporation's accounts.</w:t>
      </w:r>
      <w:r w:rsidRPr="00CE3533">
        <w:rPr>
          <w:rStyle w:val="FootnoteReference"/>
        </w:rPr>
        <w:footnoteReference w:customMarkFollows="1" w:id="5"/>
        <w:t>4</w:t>
      </w:r>
    </w:p>
    <w:p w14:paraId="323BA10D" w14:textId="2C045414" w:rsidR="00D84736" w:rsidRDefault="00D84736">
      <w:pPr>
        <w:pStyle w:val="p"/>
      </w:pPr>
      <w:r>
        <w:lastRenderedPageBreak/>
        <w:t xml:space="preserve">Corporate capital gains are subject to capital gains tax (see </w:t>
      </w:r>
      <w:r w:rsidR="00AD64B5" w:rsidRPr="00FD541C">
        <w:rPr>
          <w:highlight w:val="red"/>
        </w:rPr>
        <w:t>[</w:t>
      </w:r>
      <w:proofErr w:type="gramStart"/>
      <w:r w:rsidR="00AD64B5" w:rsidRPr="00FD541C">
        <w:rPr>
          <w:highlight w:val="red"/>
        </w:rPr>
        <w:t>4.1]</w:t>
      </w:r>
      <w:r w:rsidR="00AD64B5" w:rsidRPr="00F610FF">
        <w:rPr>
          <w:highlight w:val="red"/>
        </w:rPr>
        <w:t>Section</w:t>
      </w:r>
      <w:proofErr w:type="gramEnd"/>
      <w:r w:rsidR="00AD64B5" w:rsidRPr="00F610FF">
        <w:rPr>
          <w:highlight w:val="red"/>
        </w:rPr>
        <w:t xml:space="preserve"> 4.1</w:t>
      </w:r>
      <w:r w:rsidR="00AD64B5" w:rsidRPr="00FD541C">
        <w:rPr>
          <w:highlight w:val="red"/>
        </w:rPr>
        <w:t>[end]</w:t>
      </w:r>
      <w:r>
        <w:t xml:space="preserve"> below). However, Syrian law prohibits double taxation on income/profit generated in Syria.</w:t>
      </w:r>
    </w:p>
    <w:tbl>
      <w:tblPr>
        <w:tblStyle w:val="TableGrid"/>
        <w:tblW w:w="0" w:type="auto"/>
        <w:tblLook w:val="04A0" w:firstRow="1" w:lastRow="0" w:firstColumn="1" w:lastColumn="0" w:noHBand="0" w:noVBand="1"/>
      </w:tblPr>
      <w:tblGrid>
        <w:gridCol w:w="9350"/>
      </w:tblGrid>
      <w:tr w:rsidR="005D00E7" w14:paraId="3A0DE30A" w14:textId="77777777" w:rsidTr="005D00E7">
        <w:tc>
          <w:tcPr>
            <w:tcW w:w="9350" w:type="dxa"/>
          </w:tcPr>
          <w:p w14:paraId="6EF14C6D" w14:textId="4B391C04" w:rsidR="005D00E7" w:rsidRDefault="005D00E7" w:rsidP="005D00E7">
            <w:pPr>
              <w:pStyle w:val="p"/>
            </w:pPr>
            <w:r>
              <w:rPr>
                <w:rFonts w:ascii="Courier New" w:hAnsi="Courier New" w:cs="Courier New"/>
                <w:highlight w:val="cyan"/>
              </w:rPr>
              <w:t>Above, the &lt;</w:t>
            </w:r>
            <w:proofErr w:type="spellStart"/>
            <w:proofErr w:type="gramStart"/>
            <w:r>
              <w:rPr>
                <w:rFonts w:ascii="Courier New" w:hAnsi="Courier New" w:cs="Courier New"/>
                <w:highlight w:val="cyan"/>
              </w:rPr>
              <w:t>cite.bna.reference</w:t>
            </w:r>
            <w:proofErr w:type="spellEnd"/>
            <w:proofErr w:type="gramEnd"/>
            <w:r w:rsidRPr="00DB031A">
              <w:rPr>
                <w:rFonts w:ascii="Courier New" w:hAnsi="Courier New" w:cs="Courier New"/>
                <w:highlight w:val="cyan"/>
              </w:rPr>
              <w:t xml:space="preserve">&gt; tagging was </w:t>
            </w:r>
            <w:r>
              <w:rPr>
                <w:rFonts w:ascii="Courier New" w:hAnsi="Courier New" w:cs="Courier New"/>
                <w:highlight w:val="cyan"/>
              </w:rPr>
              <w:t>missing</w:t>
            </w:r>
            <w:r w:rsidRPr="00DB031A">
              <w:rPr>
                <w:rFonts w:ascii="Courier New" w:hAnsi="Courier New" w:cs="Courier New"/>
                <w:highlight w:val="cyan"/>
              </w:rPr>
              <w:t>.</w:t>
            </w:r>
          </w:p>
        </w:tc>
      </w:tr>
    </w:tbl>
    <w:p w14:paraId="5FA198AC" w14:textId="77777777" w:rsidR="005D00E7" w:rsidRDefault="005D00E7">
      <w:pPr>
        <w:pStyle w:val="p"/>
      </w:pPr>
    </w:p>
    <w:p w14:paraId="349E3CD3" w14:textId="77777777" w:rsidR="00D84736" w:rsidRDefault="00D84736">
      <w:pPr>
        <w:pStyle w:val="p"/>
      </w:pPr>
      <w:r>
        <w:rPr>
          <w:sz w:val="24"/>
          <w:szCs w:val="24"/>
        </w:rPr>
        <w:br/>
      </w:r>
      <w:r>
        <w:rPr>
          <w:b/>
          <w:bCs/>
        </w:rPr>
        <w:t xml:space="preserve">2.2.2. Nonresident Corporations </w:t>
      </w:r>
      <w:r>
        <w:rPr>
          <w:b/>
          <w:bCs/>
        </w:rPr>
        <w:br/>
      </w:r>
      <w:r>
        <w:t>Nonresident companies are taxable on Syrian-source income only.</w:t>
      </w:r>
      <w:r w:rsidRPr="00CE3533">
        <w:rPr>
          <w:rStyle w:val="FootnoteReference"/>
        </w:rPr>
        <w:footnoteReference w:customMarkFollows="1" w:id="6"/>
        <w:t>5</w:t>
      </w:r>
    </w:p>
    <w:p w14:paraId="359040F8" w14:textId="77777777" w:rsidR="00D84736" w:rsidRDefault="00D84736">
      <w:pPr>
        <w:pStyle w:val="p"/>
      </w:pPr>
      <w:r>
        <w:t>Foreign corporations with branches, offices or having an agent in Syria are treated as resident companies for tax purposes on activities conducted/performed in Syria.</w:t>
      </w:r>
    </w:p>
    <w:p w14:paraId="7A194D85" w14:textId="434001A9" w:rsidR="00D84736" w:rsidRDefault="00D84736">
      <w:pPr>
        <w:pStyle w:val="p"/>
      </w:pPr>
      <w:r>
        <w:t xml:space="preserve">See also </w:t>
      </w:r>
      <w:r w:rsidR="00AD64B5" w:rsidRPr="00AD64B5">
        <w:rPr>
          <w:highlight w:val="yellow"/>
        </w:rPr>
        <w:t>[</w:t>
      </w:r>
      <w:proofErr w:type="gramStart"/>
      <w:r w:rsidR="00AD64B5" w:rsidRPr="00AD64B5">
        <w:rPr>
          <w:highlight w:val="yellow"/>
        </w:rPr>
        <w:t>2.1.3]</w:t>
      </w:r>
      <w:r w:rsidR="00AD64B5" w:rsidRPr="00F610FF">
        <w:rPr>
          <w:highlight w:val="yellow"/>
        </w:rPr>
        <w:t>Section</w:t>
      </w:r>
      <w:proofErr w:type="gramEnd"/>
      <w:r w:rsidR="00AD64B5" w:rsidRPr="00F610FF">
        <w:rPr>
          <w:highlight w:val="yellow"/>
        </w:rPr>
        <w:t xml:space="preserve"> 2.1.3</w:t>
      </w:r>
      <w:r w:rsidR="00AD64B5" w:rsidRPr="00AD64B5">
        <w:rPr>
          <w:highlight w:val="yellow"/>
        </w:rPr>
        <w:t>[</w:t>
      </w:r>
      <w:r w:rsidR="00AD64B5" w:rsidRPr="00DB031A">
        <w:rPr>
          <w:highlight w:val="red"/>
        </w:rPr>
        <w:t>end]</w:t>
      </w:r>
      <w:r w:rsidRPr="00DB031A">
        <w:rPr>
          <w:highlight w:val="red"/>
        </w:rPr>
        <w:t xml:space="preserve"> above</w:t>
      </w:r>
      <w:r>
        <w:t>.</w:t>
      </w:r>
    </w:p>
    <w:tbl>
      <w:tblPr>
        <w:tblStyle w:val="TableGrid"/>
        <w:tblW w:w="0" w:type="auto"/>
        <w:tblLook w:val="04A0" w:firstRow="1" w:lastRow="0" w:firstColumn="1" w:lastColumn="0" w:noHBand="0" w:noVBand="1"/>
      </w:tblPr>
      <w:tblGrid>
        <w:gridCol w:w="9350"/>
      </w:tblGrid>
      <w:tr w:rsidR="005D00E7" w14:paraId="18C06A11" w14:textId="77777777" w:rsidTr="00B252BC">
        <w:tc>
          <w:tcPr>
            <w:tcW w:w="9350" w:type="dxa"/>
          </w:tcPr>
          <w:p w14:paraId="72409AD7" w14:textId="77777777" w:rsidR="005D00E7" w:rsidRDefault="005D00E7" w:rsidP="005D00E7">
            <w:pPr>
              <w:pStyle w:val="p"/>
              <w:rPr>
                <w:rFonts w:ascii="Courier New" w:hAnsi="Courier New" w:cs="Courier New"/>
              </w:rPr>
            </w:pPr>
            <w:r>
              <w:rPr>
                <w:rFonts w:ascii="Courier New" w:hAnsi="Courier New" w:cs="Courier New"/>
                <w:highlight w:val="cyan"/>
              </w:rPr>
              <w:t xml:space="preserve">Above, no space before “above” in Innodata </w:t>
            </w:r>
            <w:r w:rsidRPr="00DB031A">
              <w:rPr>
                <w:rFonts w:ascii="Courier New" w:hAnsi="Courier New" w:cs="Courier New"/>
                <w:highlight w:val="cyan"/>
              </w:rPr>
              <w:t>XML would be Section 2.1.3above”</w:t>
            </w:r>
            <w:r>
              <w:rPr>
                <w:rFonts w:ascii="Courier New" w:hAnsi="Courier New" w:cs="Courier New"/>
                <w:highlight w:val="cyan"/>
              </w:rPr>
              <w:t xml:space="preserve"> on product</w:t>
            </w:r>
            <w:r w:rsidRPr="00DB031A">
              <w:rPr>
                <w:rFonts w:ascii="Courier New" w:hAnsi="Courier New" w:cs="Courier New"/>
                <w:highlight w:val="cyan"/>
              </w:rPr>
              <w:t>:</w:t>
            </w:r>
          </w:p>
          <w:p w14:paraId="33810F56" w14:textId="77777777" w:rsidR="005D00E7" w:rsidRPr="00DB031A" w:rsidRDefault="005D00E7" w:rsidP="005D00E7">
            <w:pPr>
              <w:pStyle w:val="p"/>
              <w:rPr>
                <w:rFonts w:ascii="Courier New" w:hAnsi="Courier New" w:cs="Courier New"/>
                <w:sz w:val="16"/>
                <w:szCs w:val="16"/>
              </w:rPr>
            </w:pPr>
            <w:r w:rsidRPr="00DB031A">
              <w:rPr>
                <w:rFonts w:ascii="Courier New" w:hAnsi="Courier New" w:cs="Courier New"/>
                <w:sz w:val="16"/>
                <w:szCs w:val="16"/>
              </w:rPr>
              <w:t>&lt;cite&gt;See also&lt;</w:t>
            </w:r>
            <w:proofErr w:type="spellStart"/>
            <w:proofErr w:type="gramStart"/>
            <w:r w:rsidRPr="00DB031A">
              <w:rPr>
                <w:rFonts w:ascii="Courier New" w:hAnsi="Courier New" w:cs="Courier New"/>
                <w:sz w:val="16"/>
                <w:szCs w:val="16"/>
              </w:rPr>
              <w:t>cite.bna.reference</w:t>
            </w:r>
            <w:proofErr w:type="spellEnd"/>
            <w:proofErr w:type="gramEnd"/>
            <w:r w:rsidRPr="00DB031A">
              <w:rPr>
                <w:rFonts w:ascii="Courier New" w:hAnsi="Courier New" w:cs="Courier New"/>
                <w:sz w:val="16"/>
                <w:szCs w:val="16"/>
              </w:rPr>
              <w:t xml:space="preserve"> ref="gtg2\</w:t>
            </w:r>
            <w:proofErr w:type="spellStart"/>
            <w:r w:rsidRPr="00DB031A">
              <w:rPr>
                <w:rFonts w:ascii="Courier New" w:hAnsi="Courier New" w:cs="Courier New"/>
                <w:sz w:val="16"/>
                <w:szCs w:val="16"/>
              </w:rPr>
              <w:t>sy</w:t>
            </w:r>
            <w:proofErr w:type="spellEnd"/>
            <w:r w:rsidRPr="00DB031A">
              <w:rPr>
                <w:rFonts w:ascii="Courier New" w:hAnsi="Courier New" w:cs="Courier New"/>
                <w:sz w:val="16"/>
                <w:szCs w:val="16"/>
              </w:rPr>
              <w:t>\2.1.3"&gt;Section 2.1.3&lt;/</w:t>
            </w:r>
            <w:proofErr w:type="spellStart"/>
            <w:r w:rsidRPr="00DB031A">
              <w:rPr>
                <w:rFonts w:ascii="Courier New" w:hAnsi="Courier New" w:cs="Courier New"/>
                <w:sz w:val="16"/>
                <w:szCs w:val="16"/>
              </w:rPr>
              <w:t>cite.bna.reference</w:t>
            </w:r>
            <w:proofErr w:type="spellEnd"/>
            <w:r w:rsidRPr="00DB031A">
              <w:rPr>
                <w:rFonts w:ascii="Courier New" w:hAnsi="Courier New" w:cs="Courier New"/>
                <w:sz w:val="16"/>
                <w:szCs w:val="16"/>
                <w:highlight w:val="red"/>
              </w:rPr>
              <w:t>&gt;above</w:t>
            </w:r>
            <w:r w:rsidRPr="00DB031A">
              <w:rPr>
                <w:rFonts w:ascii="Courier New" w:hAnsi="Courier New" w:cs="Courier New"/>
                <w:sz w:val="16"/>
                <w:szCs w:val="16"/>
              </w:rPr>
              <w:t>&lt;/cite&gt;</w:t>
            </w:r>
          </w:p>
          <w:p w14:paraId="2D89C111" w14:textId="79BD67B6" w:rsidR="005D00E7" w:rsidRDefault="005D00E7" w:rsidP="00B252BC">
            <w:pPr>
              <w:pStyle w:val="p"/>
            </w:pPr>
          </w:p>
        </w:tc>
      </w:tr>
    </w:tbl>
    <w:p w14:paraId="5B764C18" w14:textId="77777777" w:rsidR="00DB031A" w:rsidRDefault="00DB031A">
      <w:pPr>
        <w:pStyle w:val="p"/>
        <w:rPr>
          <w:sz w:val="24"/>
          <w:szCs w:val="24"/>
        </w:rPr>
      </w:pPr>
    </w:p>
    <w:p w14:paraId="37BFE8F1" w14:textId="38B0388D" w:rsidR="00D84736" w:rsidRDefault="00D84736">
      <w:pPr>
        <w:pStyle w:val="p"/>
      </w:pPr>
      <w:r>
        <w:rPr>
          <w:sz w:val="24"/>
          <w:szCs w:val="24"/>
        </w:rPr>
        <w:br/>
      </w:r>
      <w:r>
        <w:rPr>
          <w:b/>
          <w:bCs/>
        </w:rPr>
        <w:t xml:space="preserve">2.2.3. Non-Corporate Business Entities </w:t>
      </w:r>
      <w:r>
        <w:rPr>
          <w:b/>
          <w:bCs/>
        </w:rPr>
        <w:br/>
      </w:r>
      <w:r>
        <w:rPr>
          <w:b/>
          <w:bCs/>
        </w:rPr>
        <w:br/>
        <w:t xml:space="preserve">2.2.3.1. Recognition </w:t>
      </w:r>
      <w:r>
        <w:rPr>
          <w:b/>
          <w:bCs/>
        </w:rPr>
        <w:br/>
      </w:r>
      <w:r>
        <w:t>In Syria, non-corporate business entities exist, such as general partnerships, limited partnerships and sole proprietorships.</w:t>
      </w:r>
    </w:p>
    <w:p w14:paraId="585848AE" w14:textId="77777777" w:rsidR="00D84736" w:rsidRDefault="00D84736">
      <w:pPr>
        <w:pStyle w:val="p"/>
      </w:pPr>
      <w:r>
        <w:t>Nonresidents can establish a non-corporate business entity in Syria. However, this entity must be registered at the Commercial Register and the manager must be a resident of Syria (citizen or legal resident).</w:t>
      </w:r>
    </w:p>
    <w:p w14:paraId="4DE920F7" w14:textId="77777777" w:rsidR="00D84736" w:rsidRDefault="00D84736">
      <w:pPr>
        <w:pStyle w:val="p"/>
      </w:pPr>
      <w:r>
        <w:rPr>
          <w:sz w:val="24"/>
          <w:szCs w:val="24"/>
        </w:rPr>
        <w:br/>
      </w:r>
      <w:r>
        <w:rPr>
          <w:b/>
          <w:bCs/>
        </w:rPr>
        <w:t xml:space="preserve">2.2.3.2. Tax Status </w:t>
      </w:r>
      <w:r>
        <w:rPr>
          <w:b/>
          <w:bCs/>
        </w:rPr>
        <w:br/>
      </w:r>
      <w:r>
        <w:t>Partnerships and sole proprietorships are subject to the same tax legislation as corporate entities.</w:t>
      </w:r>
      <w:r w:rsidRPr="00CE3533">
        <w:rPr>
          <w:rStyle w:val="FootnoteReference"/>
        </w:rPr>
        <w:footnoteReference w:customMarkFollows="1" w:id="7"/>
        <w:t>6</w:t>
      </w:r>
    </w:p>
    <w:p w14:paraId="03A270D6" w14:textId="77777777" w:rsidR="00D84736" w:rsidRDefault="00D84736">
      <w:pPr>
        <w:pStyle w:val="p"/>
      </w:pPr>
      <w:r>
        <w:rPr>
          <w:sz w:val="24"/>
          <w:szCs w:val="24"/>
        </w:rPr>
        <w:br/>
      </w:r>
      <w:r>
        <w:rPr>
          <w:b/>
          <w:bCs/>
        </w:rPr>
        <w:t xml:space="preserve">2.2.4. Permanent Establishments </w:t>
      </w:r>
      <w:r>
        <w:rPr>
          <w:b/>
          <w:bCs/>
        </w:rPr>
        <w:br/>
      </w:r>
      <w:r>
        <w:rPr>
          <w:b/>
          <w:bCs/>
        </w:rPr>
        <w:br/>
        <w:t xml:space="preserve">2.2.4.1. Domestic Law Definition </w:t>
      </w:r>
      <w:r>
        <w:rPr>
          <w:b/>
          <w:bCs/>
        </w:rPr>
        <w:br/>
      </w:r>
      <w:r>
        <w:t>Syrian tax law does not specifically define a permanent establishment. However, it is usually regarded as a fixed place of business, an office space or a place of management of the business.</w:t>
      </w:r>
    </w:p>
    <w:p w14:paraId="09CF71B3" w14:textId="77777777" w:rsidR="00D84736" w:rsidRDefault="00D84736">
      <w:pPr>
        <w:pStyle w:val="p"/>
      </w:pPr>
      <w:r>
        <w:t>Resident companies must have a head office/headquarters in Syria. Nonresident companies are only taxed on profits arising from activities conducted in Syria and may be present in Syria through a branch, office or agent.</w:t>
      </w:r>
    </w:p>
    <w:p w14:paraId="011C7CFC" w14:textId="5A87EBD2" w:rsidR="00D84736" w:rsidRDefault="00D84736" w:rsidP="00C37620">
      <w:pPr>
        <w:pStyle w:val="p"/>
      </w:pPr>
      <w:r>
        <w:rPr>
          <w:sz w:val="24"/>
          <w:szCs w:val="24"/>
        </w:rPr>
        <w:br/>
      </w:r>
      <w:r>
        <w:rPr>
          <w:b/>
          <w:bCs/>
        </w:rPr>
        <w:t xml:space="preserve">2.2.4.2. Treaty Definition </w:t>
      </w:r>
      <w:r>
        <w:rPr>
          <w:b/>
          <w:bCs/>
        </w:rPr>
        <w:br/>
      </w:r>
      <w:r>
        <w:t xml:space="preserve">Most </w:t>
      </w:r>
      <w:r w:rsidR="00C37620">
        <w:t xml:space="preserve">Syrian </w:t>
      </w:r>
      <w:r>
        <w:t>treaties define a "permanent establishment" as a fixed place of business in which a business is wholly or partly carried out, including a place of management, branch, office, factory, workshop, mine and quarry, or other place of extraction of natural resources, as well as a construction site.</w:t>
      </w:r>
    </w:p>
    <w:p w14:paraId="3CF38C50" w14:textId="77777777" w:rsidR="00D84736" w:rsidRDefault="00D84736" w:rsidP="00BE661B">
      <w:pPr>
        <w:pStyle w:val="p"/>
      </w:pPr>
      <w:r>
        <w:rPr>
          <w:sz w:val="24"/>
          <w:szCs w:val="24"/>
        </w:rPr>
        <w:br/>
      </w:r>
      <w:r>
        <w:rPr>
          <w:b/>
          <w:bCs/>
        </w:rPr>
        <w:t xml:space="preserve">2.2.4.3. Creation via Performance of Services </w:t>
      </w:r>
      <w:r>
        <w:rPr>
          <w:b/>
          <w:bCs/>
        </w:rPr>
        <w:br/>
      </w:r>
      <w:r>
        <w:t>Nonresidents or foreign companies operating consulting services through a branch or offices in Syria are considered resident entities for tax purposes on income arising from Syrian sources or activities.</w:t>
      </w:r>
    </w:p>
    <w:tbl>
      <w:tblPr>
        <w:tblStyle w:val="TableGrid"/>
        <w:tblW w:w="0" w:type="auto"/>
        <w:tblLook w:val="04A0" w:firstRow="1" w:lastRow="0" w:firstColumn="1" w:lastColumn="0" w:noHBand="0" w:noVBand="1"/>
      </w:tblPr>
      <w:tblGrid>
        <w:gridCol w:w="9350"/>
      </w:tblGrid>
      <w:tr w:rsidR="00BE661B" w14:paraId="08DB9519" w14:textId="77777777" w:rsidTr="00BE661B">
        <w:tc>
          <w:tcPr>
            <w:tcW w:w="9350" w:type="dxa"/>
          </w:tcPr>
          <w:p w14:paraId="11E4A316" w14:textId="77777777" w:rsidR="00BE661B" w:rsidRPr="00BE661B" w:rsidRDefault="00BE661B" w:rsidP="00BE661B">
            <w:pPr>
              <w:pStyle w:val="p"/>
              <w:spacing w:before="0"/>
              <w:ind w:firstLine="144"/>
              <w:rPr>
                <w:rFonts w:ascii="Courier New" w:hAnsi="Courier New" w:cs="Courier New"/>
              </w:rPr>
            </w:pPr>
            <w:r w:rsidRPr="00BE661B">
              <w:rPr>
                <w:rFonts w:ascii="Courier New" w:hAnsi="Courier New" w:cs="Courier New"/>
                <w:highlight w:val="cyan"/>
              </w:rPr>
              <w:lastRenderedPageBreak/>
              <w:t>From Innodata XML, text from 2.2.4.2. has been repeated in section 2.2.4.3. and the text in 2.2.4.3. has been omitted entirely.</w:t>
            </w:r>
            <w:r w:rsidRPr="00BE661B">
              <w:rPr>
                <w:rFonts w:ascii="Courier New" w:hAnsi="Courier New" w:cs="Courier New"/>
              </w:rPr>
              <w:t xml:space="preserve"> </w:t>
            </w:r>
          </w:p>
          <w:p w14:paraId="0B513FC3" w14:textId="77777777"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&lt;bna.id bna.id="2"&gt;2.2.4.</w:t>
            </w:r>
            <w:proofErr w:type="gramStart"/>
            <w:r w:rsidRPr="00BE661B">
              <w:rPr>
                <w:rFonts w:ascii="Courier New" w:hAnsi="Courier New" w:cs="Courier New"/>
                <w:sz w:val="16"/>
                <w:szCs w:val="16"/>
              </w:rPr>
              <w:t>2.&lt;</w:t>
            </w:r>
            <w:proofErr w:type="gramEnd"/>
            <w:r w:rsidRPr="00BE661B">
              <w:rPr>
                <w:rFonts w:ascii="Courier New" w:hAnsi="Courier New" w:cs="Courier New"/>
                <w:sz w:val="16"/>
                <w:szCs w:val="16"/>
              </w:rPr>
              <w:t>/bna.id&gt;</w:t>
            </w:r>
          </w:p>
          <w:p w14:paraId="4707DB3B" w14:textId="77777777"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 xml:space="preserve">        &lt;name&gt;Treaty Definition&lt;/name&gt;</w:t>
            </w:r>
          </w:p>
          <w:p w14:paraId="1372338A" w14:textId="77777777"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 xml:space="preserve">        &lt;para </w:t>
            </w:r>
            <w:proofErr w:type="spellStart"/>
            <w:proofErr w:type="gramStart"/>
            <w:r w:rsidRPr="00BE661B">
              <w:rPr>
                <w:rFonts w:ascii="Courier New" w:hAnsi="Courier New" w:cs="Courier New"/>
                <w:sz w:val="16"/>
                <w:szCs w:val="16"/>
              </w:rPr>
              <w:t>include.in.chart</w:t>
            </w:r>
            <w:proofErr w:type="spellEnd"/>
            <w:proofErr w:type="gramEnd"/>
            <w:r w:rsidRPr="00BE661B">
              <w:rPr>
                <w:rFonts w:ascii="Courier New" w:hAnsi="Courier New" w:cs="Courier New"/>
                <w:sz w:val="16"/>
                <w:szCs w:val="16"/>
              </w:rPr>
              <w:t>="1"&gt;Most Syrian treaties define a "permanent establishment" as a fixed place of business in which a business is wholly or partly carried out, including a place of management, branch, office, factory, workshop, mine and quarry, or other place of extraction of natural resources, as well as a construction site.&lt;/para&gt;</w:t>
            </w:r>
          </w:p>
          <w:p w14:paraId="1F2FE517" w14:textId="77777777"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 xml:space="preserve">       &lt;/</w:t>
            </w:r>
            <w:proofErr w:type="spellStart"/>
            <w:proofErr w:type="gramStart"/>
            <w:r w:rsidRPr="00BE661B">
              <w:rPr>
                <w:rFonts w:ascii="Courier New" w:hAnsi="Courier New" w:cs="Courier New"/>
                <w:sz w:val="16"/>
                <w:szCs w:val="16"/>
              </w:rPr>
              <w:t>content.group</w:t>
            </w:r>
            <w:proofErr w:type="spellEnd"/>
            <w:proofErr w:type="gramEnd"/>
            <w:r w:rsidRPr="00BE661B">
              <w:rPr>
                <w:rFonts w:ascii="Courier New" w:hAnsi="Courier New" w:cs="Courier New"/>
                <w:sz w:val="16"/>
                <w:szCs w:val="16"/>
              </w:rPr>
              <w:t>&gt;</w:t>
            </w:r>
          </w:p>
          <w:p w14:paraId="0B74606D" w14:textId="77777777"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 xml:space="preserve">       &lt;</w:t>
            </w:r>
            <w:proofErr w:type="spellStart"/>
            <w:proofErr w:type="gramStart"/>
            <w:r w:rsidRPr="00BE661B">
              <w:rPr>
                <w:rFonts w:ascii="Courier New" w:hAnsi="Courier New" w:cs="Courier New"/>
                <w:sz w:val="16"/>
                <w:szCs w:val="16"/>
              </w:rPr>
              <w:t>content.group</w:t>
            </w:r>
            <w:proofErr w:type="spellEnd"/>
            <w:proofErr w:type="gramEnd"/>
            <w:r w:rsidRPr="00BE661B">
              <w:rPr>
                <w:rFonts w:ascii="Courier New" w:hAnsi="Courier New" w:cs="Courier New"/>
                <w:sz w:val="16"/>
                <w:szCs w:val="16"/>
              </w:rPr>
              <w:t>&gt;</w:t>
            </w:r>
          </w:p>
          <w:p w14:paraId="0AA3EA80" w14:textId="77777777"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 xml:space="preserve">        &lt;bna.id bna.id="3"&gt;2.2.4.</w:t>
            </w:r>
            <w:proofErr w:type="gramStart"/>
            <w:r w:rsidRPr="00BE661B">
              <w:rPr>
                <w:rFonts w:ascii="Courier New" w:hAnsi="Courier New" w:cs="Courier New"/>
                <w:sz w:val="16"/>
                <w:szCs w:val="16"/>
              </w:rPr>
              <w:t>3.&lt;</w:t>
            </w:r>
            <w:proofErr w:type="gramEnd"/>
            <w:r w:rsidRPr="00BE661B">
              <w:rPr>
                <w:rFonts w:ascii="Courier New" w:hAnsi="Courier New" w:cs="Courier New"/>
                <w:sz w:val="16"/>
                <w:szCs w:val="16"/>
              </w:rPr>
              <w:t>/bna.id&gt;</w:t>
            </w:r>
          </w:p>
          <w:p w14:paraId="4D67ED1E" w14:textId="77777777"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 xml:space="preserve">        &lt;name&gt;Creation via Performance of Services&lt;/name&gt;</w:t>
            </w:r>
          </w:p>
          <w:p w14:paraId="27006FB7" w14:textId="77777777"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 xml:space="preserve">        &lt;para </w:t>
            </w:r>
            <w:proofErr w:type="spellStart"/>
            <w:proofErr w:type="gramStart"/>
            <w:r w:rsidRPr="00BE661B">
              <w:rPr>
                <w:rFonts w:ascii="Courier New" w:hAnsi="Courier New" w:cs="Courier New"/>
                <w:sz w:val="16"/>
                <w:szCs w:val="16"/>
              </w:rPr>
              <w:t>include.in.chart</w:t>
            </w:r>
            <w:proofErr w:type="spellEnd"/>
            <w:proofErr w:type="gramEnd"/>
            <w:r w:rsidRPr="00BE661B">
              <w:rPr>
                <w:rFonts w:ascii="Courier New" w:hAnsi="Courier New" w:cs="Courier New"/>
                <w:sz w:val="16"/>
                <w:szCs w:val="16"/>
              </w:rPr>
              <w:t>="1"&gt;</w:t>
            </w:r>
            <w:r w:rsidRPr="00BE661B">
              <w:rPr>
                <w:rFonts w:ascii="Courier New" w:hAnsi="Courier New" w:cs="Courier New"/>
                <w:sz w:val="16"/>
                <w:szCs w:val="16"/>
                <w:highlight w:val="red"/>
              </w:rPr>
              <w:t>Most Syrian treaties define a "permanent establishment" as a fixed place of business in which a business is wholly or partly carried out, including a place of management, branch, office, factory, workshop, mine and quarry, or other place of extraction of natural resources, as well as a construction site.</w:t>
            </w:r>
            <w:r w:rsidRPr="00BE661B">
              <w:rPr>
                <w:rFonts w:ascii="Courier New" w:hAnsi="Courier New" w:cs="Courier New"/>
                <w:sz w:val="16"/>
                <w:szCs w:val="16"/>
              </w:rPr>
              <w:t>&lt;/para&gt;</w:t>
            </w:r>
          </w:p>
          <w:p w14:paraId="0A0F5279" w14:textId="4C102F30" w:rsidR="00BE661B" w:rsidRPr="00BE661B" w:rsidRDefault="00BE661B" w:rsidP="00BE661B">
            <w:pPr>
              <w:pStyle w:val="p"/>
              <w:spacing w:before="0"/>
              <w:ind w:left="432" w:firstLine="144"/>
              <w:rPr>
                <w:rFonts w:ascii="Courier New" w:hAnsi="Courier New" w:cs="Courier New"/>
                <w:sz w:val="16"/>
                <w:szCs w:val="16"/>
              </w:rPr>
            </w:pPr>
            <w:r w:rsidRPr="00BE661B">
              <w:rPr>
                <w:rFonts w:ascii="Courier New" w:hAnsi="Courier New" w:cs="Courier New"/>
                <w:sz w:val="16"/>
                <w:szCs w:val="16"/>
              </w:rPr>
              <w:t xml:space="preserve">       &lt;/</w:t>
            </w:r>
            <w:proofErr w:type="spellStart"/>
            <w:proofErr w:type="gramStart"/>
            <w:r w:rsidRPr="00BE661B">
              <w:rPr>
                <w:rFonts w:ascii="Courier New" w:hAnsi="Courier New" w:cs="Courier New"/>
                <w:sz w:val="16"/>
                <w:szCs w:val="16"/>
              </w:rPr>
              <w:t>content.group</w:t>
            </w:r>
            <w:proofErr w:type="spellEnd"/>
            <w:proofErr w:type="gramEnd"/>
            <w:r w:rsidRPr="00BE661B">
              <w:rPr>
                <w:rFonts w:ascii="Courier New" w:hAnsi="Courier New" w:cs="Courier New"/>
                <w:sz w:val="16"/>
                <w:szCs w:val="16"/>
              </w:rPr>
              <w:t>&gt;</w:t>
            </w:r>
          </w:p>
        </w:tc>
      </w:tr>
    </w:tbl>
    <w:p w14:paraId="0BF449CA" w14:textId="77777777" w:rsidR="00BE661B" w:rsidRDefault="00BE661B">
      <w:pPr>
        <w:pStyle w:val="p"/>
        <w:rPr>
          <w:sz w:val="24"/>
          <w:szCs w:val="24"/>
        </w:rPr>
      </w:pPr>
    </w:p>
    <w:p w14:paraId="665ABED0" w14:textId="330C9879" w:rsidR="00D84736" w:rsidRDefault="00D84736">
      <w:pPr>
        <w:pStyle w:val="p"/>
      </w:pPr>
      <w:r>
        <w:rPr>
          <w:sz w:val="24"/>
          <w:szCs w:val="24"/>
        </w:rPr>
        <w:br/>
      </w:r>
      <w:r>
        <w:rPr>
          <w:b/>
          <w:bCs/>
        </w:rPr>
        <w:t xml:space="preserve">2.2.4.4. Creation via Customer Downloads or Website Access </w:t>
      </w:r>
      <w:r>
        <w:rPr>
          <w:b/>
          <w:bCs/>
        </w:rPr>
        <w:br/>
      </w:r>
      <w:r>
        <w:t>Services provided through an online download platform (e-commerce) for the benefit of Syrian customers are not sufficient to trigger a "permanent establishment" within Syria.</w:t>
      </w:r>
    </w:p>
    <w:p w14:paraId="4257307E" w14:textId="77777777" w:rsidR="00D84736" w:rsidRDefault="00D84736">
      <w:pPr>
        <w:pStyle w:val="p"/>
      </w:pPr>
      <w:r>
        <w:rPr>
          <w:sz w:val="24"/>
          <w:szCs w:val="24"/>
        </w:rPr>
        <w:br/>
      </w:r>
      <w:r>
        <w:rPr>
          <w:b/>
          <w:bCs/>
        </w:rPr>
        <w:t xml:space="preserve">2.2.4.5. Creation via Cloud Services </w:t>
      </w:r>
      <w:r>
        <w:rPr>
          <w:b/>
          <w:bCs/>
        </w:rPr>
        <w:br/>
      </w:r>
      <w:r>
        <w:t>The Syrian tax regulations and the signed tax treaties do not consider internet cloud services provided by nonresident companies as triggering the creation of a "permanent establishment".</w:t>
      </w:r>
    </w:p>
    <w:p w14:paraId="191165EC" w14:textId="77777777" w:rsidR="00D84736" w:rsidRDefault="00D84736" w:rsidP="00450E55">
      <w:pPr>
        <w:pStyle w:val="p"/>
        <w:tabs>
          <w:tab w:val="left" w:pos="7470"/>
        </w:tabs>
      </w:pPr>
      <w:r>
        <w:rPr>
          <w:sz w:val="24"/>
          <w:szCs w:val="24"/>
        </w:rPr>
        <w:br/>
      </w:r>
      <w:r>
        <w:rPr>
          <w:b/>
          <w:bCs/>
        </w:rPr>
        <w:t xml:space="preserve">2.3. Taxable Year </w:t>
      </w:r>
      <w:r>
        <w:rPr>
          <w:b/>
          <w:bCs/>
        </w:rPr>
        <w:br/>
      </w:r>
      <w:r>
        <w:rPr>
          <w:b/>
          <w:bCs/>
        </w:rPr>
        <w:br/>
        <w:t xml:space="preserve">2.3.1. Default Taxable Year </w:t>
      </w:r>
      <w:r>
        <w:rPr>
          <w:b/>
          <w:bCs/>
        </w:rPr>
        <w:br/>
      </w:r>
      <w:r>
        <w:t>In Syria, "Fiscal Year" or "Business Year" is the calendar year beginning January 1 and ending on December 31.</w:t>
      </w:r>
    </w:p>
    <w:p w14:paraId="4B7FCBA7" w14:textId="77777777" w:rsidR="00D84736" w:rsidRDefault="00D84736">
      <w:pPr>
        <w:pStyle w:val="p"/>
      </w:pPr>
      <w:r>
        <w:t>However, the Ministry of Finance may issue a decision to use a different tax year for a specific corporation, if necessitated by the nature of the business of the company.</w:t>
      </w:r>
      <w:r w:rsidRPr="00CE3533">
        <w:rPr>
          <w:rStyle w:val="FootnoteReference"/>
        </w:rPr>
        <w:footnoteReference w:customMarkFollows="1" w:id="8"/>
        <w:t>7</w:t>
      </w:r>
    </w:p>
    <w:p w14:paraId="00B49300" w14:textId="498E6CDA" w:rsidR="00D84736" w:rsidRDefault="00D84736">
      <w:pPr>
        <w:pStyle w:val="p"/>
      </w:pPr>
      <w:r>
        <w:rPr>
          <w:sz w:val="24"/>
          <w:szCs w:val="24"/>
        </w:rPr>
        <w:br/>
      </w:r>
      <w:r>
        <w:rPr>
          <w:b/>
          <w:bCs/>
        </w:rPr>
        <w:t xml:space="preserve">2.3.2. Reference Year for Computation of Tax </w:t>
      </w:r>
      <w:r>
        <w:rPr>
          <w:b/>
          <w:bCs/>
        </w:rPr>
        <w:br/>
      </w:r>
      <w:r>
        <w:t xml:space="preserve">In a given tax year, taxpayers are subject to tax on income earned in that year. Thus, returns filed in </w:t>
      </w:r>
      <w:r w:rsidR="00467925">
        <w:t>2025</w:t>
      </w:r>
      <w:r>
        <w:t xml:space="preserve">, with regard to the taxpayer's liability for the </w:t>
      </w:r>
      <w:r w:rsidR="00467925">
        <w:t>2024</w:t>
      </w:r>
      <w:r>
        <w:t xml:space="preserve"> tax year, will generally report income from </w:t>
      </w:r>
      <w:r w:rsidR="00467925">
        <w:t>2024</w:t>
      </w:r>
      <w:r>
        <w:t xml:space="preserve"> and calculate tax on the basis of the tax laws applicable in </w:t>
      </w:r>
      <w:r w:rsidR="00467925">
        <w:t>2024</w:t>
      </w:r>
      <w:r>
        <w:t>.</w:t>
      </w:r>
    </w:p>
    <w:p w14:paraId="2A78057F" w14:textId="77777777" w:rsidR="00D84736" w:rsidRDefault="00D84736">
      <w:pPr>
        <w:pStyle w:val="p"/>
      </w:pPr>
      <w:r>
        <w:rPr>
          <w:sz w:val="24"/>
          <w:szCs w:val="24"/>
        </w:rPr>
        <w:br/>
      </w:r>
      <w:r>
        <w:rPr>
          <w:b/>
          <w:bCs/>
        </w:rPr>
        <w:t xml:space="preserve">2.4. Computing Taxable Income </w:t>
      </w:r>
      <w:r>
        <w:rPr>
          <w:b/>
          <w:bCs/>
        </w:rPr>
        <w:br/>
      </w:r>
      <w:r>
        <w:rPr>
          <w:b/>
          <w:bCs/>
        </w:rPr>
        <w:br/>
        <w:t xml:space="preserve">2.4.1. General </w:t>
      </w:r>
      <w:r>
        <w:rPr>
          <w:b/>
          <w:bCs/>
        </w:rPr>
        <w:br/>
      </w:r>
      <w:r>
        <w:t>In Syria, corporate taxable income is generally measured by total gross revenue reduced by expenses necessary for the normal operation of the business.</w:t>
      </w:r>
      <w:r w:rsidRPr="00CE3533">
        <w:rPr>
          <w:rStyle w:val="FootnoteReference"/>
        </w:rPr>
        <w:footnoteReference w:customMarkFollows="1" w:id="9"/>
        <w:t>8</w:t>
      </w:r>
    </w:p>
    <w:p w14:paraId="5977B034" w14:textId="77777777" w:rsidR="00D84736" w:rsidRDefault="00D84736">
      <w:pPr>
        <w:pStyle w:val="p"/>
      </w:pPr>
      <w:r>
        <w:rPr>
          <w:sz w:val="24"/>
          <w:szCs w:val="24"/>
        </w:rPr>
        <w:br/>
      </w:r>
      <w:r>
        <w:rPr>
          <w:b/>
          <w:bCs/>
        </w:rPr>
        <w:t xml:space="preserve">2.4.2. Exempt Income </w:t>
      </w:r>
      <w:r>
        <w:rPr>
          <w:b/>
          <w:bCs/>
        </w:rPr>
        <w:br/>
      </w:r>
      <w:r>
        <w:t>Certain taxpayers (e.g., some cooperative societies) are exempt from the income tax on real profits.</w:t>
      </w:r>
      <w:r w:rsidRPr="00CE3533">
        <w:rPr>
          <w:rStyle w:val="FootnoteReference"/>
        </w:rPr>
        <w:footnoteReference w:customMarkFollows="1" w:id="10"/>
        <w:t>9</w:t>
      </w:r>
    </w:p>
    <w:p w14:paraId="5FAFA2C7" w14:textId="77777777" w:rsidR="00D84736" w:rsidRDefault="00D84736">
      <w:pPr>
        <w:pStyle w:val="p"/>
      </w:pPr>
      <w:r>
        <w:rPr>
          <w:sz w:val="24"/>
          <w:szCs w:val="24"/>
        </w:rPr>
        <w:lastRenderedPageBreak/>
        <w:br/>
      </w:r>
      <w:r>
        <w:rPr>
          <w:b/>
          <w:bCs/>
        </w:rPr>
        <w:t xml:space="preserve">2.4.3. Inventory Valuation and Inventory Flow </w:t>
      </w:r>
      <w:r>
        <w:rPr>
          <w:b/>
          <w:bCs/>
        </w:rPr>
        <w:br/>
      </w:r>
      <w:r>
        <w:t xml:space="preserve">In Syria, inventory must be valued based on: </w:t>
      </w:r>
    </w:p>
    <w:p w14:paraId="70049364" w14:textId="1B33242F" w:rsidR="00D84736" w:rsidRDefault="00D56218">
      <w:pPr>
        <w:pStyle w:val="p"/>
      </w:pPr>
      <w:r>
        <w:rPr>
          <w:noProof/>
        </w:rPr>
        <w:drawing>
          <wp:inline distT="0" distB="0" distL="0" distR="0" wp14:anchorId="31E5D2B4" wp14:editId="50BA6EA2">
            <wp:extent cx="130810" cy="13081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w:t>
      </w:r>
      <w:proofErr w:type="gramStart"/>
      <w:r w:rsidR="00D84736">
        <w:t>cost;</w:t>
      </w:r>
      <w:proofErr w:type="gramEnd"/>
    </w:p>
    <w:p w14:paraId="7A976121" w14:textId="15AC9921" w:rsidR="00D84736" w:rsidRDefault="00D56218">
      <w:pPr>
        <w:pStyle w:val="p"/>
      </w:pPr>
      <w:r>
        <w:rPr>
          <w:noProof/>
        </w:rPr>
        <w:drawing>
          <wp:inline distT="0" distB="0" distL="0" distR="0" wp14:anchorId="58D1112A" wp14:editId="6862142B">
            <wp:extent cx="130810" cy="13081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market value; or</w:t>
      </w:r>
    </w:p>
    <w:p w14:paraId="1C762E4B" w14:textId="0424CCC4" w:rsidR="00D84736" w:rsidRDefault="00D56218">
      <w:pPr>
        <w:pStyle w:val="p"/>
      </w:pPr>
      <w:r>
        <w:rPr>
          <w:noProof/>
        </w:rPr>
        <w:drawing>
          <wp:inline distT="0" distB="0" distL="0" distR="0" wp14:anchorId="678C66ED" wp14:editId="584FB021">
            <wp:extent cx="130810" cy="13081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both the cost of inventory and the market value, whichever has a lesser value.</w:t>
      </w:r>
    </w:p>
    <w:p w14:paraId="7CDABE19" w14:textId="77777777" w:rsidR="00D84736" w:rsidRDefault="00D84736">
      <w:pPr>
        <w:rPr>
          <w:sz w:val="24"/>
          <w:szCs w:val="24"/>
        </w:rPr>
      </w:pPr>
    </w:p>
    <w:p w14:paraId="6EBBB087" w14:textId="77777777" w:rsidR="00D84736" w:rsidRDefault="00D84736">
      <w:pPr>
        <w:pStyle w:val="p"/>
      </w:pPr>
      <w:r>
        <w:t>A company may, at its sole discretion, use one of these methods for inventory valuation.</w:t>
      </w:r>
    </w:p>
    <w:p w14:paraId="3170172A" w14:textId="77777777" w:rsidR="00D84736" w:rsidRDefault="00D84736">
      <w:pPr>
        <w:pStyle w:val="p"/>
      </w:pPr>
      <w:r>
        <w:rPr>
          <w:sz w:val="24"/>
          <w:szCs w:val="24"/>
        </w:rPr>
        <w:br/>
      </w:r>
      <w:r>
        <w:rPr>
          <w:b/>
          <w:bCs/>
        </w:rPr>
        <w:t xml:space="preserve">2.4.4. Depreciation or Capital Allowances </w:t>
      </w:r>
      <w:r>
        <w:rPr>
          <w:b/>
          <w:bCs/>
        </w:rPr>
        <w:br/>
      </w:r>
      <w:r>
        <w:t xml:space="preserve">The following tangible assets may be depreciated using the straight-line method: </w:t>
      </w:r>
    </w:p>
    <w:p w14:paraId="3435844B" w14:textId="058B9DBC" w:rsidR="00D84736" w:rsidRDefault="00D56218">
      <w:pPr>
        <w:pStyle w:val="p"/>
      </w:pPr>
      <w:r>
        <w:rPr>
          <w:noProof/>
        </w:rPr>
        <w:drawing>
          <wp:inline distT="0" distB="0" distL="0" distR="0" wp14:anchorId="105576CE" wp14:editId="44E44DDB">
            <wp:extent cx="130810" cy="13081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machinery and </w:t>
      </w:r>
      <w:proofErr w:type="gramStart"/>
      <w:r w:rsidR="00D84736">
        <w:t>equipment;</w:t>
      </w:r>
      <w:proofErr w:type="gramEnd"/>
    </w:p>
    <w:p w14:paraId="04210984" w14:textId="64F41DE0" w:rsidR="00D84736" w:rsidRDefault="00D56218">
      <w:pPr>
        <w:pStyle w:val="p"/>
      </w:pPr>
      <w:r>
        <w:rPr>
          <w:noProof/>
        </w:rPr>
        <w:drawing>
          <wp:inline distT="0" distB="0" distL="0" distR="0" wp14:anchorId="39BB751C" wp14:editId="1A951931">
            <wp:extent cx="130810" cy="13081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w:t>
      </w:r>
      <w:proofErr w:type="gramStart"/>
      <w:r w:rsidR="00D84736">
        <w:t>furniture;</w:t>
      </w:r>
      <w:proofErr w:type="gramEnd"/>
    </w:p>
    <w:p w14:paraId="0276BF62" w14:textId="1BBCCCB1" w:rsidR="00D84736" w:rsidRDefault="00D56218">
      <w:pPr>
        <w:pStyle w:val="p"/>
      </w:pPr>
      <w:r>
        <w:rPr>
          <w:noProof/>
        </w:rPr>
        <w:drawing>
          <wp:inline distT="0" distB="0" distL="0" distR="0" wp14:anchorId="67887675" wp14:editId="5FB772D2">
            <wp:extent cx="130810" cy="13081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industrial and commercial </w:t>
      </w:r>
      <w:proofErr w:type="gramStart"/>
      <w:r w:rsidR="00D84736">
        <w:t>plants;</w:t>
      </w:r>
      <w:proofErr w:type="gramEnd"/>
    </w:p>
    <w:p w14:paraId="2098CF72" w14:textId="1F925A51" w:rsidR="00D84736" w:rsidRDefault="00D56218">
      <w:pPr>
        <w:pStyle w:val="p"/>
      </w:pPr>
      <w:r>
        <w:rPr>
          <w:noProof/>
        </w:rPr>
        <w:drawing>
          <wp:inline distT="0" distB="0" distL="0" distR="0" wp14:anchorId="793544B0" wp14:editId="62C7A1AD">
            <wp:extent cx="130810" cy="13081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cost of establishing the business.</w:t>
      </w:r>
      <w:r w:rsidR="00D84736">
        <w:rPr>
          <w:vertAlign w:val="superscript"/>
        </w:rPr>
        <w:t>1</w:t>
      </w:r>
      <w:r w:rsidR="00D84736" w:rsidRPr="00CE3533">
        <w:rPr>
          <w:rStyle w:val="FootnoteReference"/>
        </w:rPr>
        <w:footnoteReference w:customMarkFollows="1" w:id="11"/>
        <w:t>0</w:t>
      </w:r>
    </w:p>
    <w:p w14:paraId="215B0EC7" w14:textId="77777777" w:rsidR="00D84736" w:rsidRDefault="00D84736">
      <w:pPr>
        <w:rPr>
          <w:sz w:val="24"/>
          <w:szCs w:val="24"/>
        </w:rPr>
      </w:pPr>
    </w:p>
    <w:p w14:paraId="3D52A1EA" w14:textId="77777777" w:rsidR="00D84736" w:rsidRDefault="00D84736">
      <w:pPr>
        <w:pStyle w:val="p"/>
      </w:pPr>
      <w:r>
        <w:t>The depreciation of buildings is not permissible by law. Furthermore, intangibles are normally non-depreciable assets.</w:t>
      </w:r>
    </w:p>
    <w:p w14:paraId="261A5BA3" w14:textId="77777777" w:rsidR="00D84736" w:rsidRDefault="00D84736">
      <w:pPr>
        <w:pStyle w:val="p"/>
      </w:pPr>
      <w:r>
        <w:t>Syrian law and different internal directives set out the percentage of depreciation for each asset. Depreciation rates and the estimated useful life of assets are set out both in legislation and by the tax authorities.</w:t>
      </w:r>
    </w:p>
    <w:p w14:paraId="5C3A3695" w14:textId="222A064C" w:rsidR="00D84736" w:rsidRDefault="00D84736">
      <w:pPr>
        <w:pStyle w:val="p"/>
      </w:pPr>
      <w:r>
        <w:rPr>
          <w:sz w:val="24"/>
          <w:szCs w:val="24"/>
        </w:rPr>
        <w:br/>
      </w:r>
      <w:r>
        <w:rPr>
          <w:b/>
          <w:bCs/>
        </w:rPr>
        <w:t xml:space="preserve">2.4.5. Reserves </w:t>
      </w:r>
      <w:r>
        <w:rPr>
          <w:b/>
          <w:bCs/>
        </w:rPr>
        <w:br/>
      </w:r>
      <w:r>
        <w:t>In general, mandatory reserves, optional reserves and depreciation reserves which have not been used for the purpose for which they were allocated are not deductible for tax purposes.</w:t>
      </w:r>
      <w:r w:rsidR="00E47F63">
        <w:t xml:space="preserve"> However, qualifying reserves </w:t>
      </w:r>
      <w:r w:rsidR="00145A6D">
        <w:t>set aside by banks and insurance firms are deductible.</w:t>
      </w:r>
      <w:r>
        <w:rPr>
          <w:vertAlign w:val="superscript"/>
        </w:rPr>
        <w:t>1</w:t>
      </w:r>
      <w:r w:rsidRPr="00CE3533">
        <w:rPr>
          <w:rStyle w:val="FootnoteReference"/>
        </w:rPr>
        <w:footnoteReference w:customMarkFollows="1" w:id="12"/>
        <w:t>1</w:t>
      </w:r>
    </w:p>
    <w:p w14:paraId="404CDF13" w14:textId="77F2D244" w:rsidR="00D84736" w:rsidRDefault="00D84736">
      <w:pPr>
        <w:pStyle w:val="p"/>
      </w:pPr>
      <w:r>
        <w:rPr>
          <w:sz w:val="24"/>
          <w:szCs w:val="24"/>
        </w:rPr>
        <w:br/>
      </w:r>
      <w:r>
        <w:rPr>
          <w:b/>
          <w:bCs/>
        </w:rPr>
        <w:t xml:space="preserve">2.4.6. Special Allowances </w:t>
      </w:r>
      <w:r>
        <w:rPr>
          <w:b/>
          <w:bCs/>
        </w:rPr>
        <w:br/>
      </w:r>
      <w:r w:rsidR="00BA194E">
        <w:t>Philanthropic donations</w:t>
      </w:r>
      <w:r w:rsidR="0009435B">
        <w:t xml:space="preserve"> equivalent to up to 4 percent of </w:t>
      </w:r>
      <w:r w:rsidR="009F41C3">
        <w:t>net profits</w:t>
      </w:r>
      <w:r w:rsidR="00BA194E">
        <w:t xml:space="preserve"> are deducti</w:t>
      </w:r>
      <w:r w:rsidR="0009435B">
        <w:t>ble</w:t>
      </w:r>
      <w:r w:rsidR="009F41C3">
        <w:t xml:space="preserve"> for income tax calculation </w:t>
      </w:r>
      <w:r w:rsidR="009F41C3" w:rsidRPr="00FD541C">
        <w:rPr>
          <w:highlight w:val="red"/>
        </w:rPr>
        <w:t>purposes.</w:t>
      </w:r>
      <w:r w:rsidR="009F41C3" w:rsidRPr="00FD541C">
        <w:rPr>
          <w:rStyle w:val="FootnoteReference"/>
          <w:highlight w:val="red"/>
        </w:rPr>
        <w:footnoteReference w:id="13"/>
      </w:r>
      <w:r w:rsidR="0009435B">
        <w:t xml:space="preserve"> </w:t>
      </w:r>
    </w:p>
    <w:p w14:paraId="6016B9C9" w14:textId="77777777" w:rsidR="00D84736" w:rsidRDefault="00D84736">
      <w:pPr>
        <w:pStyle w:val="p"/>
      </w:pPr>
      <w:r>
        <w:rPr>
          <w:sz w:val="24"/>
          <w:szCs w:val="24"/>
        </w:rPr>
        <w:br/>
      </w:r>
      <w:r>
        <w:rPr>
          <w:b/>
          <w:bCs/>
        </w:rPr>
        <w:t xml:space="preserve">2.4.7. Special Provisions or Limits Applicable to Foreign Companies </w:t>
      </w:r>
      <w:r>
        <w:rPr>
          <w:b/>
          <w:bCs/>
        </w:rPr>
        <w:br/>
      </w:r>
      <w:r>
        <w:t>A foreign entity that operates in Syria through a branch or office is considered a resident company for tax purposes and is subject to income tax on activities conducted in Syria.</w:t>
      </w:r>
      <w:r>
        <w:rPr>
          <w:vertAlign w:val="superscript"/>
        </w:rPr>
        <w:t>1</w:t>
      </w:r>
      <w:r w:rsidRPr="00CE3533">
        <w:rPr>
          <w:rStyle w:val="FootnoteReference"/>
        </w:rPr>
        <w:footnoteReference w:customMarkFollows="1" w:id="14"/>
        <w:t>2</w:t>
      </w:r>
    </w:p>
    <w:p w14:paraId="62E244B6" w14:textId="77777777" w:rsidR="00D84736" w:rsidRDefault="00D84736">
      <w:pPr>
        <w:pStyle w:val="p"/>
      </w:pPr>
      <w:r>
        <w:t>These foreign entities must officially register at the proper authorities in Syria in order to operate or conduct business in Syria.</w:t>
      </w:r>
      <w:r>
        <w:rPr>
          <w:vertAlign w:val="superscript"/>
        </w:rPr>
        <w:t>1</w:t>
      </w:r>
      <w:r w:rsidRPr="00CE3533">
        <w:rPr>
          <w:rStyle w:val="FootnoteReference"/>
        </w:rPr>
        <w:footnoteReference w:customMarkFollows="1" w:id="15"/>
        <w:t>3</w:t>
      </w:r>
    </w:p>
    <w:p w14:paraId="1D72DB27" w14:textId="77777777" w:rsidR="00D84736" w:rsidRDefault="00D84736">
      <w:pPr>
        <w:pStyle w:val="p"/>
      </w:pPr>
      <w:r>
        <w:rPr>
          <w:sz w:val="24"/>
          <w:szCs w:val="24"/>
        </w:rPr>
        <w:br/>
      </w:r>
      <w:r>
        <w:rPr>
          <w:b/>
          <w:bCs/>
        </w:rPr>
        <w:t xml:space="preserve">2.5. Intercompany Dividends </w:t>
      </w:r>
      <w:r>
        <w:rPr>
          <w:b/>
          <w:bCs/>
        </w:rPr>
        <w:br/>
      </w:r>
      <w:r>
        <w:t>Syrian law prohibits the double taxation of income and/or profit.</w:t>
      </w:r>
    </w:p>
    <w:p w14:paraId="5A4E2342" w14:textId="77777777" w:rsidR="00D84736" w:rsidRDefault="00D84736">
      <w:pPr>
        <w:pStyle w:val="p"/>
      </w:pPr>
      <w:r>
        <w:t xml:space="preserve">Thus, dividends that are distributed by a Syrian corporation to another corporation, and which have been generated </w:t>
      </w:r>
      <w:r>
        <w:lastRenderedPageBreak/>
        <w:t>from previously taxed income, are not subject to tax in Syria.</w:t>
      </w:r>
    </w:p>
    <w:p w14:paraId="02AB8EBF" w14:textId="77777777" w:rsidR="00D84736" w:rsidRDefault="00D84736">
      <w:pPr>
        <w:pStyle w:val="p"/>
      </w:pPr>
      <w:r>
        <w:t>The same applies to dividends received by nonresident corporations subject to withholding tax.</w:t>
      </w:r>
    </w:p>
    <w:p w14:paraId="0A8FDADB" w14:textId="77777777" w:rsidR="00D84736" w:rsidRDefault="00D84736">
      <w:pPr>
        <w:pStyle w:val="p"/>
      </w:pPr>
      <w:r>
        <w:rPr>
          <w:sz w:val="24"/>
          <w:szCs w:val="24"/>
        </w:rPr>
        <w:br/>
      </w:r>
      <w:r>
        <w:rPr>
          <w:b/>
          <w:bCs/>
        </w:rPr>
        <w:t xml:space="preserve">2.6. Special Tax Regimes </w:t>
      </w:r>
      <w:r>
        <w:rPr>
          <w:b/>
          <w:bCs/>
        </w:rPr>
        <w:br/>
      </w:r>
      <w:r>
        <w:rPr>
          <w:b/>
          <w:bCs/>
        </w:rPr>
        <w:br/>
        <w:t xml:space="preserve">2.6.1. Economic Zones </w:t>
      </w:r>
      <w:r>
        <w:rPr>
          <w:b/>
          <w:bCs/>
        </w:rPr>
        <w:br/>
      </w:r>
      <w:r>
        <w:t>In Syria, profits of a company established within in the Free Zone are exempt from tax provided that the company's products and inventory either remain in the Free Zone or are re-exported to other countries.</w:t>
      </w:r>
      <w:r>
        <w:rPr>
          <w:vertAlign w:val="superscript"/>
        </w:rPr>
        <w:t>1</w:t>
      </w:r>
      <w:r w:rsidRPr="00CE3533">
        <w:rPr>
          <w:rStyle w:val="FootnoteReference"/>
        </w:rPr>
        <w:footnoteReference w:customMarkFollows="1" w:id="16"/>
        <w:t>4</w:t>
      </w:r>
    </w:p>
    <w:p w14:paraId="4BCBB025" w14:textId="2115B85D" w:rsidR="00D84736" w:rsidRDefault="00D84736">
      <w:pPr>
        <w:pStyle w:val="p"/>
      </w:pPr>
      <w:r>
        <w:t>However, employees of such companies are subject to the salaries and wages tax.</w:t>
      </w:r>
      <w:r>
        <w:rPr>
          <w:vertAlign w:val="superscript"/>
        </w:rPr>
        <w:t>1</w:t>
      </w:r>
      <w:r w:rsidRPr="00CE3533">
        <w:rPr>
          <w:rStyle w:val="FootnoteReference"/>
        </w:rPr>
        <w:footnoteReference w:customMarkFollows="1" w:id="17"/>
        <w:t>5</w:t>
      </w:r>
      <w:r>
        <w:t xml:space="preserve"> (see </w:t>
      </w:r>
      <w:r w:rsidR="00AD64B5" w:rsidRPr="00AD64B5">
        <w:rPr>
          <w:highlight w:val="yellow"/>
        </w:rPr>
        <w:t>[</w:t>
      </w:r>
      <w:proofErr w:type="gramStart"/>
      <w:r w:rsidR="00AD64B5" w:rsidRPr="00AD64B5">
        <w:rPr>
          <w:highlight w:val="yellow"/>
        </w:rPr>
        <w:t>6.3.1]</w:t>
      </w:r>
      <w:r w:rsidR="00AD64B5" w:rsidRPr="00F610FF">
        <w:rPr>
          <w:highlight w:val="yellow"/>
        </w:rPr>
        <w:t>Section</w:t>
      </w:r>
      <w:proofErr w:type="gramEnd"/>
      <w:r w:rsidR="00AD64B5" w:rsidRPr="00F610FF">
        <w:rPr>
          <w:highlight w:val="yellow"/>
        </w:rPr>
        <w:t xml:space="preserve"> 6.3.1</w:t>
      </w:r>
      <w:r w:rsidR="00AD64B5" w:rsidRPr="00AD64B5">
        <w:rPr>
          <w:highlight w:val="yellow"/>
        </w:rPr>
        <w:t>[end]</w:t>
      </w:r>
      <w:r>
        <w:t>).</w:t>
      </w:r>
    </w:p>
    <w:p w14:paraId="603148D5" w14:textId="77777777" w:rsidR="00D84736" w:rsidRDefault="00D84736">
      <w:pPr>
        <w:pStyle w:val="p"/>
      </w:pPr>
      <w:r>
        <w:rPr>
          <w:sz w:val="24"/>
          <w:szCs w:val="24"/>
        </w:rPr>
        <w:br/>
      </w:r>
      <w:r>
        <w:rPr>
          <w:b/>
          <w:bCs/>
        </w:rPr>
        <w:t xml:space="preserve">2.6.2. International Finance or Holding Companies </w:t>
      </w:r>
      <w:r>
        <w:rPr>
          <w:b/>
          <w:bCs/>
        </w:rPr>
        <w:br/>
      </w:r>
      <w:r>
        <w:t>International finance or holding companies are treated the same way as other resident companies in Syria.</w:t>
      </w:r>
    </w:p>
    <w:p w14:paraId="5DC3F648" w14:textId="77777777" w:rsidR="00D84736" w:rsidRDefault="00D84736">
      <w:pPr>
        <w:pStyle w:val="p"/>
      </w:pPr>
      <w:r>
        <w:rPr>
          <w:sz w:val="24"/>
          <w:szCs w:val="24"/>
        </w:rPr>
        <w:br/>
      </w:r>
      <w:r>
        <w:rPr>
          <w:b/>
          <w:bCs/>
        </w:rPr>
        <w:t xml:space="preserve">2.6.3. Research and Development Companies and Activities </w:t>
      </w:r>
      <w:r>
        <w:rPr>
          <w:b/>
          <w:bCs/>
        </w:rPr>
        <w:br/>
      </w:r>
      <w:r w:rsidRPr="00BE661B">
        <w:rPr>
          <w:highlight w:val="red"/>
        </w:rPr>
        <w:t>Syrian law does not provide any special incentives for research and development companies and activities.</w:t>
      </w:r>
    </w:p>
    <w:p w14:paraId="642AC086" w14:textId="77777777" w:rsidR="00901B51" w:rsidRDefault="00901B51">
      <w:pPr>
        <w:pStyle w:val="p"/>
      </w:pPr>
    </w:p>
    <w:tbl>
      <w:tblPr>
        <w:tblStyle w:val="TableGrid"/>
        <w:tblW w:w="0" w:type="auto"/>
        <w:tblLook w:val="04A0" w:firstRow="1" w:lastRow="0" w:firstColumn="1" w:lastColumn="0" w:noHBand="0" w:noVBand="1"/>
      </w:tblPr>
      <w:tblGrid>
        <w:gridCol w:w="9350"/>
      </w:tblGrid>
      <w:tr w:rsidR="00BE661B" w14:paraId="02593321" w14:textId="77777777" w:rsidTr="00B252BC">
        <w:tc>
          <w:tcPr>
            <w:tcW w:w="9350" w:type="dxa"/>
          </w:tcPr>
          <w:p w14:paraId="523C144B" w14:textId="7DEE55E7" w:rsidR="00BE661B" w:rsidRDefault="00BE661B" w:rsidP="00B252BC">
            <w:pPr>
              <w:pStyle w:val="p"/>
              <w:spacing w:before="0"/>
              <w:ind w:firstLine="144"/>
              <w:rPr>
                <w:rFonts w:ascii="Courier New" w:hAnsi="Courier New" w:cs="Courier New"/>
              </w:rPr>
            </w:pPr>
            <w:r w:rsidRPr="00BE661B">
              <w:rPr>
                <w:rFonts w:ascii="Courier New" w:hAnsi="Courier New" w:cs="Courier New"/>
                <w:highlight w:val="cyan"/>
              </w:rPr>
              <w:t xml:space="preserve">From Innodata XML, text from </w:t>
            </w:r>
            <w:r w:rsidR="00F610FF" w:rsidRPr="00F610FF">
              <w:rPr>
                <w:rFonts w:ascii="Courier New" w:hAnsi="Courier New" w:cs="Courier New"/>
                <w:highlight w:val="cyan"/>
              </w:rPr>
              <w:t>2.6.2.</w:t>
            </w:r>
            <w:r w:rsidR="00F610FF">
              <w:rPr>
                <w:rFonts w:ascii="Courier New" w:hAnsi="Courier New" w:cs="Courier New"/>
                <w:highlight w:val="cyan"/>
              </w:rPr>
              <w:t xml:space="preserve"> </w:t>
            </w:r>
            <w:r w:rsidRPr="00F610FF">
              <w:rPr>
                <w:rFonts w:ascii="Courier New" w:hAnsi="Courier New" w:cs="Courier New"/>
                <w:highlight w:val="cyan"/>
              </w:rPr>
              <w:t xml:space="preserve">has </w:t>
            </w:r>
            <w:r w:rsidRPr="00BE661B">
              <w:rPr>
                <w:rFonts w:ascii="Courier New" w:hAnsi="Courier New" w:cs="Courier New"/>
                <w:highlight w:val="cyan"/>
              </w:rPr>
              <w:t>been repeated in section 2.</w:t>
            </w:r>
            <w:r w:rsidR="00F610FF">
              <w:rPr>
                <w:rFonts w:ascii="Courier New" w:hAnsi="Courier New" w:cs="Courier New"/>
                <w:highlight w:val="cyan"/>
              </w:rPr>
              <w:t>6</w:t>
            </w:r>
            <w:r w:rsidRPr="00BE661B">
              <w:rPr>
                <w:rFonts w:ascii="Courier New" w:hAnsi="Courier New" w:cs="Courier New"/>
                <w:highlight w:val="cyan"/>
              </w:rPr>
              <w:t>.3. and the text in 2.</w:t>
            </w:r>
            <w:r w:rsidR="00F610FF">
              <w:rPr>
                <w:rFonts w:ascii="Courier New" w:hAnsi="Courier New" w:cs="Courier New"/>
                <w:highlight w:val="cyan"/>
              </w:rPr>
              <w:t>6</w:t>
            </w:r>
            <w:r w:rsidRPr="00BE661B">
              <w:rPr>
                <w:rFonts w:ascii="Courier New" w:hAnsi="Courier New" w:cs="Courier New"/>
                <w:highlight w:val="cyan"/>
              </w:rPr>
              <w:t>.3. has been omitted entirely.</w:t>
            </w:r>
            <w:r w:rsidRPr="00BE661B">
              <w:rPr>
                <w:rFonts w:ascii="Courier New" w:hAnsi="Courier New" w:cs="Courier New"/>
              </w:rPr>
              <w:t xml:space="preserve"> </w:t>
            </w:r>
          </w:p>
          <w:p w14:paraId="062BCAC4" w14:textId="77777777"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&lt;bna.id bna.id="2"&gt;2.6.</w:t>
            </w:r>
            <w:proofErr w:type="gramStart"/>
            <w:r w:rsidRPr="00F610FF">
              <w:rPr>
                <w:rFonts w:ascii="Courier New" w:hAnsi="Courier New" w:cs="Courier New"/>
                <w:sz w:val="16"/>
                <w:szCs w:val="16"/>
              </w:rPr>
              <w:t>2.&lt;</w:t>
            </w:r>
            <w:proofErr w:type="gramEnd"/>
            <w:r w:rsidRPr="00F610FF">
              <w:rPr>
                <w:rFonts w:ascii="Courier New" w:hAnsi="Courier New" w:cs="Courier New"/>
                <w:sz w:val="16"/>
                <w:szCs w:val="16"/>
              </w:rPr>
              <w:t>/bna.id&gt;</w:t>
            </w:r>
          </w:p>
          <w:p w14:paraId="590E634B" w14:textId="77777777"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 xml:space="preserve">       &lt;name&gt;International</w:t>
            </w:r>
          </w:p>
          <w:p w14:paraId="180426E4" w14:textId="77777777"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Finance or Holding Companies&lt;/name&gt;</w:t>
            </w:r>
          </w:p>
          <w:p w14:paraId="7254A8DB" w14:textId="77777777"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 xml:space="preserve">       &lt;para </w:t>
            </w:r>
            <w:proofErr w:type="spellStart"/>
            <w:proofErr w:type="gramStart"/>
            <w:r w:rsidRPr="00F610FF">
              <w:rPr>
                <w:rFonts w:ascii="Courier New" w:hAnsi="Courier New" w:cs="Courier New"/>
                <w:sz w:val="16"/>
                <w:szCs w:val="16"/>
              </w:rPr>
              <w:t>include.in.chart</w:t>
            </w:r>
            <w:proofErr w:type="spellEnd"/>
            <w:proofErr w:type="gramEnd"/>
            <w:r w:rsidRPr="00F610FF">
              <w:rPr>
                <w:rFonts w:ascii="Courier New" w:hAnsi="Courier New" w:cs="Courier New"/>
                <w:sz w:val="16"/>
                <w:szCs w:val="16"/>
              </w:rPr>
              <w:t>="1"&gt;International finance or holding companies are treated the same way as other resident companies in Syria.&lt;/para&gt;</w:t>
            </w:r>
          </w:p>
          <w:p w14:paraId="34DEC3F5" w14:textId="77777777"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 xml:space="preserve">      &lt;/</w:t>
            </w:r>
            <w:proofErr w:type="spellStart"/>
            <w:proofErr w:type="gramStart"/>
            <w:r w:rsidRPr="00F610FF">
              <w:rPr>
                <w:rFonts w:ascii="Courier New" w:hAnsi="Courier New" w:cs="Courier New"/>
                <w:sz w:val="16"/>
                <w:szCs w:val="16"/>
              </w:rPr>
              <w:t>content.group</w:t>
            </w:r>
            <w:proofErr w:type="spellEnd"/>
            <w:proofErr w:type="gramEnd"/>
            <w:r w:rsidRPr="00F610FF">
              <w:rPr>
                <w:rFonts w:ascii="Courier New" w:hAnsi="Courier New" w:cs="Courier New"/>
                <w:sz w:val="16"/>
                <w:szCs w:val="16"/>
              </w:rPr>
              <w:t>&gt;</w:t>
            </w:r>
          </w:p>
          <w:p w14:paraId="61106525" w14:textId="77777777"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 xml:space="preserve">      &lt;</w:t>
            </w:r>
            <w:proofErr w:type="spellStart"/>
            <w:proofErr w:type="gramStart"/>
            <w:r w:rsidRPr="00F610FF">
              <w:rPr>
                <w:rFonts w:ascii="Courier New" w:hAnsi="Courier New" w:cs="Courier New"/>
                <w:sz w:val="16"/>
                <w:szCs w:val="16"/>
              </w:rPr>
              <w:t>content.group</w:t>
            </w:r>
            <w:proofErr w:type="spellEnd"/>
            <w:proofErr w:type="gramEnd"/>
            <w:r w:rsidRPr="00F610FF">
              <w:rPr>
                <w:rFonts w:ascii="Courier New" w:hAnsi="Courier New" w:cs="Courier New"/>
                <w:sz w:val="16"/>
                <w:szCs w:val="16"/>
              </w:rPr>
              <w:t>&gt;</w:t>
            </w:r>
          </w:p>
          <w:p w14:paraId="4D051FCC" w14:textId="77777777"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 xml:space="preserve">       &lt;bna.id bna.id="3"&gt;2.6.</w:t>
            </w:r>
            <w:proofErr w:type="gramStart"/>
            <w:r w:rsidRPr="00F610FF">
              <w:rPr>
                <w:rFonts w:ascii="Courier New" w:hAnsi="Courier New" w:cs="Courier New"/>
                <w:sz w:val="16"/>
                <w:szCs w:val="16"/>
              </w:rPr>
              <w:t>3.&lt;</w:t>
            </w:r>
            <w:proofErr w:type="gramEnd"/>
            <w:r w:rsidRPr="00F610FF">
              <w:rPr>
                <w:rFonts w:ascii="Courier New" w:hAnsi="Courier New" w:cs="Courier New"/>
                <w:sz w:val="16"/>
                <w:szCs w:val="16"/>
              </w:rPr>
              <w:t>/bna.id&gt;</w:t>
            </w:r>
          </w:p>
          <w:p w14:paraId="58A1A967" w14:textId="77777777"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 xml:space="preserve">       &lt;name&gt;Research and Development Companies and Activities&lt;/name&gt;</w:t>
            </w:r>
          </w:p>
          <w:p w14:paraId="38A17205" w14:textId="4CECBB85" w:rsidR="00F610FF" w:rsidRPr="00F610FF" w:rsidRDefault="00F610FF" w:rsidP="00F610FF">
            <w:pPr>
              <w:pStyle w:val="p"/>
              <w:spacing w:before="0"/>
              <w:ind w:firstLine="144"/>
              <w:rPr>
                <w:rFonts w:ascii="Courier New" w:hAnsi="Courier New" w:cs="Courier New"/>
                <w:sz w:val="16"/>
                <w:szCs w:val="16"/>
              </w:rPr>
            </w:pPr>
            <w:r w:rsidRPr="00F610FF">
              <w:rPr>
                <w:rFonts w:ascii="Courier New" w:hAnsi="Courier New" w:cs="Courier New"/>
                <w:sz w:val="16"/>
                <w:szCs w:val="16"/>
              </w:rPr>
              <w:t xml:space="preserve">       &lt;para </w:t>
            </w:r>
            <w:proofErr w:type="spellStart"/>
            <w:proofErr w:type="gramStart"/>
            <w:r w:rsidRPr="00F610FF">
              <w:rPr>
                <w:rFonts w:ascii="Courier New" w:hAnsi="Courier New" w:cs="Courier New"/>
                <w:sz w:val="16"/>
                <w:szCs w:val="16"/>
              </w:rPr>
              <w:t>include.in.chart</w:t>
            </w:r>
            <w:proofErr w:type="spellEnd"/>
            <w:proofErr w:type="gramEnd"/>
            <w:r w:rsidRPr="00F610FF">
              <w:rPr>
                <w:rFonts w:ascii="Courier New" w:hAnsi="Courier New" w:cs="Courier New"/>
                <w:sz w:val="16"/>
                <w:szCs w:val="16"/>
              </w:rPr>
              <w:t>="1"&gt;</w:t>
            </w:r>
            <w:r w:rsidRPr="00F610FF">
              <w:rPr>
                <w:rFonts w:ascii="Courier New" w:hAnsi="Courier New" w:cs="Courier New"/>
                <w:sz w:val="16"/>
                <w:szCs w:val="16"/>
                <w:highlight w:val="red"/>
              </w:rPr>
              <w:t>International finance or holding companies are treated the same way as other resident companies in Syria.&lt;/</w:t>
            </w:r>
            <w:r w:rsidRPr="00F610FF">
              <w:rPr>
                <w:rFonts w:ascii="Courier New" w:hAnsi="Courier New" w:cs="Courier New"/>
                <w:sz w:val="16"/>
                <w:szCs w:val="16"/>
              </w:rPr>
              <w:t>para&gt;</w:t>
            </w:r>
          </w:p>
          <w:p w14:paraId="75DEE08B" w14:textId="63918504" w:rsidR="00BE661B" w:rsidRPr="00BE661B" w:rsidRDefault="00BE661B" w:rsidP="00B252BC">
            <w:pPr>
              <w:pStyle w:val="p"/>
              <w:spacing w:before="0"/>
              <w:ind w:left="432" w:firstLine="144"/>
              <w:rPr>
                <w:rFonts w:ascii="Courier New" w:hAnsi="Courier New" w:cs="Courier New"/>
                <w:sz w:val="16"/>
                <w:szCs w:val="16"/>
              </w:rPr>
            </w:pPr>
          </w:p>
        </w:tc>
      </w:tr>
    </w:tbl>
    <w:p w14:paraId="51EE0E8B" w14:textId="77777777" w:rsidR="00D84736" w:rsidRDefault="00D84736" w:rsidP="00481973">
      <w:pPr>
        <w:pStyle w:val="p"/>
        <w:ind w:firstLine="0"/>
      </w:pPr>
      <w:r>
        <w:rPr>
          <w:sz w:val="24"/>
          <w:szCs w:val="24"/>
        </w:rPr>
        <w:br/>
      </w:r>
      <w:r>
        <w:rPr>
          <w:b/>
          <w:bCs/>
        </w:rPr>
        <w:t>2.</w:t>
      </w:r>
      <w:r w:rsidR="006D4990">
        <w:rPr>
          <w:b/>
          <w:bCs/>
        </w:rPr>
        <w:t>6.</w:t>
      </w:r>
      <w:r w:rsidR="00481973">
        <w:rPr>
          <w:b/>
          <w:bCs/>
        </w:rPr>
        <w:t>4</w:t>
      </w:r>
      <w:r>
        <w:rPr>
          <w:b/>
          <w:bCs/>
        </w:rPr>
        <w:t xml:space="preserve">. Other Special Regimes </w:t>
      </w:r>
      <w:r>
        <w:rPr>
          <w:b/>
          <w:bCs/>
        </w:rPr>
        <w:br/>
      </w:r>
      <w:r>
        <w:t>Law 18/2021, the Investment Law, grants tax incentives for projects of national interest. Foreign investors may be granted an exemption from income tax for a period of 5 years from the investments' commencement. In addition, the Investment Law provides for the exemption of capital equipment from VAT.</w:t>
      </w:r>
      <w:r>
        <w:rPr>
          <w:vertAlign w:val="superscript"/>
        </w:rPr>
        <w:t>1</w:t>
      </w:r>
      <w:r w:rsidRPr="00CE3533">
        <w:rPr>
          <w:rStyle w:val="FootnoteReference"/>
        </w:rPr>
        <w:footnoteReference w:customMarkFollows="1" w:id="18"/>
        <w:t>6</w:t>
      </w:r>
    </w:p>
    <w:p w14:paraId="34B0D0A0" w14:textId="77777777" w:rsidR="00D84736" w:rsidRDefault="00D84736">
      <w:pPr>
        <w:pStyle w:val="p"/>
      </w:pPr>
      <w:r>
        <w:t>Touristic, hospitality and other recreational investments are eligible for a 75 percent reduction on income tax for a period of 10 years. Some industrial projects benefit from exemptions ranging from 50 to 75 percent on income taxes, including those pertaining to technology, medicine, pharmaceuticals, renewable energy, waste recycling, and artisanal projects.</w:t>
      </w:r>
      <w:r>
        <w:rPr>
          <w:vertAlign w:val="superscript"/>
        </w:rPr>
        <w:t>1</w:t>
      </w:r>
      <w:r w:rsidRPr="00CE3533">
        <w:rPr>
          <w:rStyle w:val="FootnoteReference"/>
        </w:rPr>
        <w:footnoteReference w:customMarkFollows="1" w:id="19"/>
        <w:t>7</w:t>
      </w:r>
    </w:p>
    <w:p w14:paraId="7E4053B3" w14:textId="77777777" w:rsidR="00D84736" w:rsidRDefault="00D84736">
      <w:pPr>
        <w:pStyle w:val="p"/>
      </w:pPr>
      <w:r>
        <w:t>Under the Income Tax Law, certain companies and businesses within the tourism sector are subject to reduced flat rates of tax as follows:</w:t>
      </w:r>
      <w:r>
        <w:rPr>
          <w:vertAlign w:val="superscript"/>
        </w:rPr>
        <w:t>1</w:t>
      </w:r>
      <w:r w:rsidRPr="00CE3533">
        <w:rPr>
          <w:rStyle w:val="FootnoteReference"/>
        </w:rPr>
        <w:footnoteReference w:customMarkFollows="1" w:id="20"/>
        <w:t>8</w:t>
      </w:r>
      <w:r>
        <w:t xml:space="preserve"> </w:t>
      </w:r>
    </w:p>
    <w:p w14:paraId="04D80878" w14:textId="10B8A395" w:rsidR="00D84736" w:rsidRDefault="00D56218">
      <w:pPr>
        <w:pStyle w:val="p"/>
      </w:pPr>
      <w:r>
        <w:rPr>
          <w:noProof/>
        </w:rPr>
        <w:drawing>
          <wp:inline distT="0" distB="0" distL="0" distR="0" wp14:anchorId="0B98FA25" wp14:editId="6B860D49">
            <wp:extent cx="130810" cy="13081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income tax—2.5 percent of net </w:t>
      </w:r>
      <w:proofErr w:type="gramStart"/>
      <w:r w:rsidR="00D84736">
        <w:t>profits;</w:t>
      </w:r>
      <w:proofErr w:type="gramEnd"/>
    </w:p>
    <w:p w14:paraId="6EC9A29B" w14:textId="1C4C6CBD" w:rsidR="00D84736" w:rsidRDefault="00D56218">
      <w:pPr>
        <w:pStyle w:val="p"/>
      </w:pPr>
      <w:r>
        <w:rPr>
          <w:noProof/>
        </w:rPr>
        <w:drawing>
          <wp:inline distT="0" distB="0" distL="0" distR="0" wp14:anchorId="06C107A1" wp14:editId="6DBD900E">
            <wp:extent cx="130810" cy="13081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payroll tax (tax on salaries and wages)—0.5 percent of net income.</w:t>
      </w:r>
    </w:p>
    <w:p w14:paraId="48700B4B" w14:textId="77777777" w:rsidR="00D84736" w:rsidRDefault="00D84736">
      <w:pPr>
        <w:rPr>
          <w:sz w:val="24"/>
          <w:szCs w:val="24"/>
        </w:rPr>
      </w:pPr>
    </w:p>
    <w:p w14:paraId="0D6E272C" w14:textId="77777777" w:rsidR="00D84736" w:rsidRDefault="00D84736">
      <w:pPr>
        <w:pStyle w:val="p"/>
      </w:pPr>
      <w:r>
        <w:lastRenderedPageBreak/>
        <w:t>Special incentives, in the form of exemptions from the income tax on real profits, are available for certain industries (such as air and maritime transportation and agriculture).</w:t>
      </w:r>
      <w:r>
        <w:rPr>
          <w:vertAlign w:val="superscript"/>
        </w:rPr>
        <w:t>1</w:t>
      </w:r>
      <w:r w:rsidRPr="00CE3533">
        <w:rPr>
          <w:rStyle w:val="FootnoteReference"/>
        </w:rPr>
        <w:footnoteReference w:customMarkFollows="1" w:id="21"/>
        <w:t>9</w:t>
      </w:r>
    </w:p>
    <w:p w14:paraId="55E17E2D" w14:textId="31F777A2" w:rsidR="00D84736" w:rsidRDefault="00D84736">
      <w:pPr>
        <w:pStyle w:val="p"/>
      </w:pPr>
      <w:r w:rsidRPr="00FD541C">
        <w:rPr>
          <w:highlight w:val="red"/>
        </w:rPr>
        <w:t xml:space="preserve">See also </w:t>
      </w:r>
      <w:r w:rsidR="00AD64B5" w:rsidRPr="00FD541C">
        <w:rPr>
          <w:highlight w:val="red"/>
        </w:rPr>
        <w:t>[</w:t>
      </w:r>
      <w:proofErr w:type="gramStart"/>
      <w:r w:rsidR="00AD64B5" w:rsidRPr="00FD541C">
        <w:rPr>
          <w:highlight w:val="red"/>
        </w:rPr>
        <w:t>2.6.1]</w:t>
      </w:r>
      <w:r w:rsidR="00AD64B5" w:rsidRPr="00F610FF">
        <w:rPr>
          <w:highlight w:val="red"/>
        </w:rPr>
        <w:t>Section</w:t>
      </w:r>
      <w:proofErr w:type="gramEnd"/>
      <w:r w:rsidR="00AD64B5" w:rsidRPr="00F610FF">
        <w:rPr>
          <w:highlight w:val="red"/>
        </w:rPr>
        <w:t xml:space="preserve"> 2.6.1</w:t>
      </w:r>
      <w:r w:rsidR="00AD64B5" w:rsidRPr="00FD541C">
        <w:rPr>
          <w:highlight w:val="red"/>
        </w:rPr>
        <w:t>[end]</w:t>
      </w:r>
      <w:r w:rsidRPr="00FD541C">
        <w:rPr>
          <w:highlight w:val="red"/>
        </w:rPr>
        <w:t>.</w:t>
      </w:r>
      <w:r w:rsidR="00FD541C">
        <w:t xml:space="preserve">    </w:t>
      </w:r>
      <w:r w:rsidR="00901B51" w:rsidRPr="00901B51">
        <w:rPr>
          <w:highlight w:val="cyan"/>
        </w:rPr>
        <w:t>[missing]</w:t>
      </w:r>
      <w:r w:rsidR="00FD541C">
        <w:t xml:space="preserve"> </w:t>
      </w:r>
      <w:r w:rsidR="00FD541C">
        <w:rPr>
          <w:color w:val="FF0000"/>
        </w:rPr>
        <w:t>s</w:t>
      </w:r>
    </w:p>
    <w:p w14:paraId="02793A08" w14:textId="77777777" w:rsidR="008F6B41" w:rsidRPr="007A3CFA" w:rsidRDefault="008F6B41" w:rsidP="004F7518">
      <w:pPr>
        <w:pStyle w:val="p"/>
        <w:ind w:firstLine="144"/>
        <w:rPr>
          <w:b/>
          <w:bCs/>
        </w:rPr>
      </w:pPr>
      <w:r w:rsidRPr="007A3CFA">
        <w:rPr>
          <w:b/>
          <w:bCs/>
        </w:rPr>
        <w:t>Special exemptions for specific zones</w:t>
      </w:r>
    </w:p>
    <w:p w14:paraId="39E83308" w14:textId="77777777" w:rsidR="000964CD" w:rsidRDefault="000964CD" w:rsidP="000964CD">
      <w:pPr>
        <w:pStyle w:val="v1msonormal"/>
        <w:spacing w:beforeAutospacing="0" w:after="0" w:afterAutospacing="0" w:line="276" w:lineRule="auto"/>
        <w:ind w:firstLine="144"/>
        <w:rPr>
          <w:rFonts w:eastAsia="Times New Roman"/>
          <w:sz w:val="20"/>
          <w:szCs w:val="20"/>
          <w:lang w:val="en-US"/>
        </w:rPr>
      </w:pPr>
      <w:r>
        <w:rPr>
          <w:sz w:val="20"/>
          <w:szCs w:val="20"/>
          <w:lang w:val="en-GB"/>
        </w:rPr>
        <w:t xml:space="preserve">Businesses and other taxpayers in the old, heritage </w:t>
      </w:r>
      <w:proofErr w:type="spellStart"/>
      <w:r>
        <w:rPr>
          <w:sz w:val="20"/>
          <w:szCs w:val="20"/>
          <w:lang w:val="en-GB"/>
        </w:rPr>
        <w:t>centers</w:t>
      </w:r>
      <w:proofErr w:type="spellEnd"/>
      <w:r>
        <w:rPr>
          <w:sz w:val="20"/>
          <w:szCs w:val="20"/>
          <w:lang w:val="en-GB"/>
        </w:rPr>
        <w:t xml:space="preserve"> of the cities </w:t>
      </w:r>
      <w:r w:rsidRPr="007033B2">
        <w:rPr>
          <w:sz w:val="20"/>
          <w:szCs w:val="20"/>
          <w:lang w:val="en-GB"/>
        </w:rPr>
        <w:t>of Aleppo, Homs and Deir El-Zor</w:t>
      </w:r>
      <w:r>
        <w:rPr>
          <w:rFonts w:eastAsia="Times New Roman"/>
          <w:sz w:val="20"/>
          <w:szCs w:val="20"/>
          <w:lang w:val="en-GB"/>
        </w:rPr>
        <w:t xml:space="preserve"> benefit from</w:t>
      </w:r>
      <w:r w:rsidRPr="007033B2">
        <w:rPr>
          <w:rFonts w:eastAsia="Times New Roman"/>
          <w:sz w:val="20"/>
          <w:szCs w:val="20"/>
          <w:lang w:val="en-GB"/>
        </w:rPr>
        <w:t xml:space="preserve"> tax </w:t>
      </w:r>
      <w:r>
        <w:rPr>
          <w:rFonts w:eastAsia="Times New Roman"/>
          <w:sz w:val="20"/>
          <w:szCs w:val="20"/>
          <w:lang w:val="en-GB"/>
        </w:rPr>
        <w:t>exemptions</w:t>
      </w:r>
      <w:r w:rsidRPr="007033B2">
        <w:rPr>
          <w:rFonts w:eastAsia="Times New Roman"/>
          <w:sz w:val="20"/>
          <w:szCs w:val="20"/>
          <w:lang w:val="en-GB"/>
        </w:rPr>
        <w:t xml:space="preserve"> and </w:t>
      </w:r>
      <w:r>
        <w:rPr>
          <w:rFonts w:eastAsia="Times New Roman"/>
          <w:sz w:val="20"/>
          <w:szCs w:val="20"/>
          <w:lang w:val="en-GB"/>
        </w:rPr>
        <w:t xml:space="preserve">certain </w:t>
      </w:r>
      <w:r w:rsidRPr="007033B2">
        <w:rPr>
          <w:rFonts w:eastAsia="Times New Roman"/>
          <w:sz w:val="20"/>
          <w:szCs w:val="20"/>
          <w:lang w:val="en-GB"/>
        </w:rPr>
        <w:t>debt cancellations</w:t>
      </w:r>
      <w:r>
        <w:rPr>
          <w:rFonts w:eastAsia="Times New Roman"/>
          <w:sz w:val="20"/>
          <w:szCs w:val="20"/>
          <w:lang w:val="en-GB"/>
        </w:rPr>
        <w:t xml:space="preserve"> to aid restoration of those </w:t>
      </w:r>
      <w:proofErr w:type="spellStart"/>
      <w:r>
        <w:rPr>
          <w:rFonts w:eastAsia="Times New Roman"/>
          <w:sz w:val="20"/>
          <w:szCs w:val="20"/>
          <w:lang w:val="en-GB"/>
        </w:rPr>
        <w:t>centers</w:t>
      </w:r>
      <w:proofErr w:type="spellEnd"/>
      <w:r>
        <w:rPr>
          <w:rFonts w:eastAsia="Times New Roman"/>
          <w:sz w:val="20"/>
          <w:szCs w:val="20"/>
          <w:lang w:val="en-GB"/>
        </w:rPr>
        <w:t>. Exemptions include:</w:t>
      </w:r>
      <w:r>
        <w:rPr>
          <w:rStyle w:val="FootnoteReference"/>
          <w:rFonts w:eastAsia="Times New Roman"/>
          <w:sz w:val="20"/>
          <w:szCs w:val="20"/>
          <w:lang w:val="en-US"/>
        </w:rPr>
        <w:footnoteReference w:id="22"/>
      </w:r>
    </w:p>
    <w:p w14:paraId="1BFA9ADE" w14:textId="77777777" w:rsidR="000964CD" w:rsidRDefault="000964CD" w:rsidP="000964CD">
      <w:pPr>
        <w:pStyle w:val="v1msonormal"/>
        <w:spacing w:beforeAutospacing="0" w:after="0" w:afterAutospacing="0" w:line="276" w:lineRule="auto"/>
        <w:ind w:firstLine="144"/>
        <w:rPr>
          <w:rFonts w:eastAsia="Times New Roman"/>
          <w:sz w:val="20"/>
          <w:szCs w:val="20"/>
          <w:lang w:val="en-US"/>
        </w:rPr>
      </w:pPr>
      <w:r>
        <w:rPr>
          <w:noProof/>
        </w:rPr>
        <w:drawing>
          <wp:inline distT="0" distB="0" distL="0" distR="0" wp14:anchorId="2244F4A6" wp14:editId="4A6A48A4">
            <wp:extent cx="130810" cy="130810"/>
            <wp:effectExtent l="0" t="0" r="0" b="0"/>
            <wp:docPr id="2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Pr>
          <w:rFonts w:eastAsia="Times New Roman"/>
          <w:sz w:val="20"/>
          <w:szCs w:val="20"/>
          <w:lang w:val="en-US"/>
        </w:rPr>
        <w:t xml:space="preserve">until December 31, 2023, all </w:t>
      </w:r>
      <w:r w:rsidRPr="00157404">
        <w:rPr>
          <w:rFonts w:eastAsia="Times New Roman"/>
          <w:sz w:val="20"/>
          <w:szCs w:val="20"/>
          <w:lang w:val="en-US"/>
        </w:rPr>
        <w:t>taxes</w:t>
      </w:r>
      <w:r>
        <w:rPr>
          <w:rFonts w:eastAsia="Times New Roman"/>
          <w:sz w:val="20"/>
          <w:szCs w:val="20"/>
          <w:lang w:val="en-US"/>
        </w:rPr>
        <w:t>, fees</w:t>
      </w:r>
      <w:r w:rsidRPr="00157404">
        <w:rPr>
          <w:rFonts w:eastAsia="Times New Roman"/>
          <w:sz w:val="20"/>
          <w:szCs w:val="20"/>
          <w:lang w:val="en-US"/>
        </w:rPr>
        <w:t xml:space="preserve"> and </w:t>
      </w:r>
      <w:r>
        <w:rPr>
          <w:rFonts w:eastAsia="Times New Roman"/>
          <w:sz w:val="20"/>
          <w:szCs w:val="20"/>
          <w:lang w:val="en-US"/>
        </w:rPr>
        <w:t xml:space="preserve">other </w:t>
      </w:r>
      <w:r w:rsidRPr="00157404">
        <w:rPr>
          <w:rFonts w:eastAsia="Times New Roman"/>
          <w:sz w:val="20"/>
          <w:szCs w:val="20"/>
          <w:lang w:val="en-US"/>
        </w:rPr>
        <w:t xml:space="preserve">charges, including </w:t>
      </w:r>
      <w:r>
        <w:rPr>
          <w:rFonts w:eastAsia="Times New Roman"/>
          <w:sz w:val="20"/>
          <w:szCs w:val="20"/>
          <w:lang w:val="en-US"/>
        </w:rPr>
        <w:t xml:space="preserve">those imposed on </w:t>
      </w:r>
      <w:r w:rsidRPr="00157404">
        <w:rPr>
          <w:rFonts w:eastAsia="Times New Roman"/>
          <w:sz w:val="20"/>
          <w:szCs w:val="20"/>
          <w:lang w:val="en-US"/>
        </w:rPr>
        <w:t>restoration and rehabilitation works; and</w:t>
      </w:r>
    </w:p>
    <w:p w14:paraId="7813EBC5" w14:textId="1DC26063" w:rsidR="000964CD" w:rsidRDefault="000964CD" w:rsidP="000964CD">
      <w:pPr>
        <w:pStyle w:val="v1msonormal"/>
        <w:spacing w:beforeAutospacing="0" w:after="0" w:afterAutospacing="0" w:line="276" w:lineRule="auto"/>
        <w:ind w:firstLine="144"/>
        <w:rPr>
          <w:rFonts w:eastAsia="Times New Roman"/>
          <w:sz w:val="20"/>
          <w:szCs w:val="20"/>
          <w:lang w:val="en-US"/>
        </w:rPr>
      </w:pPr>
      <w:r>
        <w:rPr>
          <w:noProof/>
        </w:rPr>
        <w:drawing>
          <wp:inline distT="0" distB="0" distL="0" distR="0" wp14:anchorId="6A71883A" wp14:editId="2084124E">
            <wp:extent cx="130810" cy="130810"/>
            <wp:effectExtent l="0" t="0" r="0" b="0"/>
            <wp:docPr id="6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Pr>
          <w:rFonts w:eastAsia="Times New Roman"/>
          <w:sz w:val="20"/>
          <w:szCs w:val="20"/>
          <w:lang w:val="en-US"/>
        </w:rPr>
        <w:t>until December 31, 2027;</w:t>
      </w:r>
      <w:r w:rsidR="00901B51">
        <w:rPr>
          <w:rFonts w:eastAsia="Times New Roman"/>
          <w:sz w:val="20"/>
          <w:szCs w:val="20"/>
          <w:lang w:val="en-US"/>
        </w:rPr>
        <w:t xml:space="preserve"> [in future, use </w:t>
      </w:r>
    </w:p>
    <w:p w14:paraId="2F48DC74" w14:textId="4A2ED2E5" w:rsidR="000964CD" w:rsidRPr="00376A98" w:rsidRDefault="000964CD" w:rsidP="000964CD">
      <w:pPr>
        <w:pStyle w:val="v1msonormal"/>
        <w:spacing w:beforeAutospacing="0" w:after="0" w:afterAutospacing="0" w:line="276" w:lineRule="auto"/>
        <w:ind w:firstLine="144"/>
        <w:rPr>
          <w:rFonts w:eastAsia="Times New Roman"/>
          <w:sz w:val="20"/>
          <w:szCs w:val="20"/>
          <w:highlight w:val="red"/>
          <w:lang w:val="en-US"/>
        </w:rPr>
      </w:pPr>
      <w:r w:rsidRPr="00376A98">
        <w:rPr>
          <w:color w:val="FF0000"/>
          <w:sz w:val="20"/>
          <w:highlight w:val="red"/>
        </w:rPr>
        <w:t>&amp;</w:t>
      </w:r>
      <w:proofErr w:type="spellStart"/>
      <w:proofErr w:type="gramStart"/>
      <w:r w:rsidRPr="00376A98">
        <w:rPr>
          <w:color w:val="FF0000"/>
          <w:sz w:val="20"/>
          <w:highlight w:val="red"/>
        </w:rPr>
        <w:t>cir</w:t>
      </w:r>
      <w:proofErr w:type="spellEnd"/>
      <w:r w:rsidRPr="00376A98">
        <w:rPr>
          <w:color w:val="FF0000"/>
          <w:sz w:val="20"/>
          <w:highlight w:val="red"/>
        </w:rPr>
        <w:t>;</w:t>
      </w:r>
      <w:proofErr w:type="gramEnd"/>
      <w:r w:rsidRPr="00376A98">
        <w:rPr>
          <w:sz w:val="20"/>
          <w:highlight w:val="red"/>
        </w:rPr>
        <w:t xml:space="preserve"> </w:t>
      </w:r>
      <w:r w:rsidRPr="00376A98">
        <w:rPr>
          <w:rFonts w:eastAsia="Times New Roman"/>
          <w:sz w:val="20"/>
          <w:szCs w:val="20"/>
          <w:highlight w:val="red"/>
          <w:lang w:val="en-US"/>
        </w:rPr>
        <w:t>income taxes on net profits from profession</w:t>
      </w:r>
      <w:r w:rsidR="00DD0492" w:rsidRPr="00376A98">
        <w:rPr>
          <w:rFonts w:eastAsia="Times New Roman"/>
          <w:sz w:val="20"/>
          <w:szCs w:val="20"/>
          <w:highlight w:val="red"/>
          <w:lang w:val="en-US"/>
        </w:rPr>
        <w:t>al</w:t>
      </w:r>
      <w:r w:rsidRPr="00376A98">
        <w:rPr>
          <w:rFonts w:eastAsia="Times New Roman"/>
          <w:sz w:val="20"/>
          <w:szCs w:val="20"/>
          <w:highlight w:val="red"/>
          <w:lang w:val="en-US"/>
        </w:rPr>
        <w:t xml:space="preserve"> and artisanal business activities;</w:t>
      </w:r>
    </w:p>
    <w:p w14:paraId="193E1999" w14:textId="77777777" w:rsidR="000964CD" w:rsidRPr="00376A98" w:rsidRDefault="000964CD" w:rsidP="000964CD">
      <w:pPr>
        <w:pStyle w:val="v1msonormal"/>
        <w:spacing w:beforeAutospacing="0" w:after="0" w:afterAutospacing="0" w:line="276" w:lineRule="auto"/>
        <w:ind w:firstLine="144"/>
        <w:rPr>
          <w:rFonts w:eastAsia="Times New Roman"/>
          <w:sz w:val="20"/>
          <w:szCs w:val="20"/>
          <w:highlight w:val="red"/>
          <w:lang w:val="en-US"/>
        </w:rPr>
      </w:pPr>
      <w:r w:rsidRPr="00376A98">
        <w:rPr>
          <w:color w:val="FF0000"/>
          <w:sz w:val="20"/>
          <w:highlight w:val="red"/>
        </w:rPr>
        <w:t>&amp;</w:t>
      </w:r>
      <w:proofErr w:type="spellStart"/>
      <w:proofErr w:type="gramStart"/>
      <w:r w:rsidRPr="00376A98">
        <w:rPr>
          <w:color w:val="FF0000"/>
          <w:sz w:val="20"/>
          <w:highlight w:val="red"/>
        </w:rPr>
        <w:t>cir</w:t>
      </w:r>
      <w:proofErr w:type="spellEnd"/>
      <w:r w:rsidRPr="00376A98">
        <w:rPr>
          <w:color w:val="FF0000"/>
          <w:sz w:val="20"/>
          <w:highlight w:val="red"/>
        </w:rPr>
        <w:t>;</w:t>
      </w:r>
      <w:proofErr w:type="gramEnd"/>
      <w:r w:rsidRPr="00376A98">
        <w:rPr>
          <w:sz w:val="20"/>
          <w:highlight w:val="red"/>
        </w:rPr>
        <w:t xml:space="preserve"> </w:t>
      </w:r>
      <w:r w:rsidRPr="00376A98">
        <w:rPr>
          <w:rFonts w:eastAsia="Times New Roman"/>
          <w:sz w:val="20"/>
          <w:szCs w:val="20"/>
          <w:highlight w:val="red"/>
          <w:lang w:val="en-US"/>
        </w:rPr>
        <w:t>income taxes on employee's salaries; and</w:t>
      </w:r>
    </w:p>
    <w:p w14:paraId="7E68B2AF" w14:textId="77777777" w:rsidR="000964CD" w:rsidRDefault="000964CD" w:rsidP="000964CD">
      <w:pPr>
        <w:pStyle w:val="v1msonormal"/>
        <w:spacing w:beforeAutospacing="0" w:after="0" w:afterAutospacing="0" w:line="276" w:lineRule="auto"/>
        <w:ind w:firstLine="144"/>
        <w:rPr>
          <w:rFonts w:eastAsia="Times New Roman"/>
          <w:sz w:val="20"/>
          <w:szCs w:val="20"/>
          <w:lang w:val="en-US"/>
        </w:rPr>
      </w:pPr>
      <w:r w:rsidRPr="00376A98">
        <w:rPr>
          <w:color w:val="FF0000"/>
          <w:sz w:val="20"/>
          <w:highlight w:val="red"/>
        </w:rPr>
        <w:t>&amp;</w:t>
      </w:r>
      <w:proofErr w:type="spellStart"/>
      <w:proofErr w:type="gramStart"/>
      <w:r w:rsidRPr="00376A98">
        <w:rPr>
          <w:color w:val="FF0000"/>
          <w:sz w:val="20"/>
          <w:highlight w:val="red"/>
        </w:rPr>
        <w:t>cir</w:t>
      </w:r>
      <w:proofErr w:type="spellEnd"/>
      <w:r w:rsidRPr="00376A98">
        <w:rPr>
          <w:color w:val="FF0000"/>
          <w:sz w:val="20"/>
          <w:highlight w:val="red"/>
        </w:rPr>
        <w:t>;</w:t>
      </w:r>
      <w:proofErr w:type="gramEnd"/>
      <w:r w:rsidRPr="00376A98">
        <w:rPr>
          <w:sz w:val="20"/>
          <w:highlight w:val="red"/>
        </w:rPr>
        <w:t xml:space="preserve"> </w:t>
      </w:r>
      <w:r w:rsidRPr="00376A98">
        <w:rPr>
          <w:rFonts w:eastAsia="Times New Roman"/>
          <w:sz w:val="20"/>
          <w:szCs w:val="20"/>
          <w:highlight w:val="red"/>
          <w:lang w:val="en-US"/>
        </w:rPr>
        <w:t>real estate taxes and stamp duty.</w:t>
      </w:r>
    </w:p>
    <w:tbl>
      <w:tblPr>
        <w:tblStyle w:val="TableGrid"/>
        <w:tblW w:w="0" w:type="auto"/>
        <w:tblLook w:val="04A0" w:firstRow="1" w:lastRow="0" w:firstColumn="1" w:lastColumn="0" w:noHBand="0" w:noVBand="1"/>
      </w:tblPr>
      <w:tblGrid>
        <w:gridCol w:w="9350"/>
      </w:tblGrid>
      <w:tr w:rsidR="00901B51" w14:paraId="2DD7D9E0" w14:textId="77777777" w:rsidTr="00901B51">
        <w:tc>
          <w:tcPr>
            <w:tcW w:w="9350" w:type="dxa"/>
          </w:tcPr>
          <w:p w14:paraId="49915960" w14:textId="43E90C27" w:rsidR="00901B51" w:rsidRPr="00901B51" w:rsidRDefault="00901B51" w:rsidP="00901B51">
            <w:pPr>
              <w:widowControl/>
              <w:shd w:val="clear" w:color="auto" w:fill="F4F4F4"/>
              <w:autoSpaceDE/>
              <w:autoSpaceDN/>
              <w:adjustRightInd/>
              <w:rPr>
                <w:rFonts w:ascii="Courier New" w:hAnsi="Courier New" w:cs="Courier New"/>
              </w:rPr>
            </w:pPr>
            <w:r w:rsidRPr="00901B51">
              <w:rPr>
                <w:rFonts w:ascii="Courier New" w:hAnsi="Courier New" w:cs="Courier New"/>
                <w:highlight w:val="cyan"/>
              </w:rPr>
              <w:t xml:space="preserve">In future, </w:t>
            </w:r>
            <w:r>
              <w:rPr>
                <w:rFonts w:ascii="Courier New" w:hAnsi="Courier New" w:cs="Courier New"/>
                <w:highlight w:val="cyan"/>
              </w:rPr>
              <w:t xml:space="preserve">for items as above, use </w:t>
            </w:r>
            <w:r w:rsidRPr="00901B51">
              <w:rPr>
                <w:rFonts w:ascii="Courier New" w:hAnsi="Courier New" w:cs="Courier New"/>
                <w:highlight w:val="cyan"/>
              </w:rPr>
              <w:t>“level 2” for second level bullets,</w:t>
            </w:r>
            <w:r w:rsidRPr="00901B51">
              <w:rPr>
                <w:rFonts w:ascii="Courier New" w:hAnsi="Courier New" w:cs="Courier New"/>
              </w:rPr>
              <w:t xml:space="preserve"> </w:t>
            </w:r>
          </w:p>
          <w:p w14:paraId="421B56A5" w14:textId="2A0A4A63" w:rsidR="00901B51" w:rsidRDefault="00901B51" w:rsidP="00901B51">
            <w:pPr>
              <w:widowControl/>
              <w:shd w:val="clear" w:color="auto" w:fill="F4F4F4"/>
              <w:autoSpaceDE/>
              <w:autoSpaceDN/>
              <w:adjustRightInd/>
              <w:rPr>
                <w:sz w:val="24"/>
                <w:szCs w:val="24"/>
              </w:rPr>
            </w:pPr>
            <w:r w:rsidRPr="00901B51">
              <w:rPr>
                <w:rFonts w:ascii="Courier New" w:hAnsi="Courier New" w:cs="Courier New"/>
                <w:color w:val="505558"/>
                <w:sz w:val="16"/>
                <w:szCs w:val="16"/>
              </w:rPr>
              <w:t>&lt;</w:t>
            </w:r>
            <w:proofErr w:type="spellStart"/>
            <w:proofErr w:type="gramStart"/>
            <w:r w:rsidRPr="00901B51">
              <w:rPr>
                <w:rFonts w:ascii="Courier New" w:hAnsi="Courier New" w:cs="Courier New"/>
                <w:color w:val="505558"/>
                <w:sz w:val="16"/>
                <w:szCs w:val="16"/>
              </w:rPr>
              <w:t>list.item</w:t>
            </w:r>
            <w:proofErr w:type="spellEnd"/>
            <w:proofErr w:type="gramEnd"/>
            <w:r w:rsidRPr="00901B51">
              <w:rPr>
                <w:rFonts w:ascii="Courier New" w:hAnsi="Courier New" w:cs="Courier New"/>
                <w:color w:val="505558"/>
                <w:sz w:val="16"/>
                <w:szCs w:val="16"/>
              </w:rPr>
              <w:t> level="2"&gt;</w:t>
            </w:r>
            <w:r w:rsidRPr="00901B51">
              <w:rPr>
                <w:rFonts w:ascii="Courier New" w:hAnsi="Courier New" w:cs="Courier New"/>
                <w:color w:val="505558"/>
                <w:sz w:val="16"/>
                <w:szCs w:val="16"/>
                <w:shd w:val="clear" w:color="auto" w:fill="F4F4F4"/>
              </w:rPr>
              <w:t>•</w:t>
            </w:r>
            <w:r w:rsidRPr="00901B51">
              <w:rPr>
                <w:rFonts w:ascii="Cambria Math" w:hAnsi="Cambria Math" w:cs="Cambria Math"/>
                <w:color w:val="505558"/>
                <w:sz w:val="16"/>
                <w:szCs w:val="16"/>
                <w:shd w:val="clear" w:color="auto" w:fill="F4F4F4"/>
              </w:rPr>
              <w:t> </w:t>
            </w:r>
            <w:r w:rsidRPr="00901B51">
              <w:rPr>
                <w:rFonts w:ascii="Courier New" w:hAnsi="Courier New" w:cs="Courier New"/>
                <w:sz w:val="16"/>
                <w:szCs w:val="16"/>
              </w:rPr>
              <w:t>&lt;hang&gt;text&lt;/</w:t>
            </w:r>
            <w:proofErr w:type="spellStart"/>
            <w:r w:rsidRPr="00901B51">
              <w:rPr>
                <w:rFonts w:ascii="Courier New" w:hAnsi="Courier New" w:cs="Courier New"/>
                <w:sz w:val="16"/>
                <w:szCs w:val="16"/>
              </w:rPr>
              <w:t>list.item</w:t>
            </w:r>
            <w:proofErr w:type="spellEnd"/>
            <w:r w:rsidRPr="00901B51">
              <w:rPr>
                <w:rFonts w:ascii="Courier New" w:hAnsi="Courier New" w:cs="Courier New"/>
                <w:sz w:val="16"/>
                <w:szCs w:val="16"/>
              </w:rPr>
              <w:t>&gt;</w:t>
            </w:r>
          </w:p>
        </w:tc>
      </w:tr>
    </w:tbl>
    <w:p w14:paraId="119BD4F2" w14:textId="77777777" w:rsidR="000964CD" w:rsidRDefault="000964CD" w:rsidP="000964CD">
      <w:pPr>
        <w:rPr>
          <w:sz w:val="24"/>
          <w:szCs w:val="24"/>
        </w:rPr>
      </w:pPr>
    </w:p>
    <w:p w14:paraId="5C132D4A" w14:textId="0F42E3D3" w:rsidR="001178AF" w:rsidRPr="00157404" w:rsidRDefault="001178AF" w:rsidP="001178AF">
      <w:pPr>
        <w:pStyle w:val="v1msonormal"/>
        <w:spacing w:beforeAutospacing="0" w:after="0" w:afterAutospacing="0" w:line="276" w:lineRule="auto"/>
        <w:ind w:firstLine="144"/>
        <w:rPr>
          <w:rFonts w:eastAsia="Times New Roman"/>
          <w:sz w:val="20"/>
          <w:szCs w:val="20"/>
          <w:lang w:val="en-US"/>
        </w:rPr>
      </w:pPr>
      <w:r w:rsidRPr="00E70E98">
        <w:rPr>
          <w:rFonts w:eastAsia="Times New Roman"/>
          <w:sz w:val="20"/>
          <w:szCs w:val="20"/>
          <w:lang w:val="en-US"/>
        </w:rPr>
        <w:t xml:space="preserve">In addition, until December 31, 2024, </w:t>
      </w:r>
      <w:r>
        <w:rPr>
          <w:rFonts w:eastAsia="Times New Roman"/>
          <w:sz w:val="20"/>
          <w:szCs w:val="20"/>
          <w:lang w:val="en-US"/>
        </w:rPr>
        <w:t xml:space="preserve">property </w:t>
      </w:r>
      <w:r w:rsidRPr="00E70E98">
        <w:rPr>
          <w:rFonts w:eastAsia="Times New Roman"/>
          <w:sz w:val="20"/>
          <w:szCs w:val="20"/>
          <w:lang w:val="en-US"/>
        </w:rPr>
        <w:t>owners in the</w:t>
      </w:r>
      <w:r>
        <w:rPr>
          <w:rFonts w:eastAsia="Times New Roman"/>
          <w:sz w:val="20"/>
          <w:szCs w:val="20"/>
          <w:lang w:val="en-US"/>
        </w:rPr>
        <w:t xml:space="preserve"> earthquake-struck</w:t>
      </w:r>
      <w:r w:rsidRPr="00E70E98">
        <w:rPr>
          <w:rFonts w:eastAsia="Times New Roman"/>
          <w:sz w:val="20"/>
          <w:szCs w:val="20"/>
          <w:lang w:val="en-US"/>
        </w:rPr>
        <w:t xml:space="preserve"> </w:t>
      </w:r>
      <w:r>
        <w:rPr>
          <w:rFonts w:eastAsia="Times New Roman"/>
          <w:sz w:val="20"/>
          <w:szCs w:val="20"/>
          <w:lang w:val="en-US"/>
        </w:rPr>
        <w:t xml:space="preserve">provinces </w:t>
      </w:r>
      <w:r w:rsidRPr="00E70E98">
        <w:rPr>
          <w:rFonts w:eastAsia="Times New Roman"/>
          <w:sz w:val="20"/>
          <w:szCs w:val="20"/>
          <w:lang w:val="en-US"/>
        </w:rPr>
        <w:t xml:space="preserve">of </w:t>
      </w:r>
      <w:r w:rsidRPr="00E70E98">
        <w:rPr>
          <w:rFonts w:eastAsia="Times New Roman"/>
          <w:sz w:val="20"/>
          <w:szCs w:val="20"/>
          <w:lang w:val="en-GB"/>
        </w:rPr>
        <w:t xml:space="preserve">Aleppo, Latakia, Hama, and Idlib </w:t>
      </w:r>
      <w:r>
        <w:rPr>
          <w:rFonts w:eastAsia="Times New Roman"/>
          <w:sz w:val="20"/>
          <w:szCs w:val="20"/>
          <w:lang w:val="en-GB"/>
        </w:rPr>
        <w:t>can benefit from various</w:t>
      </w:r>
      <w:r w:rsidRPr="00E70E98">
        <w:rPr>
          <w:rFonts w:eastAsia="Times New Roman"/>
          <w:sz w:val="20"/>
          <w:szCs w:val="20"/>
          <w:lang w:val="en-GB"/>
        </w:rPr>
        <w:t xml:space="preserve"> </w:t>
      </w:r>
      <w:r w:rsidRPr="00157404">
        <w:rPr>
          <w:rFonts w:eastAsia="Times New Roman"/>
          <w:sz w:val="20"/>
          <w:szCs w:val="20"/>
          <w:lang w:val="en-US"/>
        </w:rPr>
        <w:t>exempt</w:t>
      </w:r>
      <w:r>
        <w:rPr>
          <w:rFonts w:eastAsia="Times New Roman"/>
          <w:sz w:val="20"/>
          <w:szCs w:val="20"/>
          <w:lang w:val="en-US"/>
        </w:rPr>
        <w:t>ions, including</w:t>
      </w:r>
      <w:r w:rsidRPr="00157404">
        <w:rPr>
          <w:rFonts w:eastAsia="Times New Roman"/>
          <w:sz w:val="20"/>
          <w:szCs w:val="20"/>
          <w:lang w:val="en-US"/>
        </w:rPr>
        <w:t xml:space="preserve"> all taxes</w:t>
      </w:r>
      <w:r>
        <w:rPr>
          <w:rFonts w:eastAsia="Times New Roman"/>
          <w:sz w:val="20"/>
          <w:szCs w:val="20"/>
          <w:lang w:val="en-US"/>
        </w:rPr>
        <w:t xml:space="preserve"> and various fees</w:t>
      </w:r>
      <w:r w:rsidRPr="00157404">
        <w:rPr>
          <w:rFonts w:eastAsia="Times New Roman"/>
          <w:sz w:val="20"/>
          <w:szCs w:val="20"/>
          <w:lang w:val="en-US"/>
        </w:rPr>
        <w:t xml:space="preserve">, </w:t>
      </w:r>
      <w:r w:rsidRPr="00157404">
        <w:rPr>
          <w:rFonts w:eastAsia="Times New Roman"/>
          <w:sz w:val="20"/>
          <w:szCs w:val="20"/>
          <w:lang w:val="en-GB"/>
        </w:rPr>
        <w:t xml:space="preserve">for </w:t>
      </w:r>
      <w:r>
        <w:rPr>
          <w:rFonts w:eastAsia="Times New Roman"/>
          <w:sz w:val="20"/>
          <w:szCs w:val="20"/>
          <w:lang w:val="en-GB"/>
        </w:rPr>
        <w:t xml:space="preserve">the </w:t>
      </w:r>
      <w:r w:rsidRPr="00157404">
        <w:rPr>
          <w:rFonts w:eastAsia="Times New Roman"/>
          <w:sz w:val="20"/>
          <w:szCs w:val="20"/>
          <w:lang w:val="en-GB"/>
        </w:rPr>
        <w:t>total</w:t>
      </w:r>
      <w:r>
        <w:rPr>
          <w:rFonts w:eastAsia="Times New Roman"/>
          <w:sz w:val="20"/>
          <w:szCs w:val="20"/>
          <w:lang w:val="en-GB"/>
        </w:rPr>
        <w:t xml:space="preserve"> </w:t>
      </w:r>
      <w:r w:rsidRPr="00157404">
        <w:rPr>
          <w:rFonts w:eastAsia="Times New Roman"/>
          <w:sz w:val="20"/>
          <w:szCs w:val="20"/>
          <w:lang w:val="en-GB"/>
        </w:rPr>
        <w:t>or</w:t>
      </w:r>
      <w:r>
        <w:rPr>
          <w:rFonts w:eastAsia="Times New Roman"/>
          <w:sz w:val="20"/>
          <w:szCs w:val="20"/>
          <w:lang w:val="en-GB"/>
        </w:rPr>
        <w:t xml:space="preserve"> </w:t>
      </w:r>
      <w:r w:rsidRPr="00157404">
        <w:rPr>
          <w:rFonts w:eastAsia="Times New Roman"/>
          <w:sz w:val="20"/>
          <w:szCs w:val="20"/>
          <w:lang w:val="en-GB"/>
        </w:rPr>
        <w:t xml:space="preserve">partial rebuilding or rehabilitation of their </w:t>
      </w:r>
      <w:r>
        <w:rPr>
          <w:rFonts w:eastAsia="Times New Roman"/>
          <w:sz w:val="20"/>
          <w:szCs w:val="20"/>
          <w:lang w:val="en-GB"/>
        </w:rPr>
        <w:t>properties</w:t>
      </w:r>
      <w:r w:rsidRPr="00157404">
        <w:rPr>
          <w:rFonts w:eastAsia="Times New Roman"/>
          <w:sz w:val="20"/>
          <w:szCs w:val="20"/>
          <w:lang w:val="en-GB"/>
        </w:rPr>
        <w:t>.</w:t>
      </w:r>
      <w:r>
        <w:rPr>
          <w:rStyle w:val="FootnoteReference"/>
          <w:rFonts w:eastAsia="Times New Roman"/>
          <w:sz w:val="20"/>
          <w:szCs w:val="20"/>
          <w:lang w:val="en-GB"/>
        </w:rPr>
        <w:footnoteReference w:id="23"/>
      </w:r>
    </w:p>
    <w:p w14:paraId="46B27138" w14:textId="77777777" w:rsidR="00D84736" w:rsidRDefault="00D84736">
      <w:pPr>
        <w:pStyle w:val="p"/>
      </w:pPr>
      <w:r>
        <w:rPr>
          <w:sz w:val="24"/>
          <w:szCs w:val="24"/>
        </w:rPr>
        <w:br/>
      </w:r>
      <w:r>
        <w:rPr>
          <w:b/>
          <w:bCs/>
        </w:rPr>
        <w:t xml:space="preserve">2.7. Double Taxation Protection </w:t>
      </w:r>
      <w:r>
        <w:rPr>
          <w:b/>
          <w:bCs/>
        </w:rPr>
        <w:br/>
      </w:r>
      <w:r>
        <w:rPr>
          <w:b/>
          <w:bCs/>
        </w:rPr>
        <w:br/>
        <w:t xml:space="preserve">2.7.1. Mechanics </w:t>
      </w:r>
      <w:r>
        <w:rPr>
          <w:b/>
          <w:bCs/>
        </w:rPr>
        <w:br/>
      </w:r>
      <w:r>
        <w:t>Syrian common law prohibits double taxation. Where taxing rights have been allocated to Syria under a double taxation treaty, the provisions of the treaty will determine the mechanism by which protection from double taxation may be obtained.</w:t>
      </w:r>
    </w:p>
    <w:p w14:paraId="46AE4843" w14:textId="77777777" w:rsidR="00D84736" w:rsidRDefault="00D84736">
      <w:pPr>
        <w:pStyle w:val="p"/>
      </w:pPr>
      <w:r>
        <w:t>Generally, Syrian law focuses on revenues generated or profits generated within Syria (as opposed to revenues or profits generated outside the country).</w:t>
      </w:r>
    </w:p>
    <w:p w14:paraId="271700CB" w14:textId="77777777" w:rsidR="00D84736" w:rsidRDefault="00D84736">
      <w:pPr>
        <w:pStyle w:val="p"/>
      </w:pPr>
      <w:r>
        <w:rPr>
          <w:sz w:val="24"/>
          <w:szCs w:val="24"/>
        </w:rPr>
        <w:br/>
      </w:r>
      <w:r>
        <w:rPr>
          <w:b/>
          <w:bCs/>
        </w:rPr>
        <w:t xml:space="preserve">2.7.2. Treaty or Statutory Priority </w:t>
      </w:r>
      <w:r>
        <w:rPr>
          <w:b/>
          <w:bCs/>
        </w:rPr>
        <w:br/>
      </w:r>
      <w:r>
        <w:t>Where a valid treaty exists, the priority will depend entirely on the provisions of the treaty.</w:t>
      </w:r>
    </w:p>
    <w:p w14:paraId="3886260B" w14:textId="4F034074" w:rsidR="00D84736" w:rsidRDefault="00D84736">
      <w:pPr>
        <w:pStyle w:val="p"/>
      </w:pPr>
      <w:r>
        <w:t xml:space="preserve">For treaty information, including the number of agreements signed or in force, original treaty texts, translations, and consolidations and any modifications made by the Multilateral Instrument, if applicable, see the </w:t>
      </w:r>
      <w:hyperlink r:id="rId15" w:history="1">
        <w:r w:rsidRPr="00D13F54">
          <w:rPr>
            <w:rStyle w:val="Hyperlink"/>
          </w:rPr>
          <w:t>International Tax Treaties Collection</w:t>
        </w:r>
      </w:hyperlink>
      <w:r>
        <w:t>.</w:t>
      </w:r>
    </w:p>
    <w:p w14:paraId="0D6E339D" w14:textId="77777777" w:rsidR="00D84736" w:rsidRDefault="00D84736">
      <w:pPr>
        <w:pStyle w:val="p"/>
      </w:pPr>
      <w:r>
        <w:rPr>
          <w:sz w:val="24"/>
          <w:szCs w:val="24"/>
        </w:rPr>
        <w:br/>
      </w:r>
      <w:r>
        <w:rPr>
          <w:b/>
          <w:bCs/>
        </w:rPr>
        <w:t xml:space="preserve">2.7.3. Source of Interpretation </w:t>
      </w:r>
      <w:r>
        <w:rPr>
          <w:b/>
          <w:bCs/>
        </w:rPr>
        <w:br/>
      </w:r>
      <w:r>
        <w:t>Most double taxation and tax avoidance tax treaties signed by Syria are based on the OECD model.</w:t>
      </w:r>
    </w:p>
    <w:p w14:paraId="57BEC9AD" w14:textId="0D29CCBC" w:rsidR="00D84736" w:rsidRDefault="00D84736" w:rsidP="00403429">
      <w:pPr>
        <w:pStyle w:val="p"/>
      </w:pPr>
      <w:r>
        <w:t xml:space="preserve">Generally, the </w:t>
      </w:r>
      <w:r w:rsidR="00D87045">
        <w:t xml:space="preserve">model </w:t>
      </w:r>
      <w:r>
        <w:t>treaty's provisions set the rules and guidelines for the tax authorities.</w:t>
      </w:r>
    </w:p>
    <w:p w14:paraId="4D4BE22A" w14:textId="77777777" w:rsidR="00D84736" w:rsidRDefault="00D84736">
      <w:pPr>
        <w:pStyle w:val="p"/>
      </w:pPr>
      <w:r>
        <w:rPr>
          <w:sz w:val="24"/>
          <w:szCs w:val="24"/>
        </w:rPr>
        <w:br/>
      </w:r>
      <w:r>
        <w:rPr>
          <w:b/>
          <w:bCs/>
        </w:rPr>
        <w:t xml:space="preserve">2.8. Returns and Filing Dates </w:t>
      </w:r>
      <w:r>
        <w:rPr>
          <w:b/>
          <w:bCs/>
        </w:rPr>
        <w:br/>
      </w:r>
      <w:r>
        <w:rPr>
          <w:b/>
          <w:bCs/>
        </w:rPr>
        <w:br/>
      </w:r>
      <w:r>
        <w:rPr>
          <w:b/>
          <w:bCs/>
        </w:rPr>
        <w:lastRenderedPageBreak/>
        <w:t xml:space="preserve">2.8.1. Filing Deadline </w:t>
      </w:r>
      <w:r>
        <w:rPr>
          <w:b/>
          <w:bCs/>
        </w:rPr>
        <w:br/>
      </w:r>
      <w:r>
        <w:t>Limited liability companies, joint stock companies, holding companies, corporations, public establishments and large/major taxpayers</w:t>
      </w:r>
      <w:r>
        <w:rPr>
          <w:vertAlign w:val="superscript"/>
        </w:rPr>
        <w:t>2</w:t>
      </w:r>
      <w:r w:rsidRPr="00CE3533">
        <w:rPr>
          <w:rStyle w:val="FootnoteReference"/>
        </w:rPr>
        <w:footnoteReference w:customMarkFollows="1" w:id="24"/>
        <w:t>0</w:t>
      </w:r>
      <w:r>
        <w:t xml:space="preserve"> must submit their tax return by May 31 of the following year.</w:t>
      </w:r>
    </w:p>
    <w:p w14:paraId="733049CF" w14:textId="77777777" w:rsidR="00D84736" w:rsidRDefault="00D84736">
      <w:pPr>
        <w:pStyle w:val="p"/>
      </w:pPr>
      <w:r>
        <w:t>All other types of companies, including sole proprietorships, must submit their tax return by March 31 of the following year.</w:t>
      </w:r>
      <w:r>
        <w:rPr>
          <w:vertAlign w:val="superscript"/>
        </w:rPr>
        <w:t>2</w:t>
      </w:r>
      <w:r w:rsidRPr="00CE3533">
        <w:rPr>
          <w:rStyle w:val="FootnoteReference"/>
        </w:rPr>
        <w:footnoteReference w:customMarkFollows="1" w:id="25"/>
        <w:t>1</w:t>
      </w:r>
    </w:p>
    <w:p w14:paraId="1E8C8143" w14:textId="77777777" w:rsidR="00D84736" w:rsidRDefault="00D84736">
      <w:pPr>
        <w:pStyle w:val="p"/>
      </w:pPr>
      <w:r>
        <w:rPr>
          <w:sz w:val="24"/>
          <w:szCs w:val="24"/>
        </w:rPr>
        <w:br/>
      </w:r>
      <w:r>
        <w:rPr>
          <w:b/>
          <w:bCs/>
        </w:rPr>
        <w:t xml:space="preserve">2.8.2. Filing Method </w:t>
      </w:r>
      <w:r>
        <w:rPr>
          <w:b/>
          <w:bCs/>
        </w:rPr>
        <w:br/>
      </w:r>
      <w:r>
        <w:t>The corporate tax return must be filed on paper.</w:t>
      </w:r>
    </w:p>
    <w:p w14:paraId="5B24ADD7" w14:textId="49051E3E" w:rsidR="008F00A0" w:rsidRPr="008F00A0" w:rsidRDefault="008F00A0">
      <w:pPr>
        <w:pStyle w:val="p"/>
      </w:pPr>
      <w:r>
        <w:rPr>
          <w:b/>
          <w:bCs/>
          <w:i/>
          <w:iCs/>
        </w:rPr>
        <w:t>Planning Point:</w:t>
      </w:r>
      <w:r>
        <w:t xml:space="preserve"> </w:t>
      </w:r>
      <w:r w:rsidR="007829AA" w:rsidRPr="007829AA">
        <w:t>Legislative Decree No. 30</w:t>
      </w:r>
      <w:r w:rsidR="00455D6A">
        <w:t>/</w:t>
      </w:r>
      <w:r w:rsidR="007829AA" w:rsidRPr="007829AA">
        <w:t>2023</w:t>
      </w:r>
      <w:r w:rsidR="007829AA">
        <w:t xml:space="preserve">, article 28 provides for </w:t>
      </w:r>
      <w:r w:rsidR="00112754">
        <w:t xml:space="preserve">the </w:t>
      </w:r>
      <w:r w:rsidR="00DB36E9">
        <w:t>T</w:t>
      </w:r>
      <w:r w:rsidR="00416C0C">
        <w:t xml:space="preserve">ax </w:t>
      </w:r>
      <w:r w:rsidR="00DB36E9">
        <w:t>A</w:t>
      </w:r>
      <w:r w:rsidR="00416C0C">
        <w:t>dministration to introduce</w:t>
      </w:r>
      <w:r w:rsidR="00112754">
        <w:t xml:space="preserve"> an electronic system for </w:t>
      </w:r>
      <w:r w:rsidR="00BD1182">
        <w:t xml:space="preserve">taxpayers to organize accounts and issue invoices. </w:t>
      </w:r>
      <w:r w:rsidR="00C8307B">
        <w:t xml:space="preserve">The provisions also provide for </w:t>
      </w:r>
      <w:r w:rsidR="00205BB9">
        <w:t xml:space="preserve">taxpayers to be notified of documentation </w:t>
      </w:r>
      <w:r w:rsidR="00945A1E">
        <w:t>related to verification and collection of taxes, which suggests electronic filing may be introduced in due course.</w:t>
      </w:r>
    </w:p>
    <w:p w14:paraId="0F47B2F2" w14:textId="77777777" w:rsidR="00D84736" w:rsidRDefault="00D84736">
      <w:pPr>
        <w:pStyle w:val="p"/>
      </w:pPr>
      <w:r>
        <w:rPr>
          <w:sz w:val="24"/>
          <w:szCs w:val="24"/>
        </w:rPr>
        <w:br/>
      </w:r>
      <w:r>
        <w:rPr>
          <w:b/>
          <w:bCs/>
        </w:rPr>
        <w:t xml:space="preserve">2.8.3. Extensions </w:t>
      </w:r>
      <w:r>
        <w:rPr>
          <w:b/>
          <w:bCs/>
        </w:rPr>
        <w:br/>
      </w:r>
      <w:r>
        <w:t>An extension for filing a tax return may only be obtained by an exclusive decision issued by the Minister of Finance. The extension period cannot exceed 60 days.</w:t>
      </w:r>
      <w:r>
        <w:rPr>
          <w:vertAlign w:val="superscript"/>
        </w:rPr>
        <w:t>2</w:t>
      </w:r>
      <w:r w:rsidRPr="00CE3533">
        <w:rPr>
          <w:rStyle w:val="FootnoteReference"/>
        </w:rPr>
        <w:footnoteReference w:customMarkFollows="1" w:id="26"/>
        <w:t>2</w:t>
      </w:r>
    </w:p>
    <w:p w14:paraId="1FC66AFA" w14:textId="4B4440E0" w:rsidR="00D84736" w:rsidRDefault="00D84736" w:rsidP="00014EF4">
      <w:pPr>
        <w:pStyle w:val="p"/>
      </w:pPr>
      <w:r>
        <w:rPr>
          <w:sz w:val="24"/>
          <w:szCs w:val="24"/>
        </w:rPr>
        <w:br/>
      </w:r>
      <w:r>
        <w:rPr>
          <w:b/>
          <w:bCs/>
        </w:rPr>
        <w:t xml:space="preserve">2.8.4. Penalties </w:t>
      </w:r>
      <w:r>
        <w:rPr>
          <w:b/>
          <w:bCs/>
        </w:rPr>
        <w:br/>
      </w:r>
      <w:r w:rsidR="00385A29">
        <w:t>Non</w:t>
      </w:r>
      <w:r w:rsidR="00616BF3">
        <w:t xml:space="preserve">compliance with the filing requirements can result in a penalty </w:t>
      </w:r>
      <w:r w:rsidR="00A56998">
        <w:t>of up to 120 percent of the tax due for failure to file the return</w:t>
      </w:r>
      <w:r w:rsidR="000E14BD">
        <w:t xml:space="preserve"> and any </w:t>
      </w:r>
      <w:r w:rsidR="00C83688">
        <w:t>relevant attachments</w:t>
      </w:r>
      <w:r w:rsidR="000E14BD">
        <w:t xml:space="preserve">, and up to 200 percent of </w:t>
      </w:r>
      <w:r w:rsidR="002C7198">
        <w:t xml:space="preserve">any tax amount resulting from a discrepancy found as a result of </w:t>
      </w:r>
      <w:r w:rsidR="00F87811">
        <w:t>information</w:t>
      </w:r>
      <w:r w:rsidR="00492469" w:rsidRPr="00492469">
        <w:t xml:space="preserve"> </w:t>
      </w:r>
      <w:r w:rsidR="00492469">
        <w:t>omitted from the return or attachments</w:t>
      </w:r>
      <w:r w:rsidR="00F87811">
        <w:t>.</w:t>
      </w:r>
      <w:r w:rsidR="00616BF3">
        <w:t xml:space="preserve"> </w:t>
      </w:r>
      <w:r w:rsidR="00552712">
        <w:t xml:space="preserve">The Tax Administration has </w:t>
      </w:r>
      <w:r w:rsidR="00142F50">
        <w:t xml:space="preserve">power to </w:t>
      </w:r>
      <w:r w:rsidR="00ED5C0D">
        <w:t>estimate</w:t>
      </w:r>
      <w:r w:rsidR="00142F50">
        <w:t xml:space="preserve"> the taxpayer's</w:t>
      </w:r>
      <w:r w:rsidR="00ED5C0D">
        <w:t xml:space="preserve"> profits in the absence of </w:t>
      </w:r>
      <w:r w:rsidR="00A02352">
        <w:t>a return or other information</w:t>
      </w:r>
      <w:r w:rsidR="00E4621C">
        <w:t xml:space="preserve">, on which </w:t>
      </w:r>
      <w:r w:rsidR="009C0F18">
        <w:t>it can</w:t>
      </w:r>
      <w:r w:rsidR="00E4621C">
        <w:t xml:space="preserve"> base the </w:t>
      </w:r>
      <w:r w:rsidR="009C0F18">
        <w:t>penalties charged</w:t>
      </w:r>
      <w:r w:rsidR="009911C3">
        <w:t>.</w:t>
      </w:r>
      <w:r>
        <w:rPr>
          <w:vertAlign w:val="superscript"/>
        </w:rPr>
        <w:t>2</w:t>
      </w:r>
      <w:r w:rsidRPr="00CE3533">
        <w:rPr>
          <w:rStyle w:val="FootnoteReference"/>
        </w:rPr>
        <w:footnoteReference w:customMarkFollows="1" w:id="27"/>
        <w:t>3</w:t>
      </w:r>
    </w:p>
    <w:p w14:paraId="1A02AF4C" w14:textId="6D30CDB6" w:rsidR="00D84736" w:rsidRDefault="00D84736">
      <w:pPr>
        <w:pStyle w:val="p"/>
      </w:pPr>
      <w:r>
        <w:rPr>
          <w:sz w:val="24"/>
          <w:szCs w:val="24"/>
        </w:rPr>
        <w:br/>
      </w:r>
      <w:r>
        <w:rPr>
          <w:b/>
          <w:bCs/>
        </w:rPr>
        <w:t xml:space="preserve">2.9. Payment Mechanics </w:t>
      </w:r>
      <w:r>
        <w:rPr>
          <w:b/>
          <w:bCs/>
        </w:rPr>
        <w:br/>
      </w:r>
      <w:r>
        <w:rPr>
          <w:b/>
          <w:bCs/>
        </w:rPr>
        <w:br/>
        <w:t xml:space="preserve">2.9.1. Internal Withholding on Resident Companies </w:t>
      </w:r>
      <w:r>
        <w:rPr>
          <w:b/>
          <w:bCs/>
        </w:rPr>
        <w:br/>
      </w:r>
      <w:r>
        <w:t xml:space="preserve">Syria imposes a withholding tax on qualifying capital income at a rate of </w:t>
      </w:r>
      <w:r w:rsidR="00C86483" w:rsidRPr="00C94E42">
        <w:rPr>
          <w:highlight w:val="yellow"/>
        </w:rPr>
        <w:t>10</w:t>
      </w:r>
      <w:r w:rsidRPr="00C94E42">
        <w:rPr>
          <w:highlight w:val="yellow"/>
        </w:rPr>
        <w:t xml:space="preserve"> percent on resident companies</w:t>
      </w:r>
      <w:r w:rsidR="00C86483" w:rsidRPr="00C94E42">
        <w:rPr>
          <w:highlight w:val="yellow"/>
        </w:rPr>
        <w:t xml:space="preserve"> (from </w:t>
      </w:r>
      <w:r w:rsidR="00465FB5">
        <w:rPr>
          <w:highlight w:val="yellow"/>
        </w:rPr>
        <w:t>September</w:t>
      </w:r>
      <w:r w:rsidR="00DB6E72" w:rsidRPr="00C94E42">
        <w:rPr>
          <w:highlight w:val="yellow"/>
        </w:rPr>
        <w:t xml:space="preserve"> 1, 202</w:t>
      </w:r>
      <w:r w:rsidR="00465FB5">
        <w:rPr>
          <w:highlight w:val="yellow"/>
        </w:rPr>
        <w:t>3</w:t>
      </w:r>
      <w:r w:rsidR="00DB6E72" w:rsidRPr="00C94E42">
        <w:rPr>
          <w:highlight w:val="yellow"/>
        </w:rPr>
        <w:t>; previously 7.5 percent)</w:t>
      </w:r>
      <w:r w:rsidRPr="00C94E42">
        <w:rPr>
          <w:highlight w:val="yellow"/>
        </w:rPr>
        <w:t>.</w:t>
      </w:r>
      <w:r>
        <w:rPr>
          <w:vertAlign w:val="superscript"/>
        </w:rPr>
        <w:t>2</w:t>
      </w:r>
      <w:r w:rsidRPr="00CE3533">
        <w:rPr>
          <w:rStyle w:val="FootnoteReference"/>
        </w:rPr>
        <w:footnoteReference w:customMarkFollows="1" w:id="28"/>
        <w:t>4</w:t>
      </w:r>
    </w:p>
    <w:p w14:paraId="740BAC1B" w14:textId="37E35113" w:rsidR="00D84736" w:rsidRDefault="00D84736">
      <w:pPr>
        <w:pStyle w:val="p"/>
      </w:pPr>
      <w:r>
        <w:t xml:space="preserve">Further, qualifying income of certain companies is subject to withholding tax at various flat rates, including a 3 percent withholding tax on the value of specified construction works (see also </w:t>
      </w:r>
      <w:r w:rsidR="00AD64B5" w:rsidRPr="00AD64B5">
        <w:rPr>
          <w:highlight w:val="yellow"/>
        </w:rPr>
        <w:t>[</w:t>
      </w:r>
      <w:proofErr w:type="gramStart"/>
      <w:r w:rsidR="00AD64B5" w:rsidRPr="00AD64B5">
        <w:rPr>
          <w:highlight w:val="yellow"/>
        </w:rPr>
        <w:t>10.1]</w:t>
      </w:r>
      <w:r w:rsidR="00AD64B5" w:rsidRPr="00F610FF">
        <w:rPr>
          <w:highlight w:val="yellow"/>
        </w:rPr>
        <w:t>Section</w:t>
      </w:r>
      <w:proofErr w:type="gramEnd"/>
      <w:r w:rsidR="00AD64B5" w:rsidRPr="00F610FF">
        <w:rPr>
          <w:highlight w:val="yellow"/>
        </w:rPr>
        <w:t xml:space="preserve"> 10.1</w:t>
      </w:r>
      <w:r w:rsidR="00AD64B5" w:rsidRPr="00AD64B5">
        <w:rPr>
          <w:highlight w:val="yellow"/>
        </w:rPr>
        <w:t>[end]</w:t>
      </w:r>
      <w:r>
        <w:t xml:space="preserve"> for further examples). These flat rates are levied in place of the standard progressive rates for the income tax on real profits (See </w:t>
      </w:r>
      <w:r w:rsidR="00AD64B5" w:rsidRPr="00AD64B5">
        <w:rPr>
          <w:highlight w:val="yellow"/>
        </w:rPr>
        <w:t>[</w:t>
      </w:r>
      <w:proofErr w:type="gramStart"/>
      <w:r w:rsidR="00AD64B5" w:rsidRPr="00AD64B5">
        <w:rPr>
          <w:highlight w:val="yellow"/>
        </w:rPr>
        <w:t>3.1.1]</w:t>
      </w:r>
      <w:r w:rsidR="00AD64B5" w:rsidRPr="00F610FF">
        <w:rPr>
          <w:highlight w:val="yellow"/>
        </w:rPr>
        <w:t>Section</w:t>
      </w:r>
      <w:proofErr w:type="gramEnd"/>
      <w:r w:rsidR="00AD64B5" w:rsidRPr="00F610FF">
        <w:rPr>
          <w:highlight w:val="yellow"/>
        </w:rPr>
        <w:t xml:space="preserve"> 3.1.1</w:t>
      </w:r>
      <w:r w:rsidR="00AD64B5" w:rsidRPr="00AD64B5">
        <w:rPr>
          <w:highlight w:val="yellow"/>
        </w:rPr>
        <w:t>[end]</w:t>
      </w:r>
      <w:r>
        <w:t>) and are final.</w:t>
      </w:r>
      <w:r>
        <w:rPr>
          <w:vertAlign w:val="superscript"/>
        </w:rPr>
        <w:t>2</w:t>
      </w:r>
      <w:r w:rsidRPr="00CE3533">
        <w:rPr>
          <w:rStyle w:val="FootnoteReference"/>
        </w:rPr>
        <w:footnoteReference w:customMarkFollows="1" w:id="29"/>
        <w:t>5</w:t>
      </w:r>
    </w:p>
    <w:p w14:paraId="7ED67C2B" w14:textId="26AA1A80" w:rsidR="00D84736" w:rsidRDefault="00D84736">
      <w:pPr>
        <w:pStyle w:val="p"/>
      </w:pPr>
      <w:r>
        <w:rPr>
          <w:sz w:val="24"/>
          <w:szCs w:val="24"/>
        </w:rPr>
        <w:lastRenderedPageBreak/>
        <w:br/>
      </w:r>
      <w:r>
        <w:rPr>
          <w:b/>
          <w:bCs/>
        </w:rPr>
        <w:t xml:space="preserve">2.9.2. Schedule for Tax Payments or Deposits </w:t>
      </w:r>
      <w:r>
        <w:rPr>
          <w:b/>
          <w:bCs/>
        </w:rPr>
        <w:br/>
      </w:r>
      <w:r>
        <w:t xml:space="preserve">A company must file a tax return as stated in </w:t>
      </w:r>
      <w:r w:rsidR="00AD64B5" w:rsidRPr="00AD64B5">
        <w:rPr>
          <w:highlight w:val="yellow"/>
        </w:rPr>
        <w:t>[</w:t>
      </w:r>
      <w:proofErr w:type="gramStart"/>
      <w:r w:rsidR="00AD64B5" w:rsidRPr="00AD64B5">
        <w:rPr>
          <w:highlight w:val="yellow"/>
        </w:rPr>
        <w:t>2.8.1]</w:t>
      </w:r>
      <w:r w:rsidR="00AD64B5" w:rsidRPr="00F610FF">
        <w:rPr>
          <w:highlight w:val="yellow"/>
        </w:rPr>
        <w:t>Section</w:t>
      </w:r>
      <w:proofErr w:type="gramEnd"/>
      <w:r w:rsidR="00AD64B5" w:rsidRPr="00F610FF">
        <w:rPr>
          <w:highlight w:val="yellow"/>
        </w:rPr>
        <w:t xml:space="preserve"> 2.8.1</w:t>
      </w:r>
      <w:r w:rsidR="00AD64B5" w:rsidRPr="00AD64B5">
        <w:rPr>
          <w:highlight w:val="yellow"/>
        </w:rPr>
        <w:t>[end]</w:t>
      </w:r>
      <w:r>
        <w:t>.</w:t>
      </w:r>
    </w:p>
    <w:p w14:paraId="05668146" w14:textId="08D17196" w:rsidR="00D84736" w:rsidRDefault="00D84736">
      <w:pPr>
        <w:pStyle w:val="p"/>
      </w:pPr>
      <w:r>
        <w:t>Taxpayers with a filing deadline of March 31 (</w:t>
      </w:r>
      <w:r w:rsidRPr="00376A98">
        <w:rPr>
          <w:highlight w:val="red"/>
        </w:rPr>
        <w:t xml:space="preserve">see </w:t>
      </w:r>
      <w:r w:rsidR="00AD64B5" w:rsidRPr="00376A98">
        <w:rPr>
          <w:highlight w:val="red"/>
        </w:rPr>
        <w:t>[2.8.</w:t>
      </w:r>
      <w:proofErr w:type="gramStart"/>
      <w:r w:rsidR="00AD64B5" w:rsidRPr="00376A98">
        <w:rPr>
          <w:highlight w:val="red"/>
        </w:rPr>
        <w:t>1][</w:t>
      </w:r>
      <w:proofErr w:type="gramEnd"/>
      <w:r w:rsidR="00AD64B5" w:rsidRPr="00376A98">
        <w:rPr>
          <w:highlight w:val="red"/>
        </w:rPr>
        <w:t>2.8.1]</w:t>
      </w:r>
      <w:r w:rsidR="00AD64B5" w:rsidRPr="00F610FF">
        <w:rPr>
          <w:highlight w:val="red"/>
        </w:rPr>
        <w:t>Section 2.8.1</w:t>
      </w:r>
      <w:r w:rsidR="00AD64B5" w:rsidRPr="00376A98">
        <w:rPr>
          <w:highlight w:val="red"/>
        </w:rPr>
        <w:t>[end][end]</w:t>
      </w:r>
      <w:r w:rsidRPr="00376A98">
        <w:rPr>
          <w:highlight w:val="red"/>
        </w:rPr>
        <w:t>) have</w:t>
      </w:r>
      <w:r>
        <w:t xml:space="preserve"> </w:t>
      </w:r>
      <w:r w:rsidR="00901B51">
        <w:t xml:space="preserve"> </w:t>
      </w:r>
      <w:r w:rsidR="00901B51" w:rsidRPr="00901B51">
        <w:rPr>
          <w:highlight w:val="cyan"/>
        </w:rPr>
        <w:t>[</w:t>
      </w:r>
      <w:r w:rsidR="00901B51">
        <w:rPr>
          <w:highlight w:val="cyan"/>
        </w:rPr>
        <w:t>&lt;</w:t>
      </w:r>
      <w:proofErr w:type="spellStart"/>
      <w:r w:rsidR="00901B51">
        <w:rPr>
          <w:highlight w:val="cyan"/>
        </w:rPr>
        <w:t>cite.bna.reference</w:t>
      </w:r>
      <w:proofErr w:type="spellEnd"/>
      <w:r w:rsidR="00901B51">
        <w:rPr>
          <w:highlight w:val="cyan"/>
        </w:rPr>
        <w:t xml:space="preserve">&gt; tagging </w:t>
      </w:r>
      <w:r w:rsidR="00901B51" w:rsidRPr="00901B51">
        <w:rPr>
          <w:highlight w:val="cyan"/>
        </w:rPr>
        <w:t>missing]</w:t>
      </w:r>
      <w:r w:rsidR="00901B51">
        <w:t xml:space="preserve"> </w:t>
      </w:r>
      <w:r>
        <w:t xml:space="preserve">a grace period until April 30, to discharge their estimated tax liability. Taxpayers with a filing deadline of May 31 (see </w:t>
      </w:r>
      <w:r w:rsidR="00AD64B5" w:rsidRPr="00376A98">
        <w:rPr>
          <w:highlight w:val="red"/>
        </w:rPr>
        <w:t>[2.8.</w:t>
      </w:r>
      <w:proofErr w:type="gramStart"/>
      <w:r w:rsidR="00AD64B5" w:rsidRPr="00376A98">
        <w:rPr>
          <w:highlight w:val="red"/>
        </w:rPr>
        <w:t>1][</w:t>
      </w:r>
      <w:proofErr w:type="gramEnd"/>
      <w:r w:rsidR="00AD64B5" w:rsidRPr="00376A98">
        <w:rPr>
          <w:highlight w:val="red"/>
        </w:rPr>
        <w:t>2.8.1]Section 2.8.1[end][end]</w:t>
      </w:r>
      <w:r w:rsidRPr="00376A98">
        <w:rPr>
          <w:highlight w:val="red"/>
        </w:rPr>
        <w:t>)</w:t>
      </w:r>
      <w:r w:rsidR="00901B51">
        <w:t xml:space="preserve"> </w:t>
      </w:r>
      <w:r>
        <w:t xml:space="preserve"> </w:t>
      </w:r>
      <w:r w:rsidR="00901B51" w:rsidRPr="00901B51">
        <w:rPr>
          <w:highlight w:val="cyan"/>
        </w:rPr>
        <w:t>[</w:t>
      </w:r>
      <w:r w:rsidR="00901B51">
        <w:rPr>
          <w:highlight w:val="cyan"/>
        </w:rPr>
        <w:t>&lt;</w:t>
      </w:r>
      <w:proofErr w:type="spellStart"/>
      <w:r w:rsidR="00901B51">
        <w:rPr>
          <w:highlight w:val="cyan"/>
        </w:rPr>
        <w:t>cite.bna.reference</w:t>
      </w:r>
      <w:proofErr w:type="spellEnd"/>
      <w:r w:rsidR="00901B51">
        <w:rPr>
          <w:highlight w:val="cyan"/>
        </w:rPr>
        <w:t xml:space="preserve">&gt; tagging </w:t>
      </w:r>
      <w:r w:rsidR="00901B51" w:rsidRPr="00901B51">
        <w:rPr>
          <w:highlight w:val="cyan"/>
        </w:rPr>
        <w:t>missing]</w:t>
      </w:r>
      <w:r w:rsidR="00901B51">
        <w:t xml:space="preserve"> </w:t>
      </w:r>
      <w:r>
        <w:t>have a grace period until June 30, to discharge their estimated tax liability.</w:t>
      </w:r>
      <w:r>
        <w:rPr>
          <w:vertAlign w:val="superscript"/>
        </w:rPr>
        <w:t>2</w:t>
      </w:r>
      <w:r w:rsidRPr="00CE3533">
        <w:rPr>
          <w:rStyle w:val="FootnoteReference"/>
        </w:rPr>
        <w:footnoteReference w:customMarkFollows="1" w:id="30"/>
        <w:t>6</w:t>
      </w:r>
    </w:p>
    <w:p w14:paraId="487A1373" w14:textId="77777777" w:rsidR="00D84736" w:rsidRDefault="00D84736">
      <w:pPr>
        <w:pStyle w:val="p"/>
      </w:pPr>
      <w:r>
        <w:t>After the tax return has been filed and the tax liability discharged, the Ministry of Finance audits the submitted tax return. In the event the Ministry amends the profits declared on the tax return, it will impose a "Provisional Levy"</w:t>
      </w:r>
      <w:r>
        <w:rPr>
          <w:vertAlign w:val="superscript"/>
        </w:rPr>
        <w:t>2</w:t>
      </w:r>
      <w:r w:rsidRPr="00CE3533">
        <w:rPr>
          <w:rStyle w:val="FootnoteReference"/>
        </w:rPr>
        <w:footnoteReference w:customMarkFollows="1" w:id="31"/>
        <w:t>7</w:t>
      </w:r>
      <w:r>
        <w:t xml:space="preserve"> on the taxpayer and issue formal written notification to the taxpayer.</w:t>
      </w:r>
    </w:p>
    <w:p w14:paraId="0E490563" w14:textId="77777777" w:rsidR="00D84736" w:rsidRDefault="00D84736">
      <w:pPr>
        <w:pStyle w:val="p"/>
      </w:pPr>
      <w:r w:rsidRPr="00F610FF">
        <w:rPr>
          <w:highlight w:val="red"/>
        </w:rPr>
        <w:t>If the taxpayer agrees with the amount of the "Provisional Levy" imposed, within 20 days from the date of formal notification, the levy becomes final.</w:t>
      </w:r>
    </w:p>
    <w:p w14:paraId="22605BF1" w14:textId="77777777" w:rsidR="00D84736" w:rsidRDefault="00D84736">
      <w:pPr>
        <w:pStyle w:val="p"/>
      </w:pPr>
      <w:r>
        <w:t>If the taxpayer does not agree with the amount of the "Provisional Levy" imposed, it can withhold paying the tax and, within 30 days from the date of the formal notification, appeal the Ministry of Finance's decision to the Appeal Committee. The taxpayer may appeal the Appeal Committee's decision to the Committee of Reconsideration, whose decision is final.</w:t>
      </w:r>
      <w:r>
        <w:rPr>
          <w:vertAlign w:val="superscript"/>
        </w:rPr>
        <w:t>2</w:t>
      </w:r>
      <w:r w:rsidRPr="00CE3533">
        <w:rPr>
          <w:rStyle w:val="FootnoteReference"/>
        </w:rPr>
        <w:footnoteReference w:customMarkFollows="1" w:id="32"/>
        <w:t>8</w:t>
      </w:r>
    </w:p>
    <w:tbl>
      <w:tblPr>
        <w:tblStyle w:val="TableGrid"/>
        <w:tblW w:w="0" w:type="auto"/>
        <w:tblLook w:val="04A0" w:firstRow="1" w:lastRow="0" w:firstColumn="1" w:lastColumn="0" w:noHBand="0" w:noVBand="1"/>
      </w:tblPr>
      <w:tblGrid>
        <w:gridCol w:w="9350"/>
      </w:tblGrid>
      <w:tr w:rsidR="00F610FF" w14:paraId="07F02324" w14:textId="77777777" w:rsidTr="00F610FF">
        <w:tc>
          <w:tcPr>
            <w:tcW w:w="9350" w:type="dxa"/>
          </w:tcPr>
          <w:p w14:paraId="387B70C7" w14:textId="25EE9A68" w:rsidR="00F610FF" w:rsidRPr="00F610FF" w:rsidRDefault="00F610FF" w:rsidP="00F610FF">
            <w:pPr>
              <w:pStyle w:val="p"/>
              <w:rPr>
                <w:rFonts w:ascii="Courier New" w:hAnsi="Courier New" w:cs="Courier New"/>
              </w:rPr>
            </w:pPr>
            <w:r w:rsidRPr="00F610FF">
              <w:rPr>
                <w:rFonts w:ascii="Courier New" w:hAnsi="Courier New" w:cs="Courier New"/>
                <w:highlight w:val="cyan"/>
              </w:rPr>
              <w:t>From Innodata XML</w:t>
            </w:r>
            <w:r w:rsidR="00901B51">
              <w:rPr>
                <w:rFonts w:ascii="Courier New" w:hAnsi="Courier New" w:cs="Courier New"/>
                <w:highlight w:val="cyan"/>
              </w:rPr>
              <w:t xml:space="preserve">. Incorrect and missing text. </w:t>
            </w:r>
          </w:p>
          <w:p w14:paraId="66E74A6D" w14:textId="77777777" w:rsidR="00F610FF" w:rsidRPr="00F610FF" w:rsidRDefault="00F610FF" w:rsidP="00F610FF">
            <w:pPr>
              <w:pStyle w:val="p"/>
              <w:ind w:left="720"/>
              <w:rPr>
                <w:rFonts w:ascii="Courier New" w:hAnsi="Courier New" w:cs="Courier New"/>
                <w:sz w:val="16"/>
                <w:szCs w:val="16"/>
              </w:rPr>
            </w:pPr>
            <w:r w:rsidRPr="00F610FF">
              <w:rPr>
                <w:rFonts w:ascii="Courier New" w:hAnsi="Courier New" w:cs="Courier New"/>
                <w:sz w:val="16"/>
                <w:szCs w:val="16"/>
              </w:rPr>
              <w:t xml:space="preserve">       </w:t>
            </w:r>
            <w:r w:rsidRPr="00F610FF">
              <w:rPr>
                <w:rFonts w:ascii="Courier New" w:hAnsi="Courier New" w:cs="Courier New"/>
                <w:sz w:val="16"/>
                <w:szCs w:val="16"/>
                <w:highlight w:val="red"/>
              </w:rPr>
              <w:t xml:space="preserve">&lt;para </w:t>
            </w:r>
            <w:proofErr w:type="spellStart"/>
            <w:proofErr w:type="gramStart"/>
            <w:r w:rsidRPr="00F610FF">
              <w:rPr>
                <w:rFonts w:ascii="Courier New" w:hAnsi="Courier New" w:cs="Courier New"/>
                <w:sz w:val="16"/>
                <w:szCs w:val="16"/>
                <w:highlight w:val="red"/>
              </w:rPr>
              <w:t>include.in.chart</w:t>
            </w:r>
            <w:proofErr w:type="spellEnd"/>
            <w:proofErr w:type="gramEnd"/>
            <w:r w:rsidRPr="00F610FF">
              <w:rPr>
                <w:rFonts w:ascii="Courier New" w:hAnsi="Courier New" w:cs="Courier New"/>
                <w:sz w:val="16"/>
                <w:szCs w:val="16"/>
                <w:highlight w:val="red"/>
              </w:rPr>
              <w:t>="1"&gt;The "Provisional Levy" is a revised figure for the taxpayer's tax liability for the relevant tax year.&lt;/para&gt;</w:t>
            </w:r>
          </w:p>
          <w:p w14:paraId="521F1927" w14:textId="77777777" w:rsidR="00F610FF" w:rsidRPr="00F610FF" w:rsidRDefault="00F610FF" w:rsidP="00F610FF">
            <w:pPr>
              <w:pStyle w:val="p"/>
              <w:ind w:left="720"/>
              <w:rPr>
                <w:rFonts w:ascii="Courier New" w:hAnsi="Courier New" w:cs="Courier New"/>
                <w:sz w:val="16"/>
                <w:szCs w:val="16"/>
              </w:rPr>
            </w:pPr>
            <w:r w:rsidRPr="00F610FF">
              <w:rPr>
                <w:rFonts w:ascii="Courier New" w:hAnsi="Courier New" w:cs="Courier New"/>
                <w:sz w:val="16"/>
                <w:szCs w:val="16"/>
              </w:rPr>
              <w:t xml:space="preserve">       &lt;para </w:t>
            </w:r>
            <w:proofErr w:type="spellStart"/>
            <w:proofErr w:type="gramStart"/>
            <w:r w:rsidRPr="00F610FF">
              <w:rPr>
                <w:rFonts w:ascii="Courier New" w:hAnsi="Courier New" w:cs="Courier New"/>
                <w:sz w:val="16"/>
                <w:szCs w:val="16"/>
              </w:rPr>
              <w:t>include.in.chart</w:t>
            </w:r>
            <w:proofErr w:type="spellEnd"/>
            <w:proofErr w:type="gramEnd"/>
            <w:r w:rsidRPr="00F610FF">
              <w:rPr>
                <w:rFonts w:ascii="Courier New" w:hAnsi="Courier New" w:cs="Courier New"/>
                <w:sz w:val="16"/>
                <w:szCs w:val="16"/>
              </w:rPr>
              <w:t xml:space="preserve">="1"&gt;If the taxpayer does not agree with the amount of the "Provisional Levy" imposed, it can withhold paying the tax and, within 30 days from the date of the formal notification, appeal the Ministry of Finance's decision to the Appeal Committee. The taxpayer may appeal the Appeal Committee's decision to the Committee of Reconsideration, whose decision is </w:t>
            </w:r>
            <w:proofErr w:type="gramStart"/>
            <w:r w:rsidRPr="00F610FF">
              <w:rPr>
                <w:rFonts w:ascii="Courier New" w:hAnsi="Courier New" w:cs="Courier New"/>
                <w:sz w:val="16"/>
                <w:szCs w:val="16"/>
              </w:rPr>
              <w:t>final.&lt;</w:t>
            </w:r>
            <w:proofErr w:type="gramEnd"/>
            <w:r w:rsidRPr="00F610FF">
              <w:rPr>
                <w:rFonts w:ascii="Courier New" w:hAnsi="Courier New" w:cs="Courier New"/>
                <w:sz w:val="16"/>
                <w:szCs w:val="16"/>
              </w:rPr>
              <w:t>footnote&gt;&lt;</w:t>
            </w:r>
            <w:proofErr w:type="spellStart"/>
            <w:r w:rsidRPr="00F610FF">
              <w:rPr>
                <w:rFonts w:ascii="Courier New" w:hAnsi="Courier New" w:cs="Courier New"/>
                <w:sz w:val="16"/>
                <w:szCs w:val="16"/>
              </w:rPr>
              <w:t>footnote.marker</w:t>
            </w:r>
            <w:proofErr w:type="spellEnd"/>
            <w:r w:rsidRPr="00F610FF">
              <w:rPr>
                <w:rFonts w:ascii="Courier New" w:hAnsi="Courier New" w:cs="Courier New"/>
                <w:sz w:val="16"/>
                <w:szCs w:val="16"/>
              </w:rPr>
              <w:t>&gt;</w:t>
            </w:r>
          </w:p>
          <w:p w14:paraId="28B37730" w14:textId="77B2D28A" w:rsidR="00F610FF" w:rsidRDefault="00F610FF" w:rsidP="00F610FF">
            <w:pPr>
              <w:pStyle w:val="p"/>
              <w:ind w:left="720" w:firstLine="0"/>
              <w:rPr>
                <w:sz w:val="24"/>
                <w:szCs w:val="24"/>
              </w:rPr>
            </w:pPr>
          </w:p>
        </w:tc>
      </w:tr>
    </w:tbl>
    <w:p w14:paraId="65B3F022" w14:textId="5E6A5A16" w:rsidR="00D84736" w:rsidRDefault="00D84736">
      <w:pPr>
        <w:pStyle w:val="p"/>
      </w:pPr>
      <w:r>
        <w:rPr>
          <w:sz w:val="24"/>
          <w:szCs w:val="24"/>
        </w:rPr>
        <w:br/>
      </w:r>
      <w:r>
        <w:rPr>
          <w:b/>
          <w:bCs/>
        </w:rPr>
        <w:t xml:space="preserve">2.9.3. Electronic Payments </w:t>
      </w:r>
      <w:r>
        <w:rPr>
          <w:b/>
          <w:bCs/>
        </w:rPr>
        <w:br/>
      </w:r>
      <w:r>
        <w:t>In Syria, there is no electronic payment of taxes.</w:t>
      </w:r>
    </w:p>
    <w:p w14:paraId="43104269" w14:textId="77777777" w:rsidR="00D84736" w:rsidRDefault="00D84736">
      <w:pPr>
        <w:pStyle w:val="p"/>
      </w:pPr>
      <w:r>
        <w:rPr>
          <w:sz w:val="24"/>
          <w:szCs w:val="24"/>
        </w:rPr>
        <w:br/>
      </w:r>
      <w:r>
        <w:rPr>
          <w:b/>
          <w:bCs/>
        </w:rPr>
        <w:t xml:space="preserve">2.9.4. Interest and Penalties </w:t>
      </w:r>
      <w:r>
        <w:rPr>
          <w:b/>
          <w:bCs/>
        </w:rPr>
        <w:br/>
      </w:r>
      <w:r>
        <w:t>Nonpayment of tax may trigger imposition of a penalty at a rate of up to 30 percent.</w:t>
      </w:r>
      <w:r>
        <w:rPr>
          <w:vertAlign w:val="superscript"/>
        </w:rPr>
        <w:t>2</w:t>
      </w:r>
      <w:r w:rsidRPr="00CE3533">
        <w:rPr>
          <w:rStyle w:val="FootnoteReference"/>
        </w:rPr>
        <w:footnoteReference w:customMarkFollows="1" w:id="33"/>
        <w:t>9</w:t>
      </w:r>
    </w:p>
    <w:p w14:paraId="61D08BDC" w14:textId="3E520BF2" w:rsidR="00D84736" w:rsidRDefault="00D84736">
      <w:pPr>
        <w:pStyle w:val="p"/>
      </w:pPr>
      <w:r>
        <w:t xml:space="preserve">If a decision by the Committee of Reconsideration (see </w:t>
      </w:r>
      <w:r w:rsidR="00AD64B5" w:rsidRPr="00376A98">
        <w:rPr>
          <w:highlight w:val="red"/>
        </w:rPr>
        <w:t>[</w:t>
      </w:r>
      <w:proofErr w:type="gramStart"/>
      <w:r w:rsidR="00AD64B5" w:rsidRPr="00376A98">
        <w:rPr>
          <w:highlight w:val="red"/>
        </w:rPr>
        <w:t>2.9.2]</w:t>
      </w:r>
      <w:r w:rsidR="00AD64B5" w:rsidRPr="00F610FF">
        <w:rPr>
          <w:highlight w:val="red"/>
        </w:rPr>
        <w:t>Section</w:t>
      </w:r>
      <w:proofErr w:type="gramEnd"/>
      <w:r w:rsidR="00AD64B5" w:rsidRPr="00F610FF">
        <w:rPr>
          <w:highlight w:val="red"/>
        </w:rPr>
        <w:t xml:space="preserve"> 2.9.2</w:t>
      </w:r>
      <w:r w:rsidR="00AD64B5" w:rsidRPr="00376A98">
        <w:rPr>
          <w:highlight w:val="red"/>
        </w:rPr>
        <w:t>[end]</w:t>
      </w:r>
      <w:r w:rsidRPr="00376A98">
        <w:rPr>
          <w:highlight w:val="red"/>
        </w:rPr>
        <w:t>)</w:t>
      </w:r>
      <w:r>
        <w:t xml:space="preserve"> </w:t>
      </w:r>
      <w:r w:rsidR="002F17AF" w:rsidRPr="002F17AF">
        <w:rPr>
          <w:highlight w:val="cyan"/>
        </w:rPr>
        <w:t>[</w:t>
      </w:r>
      <w:r w:rsidR="002F17AF">
        <w:rPr>
          <w:highlight w:val="cyan"/>
        </w:rPr>
        <w:t xml:space="preserve">&lt;cite&gt; tagging </w:t>
      </w:r>
      <w:r w:rsidR="002F17AF" w:rsidRPr="002F17AF">
        <w:rPr>
          <w:highlight w:val="cyan"/>
        </w:rPr>
        <w:t>missing]</w:t>
      </w:r>
      <w:r w:rsidR="002F17AF">
        <w:t xml:space="preserve"> </w:t>
      </w:r>
      <w:r>
        <w:t xml:space="preserve">is rendered during the months of November and December: </w:t>
      </w:r>
    </w:p>
    <w:p w14:paraId="18926F56" w14:textId="26DC9DBE" w:rsidR="00D84736" w:rsidRDefault="00D56218">
      <w:pPr>
        <w:pStyle w:val="p"/>
      </w:pPr>
      <w:r>
        <w:rPr>
          <w:noProof/>
        </w:rPr>
        <w:drawing>
          <wp:inline distT="0" distB="0" distL="0" distR="0" wp14:anchorId="364E6915" wp14:editId="210DBB71">
            <wp:extent cx="130810" cy="13081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companies that pay their taxes during the month of July of the following year shall be subject to a fine of 5 percent of the amount of tax paid, to be added to their tax </w:t>
      </w:r>
      <w:proofErr w:type="gramStart"/>
      <w:r w:rsidR="00D84736">
        <w:t>liability;</w:t>
      </w:r>
      <w:proofErr w:type="gramEnd"/>
    </w:p>
    <w:p w14:paraId="44C5E5BF" w14:textId="50CCDE5C" w:rsidR="00D84736" w:rsidRDefault="00D56218">
      <w:pPr>
        <w:pStyle w:val="p"/>
      </w:pPr>
      <w:r>
        <w:rPr>
          <w:noProof/>
        </w:rPr>
        <w:drawing>
          <wp:inline distT="0" distB="0" distL="0" distR="0" wp14:anchorId="792209F1" wp14:editId="3A1EF5EA">
            <wp:extent cx="130810" cy="13081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companies that pay their taxes during the months of August until the end of the following year shall be subject to a 1 percent per month of the amount of tax paid, to be added to their tax liability (in addition to the 5 percent for the month of July); and</w:t>
      </w:r>
    </w:p>
    <w:p w14:paraId="770BB05E" w14:textId="4176635C" w:rsidR="00D84736" w:rsidRDefault="00D56218">
      <w:pPr>
        <w:pStyle w:val="p"/>
      </w:pPr>
      <w:r>
        <w:rPr>
          <w:noProof/>
        </w:rPr>
        <w:drawing>
          <wp:inline distT="0" distB="0" distL="0" distR="0" wp14:anchorId="29E44F0C" wp14:editId="39FD3210">
            <wp:extent cx="130810" cy="13081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if the company pays its taxes the following year and the years thereafter, a fine of up to 20 percent will be added to the above fines.</w:t>
      </w:r>
      <w:r w:rsidR="00D84736">
        <w:rPr>
          <w:vertAlign w:val="superscript"/>
        </w:rPr>
        <w:t>3</w:t>
      </w:r>
      <w:r w:rsidR="00D84736" w:rsidRPr="00CE3533">
        <w:rPr>
          <w:rStyle w:val="FootnoteReference"/>
        </w:rPr>
        <w:footnoteReference w:customMarkFollows="1" w:id="34"/>
        <w:t>0</w:t>
      </w:r>
    </w:p>
    <w:p w14:paraId="1679FA24" w14:textId="77777777" w:rsidR="00D84736" w:rsidRDefault="00D84736">
      <w:pPr>
        <w:rPr>
          <w:sz w:val="24"/>
          <w:szCs w:val="24"/>
        </w:rPr>
      </w:pPr>
    </w:p>
    <w:p w14:paraId="607DF172" w14:textId="703A6030" w:rsidR="00D84736" w:rsidRDefault="00D84736">
      <w:pPr>
        <w:pStyle w:val="p"/>
      </w:pPr>
      <w:r w:rsidRPr="002F17AF">
        <w:rPr>
          <w:highlight w:val="red"/>
        </w:rPr>
        <w:t xml:space="preserve">See also </w:t>
      </w:r>
      <w:r w:rsidR="00AD64B5" w:rsidRPr="002F17AF">
        <w:rPr>
          <w:highlight w:val="red"/>
        </w:rPr>
        <w:t>[</w:t>
      </w:r>
      <w:proofErr w:type="gramStart"/>
      <w:r w:rsidR="00AD64B5" w:rsidRPr="002F17AF">
        <w:rPr>
          <w:highlight w:val="red"/>
        </w:rPr>
        <w:t>2.8.4]Section</w:t>
      </w:r>
      <w:proofErr w:type="gramEnd"/>
      <w:r w:rsidR="00AD64B5" w:rsidRPr="002F17AF">
        <w:rPr>
          <w:highlight w:val="red"/>
        </w:rPr>
        <w:t xml:space="preserve"> 2.8.4[end]</w:t>
      </w:r>
      <w:r w:rsidRPr="002F17AF">
        <w:rPr>
          <w:highlight w:val="red"/>
        </w:rPr>
        <w:t>.</w:t>
      </w:r>
      <w:r w:rsidR="00901B51">
        <w:t xml:space="preserve"> </w:t>
      </w:r>
      <w:r w:rsidR="00901B51" w:rsidRPr="00901B51">
        <w:rPr>
          <w:highlight w:val="cyan"/>
        </w:rPr>
        <w:t>[</w:t>
      </w:r>
      <w:r w:rsidR="00901B51">
        <w:rPr>
          <w:highlight w:val="cyan"/>
        </w:rPr>
        <w:t>&lt;</w:t>
      </w:r>
      <w:proofErr w:type="spellStart"/>
      <w:proofErr w:type="gramStart"/>
      <w:r w:rsidR="00901B51">
        <w:rPr>
          <w:highlight w:val="cyan"/>
        </w:rPr>
        <w:t>cite.bna.reference</w:t>
      </w:r>
      <w:proofErr w:type="spellEnd"/>
      <w:proofErr w:type="gramEnd"/>
      <w:r w:rsidR="00901B51">
        <w:rPr>
          <w:highlight w:val="cyan"/>
        </w:rPr>
        <w:t xml:space="preserve">&gt; tagging </w:t>
      </w:r>
      <w:r w:rsidR="00901B51" w:rsidRPr="00901B51">
        <w:rPr>
          <w:highlight w:val="cyan"/>
        </w:rPr>
        <w:t>missing]</w:t>
      </w:r>
    </w:p>
    <w:tbl>
      <w:tblPr>
        <w:tblStyle w:val="TableGrid"/>
        <w:tblW w:w="0" w:type="auto"/>
        <w:tblLook w:val="04A0" w:firstRow="1" w:lastRow="0" w:firstColumn="1" w:lastColumn="0" w:noHBand="0" w:noVBand="1"/>
      </w:tblPr>
      <w:tblGrid>
        <w:gridCol w:w="9350"/>
      </w:tblGrid>
      <w:tr w:rsidR="002F17AF" w14:paraId="34D08FCE" w14:textId="77777777" w:rsidTr="002F17AF">
        <w:tc>
          <w:tcPr>
            <w:tcW w:w="9350" w:type="dxa"/>
          </w:tcPr>
          <w:p w14:paraId="3A295936" w14:textId="566453CC" w:rsidR="002F17AF" w:rsidRPr="00F610FF" w:rsidRDefault="002F17AF" w:rsidP="002F17AF">
            <w:pPr>
              <w:pStyle w:val="p"/>
              <w:rPr>
                <w:rFonts w:ascii="Courier New" w:hAnsi="Courier New" w:cs="Courier New"/>
              </w:rPr>
            </w:pPr>
            <w:r w:rsidRPr="00F610FF">
              <w:rPr>
                <w:rFonts w:ascii="Courier New" w:hAnsi="Courier New" w:cs="Courier New"/>
                <w:highlight w:val="cyan"/>
              </w:rPr>
              <w:lastRenderedPageBreak/>
              <w:t>From Innodata XML</w:t>
            </w:r>
            <w:r>
              <w:rPr>
                <w:rFonts w:ascii="Courier New" w:hAnsi="Courier New" w:cs="Courier New"/>
                <w:highlight w:val="cyan"/>
              </w:rPr>
              <w:t>, &lt;cite&gt; tag in wrong location</w:t>
            </w:r>
            <w:r w:rsidRPr="00F610FF">
              <w:rPr>
                <w:rFonts w:ascii="Courier New" w:hAnsi="Courier New" w:cs="Courier New"/>
                <w:highlight w:val="cyan"/>
              </w:rPr>
              <w:t>:</w:t>
            </w:r>
          </w:p>
          <w:p w14:paraId="3BAE9D2D" w14:textId="25147BAE" w:rsidR="002F17AF" w:rsidRPr="002F17AF" w:rsidRDefault="002F17AF">
            <w:pPr>
              <w:pStyle w:val="p"/>
              <w:ind w:firstLine="0"/>
              <w:rPr>
                <w:rFonts w:ascii="Courier New" w:hAnsi="Courier New" w:cs="Courier New"/>
                <w:sz w:val="16"/>
                <w:szCs w:val="16"/>
              </w:rPr>
            </w:pPr>
            <w:r w:rsidRPr="002F17AF">
              <w:rPr>
                <w:rFonts w:ascii="Courier New" w:hAnsi="Courier New" w:cs="Courier New"/>
                <w:sz w:val="16"/>
                <w:szCs w:val="16"/>
              </w:rPr>
              <w:t xml:space="preserve">&lt;para </w:t>
            </w:r>
            <w:proofErr w:type="spellStart"/>
            <w:proofErr w:type="gramStart"/>
            <w:r w:rsidRPr="002F17AF">
              <w:rPr>
                <w:rFonts w:ascii="Courier New" w:hAnsi="Courier New" w:cs="Courier New"/>
                <w:sz w:val="16"/>
                <w:szCs w:val="16"/>
              </w:rPr>
              <w:t>include.in.chart</w:t>
            </w:r>
            <w:proofErr w:type="spellEnd"/>
            <w:proofErr w:type="gramEnd"/>
            <w:r w:rsidRPr="002F17AF">
              <w:rPr>
                <w:rFonts w:ascii="Courier New" w:hAnsi="Courier New" w:cs="Courier New"/>
                <w:sz w:val="16"/>
                <w:szCs w:val="16"/>
              </w:rPr>
              <w:t>="1"&gt;</w:t>
            </w:r>
            <w:r w:rsidRPr="002F17AF">
              <w:rPr>
                <w:rFonts w:ascii="Courier New" w:hAnsi="Courier New" w:cs="Courier New"/>
                <w:sz w:val="16"/>
                <w:szCs w:val="16"/>
                <w:highlight w:val="red"/>
              </w:rPr>
              <w:t>&lt;cite&gt;</w:t>
            </w:r>
            <w:r w:rsidRPr="002F17AF">
              <w:rPr>
                <w:rFonts w:ascii="Courier New" w:hAnsi="Courier New" w:cs="Courier New"/>
                <w:sz w:val="16"/>
                <w:szCs w:val="16"/>
              </w:rPr>
              <w:t>See also &lt;</w:t>
            </w:r>
            <w:proofErr w:type="spellStart"/>
            <w:r w:rsidRPr="002F17AF">
              <w:rPr>
                <w:rFonts w:ascii="Courier New" w:hAnsi="Courier New" w:cs="Courier New"/>
                <w:sz w:val="16"/>
                <w:szCs w:val="16"/>
              </w:rPr>
              <w:t>cite.bna.reference</w:t>
            </w:r>
            <w:proofErr w:type="spellEnd"/>
            <w:r w:rsidRPr="002F17AF">
              <w:rPr>
                <w:rFonts w:ascii="Courier New" w:hAnsi="Courier New" w:cs="Courier New"/>
                <w:sz w:val="16"/>
                <w:szCs w:val="16"/>
              </w:rPr>
              <w:t xml:space="preserve"> ref="gtg2\</w:t>
            </w:r>
            <w:proofErr w:type="spellStart"/>
            <w:r w:rsidRPr="002F17AF">
              <w:rPr>
                <w:rFonts w:ascii="Courier New" w:hAnsi="Courier New" w:cs="Courier New"/>
                <w:sz w:val="16"/>
                <w:szCs w:val="16"/>
              </w:rPr>
              <w:t>sy</w:t>
            </w:r>
            <w:proofErr w:type="spellEnd"/>
            <w:r w:rsidRPr="002F17AF">
              <w:rPr>
                <w:rFonts w:ascii="Courier New" w:hAnsi="Courier New" w:cs="Courier New"/>
                <w:sz w:val="16"/>
                <w:szCs w:val="16"/>
              </w:rPr>
              <w:t>\2.8.4"&gt;Section 2.8.4&lt;/</w:t>
            </w:r>
            <w:proofErr w:type="spellStart"/>
            <w:r w:rsidRPr="002F17AF">
              <w:rPr>
                <w:rFonts w:ascii="Courier New" w:hAnsi="Courier New" w:cs="Courier New"/>
                <w:sz w:val="16"/>
                <w:szCs w:val="16"/>
              </w:rPr>
              <w:t>cite.bna.reference</w:t>
            </w:r>
            <w:proofErr w:type="spellEnd"/>
            <w:r w:rsidRPr="002F17AF">
              <w:rPr>
                <w:rFonts w:ascii="Courier New" w:hAnsi="Courier New" w:cs="Courier New"/>
                <w:sz w:val="16"/>
                <w:szCs w:val="16"/>
              </w:rPr>
              <w:t>&gt;&lt;/cite&gt;.&lt;/para&gt;</w:t>
            </w:r>
          </w:p>
        </w:tc>
      </w:tr>
    </w:tbl>
    <w:p w14:paraId="5AA48F5C" w14:textId="77777777" w:rsidR="00D84736" w:rsidRDefault="00D84736">
      <w:pPr>
        <w:pStyle w:val="p"/>
      </w:pPr>
      <w:r>
        <w:rPr>
          <w:sz w:val="24"/>
          <w:szCs w:val="24"/>
        </w:rPr>
        <w:br/>
      </w:r>
      <w:r>
        <w:rPr>
          <w:b/>
          <w:bCs/>
        </w:rPr>
        <w:t xml:space="preserve">2.10. Statute of Limitations </w:t>
      </w:r>
      <w:r>
        <w:rPr>
          <w:b/>
          <w:bCs/>
        </w:rPr>
        <w:br/>
      </w:r>
      <w:r>
        <w:t>The general statute of limitations for the tax authorities to assert that there is a deficiency, inaccuracy or tax error with respect to the payment of tax is 15 years.</w:t>
      </w:r>
      <w:r>
        <w:rPr>
          <w:vertAlign w:val="superscript"/>
        </w:rPr>
        <w:t>3</w:t>
      </w:r>
      <w:r w:rsidRPr="00CE3533">
        <w:rPr>
          <w:rStyle w:val="FootnoteReference"/>
        </w:rPr>
        <w:footnoteReference w:customMarkFollows="1" w:id="35"/>
        <w:t>1</w:t>
      </w:r>
    </w:p>
    <w:p w14:paraId="761C9A4E" w14:textId="77777777" w:rsidR="00D84736" w:rsidRDefault="00D84736">
      <w:pPr>
        <w:pStyle w:val="p"/>
      </w:pPr>
      <w:r>
        <w:t>Corporations, on the other hand, must maintain their company records for five years from the date of submission of the tax return, subject to certain conditions.</w:t>
      </w:r>
      <w:r>
        <w:rPr>
          <w:vertAlign w:val="superscript"/>
        </w:rPr>
        <w:t>3</w:t>
      </w:r>
      <w:r w:rsidRPr="00CE3533">
        <w:rPr>
          <w:rStyle w:val="FootnoteReference"/>
        </w:rPr>
        <w:footnoteReference w:customMarkFollows="1" w:id="36"/>
        <w:t>2</w:t>
      </w:r>
    </w:p>
    <w:p w14:paraId="4416E70C" w14:textId="17A62130" w:rsidR="00DE1F12" w:rsidRPr="00C94E42" w:rsidRDefault="00D84736">
      <w:pPr>
        <w:pStyle w:val="p"/>
        <w:rPr>
          <w:highlight w:val="yellow"/>
        </w:rPr>
      </w:pPr>
      <w:r>
        <w:rPr>
          <w:sz w:val="24"/>
          <w:szCs w:val="24"/>
        </w:rPr>
        <w:br/>
      </w:r>
      <w:r>
        <w:rPr>
          <w:b/>
          <w:bCs/>
        </w:rPr>
        <w:t xml:space="preserve">3. Corporate Tax Rates </w:t>
      </w:r>
      <w:r>
        <w:rPr>
          <w:b/>
          <w:bCs/>
        </w:rPr>
        <w:br/>
      </w:r>
      <w:r>
        <w:rPr>
          <w:b/>
          <w:bCs/>
        </w:rPr>
        <w:br/>
        <w:t xml:space="preserve">3.1. National Taxes </w:t>
      </w:r>
      <w:r>
        <w:rPr>
          <w:b/>
          <w:bCs/>
        </w:rPr>
        <w:br/>
      </w:r>
      <w:r>
        <w:rPr>
          <w:b/>
          <w:bCs/>
        </w:rPr>
        <w:br/>
        <w:t xml:space="preserve">3.1.1. Corporate Tax Rates </w:t>
      </w:r>
      <w:r>
        <w:rPr>
          <w:b/>
          <w:bCs/>
        </w:rPr>
        <w:br/>
      </w:r>
      <w:r w:rsidR="00DE1F12" w:rsidRPr="00C94E42">
        <w:rPr>
          <w:highlight w:val="yellow"/>
        </w:rPr>
        <w:t xml:space="preserve">Current rate: </w:t>
      </w:r>
      <w:r w:rsidR="004243AD" w:rsidRPr="00C94E42">
        <w:rPr>
          <w:highlight w:val="yellow"/>
        </w:rPr>
        <w:t>2</w:t>
      </w:r>
      <w:r w:rsidR="0035326F" w:rsidRPr="00C94E42">
        <w:rPr>
          <w:highlight w:val="yellow"/>
        </w:rPr>
        <w:t>0</w:t>
      </w:r>
      <w:r w:rsidR="004243AD" w:rsidRPr="00C94E42">
        <w:rPr>
          <w:highlight w:val="yellow"/>
        </w:rPr>
        <w:t xml:space="preserve"> percent</w:t>
      </w:r>
      <w:r w:rsidR="00175BA5" w:rsidRPr="00C94E42">
        <w:rPr>
          <w:highlight w:val="yellow"/>
        </w:rPr>
        <w:t xml:space="preserve"> standard rate</w:t>
      </w:r>
      <w:r w:rsidR="0009721A" w:rsidRPr="00C94E42">
        <w:rPr>
          <w:highlight w:val="yellow"/>
        </w:rPr>
        <w:t xml:space="preserve"> (from January 1, 2024)</w:t>
      </w:r>
      <w:r w:rsidR="004243AD" w:rsidRPr="00C94E42">
        <w:rPr>
          <w:highlight w:val="yellow"/>
        </w:rPr>
        <w:t xml:space="preserve">; </w:t>
      </w:r>
      <w:r w:rsidR="00777B1D" w:rsidRPr="00C94E42">
        <w:rPr>
          <w:highlight w:val="yellow"/>
        </w:rPr>
        <w:t>other</w:t>
      </w:r>
      <w:r w:rsidR="004243AD" w:rsidRPr="00C94E42">
        <w:rPr>
          <w:highlight w:val="yellow"/>
        </w:rPr>
        <w:t xml:space="preserve"> rate</w:t>
      </w:r>
      <w:r w:rsidR="00777B1D" w:rsidRPr="00C94E42">
        <w:rPr>
          <w:highlight w:val="yellow"/>
        </w:rPr>
        <w:t>s</w:t>
      </w:r>
      <w:r w:rsidR="00175BA5" w:rsidRPr="00C94E42">
        <w:rPr>
          <w:highlight w:val="yellow"/>
        </w:rPr>
        <w:t xml:space="preserve"> ranging</w:t>
      </w:r>
      <w:r w:rsidR="004243AD" w:rsidRPr="00C94E42">
        <w:rPr>
          <w:highlight w:val="yellow"/>
        </w:rPr>
        <w:t xml:space="preserve"> </w:t>
      </w:r>
      <w:r w:rsidR="000A3F39" w:rsidRPr="00C94E42">
        <w:rPr>
          <w:highlight w:val="yellow"/>
        </w:rPr>
        <w:t xml:space="preserve">from </w:t>
      </w:r>
      <w:r w:rsidR="0049124C" w:rsidRPr="00C94E42">
        <w:rPr>
          <w:highlight w:val="yellow"/>
        </w:rPr>
        <w:t xml:space="preserve">10 percent to </w:t>
      </w:r>
      <w:r w:rsidR="005C66E5" w:rsidRPr="00C94E42">
        <w:rPr>
          <w:highlight w:val="yellow"/>
        </w:rPr>
        <w:t>25</w:t>
      </w:r>
      <w:r w:rsidR="0049124C" w:rsidRPr="00C94E42">
        <w:rPr>
          <w:highlight w:val="yellow"/>
        </w:rPr>
        <w:t xml:space="preserve"> percent. </w:t>
      </w:r>
    </w:p>
    <w:p w14:paraId="42589307" w14:textId="212A82EA" w:rsidR="00D84736" w:rsidRPr="00C94E42" w:rsidRDefault="00D84736">
      <w:pPr>
        <w:pStyle w:val="p"/>
        <w:rPr>
          <w:highlight w:val="yellow"/>
        </w:rPr>
      </w:pPr>
      <w:r w:rsidRPr="00C94E42">
        <w:rPr>
          <w:highlight w:val="yellow"/>
        </w:rPr>
        <w:t>Holding companies, joint-stock companies, and limited liability companies are subject to</w:t>
      </w:r>
      <w:r w:rsidR="001C1089" w:rsidRPr="00C94E42">
        <w:rPr>
          <w:highlight w:val="yellow"/>
        </w:rPr>
        <w:t xml:space="preserve"> a standard corporate</w:t>
      </w:r>
      <w:r w:rsidRPr="00C94E42">
        <w:rPr>
          <w:highlight w:val="yellow"/>
        </w:rPr>
        <w:t xml:space="preserve"> income tax rate of </w:t>
      </w:r>
      <w:r w:rsidR="00A36DB2" w:rsidRPr="00C94E42">
        <w:rPr>
          <w:highlight w:val="yellow"/>
        </w:rPr>
        <w:t xml:space="preserve">20 </w:t>
      </w:r>
      <w:r w:rsidRPr="00C94E42">
        <w:rPr>
          <w:highlight w:val="yellow"/>
        </w:rPr>
        <w:t>percent on their net profits.</w:t>
      </w:r>
    </w:p>
    <w:p w14:paraId="5B0D5493" w14:textId="1B0665F7" w:rsidR="00D84736" w:rsidRPr="00C94E42" w:rsidRDefault="00D84736">
      <w:pPr>
        <w:pStyle w:val="p"/>
        <w:rPr>
          <w:highlight w:val="yellow"/>
        </w:rPr>
      </w:pPr>
      <w:r w:rsidRPr="00C94E42">
        <w:rPr>
          <w:highlight w:val="yellow"/>
        </w:rPr>
        <w:t xml:space="preserve">Joint-stock companies that have offered at least </w:t>
      </w:r>
      <w:r w:rsidR="00015307" w:rsidRPr="00C94E42">
        <w:rPr>
          <w:highlight w:val="yellow"/>
        </w:rPr>
        <w:t xml:space="preserve">40 </w:t>
      </w:r>
      <w:r w:rsidRPr="00C94E42">
        <w:rPr>
          <w:highlight w:val="yellow"/>
        </w:rPr>
        <w:t>percent of their shares to the public for subscription are subject to</w:t>
      </w:r>
      <w:r w:rsidR="00CB26A2" w:rsidRPr="00C94E42">
        <w:rPr>
          <w:highlight w:val="yellow"/>
        </w:rPr>
        <w:t xml:space="preserve"> a corporate</w:t>
      </w:r>
      <w:r w:rsidRPr="00C94E42">
        <w:rPr>
          <w:highlight w:val="yellow"/>
        </w:rPr>
        <w:t xml:space="preserve"> income tax</w:t>
      </w:r>
      <w:r w:rsidR="00B943C1" w:rsidRPr="00C94E42">
        <w:rPr>
          <w:highlight w:val="yellow"/>
        </w:rPr>
        <w:t xml:space="preserve"> rate</w:t>
      </w:r>
      <w:r w:rsidRPr="00C94E42">
        <w:rPr>
          <w:highlight w:val="yellow"/>
        </w:rPr>
        <w:t xml:space="preserve"> of </w:t>
      </w:r>
      <w:r w:rsidR="00015307" w:rsidRPr="00C94E42">
        <w:rPr>
          <w:highlight w:val="yellow"/>
        </w:rPr>
        <w:t xml:space="preserve">15 </w:t>
      </w:r>
      <w:r w:rsidRPr="00C94E42">
        <w:rPr>
          <w:highlight w:val="yellow"/>
        </w:rPr>
        <w:t>percent on their net profits.</w:t>
      </w:r>
      <w:r w:rsidRPr="00C94E42">
        <w:rPr>
          <w:highlight w:val="yellow"/>
          <w:vertAlign w:val="superscript"/>
        </w:rPr>
        <w:t>3</w:t>
      </w:r>
      <w:r w:rsidRPr="00C94E42">
        <w:rPr>
          <w:rStyle w:val="FootnoteReference"/>
          <w:highlight w:val="yellow"/>
        </w:rPr>
        <w:footnoteReference w:customMarkFollows="1" w:id="37"/>
        <w:t>3</w:t>
      </w:r>
    </w:p>
    <w:p w14:paraId="29726DDC" w14:textId="6A43F6FC" w:rsidR="00D84736" w:rsidRPr="00C94E42" w:rsidRDefault="00D84736">
      <w:pPr>
        <w:pStyle w:val="p"/>
        <w:rPr>
          <w:highlight w:val="yellow"/>
        </w:rPr>
      </w:pPr>
      <w:r w:rsidRPr="00C94E42">
        <w:rPr>
          <w:highlight w:val="yellow"/>
        </w:rPr>
        <w:t xml:space="preserve">Other </w:t>
      </w:r>
      <w:r w:rsidR="00CB26A2" w:rsidRPr="00C94E42">
        <w:rPr>
          <w:highlight w:val="yellow"/>
        </w:rPr>
        <w:t xml:space="preserve">businesses </w:t>
      </w:r>
      <w:r w:rsidRPr="00C94E42">
        <w:rPr>
          <w:highlight w:val="yellow"/>
        </w:rPr>
        <w:t>(including sole proprietorships) are taxed progressively</w:t>
      </w:r>
      <w:r w:rsidR="00D8675B" w:rsidRPr="00C94E42">
        <w:rPr>
          <w:highlight w:val="yellow"/>
        </w:rPr>
        <w:t xml:space="preserve"> on net profits</w:t>
      </w:r>
      <w:r w:rsidR="0074560D" w:rsidRPr="00C94E42">
        <w:rPr>
          <w:highlight w:val="yellow"/>
        </w:rPr>
        <w:t xml:space="preserve"> (subject to the exemption allowance for individuals; see </w:t>
      </w:r>
      <w:r w:rsidR="00AD64B5">
        <w:rPr>
          <w:highlight w:val="yellow"/>
        </w:rPr>
        <w:t>[</w:t>
      </w:r>
      <w:proofErr w:type="gramStart"/>
      <w:r w:rsidR="00AD64B5">
        <w:rPr>
          <w:highlight w:val="yellow"/>
        </w:rPr>
        <w:t>6.2.4]Section</w:t>
      </w:r>
      <w:proofErr w:type="gramEnd"/>
      <w:r w:rsidR="00AD64B5">
        <w:rPr>
          <w:highlight w:val="yellow"/>
        </w:rPr>
        <w:t xml:space="preserve"> 6.2.4[end]</w:t>
      </w:r>
      <w:r w:rsidR="0074560D" w:rsidRPr="00C94E42">
        <w:rPr>
          <w:highlight w:val="yellow"/>
        </w:rPr>
        <w:t>)</w:t>
      </w:r>
      <w:r w:rsidR="00F730DB" w:rsidRPr="00C94E42">
        <w:rPr>
          <w:highlight w:val="yellow"/>
        </w:rPr>
        <w:t>.</w:t>
      </w:r>
      <w:r w:rsidR="00C0569F" w:rsidRPr="00C94E42">
        <w:rPr>
          <w:highlight w:val="yellow"/>
        </w:rPr>
        <w:t xml:space="preserve"> From January 1, 2024</w:t>
      </w:r>
      <w:r w:rsidRPr="00C94E42">
        <w:rPr>
          <w:highlight w:val="yellow"/>
        </w:rPr>
        <w:t>,</w:t>
      </w:r>
      <w:r w:rsidR="00C0569F" w:rsidRPr="00C94E42">
        <w:rPr>
          <w:highlight w:val="yellow"/>
        </w:rPr>
        <w:t xml:space="preserve"> the progressive tax rates on net profits are</w:t>
      </w:r>
      <w:r w:rsidRPr="00C94E42">
        <w:rPr>
          <w:highlight w:val="yellow"/>
        </w:rPr>
        <w:t xml:space="preserve"> as follows: </w:t>
      </w:r>
    </w:p>
    <w:p w14:paraId="3B33EFB3" w14:textId="1CCE50C2" w:rsidR="00C0569F" w:rsidRPr="00C94E42" w:rsidRDefault="00C0569F" w:rsidP="00C0569F">
      <w:pPr>
        <w:pStyle w:val="p"/>
        <w:rPr>
          <w:highlight w:val="yellow"/>
        </w:rPr>
      </w:pPr>
      <w:r w:rsidRPr="00C94E42">
        <w:rPr>
          <w:noProof/>
          <w:highlight w:val="yellow"/>
        </w:rPr>
        <w:drawing>
          <wp:inline distT="0" distB="0" distL="0" distR="0" wp14:anchorId="285844B3" wp14:editId="5D504FEF">
            <wp:extent cx="130810" cy="130810"/>
            <wp:effectExtent l="0" t="0" r="0" b="0"/>
            <wp:docPr id="75"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94E42">
        <w:rPr>
          <w:highlight w:val="yellow"/>
        </w:rPr>
        <w:t xml:space="preserve"> up to </w:t>
      </w:r>
      <w:r w:rsidR="009D3E13" w:rsidRPr="00C94E42">
        <w:rPr>
          <w:highlight w:val="yellow"/>
        </w:rPr>
        <w:t>10,0</w:t>
      </w:r>
      <w:r w:rsidRPr="00C94E42">
        <w:rPr>
          <w:highlight w:val="yellow"/>
        </w:rPr>
        <w:t xml:space="preserve">00,000 </w:t>
      </w:r>
      <w:proofErr w:type="gramStart"/>
      <w:r w:rsidRPr="00C94E42">
        <w:rPr>
          <w:highlight w:val="yellow"/>
        </w:rPr>
        <w:t>lira</w:t>
      </w:r>
      <w:proofErr w:type="gramEnd"/>
      <w:r w:rsidRPr="00C94E42">
        <w:rPr>
          <w:highlight w:val="yellow"/>
        </w:rPr>
        <w:t xml:space="preserve"> — 10 percent;</w:t>
      </w:r>
    </w:p>
    <w:p w14:paraId="527F7FDE" w14:textId="6D21A50B" w:rsidR="00C0569F" w:rsidRPr="00C94E42" w:rsidRDefault="00C0569F" w:rsidP="00C0569F">
      <w:pPr>
        <w:pStyle w:val="p"/>
        <w:rPr>
          <w:highlight w:val="yellow"/>
        </w:rPr>
      </w:pPr>
      <w:r w:rsidRPr="00C94E42">
        <w:rPr>
          <w:noProof/>
          <w:highlight w:val="yellow"/>
        </w:rPr>
        <w:drawing>
          <wp:inline distT="0" distB="0" distL="0" distR="0" wp14:anchorId="6D175F0C" wp14:editId="34A64200">
            <wp:extent cx="130810" cy="130810"/>
            <wp:effectExtent l="0" t="0" r="0" b="0"/>
            <wp:docPr id="76"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94E42">
        <w:rPr>
          <w:highlight w:val="yellow"/>
        </w:rPr>
        <w:t xml:space="preserve"> </w:t>
      </w:r>
      <w:r w:rsidR="009D3E13" w:rsidRPr="00C94E42">
        <w:rPr>
          <w:highlight w:val="yellow"/>
        </w:rPr>
        <w:t>from</w:t>
      </w:r>
      <w:r w:rsidRPr="00C94E42">
        <w:rPr>
          <w:highlight w:val="yellow"/>
        </w:rPr>
        <w:t xml:space="preserve"> </w:t>
      </w:r>
      <w:r w:rsidR="009D3E13" w:rsidRPr="00C94E42">
        <w:rPr>
          <w:highlight w:val="yellow"/>
        </w:rPr>
        <w:t>10,0</w:t>
      </w:r>
      <w:r w:rsidRPr="00C94E42">
        <w:rPr>
          <w:highlight w:val="yellow"/>
        </w:rPr>
        <w:t>00,00</w:t>
      </w:r>
      <w:r w:rsidR="009D3E13" w:rsidRPr="00C94E42">
        <w:rPr>
          <w:highlight w:val="yellow"/>
        </w:rPr>
        <w:t>1</w:t>
      </w:r>
      <w:r w:rsidRPr="00C94E42">
        <w:rPr>
          <w:highlight w:val="yellow"/>
        </w:rPr>
        <w:t xml:space="preserve"> lira to </w:t>
      </w:r>
      <w:r w:rsidR="00CD6D4F" w:rsidRPr="00C94E42">
        <w:rPr>
          <w:highlight w:val="yellow"/>
        </w:rPr>
        <w:t>30,0</w:t>
      </w:r>
      <w:r w:rsidRPr="00C94E42">
        <w:rPr>
          <w:highlight w:val="yellow"/>
        </w:rPr>
        <w:t>00,000 lira — 1</w:t>
      </w:r>
      <w:r w:rsidR="002A1924" w:rsidRPr="00C94E42">
        <w:rPr>
          <w:highlight w:val="yellow"/>
        </w:rPr>
        <w:t>4</w:t>
      </w:r>
      <w:r w:rsidRPr="00C94E42">
        <w:rPr>
          <w:highlight w:val="yellow"/>
        </w:rPr>
        <w:t xml:space="preserve"> </w:t>
      </w:r>
      <w:proofErr w:type="gramStart"/>
      <w:r w:rsidRPr="00C94E42">
        <w:rPr>
          <w:highlight w:val="yellow"/>
        </w:rPr>
        <w:t>percent;</w:t>
      </w:r>
      <w:proofErr w:type="gramEnd"/>
    </w:p>
    <w:p w14:paraId="00593953" w14:textId="124C724E" w:rsidR="00C0569F" w:rsidRPr="00C94E42" w:rsidRDefault="00C0569F" w:rsidP="00C0569F">
      <w:pPr>
        <w:pStyle w:val="p"/>
        <w:rPr>
          <w:highlight w:val="yellow"/>
        </w:rPr>
      </w:pPr>
      <w:r w:rsidRPr="00C94E42">
        <w:rPr>
          <w:noProof/>
          <w:highlight w:val="yellow"/>
        </w:rPr>
        <w:drawing>
          <wp:inline distT="0" distB="0" distL="0" distR="0" wp14:anchorId="693ED08A" wp14:editId="29D33678">
            <wp:extent cx="130810" cy="130810"/>
            <wp:effectExtent l="0" t="0" r="0" b="0"/>
            <wp:docPr id="77"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94E42">
        <w:rPr>
          <w:highlight w:val="yellow"/>
        </w:rPr>
        <w:t xml:space="preserve"> </w:t>
      </w:r>
      <w:r w:rsidR="00CD6D4F" w:rsidRPr="00C94E42">
        <w:rPr>
          <w:highlight w:val="yellow"/>
        </w:rPr>
        <w:t>from</w:t>
      </w:r>
      <w:r w:rsidRPr="00C94E42">
        <w:rPr>
          <w:highlight w:val="yellow"/>
        </w:rPr>
        <w:t xml:space="preserve"> </w:t>
      </w:r>
      <w:r w:rsidR="00CD6D4F" w:rsidRPr="00C94E42">
        <w:rPr>
          <w:highlight w:val="yellow"/>
        </w:rPr>
        <w:t>30,0</w:t>
      </w:r>
      <w:r w:rsidRPr="00C94E42">
        <w:rPr>
          <w:highlight w:val="yellow"/>
        </w:rPr>
        <w:t>00,00</w:t>
      </w:r>
      <w:r w:rsidR="00CD6D4F" w:rsidRPr="00C94E42">
        <w:rPr>
          <w:highlight w:val="yellow"/>
        </w:rPr>
        <w:t>1</w:t>
      </w:r>
      <w:r w:rsidRPr="00C94E42">
        <w:rPr>
          <w:highlight w:val="yellow"/>
        </w:rPr>
        <w:t xml:space="preserve"> lira to 1</w:t>
      </w:r>
      <w:r w:rsidR="001F22BF" w:rsidRPr="00C94E42">
        <w:rPr>
          <w:highlight w:val="yellow"/>
        </w:rPr>
        <w:t>00,000,000</w:t>
      </w:r>
      <w:r w:rsidRPr="00C94E42">
        <w:rPr>
          <w:highlight w:val="yellow"/>
        </w:rPr>
        <w:t xml:space="preserve"> lira — </w:t>
      </w:r>
      <w:r w:rsidR="002A1924" w:rsidRPr="00C94E42">
        <w:rPr>
          <w:highlight w:val="yellow"/>
        </w:rPr>
        <w:t>18</w:t>
      </w:r>
      <w:r w:rsidRPr="00C94E42">
        <w:rPr>
          <w:highlight w:val="yellow"/>
        </w:rPr>
        <w:t xml:space="preserve"> </w:t>
      </w:r>
      <w:proofErr w:type="gramStart"/>
      <w:r w:rsidRPr="00C94E42">
        <w:rPr>
          <w:highlight w:val="yellow"/>
        </w:rPr>
        <w:t>percent;</w:t>
      </w:r>
      <w:proofErr w:type="gramEnd"/>
    </w:p>
    <w:p w14:paraId="79F8D82D" w14:textId="5C0F2DFF" w:rsidR="00C0569F" w:rsidRPr="00C94E42" w:rsidRDefault="00C0569F" w:rsidP="00C0569F">
      <w:pPr>
        <w:pStyle w:val="p"/>
        <w:rPr>
          <w:highlight w:val="yellow"/>
        </w:rPr>
      </w:pPr>
      <w:r w:rsidRPr="00C94E42">
        <w:rPr>
          <w:noProof/>
          <w:highlight w:val="yellow"/>
        </w:rPr>
        <w:drawing>
          <wp:inline distT="0" distB="0" distL="0" distR="0" wp14:anchorId="26DD687F" wp14:editId="16FE8DE1">
            <wp:extent cx="130810" cy="130810"/>
            <wp:effectExtent l="0" t="0" r="0" b="0"/>
            <wp:docPr id="78"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94E42">
        <w:rPr>
          <w:highlight w:val="yellow"/>
        </w:rPr>
        <w:t xml:space="preserve"> </w:t>
      </w:r>
      <w:r w:rsidR="001F22BF" w:rsidRPr="00C94E42">
        <w:rPr>
          <w:highlight w:val="yellow"/>
        </w:rPr>
        <w:t>from</w:t>
      </w:r>
      <w:r w:rsidRPr="00C94E42">
        <w:rPr>
          <w:highlight w:val="yellow"/>
        </w:rPr>
        <w:t xml:space="preserve"> 1</w:t>
      </w:r>
      <w:r w:rsidR="001F22BF" w:rsidRPr="00C94E42">
        <w:rPr>
          <w:highlight w:val="yellow"/>
        </w:rPr>
        <w:t>00,000,001</w:t>
      </w:r>
      <w:r w:rsidRPr="00C94E42">
        <w:rPr>
          <w:highlight w:val="yellow"/>
        </w:rPr>
        <w:t xml:space="preserve"> lira to </w:t>
      </w:r>
      <w:r w:rsidR="008717D1" w:rsidRPr="00C94E42">
        <w:rPr>
          <w:highlight w:val="yellow"/>
        </w:rPr>
        <w:t>500,000,000</w:t>
      </w:r>
      <w:r w:rsidRPr="00C94E42">
        <w:rPr>
          <w:highlight w:val="yellow"/>
        </w:rPr>
        <w:t xml:space="preserve"> lira — 2</w:t>
      </w:r>
      <w:r w:rsidR="002A1924" w:rsidRPr="00C94E42">
        <w:rPr>
          <w:highlight w:val="yellow"/>
        </w:rPr>
        <w:t>2</w:t>
      </w:r>
      <w:r w:rsidRPr="00C94E42">
        <w:rPr>
          <w:highlight w:val="yellow"/>
        </w:rPr>
        <w:t xml:space="preserve"> percent; and</w:t>
      </w:r>
    </w:p>
    <w:p w14:paraId="5A8A2AF0" w14:textId="7017E67A" w:rsidR="00C0569F" w:rsidRDefault="00C0569F" w:rsidP="00C0569F">
      <w:pPr>
        <w:pStyle w:val="p"/>
      </w:pPr>
      <w:r w:rsidRPr="00C94E42">
        <w:rPr>
          <w:noProof/>
          <w:highlight w:val="yellow"/>
        </w:rPr>
        <w:drawing>
          <wp:inline distT="0" distB="0" distL="0" distR="0" wp14:anchorId="3E95BDFD" wp14:editId="11A6772B">
            <wp:extent cx="130810" cy="130810"/>
            <wp:effectExtent l="0" t="0" r="0" b="0"/>
            <wp:docPr id="79"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94E42">
        <w:rPr>
          <w:highlight w:val="yellow"/>
        </w:rPr>
        <w:t xml:space="preserve"> </w:t>
      </w:r>
      <w:r w:rsidR="0050542B" w:rsidRPr="00C94E42">
        <w:rPr>
          <w:highlight w:val="yellow"/>
        </w:rPr>
        <w:t>over 500,000,000</w:t>
      </w:r>
      <w:r w:rsidRPr="00C94E42">
        <w:rPr>
          <w:highlight w:val="yellow"/>
        </w:rPr>
        <w:t xml:space="preserve"> </w:t>
      </w:r>
      <w:proofErr w:type="gramStart"/>
      <w:r w:rsidRPr="00C94E42">
        <w:rPr>
          <w:highlight w:val="yellow"/>
        </w:rPr>
        <w:t>lira</w:t>
      </w:r>
      <w:proofErr w:type="gramEnd"/>
      <w:r w:rsidRPr="00C94E42">
        <w:rPr>
          <w:highlight w:val="yellow"/>
        </w:rPr>
        <w:t xml:space="preserve"> — 2</w:t>
      </w:r>
      <w:r w:rsidR="002A1924" w:rsidRPr="00C94E42">
        <w:rPr>
          <w:highlight w:val="yellow"/>
        </w:rPr>
        <w:t>5</w:t>
      </w:r>
      <w:r w:rsidRPr="00C94E42">
        <w:rPr>
          <w:highlight w:val="yellow"/>
        </w:rPr>
        <w:t xml:space="preserve"> percent.</w:t>
      </w:r>
      <w:r w:rsidRPr="00C94E42">
        <w:rPr>
          <w:highlight w:val="yellow"/>
          <w:vertAlign w:val="superscript"/>
        </w:rPr>
        <w:t>3</w:t>
      </w:r>
      <w:r w:rsidRPr="00C94E42">
        <w:rPr>
          <w:rStyle w:val="FootnoteReference"/>
          <w:highlight w:val="yellow"/>
        </w:rPr>
        <w:footnoteReference w:customMarkFollows="1" w:id="38"/>
        <w:t>4</w:t>
      </w:r>
    </w:p>
    <w:p w14:paraId="019E1355" w14:textId="77777777" w:rsidR="00C0569F" w:rsidRDefault="00C0569F" w:rsidP="00C0569F">
      <w:pPr>
        <w:rPr>
          <w:sz w:val="24"/>
          <w:szCs w:val="24"/>
        </w:rPr>
      </w:pPr>
    </w:p>
    <w:p w14:paraId="529B4BA6" w14:textId="4C672160" w:rsidR="00D84736" w:rsidRDefault="00DE7D55">
      <w:pPr>
        <w:pStyle w:val="p"/>
      </w:pPr>
      <w:r>
        <w:t>C</w:t>
      </w:r>
      <w:r w:rsidR="00D84736">
        <w:t xml:space="preserve">ompanies are also subject to a local administration fee and a reconstruction fee (see </w:t>
      </w:r>
      <w:r w:rsidR="00AD64B5" w:rsidRPr="00AD64B5">
        <w:rPr>
          <w:highlight w:val="yellow"/>
        </w:rPr>
        <w:t>[</w:t>
      </w:r>
      <w:proofErr w:type="gramStart"/>
      <w:r w:rsidR="00AD64B5" w:rsidRPr="00AD64B5">
        <w:rPr>
          <w:highlight w:val="yellow"/>
        </w:rPr>
        <w:t>9.4]</w:t>
      </w:r>
      <w:r w:rsidR="00AD64B5" w:rsidRPr="00F610FF">
        <w:rPr>
          <w:highlight w:val="yellow"/>
        </w:rPr>
        <w:t>Section</w:t>
      </w:r>
      <w:proofErr w:type="gramEnd"/>
      <w:r w:rsidR="00AD64B5" w:rsidRPr="00F610FF">
        <w:rPr>
          <w:highlight w:val="yellow"/>
        </w:rPr>
        <w:t xml:space="preserve"> 9.4</w:t>
      </w:r>
      <w:r w:rsidR="00AD64B5" w:rsidRPr="00AD64B5">
        <w:rPr>
          <w:highlight w:val="yellow"/>
        </w:rPr>
        <w:t>[end]</w:t>
      </w:r>
      <w:r w:rsidR="00D84736">
        <w:t>).</w:t>
      </w:r>
    </w:p>
    <w:p w14:paraId="2AB1FB3E" w14:textId="3D98BB2C" w:rsidR="00D84736" w:rsidRDefault="000D6C75">
      <w:pPr>
        <w:pStyle w:val="p"/>
      </w:pPr>
      <w:r>
        <w:t>For income tax rates applicable to</w:t>
      </w:r>
      <w:r w:rsidR="00F9212F">
        <w:t xml:space="preserve"> income from</w:t>
      </w:r>
      <w:r>
        <w:t xml:space="preserve"> </w:t>
      </w:r>
      <w:r w:rsidR="00F9212F">
        <w:t xml:space="preserve">rented real estate, see </w:t>
      </w:r>
      <w:r w:rsidR="00AD64B5" w:rsidRPr="00AD64B5">
        <w:rPr>
          <w:highlight w:val="yellow"/>
        </w:rPr>
        <w:t>[</w:t>
      </w:r>
      <w:proofErr w:type="gramStart"/>
      <w:r w:rsidR="00AD64B5" w:rsidRPr="00AD64B5">
        <w:rPr>
          <w:highlight w:val="yellow"/>
        </w:rPr>
        <w:t>9.3.2]</w:t>
      </w:r>
      <w:r w:rsidR="00AD64B5" w:rsidRPr="00F610FF">
        <w:rPr>
          <w:highlight w:val="yellow"/>
        </w:rPr>
        <w:t>Section</w:t>
      </w:r>
      <w:proofErr w:type="gramEnd"/>
      <w:r w:rsidR="00AD64B5" w:rsidRPr="00F610FF">
        <w:rPr>
          <w:highlight w:val="yellow"/>
        </w:rPr>
        <w:t xml:space="preserve"> 9.3.2</w:t>
      </w:r>
      <w:r w:rsidR="00AD64B5" w:rsidRPr="00AD64B5">
        <w:rPr>
          <w:highlight w:val="yellow"/>
        </w:rPr>
        <w:t>[end]</w:t>
      </w:r>
      <w:r w:rsidR="00F9212F">
        <w:t xml:space="preserve">. For </w:t>
      </w:r>
      <w:r w:rsidR="00B3383D">
        <w:t>special</w:t>
      </w:r>
      <w:r w:rsidR="0081418B">
        <w:t xml:space="preserve"> rates</w:t>
      </w:r>
      <w:r w:rsidR="00B3383D">
        <w:t xml:space="preserve"> applicable to the</w:t>
      </w:r>
      <w:r w:rsidR="00B41B44" w:rsidRPr="00B41B44">
        <w:t xml:space="preserve"> </w:t>
      </w:r>
      <w:r w:rsidR="00B41B44">
        <w:t>hydrocarbons</w:t>
      </w:r>
      <w:r w:rsidR="002C09D6">
        <w:t xml:space="preserve"> and</w:t>
      </w:r>
      <w:r w:rsidR="00B3383D">
        <w:t xml:space="preserve"> financ</w:t>
      </w:r>
      <w:r w:rsidR="002C09D6">
        <w:t>ial</w:t>
      </w:r>
      <w:r w:rsidR="00B3383D">
        <w:t xml:space="preserve"> sector</w:t>
      </w:r>
      <w:r w:rsidR="00486B5D">
        <w:t>s</w:t>
      </w:r>
      <w:r w:rsidR="00B3383D">
        <w:t xml:space="preserve">, see </w:t>
      </w:r>
      <w:r w:rsidR="00AD64B5" w:rsidRPr="00AD64B5">
        <w:rPr>
          <w:highlight w:val="yellow"/>
        </w:rPr>
        <w:t>[</w:t>
      </w:r>
      <w:proofErr w:type="gramStart"/>
      <w:r w:rsidR="00AD64B5" w:rsidRPr="00AD64B5">
        <w:rPr>
          <w:highlight w:val="yellow"/>
        </w:rPr>
        <w:t>10.1]</w:t>
      </w:r>
      <w:r w:rsidR="00AD64B5" w:rsidRPr="00F610FF">
        <w:rPr>
          <w:highlight w:val="yellow"/>
        </w:rPr>
        <w:t>Section</w:t>
      </w:r>
      <w:proofErr w:type="gramEnd"/>
      <w:r w:rsidR="00AD64B5" w:rsidRPr="00F610FF">
        <w:rPr>
          <w:highlight w:val="yellow"/>
        </w:rPr>
        <w:t xml:space="preserve"> 10.1</w:t>
      </w:r>
      <w:r w:rsidR="00AD64B5" w:rsidRPr="00AD64B5">
        <w:rPr>
          <w:highlight w:val="yellow"/>
        </w:rPr>
        <w:t>[end]</w:t>
      </w:r>
      <w:r w:rsidR="00486B5D">
        <w:t xml:space="preserve"> and </w:t>
      </w:r>
      <w:r w:rsidR="00AD64B5" w:rsidRPr="00AD64B5">
        <w:rPr>
          <w:highlight w:val="yellow"/>
        </w:rPr>
        <w:t>[10.2]</w:t>
      </w:r>
      <w:r w:rsidR="00AD64B5" w:rsidRPr="00F610FF">
        <w:rPr>
          <w:highlight w:val="yellow"/>
        </w:rPr>
        <w:t>Section 10.2</w:t>
      </w:r>
      <w:r w:rsidR="00AD64B5" w:rsidRPr="00AD64B5">
        <w:rPr>
          <w:highlight w:val="yellow"/>
        </w:rPr>
        <w:t>[end]</w:t>
      </w:r>
      <w:r w:rsidR="00486B5D">
        <w:t>, respectively</w:t>
      </w:r>
      <w:r w:rsidR="00D84736">
        <w:t>.</w:t>
      </w:r>
    </w:p>
    <w:p w14:paraId="09004E7F" w14:textId="77777777" w:rsidR="00D84736" w:rsidRDefault="00D84736">
      <w:pPr>
        <w:pStyle w:val="p"/>
      </w:pPr>
      <w:r>
        <w:rPr>
          <w:sz w:val="24"/>
          <w:szCs w:val="24"/>
        </w:rPr>
        <w:br/>
      </w:r>
      <w:r>
        <w:rPr>
          <w:b/>
          <w:bCs/>
        </w:rPr>
        <w:t xml:space="preserve">3.1.2. Alternative Tax Regime </w:t>
      </w:r>
      <w:r>
        <w:rPr>
          <w:b/>
          <w:bCs/>
        </w:rPr>
        <w:br/>
      </w:r>
      <w:r>
        <w:t>In Syria, there is no alternative tax regime.</w:t>
      </w:r>
    </w:p>
    <w:p w14:paraId="6BD010DC" w14:textId="27515357" w:rsidR="00D84736" w:rsidRDefault="00D84736">
      <w:pPr>
        <w:pStyle w:val="p"/>
      </w:pPr>
      <w:r>
        <w:rPr>
          <w:sz w:val="24"/>
          <w:szCs w:val="24"/>
        </w:rPr>
        <w:br/>
      </w:r>
      <w:r>
        <w:rPr>
          <w:b/>
          <w:bCs/>
        </w:rPr>
        <w:t xml:space="preserve">3.1.3. Special Reduced Rates or Regimes </w:t>
      </w:r>
      <w:r>
        <w:rPr>
          <w:b/>
          <w:bCs/>
        </w:rPr>
        <w:br/>
      </w:r>
      <w:r>
        <w:t xml:space="preserve">Qualifying industrial facilities operating in rural areas are eligible for a 2 percent reduction in the applicable tax </w:t>
      </w:r>
      <w:r>
        <w:lastRenderedPageBreak/>
        <w:t xml:space="preserve">rates set out in </w:t>
      </w:r>
      <w:r w:rsidR="00AD64B5" w:rsidRPr="00AD64B5">
        <w:rPr>
          <w:highlight w:val="yellow"/>
        </w:rPr>
        <w:t>[</w:t>
      </w:r>
      <w:proofErr w:type="gramStart"/>
      <w:r w:rsidR="00AD64B5" w:rsidRPr="00AD64B5">
        <w:rPr>
          <w:highlight w:val="yellow"/>
        </w:rPr>
        <w:t>3.1.1]</w:t>
      </w:r>
      <w:r w:rsidR="00AD64B5" w:rsidRPr="00F610FF">
        <w:rPr>
          <w:highlight w:val="yellow"/>
        </w:rPr>
        <w:t>Section</w:t>
      </w:r>
      <w:proofErr w:type="gramEnd"/>
      <w:r w:rsidR="00AD64B5" w:rsidRPr="00F610FF">
        <w:rPr>
          <w:highlight w:val="yellow"/>
        </w:rPr>
        <w:t xml:space="preserve"> 3.1.1</w:t>
      </w:r>
      <w:r w:rsidR="00AD64B5" w:rsidRPr="00AD64B5">
        <w:rPr>
          <w:highlight w:val="yellow"/>
        </w:rPr>
        <w:t>[end]</w:t>
      </w:r>
      <w:r>
        <w:t>.</w:t>
      </w:r>
    </w:p>
    <w:p w14:paraId="2823C701" w14:textId="7BFE48D5" w:rsidR="00D84736" w:rsidRDefault="00D84736">
      <w:pPr>
        <w:pStyle w:val="p"/>
      </w:pPr>
      <w:r>
        <w:t>Subject to certain conditions,</w:t>
      </w:r>
      <w:r w:rsidR="00917824">
        <w:t xml:space="preserve"> </w:t>
      </w:r>
      <w:r w:rsidR="009E533C">
        <w:t>the following</w:t>
      </w:r>
      <w:r w:rsidR="00917824">
        <w:t xml:space="preserve"> reductions</w:t>
      </w:r>
      <w:r w:rsidR="00D770C5" w:rsidRPr="00D770C5">
        <w:t xml:space="preserve"> </w:t>
      </w:r>
      <w:r w:rsidR="00D770C5">
        <w:t xml:space="preserve">in the applicable tax rates set out in </w:t>
      </w:r>
      <w:r w:rsidR="00AD64B5" w:rsidRPr="00AD64B5">
        <w:rPr>
          <w:highlight w:val="yellow"/>
        </w:rPr>
        <w:t>[</w:t>
      </w:r>
      <w:proofErr w:type="gramStart"/>
      <w:r w:rsidR="00AD64B5" w:rsidRPr="00AD64B5">
        <w:rPr>
          <w:highlight w:val="yellow"/>
        </w:rPr>
        <w:t>3.1.1]</w:t>
      </w:r>
      <w:r w:rsidR="00AD64B5" w:rsidRPr="00F610FF">
        <w:rPr>
          <w:highlight w:val="yellow"/>
        </w:rPr>
        <w:t>Section</w:t>
      </w:r>
      <w:proofErr w:type="gramEnd"/>
      <w:r w:rsidR="00AD64B5" w:rsidRPr="00F610FF">
        <w:rPr>
          <w:highlight w:val="yellow"/>
        </w:rPr>
        <w:t xml:space="preserve"> 3.1.1</w:t>
      </w:r>
      <w:r w:rsidR="00AD64B5" w:rsidRPr="00AD64B5">
        <w:rPr>
          <w:highlight w:val="yellow"/>
        </w:rPr>
        <w:t>[end]</w:t>
      </w:r>
      <w:r w:rsidR="00917824">
        <w:t xml:space="preserve"> are</w:t>
      </w:r>
      <w:r w:rsidR="009E533C">
        <w:t xml:space="preserve"> available for</w:t>
      </w:r>
      <w:r>
        <w:t xml:space="preserve"> industrial facilities employing: </w:t>
      </w:r>
    </w:p>
    <w:p w14:paraId="7F96273C" w14:textId="268A4080" w:rsidR="00D84736" w:rsidRDefault="005C5A3E">
      <w:pPr>
        <w:pStyle w:val="p"/>
      </w:pPr>
      <w:r w:rsidRPr="004F4AE1">
        <w:rPr>
          <w:color w:val="FF0000"/>
        </w:rPr>
        <w:t>&amp;</w:t>
      </w:r>
      <w:proofErr w:type="spellStart"/>
      <w:r w:rsidRPr="004F4AE1">
        <w:rPr>
          <w:color w:val="FF0000"/>
        </w:rPr>
        <w:t>cir</w:t>
      </w:r>
      <w:proofErr w:type="spellEnd"/>
      <w:r w:rsidRPr="004F4AE1">
        <w:rPr>
          <w:color w:val="FF0000"/>
        </w:rPr>
        <w:t>;</w:t>
      </w:r>
      <w:r w:rsidRPr="004F4AE1">
        <w:t xml:space="preserve"> </w:t>
      </w:r>
      <w:r w:rsidR="00D84736">
        <w:t>25 employees or more</w:t>
      </w:r>
      <w:r w:rsidR="0094645B">
        <w:t xml:space="preserve"> —</w:t>
      </w:r>
      <w:r w:rsidR="00D84736">
        <w:t xml:space="preserve"> 1 percent </w:t>
      </w:r>
      <w:proofErr w:type="gramStart"/>
      <w:r w:rsidR="00D84736">
        <w:t>reduction;</w:t>
      </w:r>
      <w:proofErr w:type="gramEnd"/>
    </w:p>
    <w:p w14:paraId="3E6C19A4" w14:textId="1407169C" w:rsidR="00D84736" w:rsidRDefault="005C5A3E">
      <w:pPr>
        <w:pStyle w:val="p"/>
      </w:pPr>
      <w:r w:rsidRPr="004F4AE1">
        <w:rPr>
          <w:color w:val="FF0000"/>
        </w:rPr>
        <w:t>&amp;</w:t>
      </w:r>
      <w:proofErr w:type="spellStart"/>
      <w:r w:rsidRPr="004F4AE1">
        <w:rPr>
          <w:color w:val="FF0000"/>
        </w:rPr>
        <w:t>cir</w:t>
      </w:r>
      <w:proofErr w:type="spellEnd"/>
      <w:r w:rsidRPr="004F4AE1">
        <w:rPr>
          <w:color w:val="FF0000"/>
        </w:rPr>
        <w:t>;</w:t>
      </w:r>
      <w:r w:rsidRPr="004F4AE1">
        <w:t xml:space="preserve"> </w:t>
      </w:r>
      <w:r w:rsidR="00D84736">
        <w:t>75 employees or more</w:t>
      </w:r>
      <w:r w:rsidR="0094645B">
        <w:t xml:space="preserve"> —</w:t>
      </w:r>
      <w:r w:rsidR="00D84736">
        <w:t xml:space="preserve"> 2 percent reduction; and</w:t>
      </w:r>
    </w:p>
    <w:p w14:paraId="54207155" w14:textId="5EC869EC" w:rsidR="00D84736" w:rsidRDefault="005C5A3E">
      <w:pPr>
        <w:pStyle w:val="p"/>
      </w:pPr>
      <w:r w:rsidRPr="004F4AE1">
        <w:rPr>
          <w:color w:val="FF0000"/>
        </w:rPr>
        <w:t>&amp;</w:t>
      </w:r>
      <w:proofErr w:type="spellStart"/>
      <w:r w:rsidRPr="004F4AE1">
        <w:rPr>
          <w:color w:val="FF0000"/>
        </w:rPr>
        <w:t>cir</w:t>
      </w:r>
      <w:proofErr w:type="spellEnd"/>
      <w:r w:rsidRPr="004F4AE1">
        <w:rPr>
          <w:color w:val="FF0000"/>
        </w:rPr>
        <w:t>;</w:t>
      </w:r>
      <w:r w:rsidRPr="004F4AE1">
        <w:t xml:space="preserve"> </w:t>
      </w:r>
      <w:r w:rsidR="00D84736">
        <w:t>150 employees or more</w:t>
      </w:r>
      <w:r w:rsidR="0094645B">
        <w:t xml:space="preserve"> —</w:t>
      </w:r>
      <w:r w:rsidR="00D84736">
        <w:t xml:space="preserve"> 3 percent reduction.</w:t>
      </w:r>
    </w:p>
    <w:p w14:paraId="7BA8B207" w14:textId="77777777" w:rsidR="00D84736" w:rsidRDefault="00D84736">
      <w:pPr>
        <w:rPr>
          <w:sz w:val="24"/>
          <w:szCs w:val="24"/>
        </w:rPr>
      </w:pPr>
    </w:p>
    <w:p w14:paraId="11C2A2D1" w14:textId="75F6E79A" w:rsidR="00D84736" w:rsidRDefault="00D84736">
      <w:pPr>
        <w:pStyle w:val="p"/>
      </w:pPr>
      <w:r>
        <w:t xml:space="preserve">Additionally, if a decision by the Committee of Reconsideration (see </w:t>
      </w:r>
      <w:r w:rsidR="00AD64B5" w:rsidRPr="00AD64B5">
        <w:rPr>
          <w:highlight w:val="yellow"/>
        </w:rPr>
        <w:t>[</w:t>
      </w:r>
      <w:proofErr w:type="gramStart"/>
      <w:r w:rsidR="00AD64B5" w:rsidRPr="00AD64B5">
        <w:rPr>
          <w:highlight w:val="yellow"/>
        </w:rPr>
        <w:t>2.9.2]</w:t>
      </w:r>
      <w:r w:rsidR="00AD64B5" w:rsidRPr="00F610FF">
        <w:rPr>
          <w:highlight w:val="yellow"/>
        </w:rPr>
        <w:t>Section</w:t>
      </w:r>
      <w:proofErr w:type="gramEnd"/>
      <w:r w:rsidR="00AD64B5" w:rsidRPr="00F610FF">
        <w:rPr>
          <w:highlight w:val="yellow"/>
        </w:rPr>
        <w:t xml:space="preserve"> 2.9.2</w:t>
      </w:r>
      <w:r w:rsidR="00AD64B5" w:rsidRPr="00AD64B5">
        <w:rPr>
          <w:highlight w:val="yellow"/>
        </w:rPr>
        <w:t>[end]</w:t>
      </w:r>
      <w:r>
        <w:t xml:space="preserve">) is rendered during the months of November and December, the following applies: </w:t>
      </w:r>
    </w:p>
    <w:p w14:paraId="72ECF188" w14:textId="46B689A9" w:rsidR="00D84736" w:rsidRDefault="00D56218">
      <w:pPr>
        <w:pStyle w:val="p"/>
      </w:pPr>
      <w:r>
        <w:rPr>
          <w:noProof/>
        </w:rPr>
        <w:drawing>
          <wp:inline distT="0" distB="0" distL="0" distR="0" wp14:anchorId="69977E5C" wp14:editId="44BDF6EC">
            <wp:extent cx="130810" cy="13081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companies that pay their taxes during the months of January and February of the following year will receive a 4 percent reduction on their </w:t>
      </w:r>
      <w:proofErr w:type="gramStart"/>
      <w:r w:rsidR="00D84736">
        <w:t>taxes;</w:t>
      </w:r>
      <w:proofErr w:type="gramEnd"/>
    </w:p>
    <w:p w14:paraId="06FAE4CC" w14:textId="1D2B6709" w:rsidR="00D84736" w:rsidRDefault="00D56218">
      <w:pPr>
        <w:pStyle w:val="p"/>
      </w:pPr>
      <w:r>
        <w:rPr>
          <w:noProof/>
        </w:rPr>
        <w:drawing>
          <wp:inline distT="0" distB="0" distL="0" distR="0" wp14:anchorId="73D77FA9" wp14:editId="3926B646">
            <wp:extent cx="130810" cy="13081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companies that pay their taxes during the months of March and April of the following year will receive 3 percent reduction on their taxes; and</w:t>
      </w:r>
    </w:p>
    <w:p w14:paraId="62281949" w14:textId="4D7AB2EB" w:rsidR="00D84736" w:rsidRDefault="00D56218">
      <w:pPr>
        <w:pStyle w:val="p"/>
      </w:pPr>
      <w:r>
        <w:rPr>
          <w:noProof/>
        </w:rPr>
        <w:drawing>
          <wp:inline distT="0" distB="0" distL="0" distR="0" wp14:anchorId="2D497A58" wp14:editId="77247A74">
            <wp:extent cx="130810" cy="13081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companies that pay their taxes during the months of May and June of the following year will receive no reduction on their taxes.</w:t>
      </w:r>
      <w:r w:rsidR="00D84736">
        <w:rPr>
          <w:vertAlign w:val="superscript"/>
        </w:rPr>
        <w:t>3</w:t>
      </w:r>
      <w:r w:rsidR="00D84736" w:rsidRPr="00CE3533">
        <w:rPr>
          <w:rStyle w:val="FootnoteReference"/>
        </w:rPr>
        <w:footnoteReference w:customMarkFollows="1" w:id="39"/>
        <w:t>5</w:t>
      </w:r>
    </w:p>
    <w:p w14:paraId="375EE1AF" w14:textId="77777777" w:rsidR="00D84736" w:rsidRDefault="00D84736">
      <w:pPr>
        <w:rPr>
          <w:sz w:val="24"/>
          <w:szCs w:val="24"/>
        </w:rPr>
      </w:pPr>
    </w:p>
    <w:p w14:paraId="4E04BA16" w14:textId="1C1FE53A" w:rsidR="00D84736" w:rsidRDefault="00D84736">
      <w:pPr>
        <w:pStyle w:val="p"/>
      </w:pPr>
      <w:r>
        <w:rPr>
          <w:sz w:val="24"/>
          <w:szCs w:val="24"/>
        </w:rPr>
        <w:br/>
      </w:r>
      <w:r>
        <w:rPr>
          <w:b/>
          <w:bCs/>
        </w:rPr>
        <w:t xml:space="preserve">3.1.4. Special Additional Taxes or Levies </w:t>
      </w:r>
      <w:r>
        <w:rPr>
          <w:b/>
          <w:bCs/>
        </w:rPr>
        <w:br/>
      </w:r>
      <w:r>
        <w:t xml:space="preserve">Companies are also subject to a local administration fee and a reconstruction fee (see </w:t>
      </w:r>
      <w:r w:rsidR="00AD64B5" w:rsidRPr="00AD64B5">
        <w:rPr>
          <w:highlight w:val="yellow"/>
        </w:rPr>
        <w:t>[</w:t>
      </w:r>
      <w:proofErr w:type="gramStart"/>
      <w:r w:rsidR="00AD64B5" w:rsidRPr="00AD64B5">
        <w:rPr>
          <w:highlight w:val="yellow"/>
        </w:rPr>
        <w:t>9.4]</w:t>
      </w:r>
      <w:r w:rsidR="00AD64B5" w:rsidRPr="00F610FF">
        <w:rPr>
          <w:highlight w:val="yellow"/>
        </w:rPr>
        <w:t>Section</w:t>
      </w:r>
      <w:proofErr w:type="gramEnd"/>
      <w:r w:rsidR="00AD64B5" w:rsidRPr="00F610FF">
        <w:rPr>
          <w:highlight w:val="yellow"/>
        </w:rPr>
        <w:t xml:space="preserve"> 9.4</w:t>
      </w:r>
      <w:r w:rsidR="00AD64B5" w:rsidRPr="00AD64B5">
        <w:rPr>
          <w:highlight w:val="yellow"/>
        </w:rPr>
        <w:t>[end]</w:t>
      </w:r>
      <w:r>
        <w:t>).</w:t>
      </w:r>
    </w:p>
    <w:p w14:paraId="2663AAB8" w14:textId="77777777" w:rsidR="00D84736" w:rsidRDefault="00D84736">
      <w:pPr>
        <w:pStyle w:val="p"/>
      </w:pPr>
      <w:r>
        <w:rPr>
          <w:sz w:val="24"/>
          <w:szCs w:val="24"/>
        </w:rPr>
        <w:br/>
      </w:r>
      <w:r>
        <w:rPr>
          <w:b/>
          <w:bCs/>
        </w:rPr>
        <w:t xml:space="preserve">3.2. State, Cantonal, Provincial or Other Local Taxes </w:t>
      </w:r>
      <w:r>
        <w:rPr>
          <w:b/>
          <w:bCs/>
        </w:rPr>
        <w:br/>
      </w:r>
      <w:r>
        <w:rPr>
          <w:b/>
          <w:bCs/>
        </w:rPr>
        <w:br/>
        <w:t xml:space="preserve">3.2.1. Main Rates </w:t>
      </w:r>
      <w:r>
        <w:rPr>
          <w:b/>
          <w:bCs/>
        </w:rPr>
        <w:br/>
      </w:r>
      <w:r>
        <w:t>In Syria, there are no local taxes on corporate profits.</w:t>
      </w:r>
    </w:p>
    <w:p w14:paraId="409476AE" w14:textId="24A63E11" w:rsidR="000072C7" w:rsidRDefault="00D84736" w:rsidP="007B06AB">
      <w:pPr>
        <w:pStyle w:val="p"/>
      </w:pPr>
      <w:r>
        <w:rPr>
          <w:sz w:val="24"/>
          <w:szCs w:val="24"/>
        </w:rPr>
        <w:br/>
      </w:r>
      <w:r>
        <w:rPr>
          <w:b/>
          <w:bCs/>
        </w:rPr>
        <w:t xml:space="preserve">3.2.2. Reduced Rates </w:t>
      </w:r>
      <w:r>
        <w:rPr>
          <w:b/>
          <w:bCs/>
        </w:rPr>
        <w:br/>
      </w:r>
      <w:r w:rsidR="007B06AB" w:rsidRPr="00403429">
        <w:t>In Syria, there are no local taxes on corporate profits.</w:t>
      </w:r>
    </w:p>
    <w:p w14:paraId="07A0C140" w14:textId="0E237A72" w:rsidR="00D84736" w:rsidRDefault="00D84736" w:rsidP="007B06AB">
      <w:pPr>
        <w:pStyle w:val="p"/>
      </w:pPr>
      <w:r>
        <w:rPr>
          <w:sz w:val="24"/>
          <w:szCs w:val="24"/>
        </w:rPr>
        <w:br/>
      </w:r>
      <w:r>
        <w:rPr>
          <w:b/>
          <w:bCs/>
        </w:rPr>
        <w:t xml:space="preserve">3.2.3. Income Tax Base </w:t>
      </w:r>
      <w:r>
        <w:rPr>
          <w:b/>
          <w:bCs/>
        </w:rPr>
        <w:br/>
      </w:r>
      <w:r>
        <w:t>In Syria, there are no local taxes on corporate profits.</w:t>
      </w:r>
    </w:p>
    <w:p w14:paraId="3D226747" w14:textId="77777777" w:rsidR="00D84736" w:rsidRDefault="00D84736">
      <w:pPr>
        <w:pStyle w:val="p"/>
      </w:pPr>
      <w:r>
        <w:rPr>
          <w:sz w:val="24"/>
          <w:szCs w:val="24"/>
        </w:rPr>
        <w:br/>
      </w:r>
      <w:r>
        <w:rPr>
          <w:b/>
          <w:bCs/>
        </w:rPr>
        <w:t xml:space="preserve">3.2.4. Income Tax Deductions </w:t>
      </w:r>
      <w:r>
        <w:rPr>
          <w:b/>
          <w:bCs/>
        </w:rPr>
        <w:br/>
      </w:r>
      <w:r>
        <w:t>In Syria, there are no local taxes on corporate profits.</w:t>
      </w:r>
    </w:p>
    <w:p w14:paraId="6BE0DD04" w14:textId="77777777" w:rsidR="00D84736" w:rsidRDefault="00D84736">
      <w:pPr>
        <w:pStyle w:val="p"/>
      </w:pPr>
      <w:r>
        <w:rPr>
          <w:sz w:val="24"/>
          <w:szCs w:val="24"/>
        </w:rPr>
        <w:br/>
      </w:r>
      <w:r>
        <w:rPr>
          <w:b/>
          <w:bCs/>
        </w:rPr>
        <w:t xml:space="preserve">3.2.5. Incentives </w:t>
      </w:r>
      <w:r>
        <w:rPr>
          <w:b/>
          <w:bCs/>
        </w:rPr>
        <w:br/>
      </w:r>
      <w:r>
        <w:t>In Syria, there are no local taxes on corporate profits.</w:t>
      </w:r>
    </w:p>
    <w:p w14:paraId="2C8BD492" w14:textId="77777777" w:rsidR="00D84736" w:rsidRDefault="00D84736">
      <w:pPr>
        <w:pStyle w:val="p"/>
      </w:pPr>
      <w:r>
        <w:rPr>
          <w:sz w:val="24"/>
          <w:szCs w:val="24"/>
        </w:rPr>
        <w:br/>
      </w:r>
      <w:r>
        <w:rPr>
          <w:b/>
          <w:bCs/>
        </w:rPr>
        <w:t xml:space="preserve">3.2.6. Non-Income Taxes in States </w:t>
      </w:r>
      <w:r>
        <w:rPr>
          <w:b/>
          <w:bCs/>
        </w:rPr>
        <w:br/>
      </w:r>
      <w:r>
        <w:t>In Syria, there are no such taxes.</w:t>
      </w:r>
    </w:p>
    <w:p w14:paraId="0B66B118" w14:textId="77777777" w:rsidR="00D84736" w:rsidRDefault="00D84736">
      <w:pPr>
        <w:pStyle w:val="p"/>
      </w:pPr>
      <w:r>
        <w:rPr>
          <w:sz w:val="24"/>
          <w:szCs w:val="24"/>
        </w:rPr>
        <w:br/>
      </w:r>
      <w:r>
        <w:rPr>
          <w:b/>
          <w:bCs/>
        </w:rPr>
        <w:t xml:space="preserve">3.3. Taxes Imposed as a Penalty </w:t>
      </w:r>
      <w:r>
        <w:rPr>
          <w:b/>
          <w:bCs/>
        </w:rPr>
        <w:br/>
      </w:r>
      <w:r>
        <w:t>In Syria, there are no taxes imposed as a penalty.</w:t>
      </w:r>
    </w:p>
    <w:p w14:paraId="7DA4A734" w14:textId="77777777" w:rsidR="00D84736" w:rsidRDefault="00D84736">
      <w:pPr>
        <w:pStyle w:val="p"/>
      </w:pPr>
      <w:r>
        <w:rPr>
          <w:sz w:val="24"/>
          <w:szCs w:val="24"/>
        </w:rPr>
        <w:lastRenderedPageBreak/>
        <w:br/>
      </w:r>
      <w:r>
        <w:rPr>
          <w:b/>
          <w:bCs/>
        </w:rPr>
        <w:t xml:space="preserve">4. Corporate Tax Capital Gains, Losses, Group Treatment </w:t>
      </w:r>
      <w:r>
        <w:rPr>
          <w:b/>
          <w:bCs/>
        </w:rPr>
        <w:br/>
      </w:r>
      <w:r>
        <w:rPr>
          <w:b/>
          <w:bCs/>
        </w:rPr>
        <w:br/>
        <w:t xml:space="preserve">4.1. Taxation of Corporate Capital Gains </w:t>
      </w:r>
      <w:r>
        <w:rPr>
          <w:b/>
          <w:bCs/>
        </w:rPr>
        <w:br/>
      </w:r>
      <w:r>
        <w:t>In Syria corporate capital gains, for both resident and nonresident companies, are included in the company's accounts (as income) and are subject to a capital gains tax which is computed based on a progressive system.</w:t>
      </w:r>
      <w:r>
        <w:rPr>
          <w:vertAlign w:val="superscript"/>
        </w:rPr>
        <w:t>3</w:t>
      </w:r>
      <w:r w:rsidRPr="00CE3533">
        <w:rPr>
          <w:rStyle w:val="FootnoteReference"/>
        </w:rPr>
        <w:footnoteReference w:customMarkFollows="1" w:id="40"/>
        <w:t>6</w:t>
      </w:r>
    </w:p>
    <w:p w14:paraId="30AF6CA7" w14:textId="77777777" w:rsidR="00D84736" w:rsidRDefault="00D84736">
      <w:pPr>
        <w:pStyle w:val="p"/>
      </w:pPr>
      <w:r>
        <w:t>Corporate capital gains realized from the sale of real estate are subject to tax at a rate of 5 percent, subject to certain conditions.</w:t>
      </w:r>
      <w:r>
        <w:rPr>
          <w:vertAlign w:val="superscript"/>
        </w:rPr>
        <w:t>3</w:t>
      </w:r>
      <w:r w:rsidRPr="00CE3533">
        <w:rPr>
          <w:rStyle w:val="FootnoteReference"/>
        </w:rPr>
        <w:footnoteReference w:customMarkFollows="1" w:id="41"/>
        <w:t>7</w:t>
      </w:r>
    </w:p>
    <w:p w14:paraId="54E818C2" w14:textId="77777777" w:rsidR="00D84736" w:rsidRDefault="00D84736">
      <w:pPr>
        <w:pStyle w:val="p"/>
      </w:pPr>
      <w:r>
        <w:rPr>
          <w:sz w:val="24"/>
          <w:szCs w:val="24"/>
        </w:rPr>
        <w:br/>
      </w:r>
      <w:r>
        <w:rPr>
          <w:b/>
          <w:bCs/>
        </w:rPr>
        <w:t xml:space="preserve">4.2. Definition of Corporate Capital Gains </w:t>
      </w:r>
      <w:r>
        <w:rPr>
          <w:b/>
          <w:bCs/>
        </w:rPr>
        <w:br/>
      </w:r>
      <w:r>
        <w:t>Income is defined as the profit from operation of the business, while capital gain is the profit realized from non-operational activities, such as the disposal of assets.</w:t>
      </w:r>
      <w:r>
        <w:rPr>
          <w:vertAlign w:val="superscript"/>
        </w:rPr>
        <w:t>3</w:t>
      </w:r>
      <w:r w:rsidRPr="00CE3533">
        <w:rPr>
          <w:rStyle w:val="FootnoteReference"/>
        </w:rPr>
        <w:footnoteReference w:customMarkFollows="1" w:id="42"/>
        <w:t>8</w:t>
      </w:r>
    </w:p>
    <w:p w14:paraId="670ABF5D" w14:textId="77777777" w:rsidR="00D84736" w:rsidRDefault="00D84736">
      <w:pPr>
        <w:pStyle w:val="p"/>
      </w:pPr>
      <w:r>
        <w:t>In Syria, there is no distinction between short and long-term capital gains for tax purposes.</w:t>
      </w:r>
    </w:p>
    <w:p w14:paraId="225C3A6A" w14:textId="77777777" w:rsidR="00D84736" w:rsidRDefault="00D84736">
      <w:pPr>
        <w:pStyle w:val="p"/>
      </w:pPr>
      <w:r>
        <w:rPr>
          <w:sz w:val="24"/>
          <w:szCs w:val="24"/>
        </w:rPr>
        <w:br/>
      </w:r>
      <w:r>
        <w:rPr>
          <w:b/>
          <w:bCs/>
        </w:rPr>
        <w:t xml:space="preserve">4.3. Computation </w:t>
      </w:r>
      <w:r>
        <w:rPr>
          <w:b/>
          <w:bCs/>
        </w:rPr>
        <w:br/>
      </w:r>
      <w:r>
        <w:t>Capital gains in Syria are calculated by deducting the acquisition costs and sale costs from the sale price.</w:t>
      </w:r>
      <w:r>
        <w:rPr>
          <w:vertAlign w:val="superscript"/>
        </w:rPr>
        <w:t>3</w:t>
      </w:r>
      <w:r w:rsidRPr="00CE3533">
        <w:rPr>
          <w:rStyle w:val="FootnoteReference"/>
        </w:rPr>
        <w:footnoteReference w:customMarkFollows="1" w:id="43"/>
        <w:t>9</w:t>
      </w:r>
    </w:p>
    <w:p w14:paraId="4739B000" w14:textId="77777777" w:rsidR="00D84736" w:rsidRDefault="00D84736">
      <w:pPr>
        <w:pStyle w:val="p"/>
      </w:pPr>
      <w:r>
        <w:rPr>
          <w:sz w:val="24"/>
          <w:szCs w:val="24"/>
        </w:rPr>
        <w:br/>
      </w:r>
      <w:r>
        <w:rPr>
          <w:b/>
          <w:bCs/>
        </w:rPr>
        <w:t xml:space="preserve">4.4. Corporate Combinations and Divisions </w:t>
      </w:r>
      <w:r>
        <w:rPr>
          <w:b/>
          <w:bCs/>
        </w:rPr>
        <w:br/>
      </w:r>
      <w:r>
        <w:rPr>
          <w:b/>
          <w:bCs/>
        </w:rPr>
        <w:br/>
        <w:t xml:space="preserve">4.4.1. Mergers </w:t>
      </w:r>
      <w:r>
        <w:rPr>
          <w:b/>
          <w:bCs/>
        </w:rPr>
        <w:br/>
      </w:r>
      <w:r>
        <w:t>In Syria, there are no provisions permitting tax-free mergers of companies.</w:t>
      </w:r>
    </w:p>
    <w:p w14:paraId="0B21D262" w14:textId="77777777" w:rsidR="00D84736" w:rsidRDefault="00D84736">
      <w:pPr>
        <w:pStyle w:val="p"/>
      </w:pPr>
      <w:r>
        <w:rPr>
          <w:sz w:val="24"/>
          <w:szCs w:val="24"/>
        </w:rPr>
        <w:br/>
      </w:r>
      <w:r>
        <w:rPr>
          <w:b/>
          <w:bCs/>
        </w:rPr>
        <w:t xml:space="preserve">4.4.2. Transfers of Corporate Property </w:t>
      </w:r>
      <w:r>
        <w:rPr>
          <w:b/>
          <w:bCs/>
        </w:rPr>
        <w:br/>
      </w:r>
      <w:r>
        <w:t>In Syria, shareholders can transfer their property to a corporation in exchange for shares subject to certain conditions. The value of such properties is treated as a capital contribution.</w:t>
      </w:r>
      <w:r>
        <w:rPr>
          <w:vertAlign w:val="superscript"/>
        </w:rPr>
        <w:t>4</w:t>
      </w:r>
      <w:r w:rsidRPr="00CE3533">
        <w:rPr>
          <w:rStyle w:val="FootnoteReference"/>
        </w:rPr>
        <w:footnoteReference w:customMarkFollows="1" w:id="44"/>
        <w:t>0</w:t>
      </w:r>
    </w:p>
    <w:p w14:paraId="2B90C009" w14:textId="0EA9934D" w:rsidR="00D84736" w:rsidRDefault="00D84736">
      <w:pPr>
        <w:pStyle w:val="p"/>
      </w:pPr>
      <w:r>
        <w:t xml:space="preserve">Any other transfer of corporate property is subject to the tax on real property transactions (see </w:t>
      </w:r>
      <w:r w:rsidR="00AD64B5" w:rsidRPr="00AD64B5">
        <w:rPr>
          <w:highlight w:val="yellow"/>
        </w:rPr>
        <w:t>[</w:t>
      </w:r>
      <w:proofErr w:type="gramStart"/>
      <w:r w:rsidR="00AD64B5" w:rsidRPr="00AD64B5">
        <w:rPr>
          <w:highlight w:val="yellow"/>
        </w:rPr>
        <w:t>9.3.1]</w:t>
      </w:r>
      <w:r w:rsidR="00AD64B5" w:rsidRPr="00F610FF">
        <w:rPr>
          <w:highlight w:val="yellow"/>
        </w:rPr>
        <w:t>Section</w:t>
      </w:r>
      <w:proofErr w:type="gramEnd"/>
      <w:r w:rsidR="00AD64B5" w:rsidRPr="00F610FF">
        <w:rPr>
          <w:highlight w:val="yellow"/>
        </w:rPr>
        <w:t xml:space="preserve"> 9.3.1</w:t>
      </w:r>
      <w:r w:rsidR="00AD64B5" w:rsidRPr="00AD64B5">
        <w:rPr>
          <w:highlight w:val="yellow"/>
        </w:rPr>
        <w:t>[end]</w:t>
      </w:r>
      <w:r>
        <w:t xml:space="preserve"> and </w:t>
      </w:r>
      <w:r w:rsidR="00AD64B5" w:rsidRPr="00AD64B5">
        <w:rPr>
          <w:highlight w:val="yellow"/>
        </w:rPr>
        <w:t>[9.3.2]</w:t>
      </w:r>
      <w:r w:rsidR="00AD64B5" w:rsidRPr="00F610FF">
        <w:rPr>
          <w:highlight w:val="yellow"/>
        </w:rPr>
        <w:t>Section 9.3.2</w:t>
      </w:r>
      <w:r w:rsidR="00AD64B5" w:rsidRPr="00AD64B5">
        <w:rPr>
          <w:highlight w:val="yellow"/>
        </w:rPr>
        <w:t>[end]</w:t>
      </w:r>
      <w:r>
        <w:t>).</w:t>
      </w:r>
      <w:r>
        <w:rPr>
          <w:vertAlign w:val="superscript"/>
        </w:rPr>
        <w:t>4</w:t>
      </w:r>
      <w:r w:rsidRPr="00CE3533">
        <w:rPr>
          <w:rStyle w:val="FootnoteReference"/>
        </w:rPr>
        <w:footnoteReference w:customMarkFollows="1" w:id="45"/>
        <w:t>1</w:t>
      </w:r>
    </w:p>
    <w:p w14:paraId="6B23E937" w14:textId="1A84B16A" w:rsidR="00D84736" w:rsidRDefault="00D84736">
      <w:pPr>
        <w:pStyle w:val="p"/>
      </w:pPr>
      <w:r>
        <w:rPr>
          <w:sz w:val="24"/>
          <w:szCs w:val="24"/>
        </w:rPr>
        <w:br/>
      </w:r>
      <w:r>
        <w:rPr>
          <w:b/>
          <w:bCs/>
        </w:rPr>
        <w:t xml:space="preserve">4.4.3. Share Transfers </w:t>
      </w:r>
      <w:r>
        <w:rPr>
          <w:b/>
          <w:bCs/>
        </w:rPr>
        <w:br/>
      </w:r>
      <w:r>
        <w:t xml:space="preserve">In Syria, there are no provisions addressing share for share exchanges, aside from as stated in </w:t>
      </w:r>
      <w:r w:rsidR="00AD64B5" w:rsidRPr="00AD64B5">
        <w:rPr>
          <w:highlight w:val="yellow"/>
        </w:rPr>
        <w:t>[</w:t>
      </w:r>
      <w:proofErr w:type="gramStart"/>
      <w:r w:rsidR="00AD64B5" w:rsidRPr="00AD64B5">
        <w:rPr>
          <w:highlight w:val="yellow"/>
        </w:rPr>
        <w:t>4.4.2]</w:t>
      </w:r>
      <w:r w:rsidR="00AD64B5" w:rsidRPr="00F610FF">
        <w:rPr>
          <w:highlight w:val="yellow"/>
        </w:rPr>
        <w:t>Section</w:t>
      </w:r>
      <w:proofErr w:type="gramEnd"/>
      <w:r w:rsidR="00AD64B5" w:rsidRPr="00F610FF">
        <w:rPr>
          <w:highlight w:val="yellow"/>
        </w:rPr>
        <w:t xml:space="preserve"> 4.4.2</w:t>
      </w:r>
      <w:r w:rsidR="00AD64B5" w:rsidRPr="00AD64B5">
        <w:rPr>
          <w:highlight w:val="yellow"/>
        </w:rPr>
        <w:t>[end]</w:t>
      </w:r>
      <w:r>
        <w:t>.</w:t>
      </w:r>
    </w:p>
    <w:p w14:paraId="5BB6DBEA" w14:textId="77777777" w:rsidR="00D84736" w:rsidRDefault="00D84736">
      <w:pPr>
        <w:pStyle w:val="p"/>
      </w:pPr>
      <w:r>
        <w:rPr>
          <w:sz w:val="24"/>
          <w:szCs w:val="24"/>
        </w:rPr>
        <w:lastRenderedPageBreak/>
        <w:br/>
      </w:r>
      <w:r>
        <w:rPr>
          <w:b/>
          <w:bCs/>
        </w:rPr>
        <w:t xml:space="preserve">4.4.4. Divisions or Separations </w:t>
      </w:r>
      <w:r>
        <w:rPr>
          <w:b/>
          <w:bCs/>
        </w:rPr>
        <w:br/>
      </w:r>
      <w:r>
        <w:t>In Syria, there are no provisions addressing demergers.</w:t>
      </w:r>
    </w:p>
    <w:p w14:paraId="111F8072" w14:textId="77777777" w:rsidR="00D84736" w:rsidRDefault="00D84736">
      <w:pPr>
        <w:pStyle w:val="p"/>
      </w:pPr>
      <w:r>
        <w:rPr>
          <w:sz w:val="24"/>
          <w:szCs w:val="24"/>
        </w:rPr>
        <w:br/>
      </w:r>
      <w:r>
        <w:rPr>
          <w:b/>
          <w:bCs/>
        </w:rPr>
        <w:t xml:space="preserve">4.5. Position of Losses </w:t>
      </w:r>
      <w:proofErr w:type="gramStart"/>
      <w:r>
        <w:rPr>
          <w:b/>
          <w:bCs/>
        </w:rPr>
        <w:t>From</w:t>
      </w:r>
      <w:proofErr w:type="gramEnd"/>
      <w:r>
        <w:rPr>
          <w:b/>
          <w:bCs/>
        </w:rPr>
        <w:t xml:space="preserve"> Business Operations </w:t>
      </w:r>
      <w:r>
        <w:rPr>
          <w:b/>
          <w:bCs/>
        </w:rPr>
        <w:br/>
      </w:r>
      <w:r>
        <w:rPr>
          <w:b/>
          <w:bCs/>
        </w:rPr>
        <w:br/>
        <w:t xml:space="preserve">4.5.1. Definition </w:t>
      </w:r>
      <w:r>
        <w:rPr>
          <w:b/>
          <w:bCs/>
        </w:rPr>
        <w:br/>
      </w:r>
      <w:r>
        <w:t>In Syria, losses from the operation of a business are the reported loss that a company files and is accepted by the Ministry of Finance.</w:t>
      </w:r>
    </w:p>
    <w:p w14:paraId="008F4021" w14:textId="77777777" w:rsidR="00D84736" w:rsidRDefault="00D84736">
      <w:pPr>
        <w:pStyle w:val="p"/>
      </w:pPr>
      <w:r>
        <w:t>Foreign income and losses are not taxed in Syria.</w:t>
      </w:r>
    </w:p>
    <w:p w14:paraId="129BD3A2" w14:textId="77777777" w:rsidR="00D84736" w:rsidRDefault="00D84736">
      <w:pPr>
        <w:pStyle w:val="p"/>
      </w:pPr>
      <w:r>
        <w:rPr>
          <w:sz w:val="24"/>
          <w:szCs w:val="24"/>
        </w:rPr>
        <w:br/>
      </w:r>
      <w:r>
        <w:rPr>
          <w:b/>
          <w:bCs/>
        </w:rPr>
        <w:t xml:space="preserve">4.5.2. Treatment </w:t>
      </w:r>
      <w:r>
        <w:rPr>
          <w:b/>
          <w:bCs/>
        </w:rPr>
        <w:br/>
      </w:r>
      <w:r>
        <w:t>In Syria, losses from the operation of a business cannot be carried back to prior tax years. However, they can be carried forward for a period of five years, subject to approval by the Ministry of Finance.</w:t>
      </w:r>
      <w:r>
        <w:rPr>
          <w:vertAlign w:val="superscript"/>
        </w:rPr>
        <w:t>4</w:t>
      </w:r>
      <w:r w:rsidRPr="00CE3533">
        <w:rPr>
          <w:rStyle w:val="FootnoteReference"/>
        </w:rPr>
        <w:footnoteReference w:customMarkFollows="1" w:id="46"/>
        <w:t>2</w:t>
      </w:r>
    </w:p>
    <w:p w14:paraId="7F12B6AE" w14:textId="77777777" w:rsidR="00D84736" w:rsidRDefault="00D84736">
      <w:pPr>
        <w:pStyle w:val="p"/>
      </w:pPr>
      <w:r>
        <w:rPr>
          <w:sz w:val="24"/>
          <w:szCs w:val="24"/>
        </w:rPr>
        <w:br/>
      </w:r>
      <w:r>
        <w:rPr>
          <w:b/>
          <w:bCs/>
        </w:rPr>
        <w:t xml:space="preserve">4.5.3. Losses After Change in Ownership </w:t>
      </w:r>
      <w:r>
        <w:rPr>
          <w:b/>
          <w:bCs/>
        </w:rPr>
        <w:br/>
      </w:r>
      <w:r>
        <w:t>In Syria, there are no provisions restricting the offset of losses after a change of ownership.</w:t>
      </w:r>
    </w:p>
    <w:p w14:paraId="0BF72BD6" w14:textId="77777777" w:rsidR="00D84736" w:rsidRDefault="00D84736">
      <w:pPr>
        <w:pStyle w:val="p"/>
      </w:pPr>
      <w:r>
        <w:rPr>
          <w:sz w:val="24"/>
          <w:szCs w:val="24"/>
        </w:rPr>
        <w:br/>
      </w:r>
      <w:r>
        <w:rPr>
          <w:b/>
          <w:bCs/>
        </w:rPr>
        <w:t xml:space="preserve">4.6. Group Treatment </w:t>
      </w:r>
      <w:r>
        <w:rPr>
          <w:b/>
          <w:bCs/>
        </w:rPr>
        <w:br/>
      </w:r>
      <w:r>
        <w:rPr>
          <w:b/>
          <w:bCs/>
        </w:rPr>
        <w:br/>
        <w:t xml:space="preserve">4.6.1. General Rule </w:t>
      </w:r>
      <w:r>
        <w:rPr>
          <w:b/>
          <w:bCs/>
        </w:rPr>
        <w:br/>
      </w:r>
      <w:r>
        <w:t>Syrian law does not permit group reporting.</w:t>
      </w:r>
    </w:p>
    <w:p w14:paraId="24595AEE" w14:textId="77777777" w:rsidR="00D84736" w:rsidRDefault="00D84736">
      <w:pPr>
        <w:pStyle w:val="p"/>
      </w:pPr>
      <w:r>
        <w:rPr>
          <w:sz w:val="24"/>
          <w:szCs w:val="24"/>
        </w:rPr>
        <w:br/>
      </w:r>
      <w:r>
        <w:rPr>
          <w:b/>
          <w:bCs/>
        </w:rPr>
        <w:t xml:space="preserve">4.6.2. Definition of Group </w:t>
      </w:r>
      <w:r>
        <w:rPr>
          <w:b/>
          <w:bCs/>
        </w:rPr>
        <w:br/>
      </w:r>
      <w:r>
        <w:t>Syrian law does not permit group reporting.</w:t>
      </w:r>
    </w:p>
    <w:p w14:paraId="13021A0E" w14:textId="77777777" w:rsidR="00D84736" w:rsidRDefault="00D84736">
      <w:pPr>
        <w:pStyle w:val="p"/>
      </w:pPr>
      <w:r>
        <w:rPr>
          <w:sz w:val="24"/>
          <w:szCs w:val="24"/>
        </w:rPr>
        <w:br/>
      </w:r>
      <w:r>
        <w:rPr>
          <w:b/>
          <w:bCs/>
        </w:rPr>
        <w:t xml:space="preserve">4.6.3. Special Aspects </w:t>
      </w:r>
      <w:r>
        <w:rPr>
          <w:b/>
          <w:bCs/>
        </w:rPr>
        <w:br/>
      </w:r>
      <w:r>
        <w:t>Syrian law does not permit group reporting.</w:t>
      </w:r>
    </w:p>
    <w:p w14:paraId="52AE4A66" w14:textId="77777777" w:rsidR="00D84736" w:rsidRDefault="00D84736">
      <w:pPr>
        <w:pStyle w:val="p"/>
      </w:pPr>
      <w:r>
        <w:rPr>
          <w:sz w:val="24"/>
          <w:szCs w:val="24"/>
        </w:rPr>
        <w:br/>
      </w:r>
      <w:r>
        <w:rPr>
          <w:b/>
          <w:bCs/>
        </w:rPr>
        <w:t xml:space="preserve">5. Corporate Withholding Taxes on Non-Resident Corporations </w:t>
      </w:r>
      <w:r>
        <w:rPr>
          <w:b/>
          <w:bCs/>
        </w:rPr>
        <w:br/>
      </w:r>
      <w:r>
        <w:rPr>
          <w:b/>
          <w:bCs/>
        </w:rPr>
        <w:br/>
        <w:t xml:space="preserve">5.1. Dividends </w:t>
      </w:r>
      <w:r>
        <w:rPr>
          <w:b/>
          <w:bCs/>
        </w:rPr>
        <w:br/>
      </w:r>
      <w:proofErr w:type="spellStart"/>
      <w:r>
        <w:t>Dividends</w:t>
      </w:r>
      <w:proofErr w:type="spellEnd"/>
      <w:r>
        <w:t xml:space="preserve"> paid to nonresident corporations will have been generated from previously taxed income, and so are not subject to withholding tax.</w:t>
      </w:r>
      <w:r>
        <w:rPr>
          <w:vertAlign w:val="superscript"/>
        </w:rPr>
        <w:t>4</w:t>
      </w:r>
      <w:r w:rsidRPr="00CE3533">
        <w:rPr>
          <w:rStyle w:val="FootnoteReference"/>
        </w:rPr>
        <w:footnoteReference w:customMarkFollows="1" w:id="47"/>
        <w:t>3</w:t>
      </w:r>
    </w:p>
    <w:p w14:paraId="0369178E" w14:textId="77777777" w:rsidR="00D84736" w:rsidRDefault="00D84736">
      <w:pPr>
        <w:pStyle w:val="p"/>
      </w:pPr>
      <w:r>
        <w:t>Subsequently, no further taxes are levied on dividends from the operations of these companies.</w:t>
      </w:r>
    </w:p>
    <w:p w14:paraId="71B956A9" w14:textId="7B182A34" w:rsidR="00D84736" w:rsidRDefault="00D84736">
      <w:pPr>
        <w:pStyle w:val="p"/>
      </w:pPr>
      <w:r>
        <w:rPr>
          <w:sz w:val="24"/>
          <w:szCs w:val="24"/>
        </w:rPr>
        <w:br/>
      </w:r>
      <w:r>
        <w:rPr>
          <w:b/>
          <w:bCs/>
        </w:rPr>
        <w:t xml:space="preserve">5.2. Interest </w:t>
      </w:r>
      <w:r>
        <w:rPr>
          <w:b/>
          <w:bCs/>
        </w:rPr>
        <w:br/>
      </w:r>
      <w:r w:rsidRPr="00C94E42">
        <w:rPr>
          <w:highlight w:val="yellow"/>
        </w:rPr>
        <w:t xml:space="preserve">A </w:t>
      </w:r>
      <w:r w:rsidR="006520A6" w:rsidRPr="00C94E42">
        <w:rPr>
          <w:highlight w:val="yellow"/>
        </w:rPr>
        <w:t>10</w:t>
      </w:r>
      <w:r w:rsidRPr="00C94E42">
        <w:rPr>
          <w:highlight w:val="yellow"/>
        </w:rPr>
        <w:t xml:space="preserve"> percent withholding tax</w:t>
      </w:r>
      <w:r w:rsidR="006520A6" w:rsidRPr="00C94E42">
        <w:rPr>
          <w:highlight w:val="yellow"/>
        </w:rPr>
        <w:t xml:space="preserve"> (from </w:t>
      </w:r>
      <w:r w:rsidR="001C2521">
        <w:rPr>
          <w:highlight w:val="yellow"/>
        </w:rPr>
        <w:t>September</w:t>
      </w:r>
      <w:r w:rsidR="006520A6" w:rsidRPr="00C94E42">
        <w:rPr>
          <w:highlight w:val="yellow"/>
        </w:rPr>
        <w:t xml:space="preserve"> 1, 202</w:t>
      </w:r>
      <w:r w:rsidR="001C2521">
        <w:rPr>
          <w:highlight w:val="yellow"/>
        </w:rPr>
        <w:t>3</w:t>
      </w:r>
      <w:r w:rsidR="006520A6" w:rsidRPr="00C94E42">
        <w:rPr>
          <w:highlight w:val="yellow"/>
        </w:rPr>
        <w:t>; previously 7.5 percent)</w:t>
      </w:r>
      <w:r>
        <w:t xml:space="preserve"> is levied on interest paid to nonresident companies.</w:t>
      </w:r>
      <w:r>
        <w:rPr>
          <w:vertAlign w:val="superscript"/>
        </w:rPr>
        <w:t>4</w:t>
      </w:r>
      <w:r w:rsidRPr="00CE3533">
        <w:rPr>
          <w:rStyle w:val="FootnoteReference"/>
        </w:rPr>
        <w:footnoteReference w:customMarkFollows="1" w:id="48"/>
        <w:t>4</w:t>
      </w:r>
    </w:p>
    <w:p w14:paraId="6E3E7472" w14:textId="6F96EB13" w:rsidR="00D84736" w:rsidRDefault="00D84736">
      <w:pPr>
        <w:pStyle w:val="p"/>
      </w:pPr>
      <w:r>
        <w:rPr>
          <w:sz w:val="24"/>
          <w:szCs w:val="24"/>
        </w:rPr>
        <w:br/>
      </w:r>
      <w:r>
        <w:rPr>
          <w:b/>
          <w:bCs/>
        </w:rPr>
        <w:t xml:space="preserve">5.3. Royalties </w:t>
      </w:r>
      <w:r>
        <w:rPr>
          <w:b/>
          <w:bCs/>
        </w:rPr>
        <w:br/>
      </w:r>
      <w:r>
        <w:t>A 5 percent withholding tax is levied on royalties paid to nonresident companies. This withholding tax is final.</w:t>
      </w:r>
      <w:r>
        <w:rPr>
          <w:vertAlign w:val="superscript"/>
        </w:rPr>
        <w:t>4</w:t>
      </w:r>
      <w:r w:rsidRPr="00CE3533">
        <w:rPr>
          <w:rStyle w:val="FootnoteReference"/>
        </w:rPr>
        <w:footnoteReference w:customMarkFollows="1" w:id="49"/>
        <w:t>5</w:t>
      </w:r>
      <w:r>
        <w:t xml:space="preserve"> </w:t>
      </w:r>
      <w:r>
        <w:lastRenderedPageBreak/>
        <w:t xml:space="preserve">Additionally, a 2 percent withholding payroll tax also applies. See </w:t>
      </w:r>
      <w:r w:rsidR="00AD64B5" w:rsidRPr="00AD64B5">
        <w:rPr>
          <w:highlight w:val="yellow"/>
        </w:rPr>
        <w:t>[</w:t>
      </w:r>
      <w:proofErr w:type="gramStart"/>
      <w:r w:rsidR="00AD64B5" w:rsidRPr="00AD64B5">
        <w:rPr>
          <w:highlight w:val="yellow"/>
        </w:rPr>
        <w:t>9.1]</w:t>
      </w:r>
      <w:r w:rsidR="00AD64B5" w:rsidRPr="00F610FF">
        <w:rPr>
          <w:highlight w:val="yellow"/>
        </w:rPr>
        <w:t>Section</w:t>
      </w:r>
      <w:proofErr w:type="gramEnd"/>
      <w:r w:rsidR="00AD64B5" w:rsidRPr="00F610FF">
        <w:rPr>
          <w:highlight w:val="yellow"/>
        </w:rPr>
        <w:t xml:space="preserve"> 9.1</w:t>
      </w:r>
      <w:r w:rsidR="00AD64B5" w:rsidRPr="00AD64B5">
        <w:rPr>
          <w:highlight w:val="yellow"/>
        </w:rPr>
        <w:t>[end]</w:t>
      </w:r>
      <w:r>
        <w:t>.</w:t>
      </w:r>
    </w:p>
    <w:p w14:paraId="6D063EB6" w14:textId="0BC52141" w:rsidR="00D84736" w:rsidRDefault="00D84736">
      <w:pPr>
        <w:pStyle w:val="p"/>
      </w:pPr>
      <w:r>
        <w:rPr>
          <w:sz w:val="24"/>
          <w:szCs w:val="24"/>
        </w:rPr>
        <w:br/>
      </w:r>
      <w:r>
        <w:rPr>
          <w:b/>
          <w:bCs/>
        </w:rPr>
        <w:t xml:space="preserve">5.4. Services </w:t>
      </w:r>
      <w:r>
        <w:rPr>
          <w:b/>
          <w:bCs/>
        </w:rPr>
        <w:br/>
      </w:r>
      <w:r>
        <w:t>In Syria, fees paid to nonresidents for services performed in Syria are subject to a 5 percent withholding tax in addition to a 2 percent withholding tax on salaries and wages. These withholding taxes are final.</w:t>
      </w:r>
      <w:r>
        <w:rPr>
          <w:vertAlign w:val="superscript"/>
        </w:rPr>
        <w:t>4</w:t>
      </w:r>
      <w:r w:rsidRPr="00CE3533">
        <w:rPr>
          <w:rStyle w:val="FootnoteReference"/>
        </w:rPr>
        <w:footnoteReference w:customMarkFollows="1" w:id="50"/>
        <w:t>6</w:t>
      </w:r>
      <w:r>
        <w:t xml:space="preserve"> (See also </w:t>
      </w:r>
      <w:r w:rsidR="00AD64B5" w:rsidRPr="00AD64B5">
        <w:rPr>
          <w:highlight w:val="yellow"/>
        </w:rPr>
        <w:t>[</w:t>
      </w:r>
      <w:proofErr w:type="gramStart"/>
      <w:r w:rsidR="00AD64B5" w:rsidRPr="00AD64B5">
        <w:rPr>
          <w:highlight w:val="yellow"/>
        </w:rPr>
        <w:t>10.1]</w:t>
      </w:r>
      <w:r w:rsidR="00AD64B5" w:rsidRPr="00F610FF">
        <w:rPr>
          <w:highlight w:val="yellow"/>
        </w:rPr>
        <w:t>Section</w:t>
      </w:r>
      <w:proofErr w:type="gramEnd"/>
      <w:r w:rsidR="00AD64B5" w:rsidRPr="00F610FF">
        <w:rPr>
          <w:highlight w:val="yellow"/>
        </w:rPr>
        <w:t xml:space="preserve"> 10.1</w:t>
      </w:r>
      <w:r w:rsidR="00AD64B5" w:rsidRPr="00AD64B5">
        <w:rPr>
          <w:highlight w:val="yellow"/>
        </w:rPr>
        <w:t>[end]</w:t>
      </w:r>
      <w:r>
        <w:t>).</w:t>
      </w:r>
    </w:p>
    <w:p w14:paraId="23A0AB5A" w14:textId="77777777" w:rsidR="00D84736" w:rsidRDefault="00D84736">
      <w:pPr>
        <w:pStyle w:val="p"/>
      </w:pPr>
      <w:r>
        <w:rPr>
          <w:sz w:val="24"/>
          <w:szCs w:val="24"/>
        </w:rPr>
        <w:br/>
      </w:r>
      <w:r>
        <w:rPr>
          <w:b/>
          <w:bCs/>
        </w:rPr>
        <w:t xml:space="preserve">5.5. Other Withholding Taxes </w:t>
      </w:r>
      <w:r>
        <w:rPr>
          <w:b/>
          <w:bCs/>
        </w:rPr>
        <w:br/>
      </w:r>
      <w:r>
        <w:t>The only other withholding tax is the payroll tax (tax on salaries and wages), which levied at a rate of 2 percent. This is a final withholding tax.</w:t>
      </w:r>
      <w:r>
        <w:rPr>
          <w:vertAlign w:val="superscript"/>
        </w:rPr>
        <w:t>4</w:t>
      </w:r>
      <w:r w:rsidRPr="00CE3533">
        <w:rPr>
          <w:rStyle w:val="FootnoteReference"/>
        </w:rPr>
        <w:footnoteReference w:customMarkFollows="1" w:id="51"/>
        <w:t>7</w:t>
      </w:r>
    </w:p>
    <w:p w14:paraId="65DA7070" w14:textId="77777777" w:rsidR="00D84736" w:rsidRDefault="00D84736">
      <w:pPr>
        <w:pStyle w:val="p"/>
      </w:pPr>
      <w:r>
        <w:rPr>
          <w:sz w:val="24"/>
          <w:szCs w:val="24"/>
        </w:rPr>
        <w:br/>
      </w:r>
      <w:r>
        <w:rPr>
          <w:b/>
          <w:bCs/>
        </w:rPr>
        <w:t xml:space="preserve">5.6. Special Tax Haven Rates </w:t>
      </w:r>
      <w:r>
        <w:rPr>
          <w:b/>
          <w:bCs/>
        </w:rPr>
        <w:br/>
      </w:r>
      <w:r>
        <w:t>There are no special tax haven rates in Syria.</w:t>
      </w:r>
    </w:p>
    <w:p w14:paraId="0818633D" w14:textId="77777777" w:rsidR="00D84736" w:rsidRDefault="00D84736">
      <w:pPr>
        <w:pStyle w:val="p"/>
      </w:pPr>
      <w:r>
        <w:rPr>
          <w:sz w:val="24"/>
          <w:szCs w:val="24"/>
        </w:rPr>
        <w:br/>
      </w:r>
      <w:r>
        <w:rPr>
          <w:b/>
          <w:bCs/>
        </w:rPr>
        <w:t xml:space="preserve">6. Personal Taxes </w:t>
      </w:r>
      <w:r>
        <w:rPr>
          <w:b/>
          <w:bCs/>
        </w:rPr>
        <w:br/>
      </w:r>
      <w:r>
        <w:rPr>
          <w:b/>
          <w:bCs/>
        </w:rPr>
        <w:br/>
        <w:t xml:space="preserve">6.1. Domicile and Residency Requirements </w:t>
      </w:r>
      <w:r>
        <w:rPr>
          <w:b/>
          <w:bCs/>
        </w:rPr>
        <w:br/>
      </w:r>
      <w:r>
        <w:t>An individual who acquires a formal residency card is considered a resident of Syria for tax purposes.</w:t>
      </w:r>
    </w:p>
    <w:p w14:paraId="2AA3D9E0" w14:textId="77777777" w:rsidR="00D84736" w:rsidRDefault="00D84736">
      <w:pPr>
        <w:pStyle w:val="p"/>
      </w:pPr>
      <w:r>
        <w:rPr>
          <w:b/>
          <w:bCs/>
          <w:i/>
          <w:iCs/>
        </w:rPr>
        <w:t>Planning Point:</w:t>
      </w:r>
      <w:r>
        <w:t xml:space="preserve"> Residency cards are most commonly required when a nonresident individual wishes to work in Syria. In such cases, the individual must also acquire a formal work permit, rental agreement establishing his/her address in Syria, in addition to completing other routine administrative requirements.</w:t>
      </w:r>
    </w:p>
    <w:p w14:paraId="6AEA417C" w14:textId="76B09F23" w:rsidR="00D84736" w:rsidRDefault="00D84736">
      <w:pPr>
        <w:pStyle w:val="p"/>
      </w:pPr>
      <w:r>
        <w:rPr>
          <w:sz w:val="24"/>
          <w:szCs w:val="24"/>
        </w:rPr>
        <w:br/>
      </w:r>
      <w:r>
        <w:rPr>
          <w:b/>
          <w:bCs/>
        </w:rPr>
        <w:t xml:space="preserve">6.2. Income Tax Base </w:t>
      </w:r>
      <w:r>
        <w:rPr>
          <w:b/>
          <w:bCs/>
        </w:rPr>
        <w:br/>
      </w:r>
      <w:r>
        <w:rPr>
          <w:b/>
          <w:bCs/>
        </w:rPr>
        <w:br/>
        <w:t xml:space="preserve">6.2.1. Tax Base for Residents </w:t>
      </w:r>
      <w:r>
        <w:rPr>
          <w:b/>
          <w:bCs/>
        </w:rPr>
        <w:br/>
      </w:r>
      <w:r>
        <w:t>In Syria, individuals are generally taxed only on domestic source income (income generated from activities conducted in Syria).</w:t>
      </w:r>
      <w:r>
        <w:rPr>
          <w:vertAlign w:val="superscript"/>
        </w:rPr>
        <w:t>4</w:t>
      </w:r>
      <w:r w:rsidRPr="00CE3533">
        <w:rPr>
          <w:rStyle w:val="FootnoteReference"/>
        </w:rPr>
        <w:footnoteReference w:customMarkFollows="1" w:id="52"/>
        <w:t>8</w:t>
      </w:r>
      <w:r>
        <w:t xml:space="preserve"> Exceptions include the tax on capital income, which is levied at a rate of </w:t>
      </w:r>
      <w:r w:rsidR="00725C12">
        <w:t>10</w:t>
      </w:r>
      <w:r>
        <w:t xml:space="preserve"> percent on qualifying foreign-source income</w:t>
      </w:r>
      <w:r w:rsidR="00725C12">
        <w:t xml:space="preserve"> (from </w:t>
      </w:r>
      <w:r w:rsidR="001C2521" w:rsidRPr="001C2521">
        <w:t>September 1, 2023</w:t>
      </w:r>
      <w:r w:rsidR="00725C12">
        <w:t xml:space="preserve">; previously </w:t>
      </w:r>
      <w:r w:rsidR="00E30DB1">
        <w:t>7.5</w:t>
      </w:r>
      <w:r w:rsidR="00725C12">
        <w:t xml:space="preserve"> percent)</w:t>
      </w:r>
      <w:r>
        <w:t>.</w:t>
      </w:r>
      <w:r>
        <w:rPr>
          <w:vertAlign w:val="superscript"/>
        </w:rPr>
        <w:t>4</w:t>
      </w:r>
      <w:r w:rsidRPr="00CE3533">
        <w:rPr>
          <w:rStyle w:val="FootnoteReference"/>
        </w:rPr>
        <w:footnoteReference w:customMarkFollows="1" w:id="53"/>
        <w:t>9</w:t>
      </w:r>
    </w:p>
    <w:p w14:paraId="37DF2D74" w14:textId="77777777" w:rsidR="00D84736" w:rsidRDefault="00D84736">
      <w:pPr>
        <w:pStyle w:val="p"/>
      </w:pPr>
      <w:r>
        <w:t xml:space="preserve">Further, public sector and government </w:t>
      </w:r>
      <w:proofErr w:type="gramStart"/>
      <w:r>
        <w:t>employees</w:t>
      </w:r>
      <w:proofErr w:type="gramEnd"/>
      <w:r>
        <w:t xml:space="preserve"> resident abroad and performing duties abroad are subject to tax in Syria, provided they receive a salary from the Syrian government for said duties.</w:t>
      </w:r>
    </w:p>
    <w:p w14:paraId="07DF9B47" w14:textId="24997D14" w:rsidR="00D84736" w:rsidRDefault="00D84736">
      <w:pPr>
        <w:pStyle w:val="p"/>
      </w:pPr>
      <w:r>
        <w:rPr>
          <w:sz w:val="24"/>
          <w:szCs w:val="24"/>
        </w:rPr>
        <w:br/>
      </w:r>
      <w:r>
        <w:rPr>
          <w:b/>
          <w:bCs/>
        </w:rPr>
        <w:lastRenderedPageBreak/>
        <w:t xml:space="preserve">6.2.2. Tax Base for Non-Residents </w:t>
      </w:r>
      <w:r>
        <w:rPr>
          <w:b/>
          <w:bCs/>
        </w:rPr>
        <w:br/>
      </w:r>
      <w:r>
        <w:t xml:space="preserve">Nonresident individuals are subject to withholding tax on various sources of income from Syria. See </w:t>
      </w:r>
      <w:r w:rsidR="00AD64B5" w:rsidRPr="00AD64B5">
        <w:rPr>
          <w:highlight w:val="yellow"/>
        </w:rPr>
        <w:t>[</w:t>
      </w:r>
      <w:proofErr w:type="gramStart"/>
      <w:r w:rsidR="00AD64B5" w:rsidRPr="00AD64B5">
        <w:rPr>
          <w:highlight w:val="yellow"/>
        </w:rPr>
        <w:t>5.1]</w:t>
      </w:r>
      <w:r w:rsidR="00AD64B5" w:rsidRPr="00F610FF">
        <w:rPr>
          <w:highlight w:val="yellow"/>
        </w:rPr>
        <w:t>Section</w:t>
      </w:r>
      <w:proofErr w:type="gramEnd"/>
      <w:r w:rsidR="00AD64B5" w:rsidRPr="00F610FF">
        <w:rPr>
          <w:highlight w:val="yellow"/>
        </w:rPr>
        <w:t xml:space="preserve"> 5.1</w:t>
      </w:r>
      <w:r w:rsidR="00AD64B5" w:rsidRPr="00AD64B5">
        <w:rPr>
          <w:highlight w:val="yellow"/>
        </w:rPr>
        <w:t>[end]</w:t>
      </w:r>
      <w:r>
        <w:t>.</w:t>
      </w:r>
    </w:p>
    <w:p w14:paraId="2854A7FE" w14:textId="77777777" w:rsidR="00D84736" w:rsidRDefault="00D84736">
      <w:pPr>
        <w:pStyle w:val="p"/>
      </w:pPr>
      <w:r>
        <w:rPr>
          <w:sz w:val="24"/>
          <w:szCs w:val="24"/>
        </w:rPr>
        <w:br/>
      </w:r>
      <w:r>
        <w:rPr>
          <w:b/>
          <w:bCs/>
        </w:rPr>
        <w:t xml:space="preserve">6.2.3. Personal Income Subject to Income Tax </w:t>
      </w:r>
      <w:r>
        <w:rPr>
          <w:b/>
          <w:bCs/>
        </w:rPr>
        <w:br/>
      </w:r>
      <w:r>
        <w:t>All types of income and employee benefits are generally subject to tax provided such benefits are regular and continuous.</w:t>
      </w:r>
    </w:p>
    <w:p w14:paraId="52BD93C3" w14:textId="2F60202A" w:rsidR="00D84736" w:rsidRDefault="00D84736">
      <w:pPr>
        <w:pStyle w:val="p"/>
      </w:pPr>
      <w:r>
        <w:t xml:space="preserve">Net profits/earnings from the practice of professions and trades of an industrial, commercial and/or non-commercial nature is subject to income tax at the rates and thresholds set out in </w:t>
      </w:r>
      <w:r w:rsidR="00AD64B5" w:rsidRPr="00AD64B5">
        <w:rPr>
          <w:highlight w:val="yellow"/>
        </w:rPr>
        <w:t>[</w:t>
      </w:r>
      <w:proofErr w:type="gramStart"/>
      <w:r w:rsidR="00AD64B5" w:rsidRPr="00AD64B5">
        <w:rPr>
          <w:highlight w:val="yellow"/>
        </w:rPr>
        <w:t>6.3.1]</w:t>
      </w:r>
      <w:r w:rsidR="00AD64B5" w:rsidRPr="00F610FF">
        <w:rPr>
          <w:highlight w:val="yellow"/>
        </w:rPr>
        <w:t>Section</w:t>
      </w:r>
      <w:proofErr w:type="gramEnd"/>
      <w:r w:rsidR="00AD64B5" w:rsidRPr="00F610FF">
        <w:rPr>
          <w:highlight w:val="yellow"/>
        </w:rPr>
        <w:t xml:space="preserve"> 6.3.1</w:t>
      </w:r>
      <w:r w:rsidR="00AD64B5" w:rsidRPr="00AD64B5">
        <w:rPr>
          <w:highlight w:val="yellow"/>
        </w:rPr>
        <w:t>[end]</w:t>
      </w:r>
      <w:r>
        <w:t>.</w:t>
      </w:r>
    </w:p>
    <w:p w14:paraId="4DDA8D89" w14:textId="77777777" w:rsidR="00D84736" w:rsidRDefault="00D84736">
      <w:pPr>
        <w:pStyle w:val="p"/>
      </w:pPr>
      <w:r>
        <w:t>An irregular and a one-time benefit (e.g., a bonus) is subject to tax at a rate of 10 percent.</w:t>
      </w:r>
      <w:r>
        <w:rPr>
          <w:vertAlign w:val="superscript"/>
        </w:rPr>
        <w:t>5</w:t>
      </w:r>
      <w:r w:rsidRPr="00CE3533">
        <w:rPr>
          <w:rStyle w:val="FootnoteReference"/>
        </w:rPr>
        <w:footnoteReference w:customMarkFollows="1" w:id="54"/>
        <w:t>0</w:t>
      </w:r>
    </w:p>
    <w:p w14:paraId="5474979C" w14:textId="432668F0" w:rsidR="00D84736" w:rsidRDefault="00D84736">
      <w:pPr>
        <w:pStyle w:val="p"/>
      </w:pPr>
      <w:r>
        <w:t xml:space="preserve">Qualifying investment income, whether Syrian- or foreign-source, is subject to tax at a rate of </w:t>
      </w:r>
      <w:r w:rsidR="00D54E74">
        <w:t>10</w:t>
      </w:r>
      <w:r>
        <w:t xml:space="preserve"> percent</w:t>
      </w:r>
      <w:r w:rsidR="00D54E74">
        <w:t xml:space="preserve"> (from </w:t>
      </w:r>
      <w:r w:rsidR="00E84437" w:rsidRPr="001C2521">
        <w:t>September 1, 2023</w:t>
      </w:r>
      <w:r w:rsidR="00D54E74">
        <w:t xml:space="preserve">; previously </w:t>
      </w:r>
      <w:r w:rsidR="00E30DB1">
        <w:t>7.5</w:t>
      </w:r>
      <w:r w:rsidR="00D54E74">
        <w:t xml:space="preserve"> percent)</w:t>
      </w:r>
      <w:r>
        <w:t>.</w:t>
      </w:r>
      <w:r>
        <w:rPr>
          <w:vertAlign w:val="superscript"/>
        </w:rPr>
        <w:t>5</w:t>
      </w:r>
      <w:r w:rsidRPr="00CE3533">
        <w:rPr>
          <w:rStyle w:val="FootnoteReference"/>
        </w:rPr>
        <w:footnoteReference w:customMarkFollows="1" w:id="55"/>
        <w:t>1</w:t>
      </w:r>
    </w:p>
    <w:p w14:paraId="17E92985" w14:textId="15BEB211" w:rsidR="00D84736" w:rsidRDefault="00D84736">
      <w:pPr>
        <w:pStyle w:val="p"/>
      </w:pPr>
      <w:r>
        <w:rPr>
          <w:sz w:val="24"/>
          <w:szCs w:val="24"/>
        </w:rPr>
        <w:br/>
      </w:r>
      <w:r>
        <w:rPr>
          <w:b/>
          <w:bCs/>
        </w:rPr>
        <w:t xml:space="preserve">6.2.4. Deductions and Allowances </w:t>
      </w:r>
      <w:r>
        <w:rPr>
          <w:b/>
          <w:bCs/>
        </w:rPr>
        <w:br/>
      </w:r>
      <w:r w:rsidR="006F2607">
        <w:t xml:space="preserve">From January 1, 2024, the </w:t>
      </w:r>
      <w:r>
        <w:t xml:space="preserve">first </w:t>
      </w:r>
      <w:r w:rsidR="00117081">
        <w:t>3 million</w:t>
      </w:r>
      <w:r>
        <w:t xml:space="preserve"> lira of net annual profits are exempt from the income tax on real profits (see </w:t>
      </w:r>
      <w:r w:rsidR="00AD64B5" w:rsidRPr="00AD64B5">
        <w:rPr>
          <w:highlight w:val="yellow"/>
        </w:rPr>
        <w:t>[</w:t>
      </w:r>
      <w:proofErr w:type="gramStart"/>
      <w:r w:rsidR="00AD64B5" w:rsidRPr="00AD64B5">
        <w:rPr>
          <w:highlight w:val="yellow"/>
        </w:rPr>
        <w:t>6.3.1]</w:t>
      </w:r>
      <w:r w:rsidR="00AD64B5" w:rsidRPr="00F610FF">
        <w:rPr>
          <w:highlight w:val="yellow"/>
        </w:rPr>
        <w:t>Section</w:t>
      </w:r>
      <w:proofErr w:type="gramEnd"/>
      <w:r w:rsidR="00AD64B5" w:rsidRPr="00F610FF">
        <w:rPr>
          <w:highlight w:val="yellow"/>
        </w:rPr>
        <w:t xml:space="preserve"> 6.3.1</w:t>
      </w:r>
      <w:r w:rsidR="00AD64B5" w:rsidRPr="00AD64B5">
        <w:rPr>
          <w:highlight w:val="yellow"/>
        </w:rPr>
        <w:t>[end]</w:t>
      </w:r>
      <w:r>
        <w:t>).</w:t>
      </w:r>
      <w:r>
        <w:rPr>
          <w:vertAlign w:val="superscript"/>
        </w:rPr>
        <w:t>5</w:t>
      </w:r>
      <w:r w:rsidRPr="00CE3533">
        <w:rPr>
          <w:rStyle w:val="FootnoteReference"/>
        </w:rPr>
        <w:footnoteReference w:customMarkFollows="1" w:id="56"/>
        <w:t>2</w:t>
      </w:r>
    </w:p>
    <w:p w14:paraId="66EA91BB" w14:textId="4FC2029A" w:rsidR="00D84736" w:rsidRDefault="00D84736">
      <w:pPr>
        <w:pStyle w:val="p"/>
      </w:pPr>
      <w:r>
        <w:t xml:space="preserve">For details of the payroll tax (tax on salaries and wages) please see </w:t>
      </w:r>
      <w:r w:rsidR="00AD64B5" w:rsidRPr="00AD64B5">
        <w:rPr>
          <w:highlight w:val="yellow"/>
        </w:rPr>
        <w:t>[</w:t>
      </w:r>
      <w:proofErr w:type="gramStart"/>
      <w:r w:rsidR="00AD64B5" w:rsidRPr="00AD64B5">
        <w:rPr>
          <w:highlight w:val="yellow"/>
        </w:rPr>
        <w:t>9.1]</w:t>
      </w:r>
      <w:r w:rsidR="00AD64B5" w:rsidRPr="00F610FF">
        <w:rPr>
          <w:highlight w:val="yellow"/>
        </w:rPr>
        <w:t>Section</w:t>
      </w:r>
      <w:proofErr w:type="gramEnd"/>
      <w:r w:rsidR="00AD64B5" w:rsidRPr="00F610FF">
        <w:rPr>
          <w:highlight w:val="yellow"/>
        </w:rPr>
        <w:t xml:space="preserve"> 9.1</w:t>
      </w:r>
      <w:r w:rsidR="00AD64B5" w:rsidRPr="00AD64B5">
        <w:rPr>
          <w:highlight w:val="yellow"/>
        </w:rPr>
        <w:t>[end]</w:t>
      </w:r>
      <w:r>
        <w:t>.</w:t>
      </w:r>
    </w:p>
    <w:p w14:paraId="497EA0CD" w14:textId="60EAB246" w:rsidR="00232031" w:rsidRDefault="00D84736">
      <w:pPr>
        <w:pStyle w:val="p"/>
      </w:pPr>
      <w:r>
        <w:rPr>
          <w:sz w:val="24"/>
          <w:szCs w:val="24"/>
        </w:rPr>
        <w:br/>
      </w:r>
      <w:r>
        <w:rPr>
          <w:b/>
          <w:bCs/>
        </w:rPr>
        <w:t xml:space="preserve">6.3. Main Rates and Bands </w:t>
      </w:r>
      <w:r>
        <w:rPr>
          <w:b/>
          <w:bCs/>
        </w:rPr>
        <w:br/>
      </w:r>
      <w:r>
        <w:rPr>
          <w:b/>
          <w:bCs/>
        </w:rPr>
        <w:br/>
        <w:t xml:space="preserve">6.3.1. Individual Tax Rates </w:t>
      </w:r>
      <w:r>
        <w:rPr>
          <w:b/>
          <w:bCs/>
        </w:rPr>
        <w:br/>
      </w:r>
      <w:r w:rsidR="00913DB6">
        <w:t>Employed individuals</w:t>
      </w:r>
      <w:r w:rsidR="0020770D">
        <w:t xml:space="preserve"> earning income from salaries</w:t>
      </w:r>
      <w:r w:rsidR="00B054FF">
        <w:t xml:space="preserve"> and wages</w:t>
      </w:r>
      <w:r w:rsidR="00913DB6">
        <w:t xml:space="preserve"> are subject to progressive income tax rates</w:t>
      </w:r>
      <w:r w:rsidR="00B054FF">
        <w:t xml:space="preserve">. From </w:t>
      </w:r>
      <w:r w:rsidR="00255445">
        <w:t>September</w:t>
      </w:r>
      <w:r w:rsidR="00232031">
        <w:t xml:space="preserve"> 1, 202</w:t>
      </w:r>
      <w:r w:rsidR="00255445">
        <w:t>3</w:t>
      </w:r>
      <w:r w:rsidR="00232031">
        <w:t>, the</w:t>
      </w:r>
      <w:r w:rsidR="00B86E39">
        <w:t xml:space="preserve"> monthly</w:t>
      </w:r>
      <w:r w:rsidR="00232031">
        <w:t xml:space="preserve"> income bands and progressive income tax rates</w:t>
      </w:r>
      <w:r w:rsidR="00566AC8">
        <w:t xml:space="preserve"> (subject to the exemption allowance</w:t>
      </w:r>
      <w:r w:rsidR="00480ECD">
        <w:t>;</w:t>
      </w:r>
      <w:r w:rsidR="00743E8A">
        <w:t xml:space="preserve"> see </w:t>
      </w:r>
      <w:r w:rsidR="00AD64B5" w:rsidRPr="00AD64B5">
        <w:rPr>
          <w:highlight w:val="yellow"/>
        </w:rPr>
        <w:t>[</w:t>
      </w:r>
      <w:proofErr w:type="gramStart"/>
      <w:r w:rsidR="00AD64B5" w:rsidRPr="00AD64B5">
        <w:rPr>
          <w:highlight w:val="yellow"/>
        </w:rPr>
        <w:t>6.2.4]</w:t>
      </w:r>
      <w:r w:rsidR="00AD64B5" w:rsidRPr="00F610FF">
        <w:rPr>
          <w:highlight w:val="yellow"/>
        </w:rPr>
        <w:t>Section</w:t>
      </w:r>
      <w:proofErr w:type="gramEnd"/>
      <w:r w:rsidR="00AD64B5" w:rsidRPr="00F610FF">
        <w:rPr>
          <w:highlight w:val="yellow"/>
        </w:rPr>
        <w:t xml:space="preserve"> 6.2.4</w:t>
      </w:r>
      <w:r w:rsidR="00AD64B5" w:rsidRPr="00AD64B5">
        <w:rPr>
          <w:highlight w:val="yellow"/>
        </w:rPr>
        <w:t>[end]</w:t>
      </w:r>
      <w:r w:rsidR="00743E8A">
        <w:t>)</w:t>
      </w:r>
      <w:r w:rsidR="00232031">
        <w:t xml:space="preserve"> are as follows:</w:t>
      </w:r>
    </w:p>
    <w:p w14:paraId="5BA330E3" w14:textId="210E6131" w:rsidR="00232031" w:rsidRDefault="00232031" w:rsidP="00232031">
      <w:pPr>
        <w:pStyle w:val="p"/>
      </w:pPr>
      <w:r>
        <w:rPr>
          <w:noProof/>
        </w:rPr>
        <w:drawing>
          <wp:inline distT="0" distB="0" distL="0" distR="0" wp14:anchorId="32D89D40" wp14:editId="3B156961">
            <wp:extent cx="130810" cy="130810"/>
            <wp:effectExtent l="0" t="0" r="0" b="0"/>
            <wp:docPr id="80"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up to </w:t>
      </w:r>
      <w:r w:rsidR="00743E8A">
        <w:t>250</w:t>
      </w:r>
      <w:r w:rsidR="003C788E">
        <w:t>,000</w:t>
      </w:r>
      <w:r w:rsidR="00743E8A">
        <w:t xml:space="preserve"> </w:t>
      </w:r>
      <w:proofErr w:type="gramStart"/>
      <w:r>
        <w:t>lira</w:t>
      </w:r>
      <w:proofErr w:type="gramEnd"/>
      <w:r>
        <w:t xml:space="preserve"> — </w:t>
      </w:r>
      <w:r w:rsidR="00172C1F">
        <w:t>5</w:t>
      </w:r>
      <w:r>
        <w:t xml:space="preserve"> percent;</w:t>
      </w:r>
    </w:p>
    <w:p w14:paraId="1E974DC8" w14:textId="75C7DD05" w:rsidR="00232031" w:rsidRDefault="00232031" w:rsidP="00232031">
      <w:pPr>
        <w:pStyle w:val="p"/>
      </w:pPr>
      <w:r>
        <w:rPr>
          <w:noProof/>
        </w:rPr>
        <w:drawing>
          <wp:inline distT="0" distB="0" distL="0" distR="0" wp14:anchorId="3F7892DE" wp14:editId="0FA72651">
            <wp:extent cx="130810" cy="130810"/>
            <wp:effectExtent l="0" t="0" r="0" b="0"/>
            <wp:docPr id="81"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from </w:t>
      </w:r>
      <w:r w:rsidR="00172C1F">
        <w:t>250</w:t>
      </w:r>
      <w:r>
        <w:t>,00</w:t>
      </w:r>
      <w:r w:rsidR="0092617B">
        <w:t>1</w:t>
      </w:r>
      <w:r>
        <w:t xml:space="preserve"> lira to </w:t>
      </w:r>
      <w:r w:rsidR="00593579">
        <w:t>45</w:t>
      </w:r>
      <w:r>
        <w:t xml:space="preserve">0,000 lira — </w:t>
      </w:r>
      <w:r w:rsidR="00593579">
        <w:t>7</w:t>
      </w:r>
      <w:r>
        <w:t xml:space="preserve"> </w:t>
      </w:r>
      <w:proofErr w:type="gramStart"/>
      <w:r>
        <w:t>percent;</w:t>
      </w:r>
      <w:proofErr w:type="gramEnd"/>
    </w:p>
    <w:p w14:paraId="2D8FC461" w14:textId="26176440" w:rsidR="00232031" w:rsidRDefault="00232031" w:rsidP="00232031">
      <w:pPr>
        <w:pStyle w:val="p"/>
      </w:pPr>
      <w:r>
        <w:rPr>
          <w:noProof/>
        </w:rPr>
        <w:drawing>
          <wp:inline distT="0" distB="0" distL="0" distR="0" wp14:anchorId="1A75B8D6" wp14:editId="3140A131">
            <wp:extent cx="130810" cy="130810"/>
            <wp:effectExtent l="0" t="0" r="0" b="0"/>
            <wp:docPr id="82"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from </w:t>
      </w:r>
      <w:r w:rsidR="00923087">
        <w:t>45</w:t>
      </w:r>
      <w:r>
        <w:t>0,00</w:t>
      </w:r>
      <w:r w:rsidR="00923087">
        <w:t>1</w:t>
      </w:r>
      <w:r>
        <w:t xml:space="preserve"> lira to </w:t>
      </w:r>
      <w:r w:rsidR="00923087">
        <w:t>6</w:t>
      </w:r>
      <w:r>
        <w:t xml:space="preserve">50,000 lira — </w:t>
      </w:r>
      <w:r w:rsidR="00923087">
        <w:t>9</w:t>
      </w:r>
      <w:r>
        <w:t xml:space="preserve"> </w:t>
      </w:r>
      <w:proofErr w:type="gramStart"/>
      <w:r>
        <w:t>percent;</w:t>
      </w:r>
      <w:proofErr w:type="gramEnd"/>
    </w:p>
    <w:p w14:paraId="7F6D8517" w14:textId="71D9572E" w:rsidR="00232031" w:rsidRDefault="00232031" w:rsidP="00232031">
      <w:pPr>
        <w:pStyle w:val="p"/>
      </w:pPr>
      <w:r>
        <w:rPr>
          <w:noProof/>
        </w:rPr>
        <w:drawing>
          <wp:inline distT="0" distB="0" distL="0" distR="0" wp14:anchorId="1774982A" wp14:editId="6EFE420C">
            <wp:extent cx="130810" cy="130810"/>
            <wp:effectExtent l="0" t="0" r="0" b="0"/>
            <wp:docPr id="83"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from </w:t>
      </w:r>
      <w:r w:rsidR="00EA1950">
        <w:t>6</w:t>
      </w:r>
      <w:r>
        <w:t>50,00</w:t>
      </w:r>
      <w:r w:rsidR="00EA1950">
        <w:t>1</w:t>
      </w:r>
      <w:r>
        <w:t xml:space="preserve"> lira to </w:t>
      </w:r>
      <w:r w:rsidR="00EA1950">
        <w:t>850,000</w:t>
      </w:r>
      <w:r>
        <w:t xml:space="preserve"> lira — </w:t>
      </w:r>
      <w:r w:rsidR="00EA1950">
        <w:t>1</w:t>
      </w:r>
      <w:r w:rsidR="00CA16EB">
        <w:t>1</w:t>
      </w:r>
      <w:r>
        <w:t xml:space="preserve"> </w:t>
      </w:r>
      <w:proofErr w:type="gramStart"/>
      <w:r>
        <w:t>percent;</w:t>
      </w:r>
      <w:proofErr w:type="gramEnd"/>
    </w:p>
    <w:p w14:paraId="2797CAFA" w14:textId="32C2B234" w:rsidR="00232031" w:rsidRDefault="00232031" w:rsidP="00232031">
      <w:pPr>
        <w:pStyle w:val="p"/>
      </w:pPr>
      <w:r>
        <w:rPr>
          <w:noProof/>
        </w:rPr>
        <w:drawing>
          <wp:inline distT="0" distB="0" distL="0" distR="0" wp14:anchorId="2B38A871" wp14:editId="37A2C80D">
            <wp:extent cx="130810" cy="130810"/>
            <wp:effectExtent l="0" t="0" r="0" b="0"/>
            <wp:docPr id="84"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from </w:t>
      </w:r>
      <w:r w:rsidR="00D816E2">
        <w:t>850,001</w:t>
      </w:r>
      <w:r>
        <w:t xml:space="preserve"> lira to </w:t>
      </w:r>
      <w:r w:rsidR="00D816E2">
        <w:t>1,100,000</w:t>
      </w:r>
      <w:r>
        <w:t xml:space="preserve"> lira — </w:t>
      </w:r>
      <w:r w:rsidR="00CA16EB">
        <w:t>13</w:t>
      </w:r>
      <w:r>
        <w:t xml:space="preserve"> percent; and</w:t>
      </w:r>
    </w:p>
    <w:p w14:paraId="0552A9F9" w14:textId="635C8FED" w:rsidR="00232031" w:rsidRDefault="00232031" w:rsidP="00232031">
      <w:pPr>
        <w:pStyle w:val="p"/>
      </w:pPr>
      <w:r>
        <w:rPr>
          <w:noProof/>
        </w:rPr>
        <w:drawing>
          <wp:inline distT="0" distB="0" distL="0" distR="0" wp14:anchorId="7AE15BC2" wp14:editId="328A14CB">
            <wp:extent cx="130810" cy="130810"/>
            <wp:effectExtent l="0" t="0" r="0" b="0"/>
            <wp:docPr id="85"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above </w:t>
      </w:r>
      <w:r w:rsidR="004D6C2D">
        <w:t>1,100,000</w:t>
      </w:r>
      <w:r>
        <w:t xml:space="preserve"> </w:t>
      </w:r>
      <w:proofErr w:type="gramStart"/>
      <w:r>
        <w:t>lira</w:t>
      </w:r>
      <w:proofErr w:type="gramEnd"/>
      <w:r>
        <w:t xml:space="preserve"> — </w:t>
      </w:r>
      <w:r w:rsidR="004D6C2D">
        <w:t>13</w:t>
      </w:r>
      <w:r>
        <w:t xml:space="preserve"> percent.</w:t>
      </w:r>
      <w:r>
        <w:rPr>
          <w:vertAlign w:val="superscript"/>
        </w:rPr>
        <w:t>5</w:t>
      </w:r>
      <w:r w:rsidRPr="00CE3533">
        <w:rPr>
          <w:rStyle w:val="FootnoteReference"/>
        </w:rPr>
        <w:footnoteReference w:customMarkFollows="1" w:id="57"/>
        <w:t>3</w:t>
      </w:r>
    </w:p>
    <w:p w14:paraId="4F4F5E11" w14:textId="77777777" w:rsidR="00232031" w:rsidRDefault="00232031" w:rsidP="00232031">
      <w:pPr>
        <w:rPr>
          <w:sz w:val="24"/>
          <w:szCs w:val="24"/>
        </w:rPr>
      </w:pPr>
    </w:p>
    <w:p w14:paraId="1F8E2800" w14:textId="202B1CF6" w:rsidR="00232031" w:rsidRDefault="009A4F4D">
      <w:pPr>
        <w:pStyle w:val="p"/>
      </w:pPr>
      <w:r>
        <w:t>Lump sum</w:t>
      </w:r>
      <w:r w:rsidR="00A32FB2">
        <w:t xml:space="preserve"> salary and wage</w:t>
      </w:r>
      <w:r>
        <w:t xml:space="preserve"> payments </w:t>
      </w:r>
      <w:r w:rsidR="00DB7F25">
        <w:t>are subject to a 5 percent income tax rate.</w:t>
      </w:r>
      <w:r w:rsidR="000D51D8">
        <w:rPr>
          <w:rStyle w:val="FootnoteReference"/>
        </w:rPr>
        <w:footnoteReference w:id="58"/>
      </w:r>
      <w:r>
        <w:t xml:space="preserve"> </w:t>
      </w:r>
    </w:p>
    <w:p w14:paraId="4BE1AF30" w14:textId="26C60996" w:rsidR="00E72342" w:rsidRDefault="00E72342">
      <w:pPr>
        <w:pStyle w:val="p"/>
      </w:pPr>
      <w:r>
        <w:t xml:space="preserve">Individuals who earn income from </w:t>
      </w:r>
      <w:r w:rsidR="0004272D">
        <w:t xml:space="preserve">professions, trades and other commercial activities are subject to progressive </w:t>
      </w:r>
      <w:r w:rsidR="003959B3">
        <w:t xml:space="preserve">business </w:t>
      </w:r>
      <w:r w:rsidR="0004272D">
        <w:t xml:space="preserve">income tax rates </w:t>
      </w:r>
      <w:r w:rsidR="006700BA">
        <w:t xml:space="preserve">(see </w:t>
      </w:r>
      <w:r w:rsidR="00AD64B5" w:rsidRPr="00AD64B5">
        <w:rPr>
          <w:highlight w:val="yellow"/>
        </w:rPr>
        <w:t>[</w:t>
      </w:r>
      <w:proofErr w:type="gramStart"/>
      <w:r w:rsidR="00AD64B5" w:rsidRPr="00AD64B5">
        <w:rPr>
          <w:highlight w:val="yellow"/>
        </w:rPr>
        <w:t>3.1.1]</w:t>
      </w:r>
      <w:r w:rsidR="00AD64B5" w:rsidRPr="00F610FF">
        <w:rPr>
          <w:highlight w:val="yellow"/>
        </w:rPr>
        <w:t>Section</w:t>
      </w:r>
      <w:proofErr w:type="gramEnd"/>
      <w:r w:rsidR="00AD64B5" w:rsidRPr="00F610FF">
        <w:rPr>
          <w:highlight w:val="yellow"/>
        </w:rPr>
        <w:t xml:space="preserve"> 3.1.1</w:t>
      </w:r>
      <w:r w:rsidR="00AD64B5" w:rsidRPr="00AD64B5">
        <w:rPr>
          <w:highlight w:val="yellow"/>
        </w:rPr>
        <w:t>[end]</w:t>
      </w:r>
      <w:r w:rsidR="006700BA">
        <w:t>).</w:t>
      </w:r>
    </w:p>
    <w:p w14:paraId="37FE4B35" w14:textId="166A9763" w:rsidR="00D84736" w:rsidRDefault="00D84736">
      <w:pPr>
        <w:pStyle w:val="p"/>
      </w:pPr>
      <w:r>
        <w:t xml:space="preserve">For nonresident individuals, see </w:t>
      </w:r>
      <w:r w:rsidR="00AD64B5" w:rsidRPr="00AD64B5">
        <w:rPr>
          <w:highlight w:val="yellow"/>
        </w:rPr>
        <w:t>[</w:t>
      </w:r>
      <w:proofErr w:type="gramStart"/>
      <w:r w:rsidR="00AD64B5" w:rsidRPr="00AD64B5">
        <w:rPr>
          <w:highlight w:val="yellow"/>
        </w:rPr>
        <w:t>6.2.2]</w:t>
      </w:r>
      <w:r w:rsidR="00AD64B5" w:rsidRPr="00F610FF">
        <w:rPr>
          <w:highlight w:val="yellow"/>
        </w:rPr>
        <w:t>Section</w:t>
      </w:r>
      <w:proofErr w:type="gramEnd"/>
      <w:r w:rsidR="00AD64B5" w:rsidRPr="00F610FF">
        <w:rPr>
          <w:highlight w:val="yellow"/>
        </w:rPr>
        <w:t xml:space="preserve"> 6.2.2</w:t>
      </w:r>
      <w:r w:rsidR="00AD64B5" w:rsidRPr="00AD64B5">
        <w:rPr>
          <w:highlight w:val="yellow"/>
        </w:rPr>
        <w:t>[end]</w:t>
      </w:r>
      <w:r>
        <w:t>.</w:t>
      </w:r>
    </w:p>
    <w:p w14:paraId="319807FF" w14:textId="6680360F" w:rsidR="00D84736" w:rsidRDefault="00D84736">
      <w:pPr>
        <w:pStyle w:val="p"/>
      </w:pPr>
      <w:r>
        <w:t xml:space="preserve">Investment income is subject to tax at a rate of </w:t>
      </w:r>
      <w:r w:rsidR="007D0CD0">
        <w:t>10</w:t>
      </w:r>
      <w:r>
        <w:t xml:space="preserve"> percent</w:t>
      </w:r>
      <w:r w:rsidR="00C66C8A">
        <w:t xml:space="preserve"> (from </w:t>
      </w:r>
      <w:r w:rsidR="00E84437" w:rsidRPr="001C2521">
        <w:t>September 1, 2023</w:t>
      </w:r>
      <w:r w:rsidR="00C66C8A">
        <w:t xml:space="preserve">; previously </w:t>
      </w:r>
      <w:r w:rsidR="00730458">
        <w:t>7.5</w:t>
      </w:r>
      <w:r w:rsidR="00C66C8A">
        <w:t xml:space="preserve"> percent)</w:t>
      </w:r>
      <w:r w:rsidR="00EF6CD9">
        <w:t>,</w:t>
      </w:r>
      <w:r>
        <w:rPr>
          <w:vertAlign w:val="superscript"/>
        </w:rPr>
        <w:t>5</w:t>
      </w:r>
      <w:r w:rsidRPr="00CE3533">
        <w:rPr>
          <w:rStyle w:val="FootnoteReference"/>
        </w:rPr>
        <w:footnoteReference w:customMarkFollows="1" w:id="59"/>
        <w:t>4</w:t>
      </w:r>
      <w:r>
        <w:t xml:space="preserve"> </w:t>
      </w:r>
      <w:r>
        <w:lastRenderedPageBreak/>
        <w:t>subject to certain conditions and exceptions.</w:t>
      </w:r>
      <w:r>
        <w:rPr>
          <w:vertAlign w:val="superscript"/>
        </w:rPr>
        <w:t>5</w:t>
      </w:r>
      <w:r w:rsidRPr="00CE3533">
        <w:rPr>
          <w:rStyle w:val="FootnoteReference"/>
        </w:rPr>
        <w:footnoteReference w:customMarkFollows="1" w:id="60"/>
        <w:t>5</w:t>
      </w:r>
    </w:p>
    <w:p w14:paraId="4918DB95" w14:textId="123E66EB" w:rsidR="00932C0E" w:rsidRDefault="00932C0E">
      <w:pPr>
        <w:pStyle w:val="p"/>
      </w:pPr>
      <w:r>
        <w:t xml:space="preserve">For income tax rates applicable to income from rented real estate, see </w:t>
      </w:r>
      <w:r w:rsidR="00AD64B5" w:rsidRPr="00AD64B5">
        <w:rPr>
          <w:highlight w:val="yellow"/>
        </w:rPr>
        <w:t>[</w:t>
      </w:r>
      <w:proofErr w:type="gramStart"/>
      <w:r w:rsidR="00AD64B5" w:rsidRPr="00AD64B5">
        <w:rPr>
          <w:highlight w:val="yellow"/>
        </w:rPr>
        <w:t>9.3.2]</w:t>
      </w:r>
      <w:r w:rsidR="00AD64B5" w:rsidRPr="00F610FF">
        <w:rPr>
          <w:highlight w:val="yellow"/>
        </w:rPr>
        <w:t>Section</w:t>
      </w:r>
      <w:proofErr w:type="gramEnd"/>
      <w:r w:rsidR="00AD64B5" w:rsidRPr="00F610FF">
        <w:rPr>
          <w:highlight w:val="yellow"/>
        </w:rPr>
        <w:t xml:space="preserve"> 9.3.2</w:t>
      </w:r>
      <w:r w:rsidR="00AD64B5" w:rsidRPr="00AD64B5">
        <w:rPr>
          <w:highlight w:val="yellow"/>
        </w:rPr>
        <w:t>[end]</w:t>
      </w:r>
      <w:r>
        <w:t>.</w:t>
      </w:r>
    </w:p>
    <w:p w14:paraId="6095634D" w14:textId="741431D9" w:rsidR="00D12D86" w:rsidRDefault="00D84736">
      <w:pPr>
        <w:pStyle w:val="p"/>
      </w:pPr>
      <w:r>
        <w:rPr>
          <w:sz w:val="24"/>
          <w:szCs w:val="24"/>
        </w:rPr>
        <w:br/>
      </w:r>
      <w:r>
        <w:rPr>
          <w:b/>
          <w:bCs/>
        </w:rPr>
        <w:t xml:space="preserve">6.3.2. Individual Returns, Filing Dates and Payment </w:t>
      </w:r>
      <w:r>
        <w:rPr>
          <w:b/>
          <w:bCs/>
        </w:rPr>
        <w:br/>
      </w:r>
      <w:r w:rsidR="00D12D86">
        <w:t xml:space="preserve">Employers are required to make quarterly declarations </w:t>
      </w:r>
      <w:r w:rsidR="00E16428">
        <w:t xml:space="preserve">detailing </w:t>
      </w:r>
      <w:r w:rsidR="00873BC1">
        <w:t>the taxes deducted at source from their employee</w:t>
      </w:r>
      <w:r w:rsidR="00E43CA5">
        <w:t>s' salaries and wages.</w:t>
      </w:r>
      <w:r w:rsidR="00D261CB">
        <w:t xml:space="preserve"> </w:t>
      </w:r>
      <w:r w:rsidR="00FF0A5D">
        <w:t>Payment of taxes withheld must be made quarterly or monthly</w:t>
      </w:r>
      <w:r w:rsidR="00205D45">
        <w:t>.</w:t>
      </w:r>
      <w:r w:rsidR="00EB4F3A">
        <w:t xml:space="preserve"> The tax withheld from salaries and wages is final.</w:t>
      </w:r>
      <w:r w:rsidR="00E43CA5">
        <w:rPr>
          <w:rStyle w:val="FootnoteReference"/>
        </w:rPr>
        <w:footnoteReference w:id="61"/>
      </w:r>
    </w:p>
    <w:p w14:paraId="75DC9CC7" w14:textId="1A55972D" w:rsidR="00D84736" w:rsidRDefault="00D84736">
      <w:pPr>
        <w:pStyle w:val="p"/>
      </w:pPr>
      <w:r>
        <w:t>Every individual must file a separate tax return; joint filing is not permitted in Syria.</w:t>
      </w:r>
    </w:p>
    <w:p w14:paraId="2B776865" w14:textId="77777777" w:rsidR="00D84736" w:rsidRDefault="00D84736">
      <w:pPr>
        <w:pStyle w:val="p"/>
      </w:pPr>
      <w:r>
        <w:t>A tax return must be filed by March 31 of the following year.</w:t>
      </w:r>
      <w:r>
        <w:rPr>
          <w:vertAlign w:val="superscript"/>
        </w:rPr>
        <w:t>5</w:t>
      </w:r>
      <w:r w:rsidRPr="00CE3533">
        <w:rPr>
          <w:rStyle w:val="FootnoteReference"/>
        </w:rPr>
        <w:footnoteReference w:customMarkFollows="1" w:id="62"/>
        <w:t>6</w:t>
      </w:r>
    </w:p>
    <w:p w14:paraId="1EECA5F6" w14:textId="77777777" w:rsidR="00D84736" w:rsidRDefault="00D84736">
      <w:pPr>
        <w:pStyle w:val="p"/>
      </w:pPr>
      <w:r>
        <w:t>The return must be filed in writing; electronic filing is not available.</w:t>
      </w:r>
    </w:p>
    <w:p w14:paraId="77A79BD7" w14:textId="77777777" w:rsidR="00D84736" w:rsidRDefault="00D84736">
      <w:pPr>
        <w:pStyle w:val="p"/>
      </w:pPr>
      <w:r>
        <w:t>Taxes must be paid by April 30 of the following year;</w:t>
      </w:r>
      <w:r>
        <w:rPr>
          <w:vertAlign w:val="superscript"/>
        </w:rPr>
        <w:t>5</w:t>
      </w:r>
      <w:r w:rsidRPr="00CE3533">
        <w:rPr>
          <w:rStyle w:val="FootnoteReference"/>
        </w:rPr>
        <w:footnoteReference w:customMarkFollows="1" w:id="63"/>
        <w:t>7</w:t>
      </w:r>
      <w:r>
        <w:t xml:space="preserve"> electronic payment is not available.</w:t>
      </w:r>
    </w:p>
    <w:p w14:paraId="74128043" w14:textId="77777777" w:rsidR="00D84736" w:rsidRDefault="00D84736">
      <w:pPr>
        <w:pStyle w:val="p"/>
      </w:pPr>
      <w:r>
        <w:t>Thus, an individual must file a tax return by March 31, and discharge their tax liability by April 30 of each year, with respect to income generated the previous tax year.</w:t>
      </w:r>
    </w:p>
    <w:p w14:paraId="04CF7F9B" w14:textId="77777777" w:rsidR="00D84736" w:rsidRDefault="00D84736">
      <w:pPr>
        <w:pStyle w:val="p"/>
      </w:pPr>
      <w:r>
        <w:t>Nonpayment of tax may trigger imposition of a penalty at a rate of up to 30 percent.</w:t>
      </w:r>
      <w:r>
        <w:rPr>
          <w:vertAlign w:val="superscript"/>
        </w:rPr>
        <w:t>5</w:t>
      </w:r>
      <w:r w:rsidRPr="00CE3533">
        <w:rPr>
          <w:rStyle w:val="FootnoteReference"/>
        </w:rPr>
        <w:footnoteReference w:customMarkFollows="1" w:id="64"/>
        <w:t>8</w:t>
      </w:r>
    </w:p>
    <w:p w14:paraId="275F1B20" w14:textId="77777777" w:rsidR="00D84736" w:rsidRDefault="00D84736">
      <w:pPr>
        <w:pStyle w:val="p"/>
      </w:pPr>
      <w:r>
        <w:rPr>
          <w:sz w:val="24"/>
          <w:szCs w:val="24"/>
        </w:rPr>
        <w:br/>
      </w:r>
      <w:r>
        <w:rPr>
          <w:b/>
          <w:bCs/>
        </w:rPr>
        <w:t xml:space="preserve">6.4. Dividends </w:t>
      </w:r>
      <w:r>
        <w:rPr>
          <w:b/>
          <w:bCs/>
        </w:rPr>
        <w:br/>
      </w:r>
      <w:r>
        <w:rPr>
          <w:b/>
          <w:bCs/>
        </w:rPr>
        <w:br/>
        <w:t xml:space="preserve">6.4.1. Domestic Corporations </w:t>
      </w:r>
      <w:r>
        <w:rPr>
          <w:b/>
          <w:bCs/>
        </w:rPr>
        <w:br/>
      </w:r>
      <w:r>
        <w:t>Dividends paid by a resident corporation from previously taxed income are exempt from tax upon distribution, regardless of whether they are paid to resident or nonresident individuals.</w:t>
      </w:r>
      <w:r>
        <w:rPr>
          <w:vertAlign w:val="superscript"/>
        </w:rPr>
        <w:t>5</w:t>
      </w:r>
      <w:r w:rsidRPr="00CE3533">
        <w:rPr>
          <w:rStyle w:val="FootnoteReference"/>
        </w:rPr>
        <w:footnoteReference w:customMarkFollows="1" w:id="65"/>
        <w:t>9</w:t>
      </w:r>
    </w:p>
    <w:p w14:paraId="06A06ED9" w14:textId="1BD7CC47" w:rsidR="00D84736" w:rsidRDefault="00D84736">
      <w:pPr>
        <w:pStyle w:val="p"/>
      </w:pPr>
      <w:r>
        <w:rPr>
          <w:sz w:val="24"/>
          <w:szCs w:val="24"/>
        </w:rPr>
        <w:br/>
      </w:r>
      <w:r>
        <w:rPr>
          <w:b/>
          <w:bCs/>
        </w:rPr>
        <w:t xml:space="preserve">6.4.2. Foreign Corporations </w:t>
      </w:r>
      <w:r>
        <w:rPr>
          <w:b/>
          <w:bCs/>
        </w:rPr>
        <w:br/>
      </w:r>
      <w:r>
        <w:t xml:space="preserve">Dividends paid by a nonresident company to a resident individual, and which are derived from works performed or income generated in Syria, are generally subject to a </w:t>
      </w:r>
      <w:r w:rsidR="007A5EAE">
        <w:t>10</w:t>
      </w:r>
      <w:r>
        <w:t xml:space="preserve"> percent tax</w:t>
      </w:r>
      <w:r w:rsidR="007A5EAE">
        <w:t xml:space="preserve"> (from </w:t>
      </w:r>
      <w:r w:rsidR="00E84437" w:rsidRPr="001C2521">
        <w:t>September 1, 2023</w:t>
      </w:r>
      <w:r w:rsidR="007A5EAE">
        <w:t xml:space="preserve">; previously </w:t>
      </w:r>
      <w:r w:rsidR="003D369C">
        <w:t>7.5</w:t>
      </w:r>
      <w:r w:rsidR="007A5EAE">
        <w:t xml:space="preserve"> percent)</w:t>
      </w:r>
      <w:r>
        <w:t>, subject to certain conditions.</w:t>
      </w:r>
      <w:r>
        <w:rPr>
          <w:vertAlign w:val="superscript"/>
        </w:rPr>
        <w:t>6</w:t>
      </w:r>
      <w:r w:rsidRPr="00CE3533">
        <w:rPr>
          <w:rStyle w:val="FootnoteReference"/>
        </w:rPr>
        <w:footnoteReference w:customMarkFollows="1" w:id="66"/>
        <w:t>0</w:t>
      </w:r>
    </w:p>
    <w:p w14:paraId="53C9349A" w14:textId="4F47048B" w:rsidR="00D84736" w:rsidRDefault="00D84736">
      <w:pPr>
        <w:pStyle w:val="p"/>
      </w:pPr>
      <w:r>
        <w:rPr>
          <w:sz w:val="24"/>
          <w:szCs w:val="24"/>
        </w:rPr>
        <w:br/>
      </w:r>
      <w:r>
        <w:rPr>
          <w:b/>
          <w:bCs/>
        </w:rPr>
        <w:t xml:space="preserve">6.5. Interest </w:t>
      </w:r>
      <w:r>
        <w:rPr>
          <w:b/>
          <w:bCs/>
        </w:rPr>
        <w:br/>
      </w:r>
      <w:r>
        <w:rPr>
          <w:b/>
          <w:bCs/>
        </w:rPr>
        <w:br/>
        <w:t xml:space="preserve">6.5.1. Domestic Borrowers </w:t>
      </w:r>
      <w:r>
        <w:rPr>
          <w:b/>
          <w:bCs/>
        </w:rPr>
        <w:br/>
      </w:r>
      <w:r>
        <w:t xml:space="preserve">A </w:t>
      </w:r>
      <w:r w:rsidR="009225C2">
        <w:t>10</w:t>
      </w:r>
      <w:r>
        <w:t xml:space="preserve"> percent tax</w:t>
      </w:r>
      <w:r w:rsidR="009225C2">
        <w:t xml:space="preserve"> (from </w:t>
      </w:r>
      <w:r w:rsidR="00E84437" w:rsidRPr="001C2521">
        <w:t>September 1, 2023</w:t>
      </w:r>
      <w:r w:rsidR="009225C2">
        <w:t xml:space="preserve">; previously </w:t>
      </w:r>
      <w:r w:rsidR="003D369C">
        <w:t>7.5</w:t>
      </w:r>
      <w:r w:rsidR="009225C2">
        <w:t xml:space="preserve"> percent)</w:t>
      </w:r>
      <w:r>
        <w:t xml:space="preserve"> is levied on interest paid to individuals, both resident and nonresident,</w:t>
      </w:r>
      <w:r>
        <w:rPr>
          <w:vertAlign w:val="superscript"/>
        </w:rPr>
        <w:t>6</w:t>
      </w:r>
      <w:r w:rsidRPr="00CE3533">
        <w:rPr>
          <w:rStyle w:val="FootnoteReference"/>
        </w:rPr>
        <w:footnoteReference w:customMarkFollows="1" w:id="67"/>
        <w:t>1</w:t>
      </w:r>
      <w:r>
        <w:t xml:space="preserve"> subject to certain exemptions.</w:t>
      </w:r>
      <w:r>
        <w:rPr>
          <w:vertAlign w:val="superscript"/>
        </w:rPr>
        <w:t>6</w:t>
      </w:r>
      <w:r w:rsidRPr="00CE3533">
        <w:rPr>
          <w:rStyle w:val="FootnoteReference"/>
        </w:rPr>
        <w:footnoteReference w:customMarkFollows="1" w:id="68"/>
        <w:t>2</w:t>
      </w:r>
    </w:p>
    <w:p w14:paraId="68F3D381" w14:textId="1F8107AD" w:rsidR="00D84736" w:rsidRDefault="00D84736">
      <w:pPr>
        <w:pStyle w:val="p"/>
      </w:pPr>
      <w:r>
        <w:rPr>
          <w:sz w:val="24"/>
          <w:szCs w:val="24"/>
        </w:rPr>
        <w:br/>
      </w:r>
      <w:r>
        <w:rPr>
          <w:b/>
          <w:bCs/>
        </w:rPr>
        <w:t xml:space="preserve">6.5.2. Foreign Borrowers </w:t>
      </w:r>
      <w:r>
        <w:rPr>
          <w:b/>
          <w:bCs/>
        </w:rPr>
        <w:br/>
      </w:r>
      <w:r>
        <w:t xml:space="preserve">A </w:t>
      </w:r>
      <w:r w:rsidR="009225C2">
        <w:t>10</w:t>
      </w:r>
      <w:r>
        <w:t xml:space="preserve"> percent tax </w:t>
      </w:r>
      <w:r w:rsidR="009225C2">
        <w:t xml:space="preserve">(from </w:t>
      </w:r>
      <w:r w:rsidR="00E84437" w:rsidRPr="001C2521">
        <w:t>September 1, 2023</w:t>
      </w:r>
      <w:r w:rsidR="009225C2">
        <w:t xml:space="preserve">; previously </w:t>
      </w:r>
      <w:r w:rsidR="003D369C">
        <w:t>7.5</w:t>
      </w:r>
      <w:r w:rsidR="009225C2">
        <w:t xml:space="preserve"> percent) </w:t>
      </w:r>
      <w:r>
        <w:t>is levied on interest paid to resident individuals,</w:t>
      </w:r>
      <w:r>
        <w:rPr>
          <w:vertAlign w:val="superscript"/>
        </w:rPr>
        <w:t>6</w:t>
      </w:r>
      <w:r w:rsidRPr="00CE3533">
        <w:rPr>
          <w:rStyle w:val="FootnoteReference"/>
        </w:rPr>
        <w:footnoteReference w:customMarkFollows="1" w:id="69"/>
        <w:t>3</w:t>
      </w:r>
      <w:r>
        <w:t xml:space="preserve"> </w:t>
      </w:r>
      <w:r>
        <w:lastRenderedPageBreak/>
        <w:t>subject to certain exemptions.</w:t>
      </w:r>
      <w:r>
        <w:rPr>
          <w:vertAlign w:val="superscript"/>
        </w:rPr>
        <w:t>6</w:t>
      </w:r>
      <w:r w:rsidRPr="00CE3533">
        <w:rPr>
          <w:rStyle w:val="FootnoteReference"/>
        </w:rPr>
        <w:footnoteReference w:customMarkFollows="1" w:id="70"/>
        <w:t>4</w:t>
      </w:r>
    </w:p>
    <w:p w14:paraId="3EFA22B0" w14:textId="37C8D29B" w:rsidR="00AA17B7" w:rsidRDefault="00D84736">
      <w:pPr>
        <w:pStyle w:val="p"/>
      </w:pPr>
      <w:r>
        <w:rPr>
          <w:sz w:val="24"/>
          <w:szCs w:val="24"/>
        </w:rPr>
        <w:br/>
      </w:r>
      <w:r>
        <w:rPr>
          <w:b/>
          <w:bCs/>
        </w:rPr>
        <w:t xml:space="preserve">6.6. Social Security/National Insurance Payments </w:t>
      </w:r>
      <w:r>
        <w:rPr>
          <w:b/>
          <w:bCs/>
        </w:rPr>
        <w:br/>
      </w:r>
      <w:r>
        <w:rPr>
          <w:b/>
          <w:bCs/>
        </w:rPr>
        <w:br/>
        <w:t xml:space="preserve">6.6.1. Employer Tax or Contribution </w:t>
      </w:r>
      <w:r>
        <w:rPr>
          <w:b/>
          <w:bCs/>
        </w:rPr>
        <w:br/>
      </w:r>
      <w:r>
        <w:t>Under the Syrian social security system, employer</w:t>
      </w:r>
      <w:r w:rsidR="00BC5FE4">
        <w:t xml:space="preserve"> contributions</w:t>
      </w:r>
      <w:r w:rsidR="00F23678">
        <w:t>,</w:t>
      </w:r>
      <w:r w:rsidR="00BC5FE4">
        <w:t xml:space="preserve"> based on</w:t>
      </w:r>
      <w:r w:rsidR="00D71049">
        <w:t xml:space="preserve"> </w:t>
      </w:r>
      <w:r w:rsidR="00BC5FE4">
        <w:t>employees'</w:t>
      </w:r>
      <w:r w:rsidR="00AA17B7">
        <w:t xml:space="preserve"> salaries</w:t>
      </w:r>
      <w:r w:rsidR="00F23678">
        <w:t>,</w:t>
      </w:r>
      <w:r w:rsidR="00AA17B7">
        <w:t xml:space="preserve"> are as follows:</w:t>
      </w:r>
    </w:p>
    <w:p w14:paraId="032976F2" w14:textId="049858FE" w:rsidR="00AA17B7" w:rsidRDefault="00D71049">
      <w:pPr>
        <w:pStyle w:val="p"/>
      </w:pPr>
      <w:r>
        <w:rPr>
          <w:noProof/>
        </w:rPr>
        <w:drawing>
          <wp:inline distT="0" distB="0" distL="0" distR="0" wp14:anchorId="30882EC7" wp14:editId="73775757">
            <wp:extent cx="130810" cy="130810"/>
            <wp:effectExtent l="0" t="0" r="0" b="0"/>
            <wp:docPr id="6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sidR="00AA17B7">
        <w:t xml:space="preserve">old age, disability and death benefits </w:t>
      </w:r>
      <w:r w:rsidR="009B20F1">
        <w:t>—</w:t>
      </w:r>
      <w:r w:rsidR="00AA17B7">
        <w:t xml:space="preserve"> </w:t>
      </w:r>
      <w:r w:rsidR="008D5D64">
        <w:t xml:space="preserve">14 </w:t>
      </w:r>
      <w:proofErr w:type="gramStart"/>
      <w:r w:rsidR="008D5D64">
        <w:t>percent;</w:t>
      </w:r>
      <w:proofErr w:type="gramEnd"/>
    </w:p>
    <w:p w14:paraId="31B62D87" w14:textId="5B6105A5" w:rsidR="008D5D64" w:rsidRDefault="00D71049">
      <w:pPr>
        <w:pStyle w:val="p"/>
      </w:pPr>
      <w:r>
        <w:rPr>
          <w:noProof/>
        </w:rPr>
        <w:drawing>
          <wp:inline distT="0" distB="0" distL="0" distR="0" wp14:anchorId="3EBA12D4" wp14:editId="0371190C">
            <wp:extent cx="130810" cy="130810"/>
            <wp:effectExtent l="0" t="0" r="0" b="0"/>
            <wp:docPr id="70"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sidR="008D5D64">
        <w:t xml:space="preserve">occupational injury insurance </w:t>
      </w:r>
      <w:r w:rsidR="009B20F1">
        <w:t>—</w:t>
      </w:r>
      <w:r w:rsidR="008D5D64">
        <w:t xml:space="preserve"> </w:t>
      </w:r>
      <w:r w:rsidR="00563753">
        <w:t>3 percent; and</w:t>
      </w:r>
    </w:p>
    <w:p w14:paraId="00B25573" w14:textId="45214937" w:rsidR="00563753" w:rsidRDefault="00D71049">
      <w:pPr>
        <w:pStyle w:val="p"/>
      </w:pPr>
      <w:r>
        <w:rPr>
          <w:noProof/>
        </w:rPr>
        <w:drawing>
          <wp:inline distT="0" distB="0" distL="0" distR="0" wp14:anchorId="19023E06" wp14:editId="061239BC">
            <wp:extent cx="130810" cy="130810"/>
            <wp:effectExtent l="0" t="0" r="0" b="0"/>
            <wp:docPr id="7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sidR="00563753" w:rsidRPr="004C140A">
        <w:rPr>
          <w:highlight w:val="red"/>
        </w:rPr>
        <w:t xml:space="preserve">administration fee </w:t>
      </w:r>
      <w:r w:rsidR="009B20F1" w:rsidRPr="004C140A">
        <w:rPr>
          <w:highlight w:val="red"/>
        </w:rPr>
        <w:t>—</w:t>
      </w:r>
      <w:r w:rsidR="00563753" w:rsidRPr="004C140A">
        <w:rPr>
          <w:highlight w:val="red"/>
        </w:rPr>
        <w:t xml:space="preserve"> 0.1 percent</w:t>
      </w:r>
      <w:r w:rsidRPr="004C140A">
        <w:rPr>
          <w:highlight w:val="red"/>
        </w:rPr>
        <w:t>.</w:t>
      </w:r>
    </w:p>
    <w:tbl>
      <w:tblPr>
        <w:tblStyle w:val="TableGrid"/>
        <w:tblW w:w="0" w:type="auto"/>
        <w:tblLook w:val="04A0" w:firstRow="1" w:lastRow="0" w:firstColumn="1" w:lastColumn="0" w:noHBand="0" w:noVBand="1"/>
      </w:tblPr>
      <w:tblGrid>
        <w:gridCol w:w="9350"/>
      </w:tblGrid>
      <w:tr w:rsidR="004C140A" w:rsidRPr="004C140A" w14:paraId="37448B4E" w14:textId="77777777" w:rsidTr="004C140A">
        <w:tc>
          <w:tcPr>
            <w:tcW w:w="9350" w:type="dxa"/>
          </w:tcPr>
          <w:p w14:paraId="66641BE3" w14:textId="302019E1" w:rsidR="004C140A" w:rsidRDefault="004C140A" w:rsidP="004C140A">
            <w:pPr>
              <w:ind w:left="720"/>
              <w:rPr>
                <w:rFonts w:ascii="Courier New" w:hAnsi="Courier New" w:cs="Courier New"/>
                <w:sz w:val="16"/>
                <w:szCs w:val="16"/>
              </w:rPr>
            </w:pPr>
            <w:r w:rsidRPr="00F610FF">
              <w:rPr>
                <w:rFonts w:ascii="Courier New" w:hAnsi="Courier New" w:cs="Courier New"/>
                <w:highlight w:val="cyan"/>
              </w:rPr>
              <w:t xml:space="preserve">From </w:t>
            </w:r>
            <w:r w:rsidRPr="004C140A">
              <w:rPr>
                <w:rFonts w:ascii="Courier New" w:hAnsi="Courier New" w:cs="Courier New"/>
                <w:highlight w:val="cyan"/>
              </w:rPr>
              <w:t xml:space="preserve">Innodata </w:t>
            </w:r>
            <w:proofErr w:type="spellStart"/>
            <w:proofErr w:type="gramStart"/>
            <w:r w:rsidRPr="004C140A">
              <w:rPr>
                <w:rFonts w:ascii="Courier New" w:hAnsi="Courier New" w:cs="Courier New"/>
                <w:highlight w:val="cyan"/>
              </w:rPr>
              <w:t>XML,repeated</w:t>
            </w:r>
            <w:proofErr w:type="spellEnd"/>
            <w:proofErr w:type="gramEnd"/>
            <w:r w:rsidRPr="004C140A">
              <w:rPr>
                <w:rFonts w:ascii="Courier New" w:hAnsi="Courier New" w:cs="Courier New"/>
                <w:highlight w:val="cyan"/>
              </w:rPr>
              <w:t xml:space="preserve"> bullet text, omitted last bullet:</w:t>
            </w:r>
          </w:p>
          <w:p w14:paraId="69B749F2" w14:textId="76C10830"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 xml:space="preserve">       &lt;para </w:t>
            </w:r>
            <w:proofErr w:type="spellStart"/>
            <w:proofErr w:type="gramStart"/>
            <w:r w:rsidRPr="004C140A">
              <w:rPr>
                <w:rFonts w:ascii="Courier New" w:hAnsi="Courier New" w:cs="Courier New"/>
                <w:sz w:val="16"/>
                <w:szCs w:val="16"/>
              </w:rPr>
              <w:t>include.in.chart</w:t>
            </w:r>
            <w:proofErr w:type="spellEnd"/>
            <w:proofErr w:type="gramEnd"/>
            <w:r w:rsidRPr="004C140A">
              <w:rPr>
                <w:rFonts w:ascii="Courier New" w:hAnsi="Courier New" w:cs="Courier New"/>
                <w:sz w:val="16"/>
                <w:szCs w:val="16"/>
              </w:rPr>
              <w:t>="1"&gt;Under the Syrian social security system, employer contributions, based on employees' salaries, are as follows:</w:t>
            </w:r>
          </w:p>
          <w:p w14:paraId="379CB39D" w14:textId="77777777"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&lt;</w:t>
            </w:r>
            <w:proofErr w:type="spellStart"/>
            <w:proofErr w:type="gramStart"/>
            <w:r w:rsidRPr="004C140A">
              <w:rPr>
                <w:rFonts w:ascii="Courier New" w:hAnsi="Courier New" w:cs="Courier New"/>
                <w:sz w:val="16"/>
                <w:szCs w:val="16"/>
              </w:rPr>
              <w:t>list.item</w:t>
            </w:r>
            <w:proofErr w:type="spellEnd"/>
            <w:proofErr w:type="gramEnd"/>
            <w:r w:rsidRPr="004C140A">
              <w:rPr>
                <w:rFonts w:ascii="Courier New" w:hAnsi="Courier New" w:cs="Courier New"/>
                <w:sz w:val="16"/>
                <w:szCs w:val="16"/>
              </w:rPr>
              <w:t>&gt;&amp;#8226;&amp;#8201;&lt;hang/&gt; old age, disability and death benefits &amp;#151; 14 percent;&lt;/</w:t>
            </w:r>
            <w:proofErr w:type="spellStart"/>
            <w:r w:rsidRPr="004C140A">
              <w:rPr>
                <w:rFonts w:ascii="Courier New" w:hAnsi="Courier New" w:cs="Courier New"/>
                <w:sz w:val="16"/>
                <w:szCs w:val="16"/>
              </w:rPr>
              <w:t>list.item</w:t>
            </w:r>
            <w:proofErr w:type="spellEnd"/>
            <w:r w:rsidRPr="004C140A">
              <w:rPr>
                <w:rFonts w:ascii="Courier New" w:hAnsi="Courier New" w:cs="Courier New"/>
                <w:sz w:val="16"/>
                <w:szCs w:val="16"/>
              </w:rPr>
              <w:t>&gt;</w:t>
            </w:r>
          </w:p>
          <w:p w14:paraId="11A35AB1" w14:textId="77777777"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highlight w:val="red"/>
              </w:rPr>
              <w:t>&lt;</w:t>
            </w:r>
            <w:proofErr w:type="spellStart"/>
            <w:proofErr w:type="gramStart"/>
            <w:r w:rsidRPr="004C140A">
              <w:rPr>
                <w:rFonts w:ascii="Courier New" w:hAnsi="Courier New" w:cs="Courier New"/>
                <w:sz w:val="16"/>
                <w:szCs w:val="16"/>
                <w:highlight w:val="red"/>
              </w:rPr>
              <w:t>list.item</w:t>
            </w:r>
            <w:proofErr w:type="spellEnd"/>
            <w:proofErr w:type="gramEnd"/>
            <w:r w:rsidRPr="004C140A">
              <w:rPr>
                <w:rFonts w:ascii="Courier New" w:hAnsi="Courier New" w:cs="Courier New"/>
                <w:sz w:val="16"/>
                <w:szCs w:val="16"/>
                <w:highlight w:val="red"/>
              </w:rPr>
              <w:t>&gt;&amp;#8226;&amp;#8201;&lt;hang/&gt; occupational injury insurance &amp;#151; 3 percent; and&lt;/</w:t>
            </w:r>
            <w:proofErr w:type="spellStart"/>
            <w:r w:rsidRPr="004C140A">
              <w:rPr>
                <w:rFonts w:ascii="Courier New" w:hAnsi="Courier New" w:cs="Courier New"/>
                <w:sz w:val="16"/>
                <w:szCs w:val="16"/>
                <w:highlight w:val="red"/>
              </w:rPr>
              <w:t>list.item</w:t>
            </w:r>
            <w:proofErr w:type="spellEnd"/>
            <w:r w:rsidRPr="004C140A">
              <w:rPr>
                <w:rFonts w:ascii="Courier New" w:hAnsi="Courier New" w:cs="Courier New"/>
                <w:sz w:val="16"/>
                <w:szCs w:val="16"/>
                <w:highlight w:val="red"/>
              </w:rPr>
              <w:t>&gt;</w:t>
            </w:r>
          </w:p>
          <w:p w14:paraId="314FE80A" w14:textId="77777777" w:rsidR="004C140A" w:rsidRDefault="004C140A" w:rsidP="004C140A">
            <w:pPr>
              <w:ind w:left="720"/>
              <w:rPr>
                <w:rFonts w:ascii="Courier New" w:hAnsi="Courier New" w:cs="Courier New"/>
                <w:sz w:val="16"/>
                <w:szCs w:val="16"/>
              </w:rPr>
            </w:pPr>
            <w:r w:rsidRPr="004C140A">
              <w:rPr>
                <w:rFonts w:ascii="Courier New" w:hAnsi="Courier New" w:cs="Courier New"/>
                <w:sz w:val="16"/>
                <w:szCs w:val="16"/>
                <w:highlight w:val="red"/>
              </w:rPr>
              <w:t>&lt;</w:t>
            </w:r>
            <w:proofErr w:type="spellStart"/>
            <w:proofErr w:type="gramStart"/>
            <w:r w:rsidRPr="004C140A">
              <w:rPr>
                <w:rFonts w:ascii="Courier New" w:hAnsi="Courier New" w:cs="Courier New"/>
                <w:sz w:val="16"/>
                <w:szCs w:val="16"/>
                <w:highlight w:val="red"/>
              </w:rPr>
              <w:t>list.item</w:t>
            </w:r>
            <w:proofErr w:type="spellEnd"/>
            <w:proofErr w:type="gramEnd"/>
            <w:r w:rsidRPr="004C140A">
              <w:rPr>
                <w:rFonts w:ascii="Courier New" w:hAnsi="Courier New" w:cs="Courier New"/>
                <w:sz w:val="16"/>
                <w:szCs w:val="16"/>
                <w:highlight w:val="red"/>
              </w:rPr>
              <w:t>&gt;&amp;#8226;&amp;#8201;&lt;hang/&gt; occupational injury insurance &amp;#151; 3 percent; and&lt;/</w:t>
            </w:r>
            <w:proofErr w:type="spellStart"/>
            <w:r w:rsidRPr="004C140A">
              <w:rPr>
                <w:rFonts w:ascii="Courier New" w:hAnsi="Courier New" w:cs="Courier New"/>
                <w:sz w:val="16"/>
                <w:szCs w:val="16"/>
                <w:highlight w:val="red"/>
              </w:rPr>
              <w:t>list.item</w:t>
            </w:r>
            <w:proofErr w:type="spellEnd"/>
            <w:r w:rsidRPr="004C140A">
              <w:rPr>
                <w:rFonts w:ascii="Courier New" w:hAnsi="Courier New" w:cs="Courier New"/>
                <w:sz w:val="16"/>
                <w:szCs w:val="16"/>
                <w:highlight w:val="red"/>
              </w:rPr>
              <w:t>&gt;&lt;</w:t>
            </w:r>
            <w:r w:rsidRPr="004C140A">
              <w:rPr>
                <w:rFonts w:ascii="Courier New" w:hAnsi="Courier New" w:cs="Courier New"/>
                <w:sz w:val="16"/>
                <w:szCs w:val="16"/>
              </w:rPr>
              <w:t xml:space="preserve">/para&gt;     </w:t>
            </w:r>
          </w:p>
          <w:p w14:paraId="79C3D668" w14:textId="21A425EE"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&lt;/</w:t>
            </w:r>
            <w:proofErr w:type="spellStart"/>
            <w:proofErr w:type="gramStart"/>
            <w:r w:rsidRPr="004C140A">
              <w:rPr>
                <w:rFonts w:ascii="Courier New" w:hAnsi="Courier New" w:cs="Courier New"/>
                <w:sz w:val="16"/>
                <w:szCs w:val="16"/>
              </w:rPr>
              <w:t>content.group</w:t>
            </w:r>
            <w:proofErr w:type="spellEnd"/>
            <w:proofErr w:type="gramEnd"/>
            <w:r w:rsidRPr="004C140A">
              <w:rPr>
                <w:rFonts w:ascii="Courier New" w:hAnsi="Courier New" w:cs="Courier New"/>
                <w:sz w:val="16"/>
                <w:szCs w:val="16"/>
              </w:rPr>
              <w:t>&gt;</w:t>
            </w:r>
          </w:p>
          <w:p w14:paraId="22D3ED55" w14:textId="69054D3D"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 xml:space="preserve">      &lt;</w:t>
            </w:r>
            <w:proofErr w:type="spellStart"/>
            <w:proofErr w:type="gramStart"/>
            <w:r w:rsidRPr="004C140A">
              <w:rPr>
                <w:rFonts w:ascii="Courier New" w:hAnsi="Courier New" w:cs="Courier New"/>
                <w:sz w:val="16"/>
                <w:szCs w:val="16"/>
              </w:rPr>
              <w:t>content.group</w:t>
            </w:r>
            <w:proofErr w:type="spellEnd"/>
            <w:proofErr w:type="gramEnd"/>
            <w:r w:rsidRPr="004C140A">
              <w:rPr>
                <w:rFonts w:ascii="Courier New" w:hAnsi="Courier New" w:cs="Courier New"/>
                <w:sz w:val="16"/>
                <w:szCs w:val="16"/>
              </w:rPr>
              <w:t>&gt;</w:t>
            </w:r>
          </w:p>
        </w:tc>
      </w:tr>
    </w:tbl>
    <w:p w14:paraId="302CB5EF" w14:textId="77777777" w:rsidR="00D71049" w:rsidRDefault="00D71049" w:rsidP="00D71049">
      <w:pPr>
        <w:rPr>
          <w:sz w:val="24"/>
          <w:szCs w:val="24"/>
        </w:rPr>
      </w:pPr>
    </w:p>
    <w:p w14:paraId="19702C2E" w14:textId="55F681B0" w:rsidR="00D84736" w:rsidRDefault="00D84736">
      <w:pPr>
        <w:pStyle w:val="p"/>
      </w:pPr>
      <w:r>
        <w:rPr>
          <w:sz w:val="24"/>
          <w:szCs w:val="24"/>
        </w:rPr>
        <w:br/>
      </w:r>
      <w:r>
        <w:rPr>
          <w:b/>
          <w:bCs/>
        </w:rPr>
        <w:t xml:space="preserve">6.6.2. Employee Tax or Contribution </w:t>
      </w:r>
      <w:r>
        <w:rPr>
          <w:b/>
          <w:bCs/>
        </w:rPr>
        <w:br/>
      </w:r>
      <w:r>
        <w:t>The employee social security</w:t>
      </w:r>
      <w:r w:rsidR="008010AF">
        <w:t xml:space="preserve"> contribution</w:t>
      </w:r>
      <w:r>
        <w:t xml:space="preserve"> rate is 7 percent.</w:t>
      </w:r>
    </w:p>
    <w:p w14:paraId="7F5B9130" w14:textId="77777777" w:rsidR="00D84736" w:rsidRDefault="00D84736">
      <w:pPr>
        <w:pStyle w:val="p"/>
      </w:pPr>
      <w:r>
        <w:rPr>
          <w:sz w:val="24"/>
          <w:szCs w:val="24"/>
        </w:rPr>
        <w:br/>
      </w:r>
      <w:r>
        <w:rPr>
          <w:b/>
          <w:bCs/>
        </w:rPr>
        <w:t xml:space="preserve">6.6.3. Employee Tax Collection Mechanism </w:t>
      </w:r>
      <w:r>
        <w:rPr>
          <w:b/>
          <w:bCs/>
        </w:rPr>
        <w:br/>
      </w:r>
      <w:r w:rsidRPr="004C140A">
        <w:rPr>
          <w:highlight w:val="red"/>
        </w:rPr>
        <w:t>The employee may:</w:t>
      </w:r>
      <w:r>
        <w:t xml:space="preserve"> </w:t>
      </w:r>
    </w:p>
    <w:p w14:paraId="76DDCC48" w14:textId="13EF0AC6" w:rsidR="00D84736" w:rsidRDefault="00BA698A">
      <w:pPr>
        <w:pStyle w:val="p"/>
      </w:pPr>
      <w:bookmarkStart w:id="0" w:name="_Hlk172800289"/>
      <w:r>
        <w:rPr>
          <w:color w:val="FF0000"/>
        </w:rPr>
        <w:t>&amp;</w:t>
      </w:r>
      <w:proofErr w:type="spellStart"/>
      <w:r>
        <w:rPr>
          <w:color w:val="FF0000"/>
        </w:rPr>
        <w:t>cir</w:t>
      </w:r>
      <w:proofErr w:type="spellEnd"/>
      <w:r>
        <w:rPr>
          <w:color w:val="FF0000"/>
        </w:rPr>
        <w:t>;</w:t>
      </w:r>
      <w:r>
        <w:t xml:space="preserve"> </w:t>
      </w:r>
      <w:bookmarkEnd w:id="0"/>
      <w:r w:rsidR="00D84736">
        <w:t>allow the employer to deduct a monthly contribution from his/her salary; or</w:t>
      </w:r>
    </w:p>
    <w:p w14:paraId="35F2CB16" w14:textId="547D1064" w:rsidR="00D84736" w:rsidRDefault="00BA698A">
      <w:pPr>
        <w:pStyle w:val="p"/>
      </w:pPr>
      <w:r>
        <w:rPr>
          <w:color w:val="FF0000"/>
        </w:rPr>
        <w:t>&amp;</w:t>
      </w:r>
      <w:proofErr w:type="spellStart"/>
      <w:r>
        <w:rPr>
          <w:color w:val="FF0000"/>
        </w:rPr>
        <w:t>cir</w:t>
      </w:r>
      <w:proofErr w:type="spellEnd"/>
      <w:r>
        <w:rPr>
          <w:color w:val="FF0000"/>
        </w:rPr>
        <w:t>;</w:t>
      </w:r>
      <w:r>
        <w:t xml:space="preserve"> </w:t>
      </w:r>
      <w:r w:rsidR="00D84736">
        <w:t>pay the contribution directly to the proper authority.</w:t>
      </w:r>
    </w:p>
    <w:tbl>
      <w:tblPr>
        <w:tblStyle w:val="TableGrid"/>
        <w:tblW w:w="0" w:type="auto"/>
        <w:tblLook w:val="04A0" w:firstRow="1" w:lastRow="0" w:firstColumn="1" w:lastColumn="0" w:noHBand="0" w:noVBand="1"/>
      </w:tblPr>
      <w:tblGrid>
        <w:gridCol w:w="9350"/>
      </w:tblGrid>
      <w:tr w:rsidR="004C140A" w:rsidRPr="004C140A" w14:paraId="517C5916" w14:textId="77777777" w:rsidTr="00B252BC">
        <w:tc>
          <w:tcPr>
            <w:tcW w:w="9350" w:type="dxa"/>
          </w:tcPr>
          <w:p w14:paraId="740242AF" w14:textId="48FD58FE" w:rsidR="004C140A" w:rsidRDefault="004C140A" w:rsidP="00B252BC">
            <w:pPr>
              <w:ind w:left="720"/>
              <w:rPr>
                <w:rFonts w:ascii="Courier New" w:hAnsi="Courier New" w:cs="Courier New"/>
                <w:sz w:val="16"/>
                <w:szCs w:val="16"/>
              </w:rPr>
            </w:pPr>
            <w:r w:rsidRPr="00F610FF">
              <w:rPr>
                <w:rFonts w:ascii="Courier New" w:hAnsi="Courier New" w:cs="Courier New"/>
                <w:highlight w:val="cyan"/>
              </w:rPr>
              <w:t xml:space="preserve">From </w:t>
            </w:r>
            <w:r w:rsidRPr="004C140A">
              <w:rPr>
                <w:rFonts w:ascii="Courier New" w:hAnsi="Courier New" w:cs="Courier New"/>
                <w:highlight w:val="cyan"/>
              </w:rPr>
              <w:t xml:space="preserve">Innodata </w:t>
            </w:r>
            <w:proofErr w:type="spellStart"/>
            <w:proofErr w:type="gramStart"/>
            <w:r w:rsidRPr="004C140A">
              <w:rPr>
                <w:rFonts w:ascii="Courier New" w:hAnsi="Courier New" w:cs="Courier New"/>
                <w:highlight w:val="cyan"/>
              </w:rPr>
              <w:t>XML,</w:t>
            </w:r>
            <w:r>
              <w:rPr>
                <w:rFonts w:ascii="Courier New" w:hAnsi="Courier New" w:cs="Courier New"/>
                <w:highlight w:val="cyan"/>
              </w:rPr>
              <w:t>incorrect</w:t>
            </w:r>
            <w:proofErr w:type="spellEnd"/>
            <w:proofErr w:type="gramEnd"/>
            <w:r>
              <w:rPr>
                <w:rFonts w:ascii="Courier New" w:hAnsi="Courier New" w:cs="Courier New"/>
                <w:highlight w:val="cyan"/>
              </w:rPr>
              <w:t xml:space="preserve"> text</w:t>
            </w:r>
            <w:r w:rsidRPr="004C140A">
              <w:rPr>
                <w:rFonts w:ascii="Courier New" w:hAnsi="Courier New" w:cs="Courier New"/>
                <w:highlight w:val="cyan"/>
              </w:rPr>
              <w:t>:</w:t>
            </w:r>
          </w:p>
          <w:p w14:paraId="11EE9390" w14:textId="77777777"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 xml:space="preserve">       &lt;bna.id bna.id="3"&gt;6.6.</w:t>
            </w:r>
            <w:proofErr w:type="gramStart"/>
            <w:r w:rsidRPr="004C140A">
              <w:rPr>
                <w:rFonts w:ascii="Courier New" w:hAnsi="Courier New" w:cs="Courier New"/>
                <w:sz w:val="16"/>
                <w:szCs w:val="16"/>
              </w:rPr>
              <w:t>3.&lt;</w:t>
            </w:r>
            <w:proofErr w:type="gramEnd"/>
            <w:r w:rsidRPr="004C140A">
              <w:rPr>
                <w:rFonts w:ascii="Courier New" w:hAnsi="Courier New" w:cs="Courier New"/>
                <w:sz w:val="16"/>
                <w:szCs w:val="16"/>
              </w:rPr>
              <w:t>/bna.id&gt;</w:t>
            </w:r>
          </w:p>
          <w:p w14:paraId="6FD37AA2" w14:textId="7994F20D"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 xml:space="preserve">       &lt;name&gt;Employee Tax</w:t>
            </w:r>
            <w:r>
              <w:rPr>
                <w:rFonts w:ascii="Courier New" w:hAnsi="Courier New" w:cs="Courier New"/>
                <w:sz w:val="16"/>
                <w:szCs w:val="16"/>
              </w:rPr>
              <w:t xml:space="preserve"> </w:t>
            </w:r>
            <w:r w:rsidRPr="004C140A">
              <w:rPr>
                <w:rFonts w:ascii="Courier New" w:hAnsi="Courier New" w:cs="Courier New"/>
                <w:sz w:val="16"/>
                <w:szCs w:val="16"/>
              </w:rPr>
              <w:t>Collection Mechanism&lt;/name&gt;</w:t>
            </w:r>
          </w:p>
          <w:p w14:paraId="1F147CF5" w14:textId="77777777"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 xml:space="preserve">       &lt;para </w:t>
            </w:r>
            <w:proofErr w:type="spellStart"/>
            <w:proofErr w:type="gramStart"/>
            <w:r w:rsidRPr="004C140A">
              <w:rPr>
                <w:rFonts w:ascii="Courier New" w:hAnsi="Courier New" w:cs="Courier New"/>
                <w:sz w:val="16"/>
                <w:szCs w:val="16"/>
              </w:rPr>
              <w:t>include.in.chart</w:t>
            </w:r>
            <w:proofErr w:type="spellEnd"/>
            <w:proofErr w:type="gramEnd"/>
            <w:r w:rsidRPr="004C140A">
              <w:rPr>
                <w:rFonts w:ascii="Courier New" w:hAnsi="Courier New" w:cs="Courier New"/>
                <w:sz w:val="16"/>
                <w:szCs w:val="16"/>
              </w:rPr>
              <w:t>="1"&gt;</w:t>
            </w:r>
            <w:r w:rsidRPr="004C140A">
              <w:rPr>
                <w:rFonts w:ascii="Courier New" w:hAnsi="Courier New" w:cs="Courier New"/>
                <w:sz w:val="16"/>
                <w:szCs w:val="16"/>
                <w:highlight w:val="red"/>
              </w:rPr>
              <w:t>The employee social security contribution rate is 7 percent.</w:t>
            </w:r>
          </w:p>
          <w:p w14:paraId="700A9041" w14:textId="77777777"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 xml:space="preserve">       &lt;</w:t>
            </w:r>
            <w:proofErr w:type="spellStart"/>
            <w:proofErr w:type="gramStart"/>
            <w:r w:rsidRPr="004C140A">
              <w:rPr>
                <w:rFonts w:ascii="Courier New" w:hAnsi="Courier New" w:cs="Courier New"/>
                <w:sz w:val="16"/>
                <w:szCs w:val="16"/>
              </w:rPr>
              <w:t>list.item</w:t>
            </w:r>
            <w:proofErr w:type="spellEnd"/>
            <w:proofErr w:type="gramEnd"/>
            <w:r w:rsidRPr="004C140A">
              <w:rPr>
                <w:rFonts w:ascii="Courier New" w:hAnsi="Courier New" w:cs="Courier New"/>
                <w:sz w:val="16"/>
                <w:szCs w:val="16"/>
              </w:rPr>
              <w:t>&gt;&amp;#8226;&amp;#8201;&lt;hang/&gt; allow the employer to deduct a monthly contribution from his/her salary; or&lt;/</w:t>
            </w:r>
            <w:proofErr w:type="spellStart"/>
            <w:r w:rsidRPr="004C140A">
              <w:rPr>
                <w:rFonts w:ascii="Courier New" w:hAnsi="Courier New" w:cs="Courier New"/>
                <w:sz w:val="16"/>
                <w:szCs w:val="16"/>
              </w:rPr>
              <w:t>list.item</w:t>
            </w:r>
            <w:proofErr w:type="spellEnd"/>
            <w:r w:rsidRPr="004C140A">
              <w:rPr>
                <w:rFonts w:ascii="Courier New" w:hAnsi="Courier New" w:cs="Courier New"/>
                <w:sz w:val="16"/>
                <w:szCs w:val="16"/>
              </w:rPr>
              <w:t>&gt;</w:t>
            </w:r>
          </w:p>
          <w:p w14:paraId="604CF1DE" w14:textId="77777777"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 xml:space="preserve">       &lt;</w:t>
            </w:r>
            <w:proofErr w:type="spellStart"/>
            <w:proofErr w:type="gramStart"/>
            <w:r w:rsidRPr="004C140A">
              <w:rPr>
                <w:rFonts w:ascii="Courier New" w:hAnsi="Courier New" w:cs="Courier New"/>
                <w:sz w:val="16"/>
                <w:szCs w:val="16"/>
              </w:rPr>
              <w:t>list.item</w:t>
            </w:r>
            <w:proofErr w:type="spellEnd"/>
            <w:proofErr w:type="gramEnd"/>
            <w:r w:rsidRPr="004C140A">
              <w:rPr>
                <w:rFonts w:ascii="Courier New" w:hAnsi="Courier New" w:cs="Courier New"/>
                <w:sz w:val="16"/>
                <w:szCs w:val="16"/>
              </w:rPr>
              <w:t>&gt;&amp;#8226;&amp;#8201;&lt;hang/&gt; pay the contribution directly to the proper authority.&lt;/</w:t>
            </w:r>
            <w:proofErr w:type="spellStart"/>
            <w:r w:rsidRPr="004C140A">
              <w:rPr>
                <w:rFonts w:ascii="Courier New" w:hAnsi="Courier New" w:cs="Courier New"/>
                <w:sz w:val="16"/>
                <w:szCs w:val="16"/>
              </w:rPr>
              <w:t>list.item</w:t>
            </w:r>
            <w:proofErr w:type="spellEnd"/>
            <w:r w:rsidRPr="004C140A">
              <w:rPr>
                <w:rFonts w:ascii="Courier New" w:hAnsi="Courier New" w:cs="Courier New"/>
                <w:sz w:val="16"/>
                <w:szCs w:val="16"/>
              </w:rPr>
              <w:t>&gt;&lt;/para&gt;</w:t>
            </w:r>
          </w:p>
          <w:p w14:paraId="4867CEFB" w14:textId="77538592" w:rsidR="004C140A" w:rsidRPr="004C140A" w:rsidRDefault="004C140A" w:rsidP="004C140A">
            <w:pPr>
              <w:ind w:left="720"/>
              <w:rPr>
                <w:rFonts w:ascii="Courier New" w:hAnsi="Courier New" w:cs="Courier New"/>
                <w:sz w:val="16"/>
                <w:szCs w:val="16"/>
              </w:rPr>
            </w:pPr>
            <w:r w:rsidRPr="004C140A">
              <w:rPr>
                <w:rFonts w:ascii="Courier New" w:hAnsi="Courier New" w:cs="Courier New"/>
                <w:sz w:val="16"/>
                <w:szCs w:val="16"/>
              </w:rPr>
              <w:t xml:space="preserve">       </w:t>
            </w:r>
          </w:p>
        </w:tc>
      </w:tr>
    </w:tbl>
    <w:p w14:paraId="3E65D83E" w14:textId="77777777" w:rsidR="00D84736" w:rsidRDefault="00D84736">
      <w:pPr>
        <w:rPr>
          <w:sz w:val="24"/>
          <w:szCs w:val="24"/>
        </w:rPr>
      </w:pPr>
    </w:p>
    <w:p w14:paraId="6425A6C7" w14:textId="77777777" w:rsidR="00D84736" w:rsidRDefault="00D84736">
      <w:pPr>
        <w:pStyle w:val="p"/>
      </w:pPr>
      <w:r>
        <w:rPr>
          <w:b/>
          <w:bCs/>
          <w:i/>
          <w:iCs/>
        </w:rPr>
        <w:t>Planning point</w:t>
      </w:r>
      <w:r>
        <w:t>: It is advisable that the employee social security contribution be deducted directly from the employee's salary/wages and paid by the employer in order to prevent any future difficulties.</w:t>
      </w:r>
    </w:p>
    <w:p w14:paraId="137BFB7C" w14:textId="77777777" w:rsidR="00D84736" w:rsidRDefault="00D84736">
      <w:pPr>
        <w:pStyle w:val="p"/>
      </w:pPr>
      <w:r>
        <w:rPr>
          <w:sz w:val="24"/>
          <w:szCs w:val="24"/>
        </w:rPr>
        <w:br/>
      </w:r>
      <w:r>
        <w:rPr>
          <w:b/>
          <w:bCs/>
        </w:rPr>
        <w:t xml:space="preserve">6.7. Royalties and Rents </w:t>
      </w:r>
      <w:r>
        <w:rPr>
          <w:b/>
          <w:bCs/>
        </w:rPr>
        <w:br/>
      </w:r>
      <w:r>
        <w:rPr>
          <w:b/>
          <w:bCs/>
        </w:rPr>
        <w:br/>
        <w:t xml:space="preserve">6.7.1. Domestic Licensors </w:t>
      </w:r>
      <w:r>
        <w:rPr>
          <w:b/>
          <w:bCs/>
        </w:rPr>
        <w:br/>
      </w:r>
      <w:r>
        <w:t>As stated by different local directives issued by Syrian Municipalities and the Ministry of Finance, a 10 percent fee is levied when renting a property; the tax is collected at the time of signing the rental agreement.</w:t>
      </w:r>
    </w:p>
    <w:p w14:paraId="166B79B3" w14:textId="7EFEF074" w:rsidR="00D84736" w:rsidRDefault="00D84736">
      <w:pPr>
        <w:pStyle w:val="p"/>
      </w:pPr>
      <w:r>
        <w:t xml:space="preserve">See also </w:t>
      </w:r>
      <w:r w:rsidR="00AD64B5" w:rsidRPr="00AD64B5">
        <w:rPr>
          <w:highlight w:val="yellow"/>
        </w:rPr>
        <w:t>[</w:t>
      </w:r>
      <w:proofErr w:type="gramStart"/>
      <w:r w:rsidR="00AD64B5" w:rsidRPr="00AD64B5">
        <w:rPr>
          <w:highlight w:val="yellow"/>
        </w:rPr>
        <w:t>9.3.2]</w:t>
      </w:r>
      <w:r w:rsidR="00AD64B5" w:rsidRPr="00F610FF">
        <w:rPr>
          <w:highlight w:val="yellow"/>
        </w:rPr>
        <w:t>Section</w:t>
      </w:r>
      <w:proofErr w:type="gramEnd"/>
      <w:r w:rsidR="00AD64B5" w:rsidRPr="00F610FF">
        <w:rPr>
          <w:highlight w:val="yellow"/>
        </w:rPr>
        <w:t xml:space="preserve"> 9.3.2</w:t>
      </w:r>
      <w:r w:rsidR="00AD64B5" w:rsidRPr="00AD64B5">
        <w:rPr>
          <w:highlight w:val="yellow"/>
        </w:rPr>
        <w:t>[end]</w:t>
      </w:r>
      <w:r>
        <w:t>.</w:t>
      </w:r>
    </w:p>
    <w:p w14:paraId="34287D9A" w14:textId="77777777" w:rsidR="00D84736" w:rsidRDefault="00D84736">
      <w:pPr>
        <w:pStyle w:val="p"/>
      </w:pPr>
      <w:r>
        <w:rPr>
          <w:sz w:val="24"/>
          <w:szCs w:val="24"/>
        </w:rPr>
        <w:br/>
      </w:r>
      <w:r>
        <w:rPr>
          <w:b/>
          <w:bCs/>
        </w:rPr>
        <w:t xml:space="preserve">6.7.2. Foreign Licensors </w:t>
      </w:r>
      <w:r>
        <w:rPr>
          <w:b/>
          <w:bCs/>
        </w:rPr>
        <w:br/>
      </w:r>
      <w:r>
        <w:lastRenderedPageBreak/>
        <w:t>Syrian law does not distinguish between residents and nonresidents for tax purposes with respect to rental properties.</w:t>
      </w:r>
    </w:p>
    <w:p w14:paraId="106751EB" w14:textId="6ADB4761" w:rsidR="00D84736" w:rsidRDefault="00D84736">
      <w:pPr>
        <w:pStyle w:val="p"/>
      </w:pPr>
      <w:r>
        <w:t xml:space="preserve">See </w:t>
      </w:r>
      <w:r w:rsidR="00AD64B5" w:rsidRPr="00AD64B5">
        <w:rPr>
          <w:highlight w:val="yellow"/>
        </w:rPr>
        <w:t>[</w:t>
      </w:r>
      <w:proofErr w:type="gramStart"/>
      <w:r w:rsidR="00AD64B5" w:rsidRPr="00AD64B5">
        <w:rPr>
          <w:highlight w:val="yellow"/>
        </w:rPr>
        <w:t>6.7.1]</w:t>
      </w:r>
      <w:r w:rsidR="00AD64B5" w:rsidRPr="00F610FF">
        <w:rPr>
          <w:highlight w:val="yellow"/>
        </w:rPr>
        <w:t>Section</w:t>
      </w:r>
      <w:proofErr w:type="gramEnd"/>
      <w:r w:rsidR="00AD64B5" w:rsidRPr="00F610FF">
        <w:rPr>
          <w:highlight w:val="yellow"/>
        </w:rPr>
        <w:t xml:space="preserve"> 6.7.1</w:t>
      </w:r>
      <w:r w:rsidR="00AD64B5" w:rsidRPr="00AD64B5">
        <w:rPr>
          <w:highlight w:val="yellow"/>
        </w:rPr>
        <w:t>[end]</w:t>
      </w:r>
      <w:r>
        <w:t xml:space="preserve"> above.</w:t>
      </w:r>
    </w:p>
    <w:p w14:paraId="66BE5718" w14:textId="77777777" w:rsidR="00D84736" w:rsidRDefault="00D84736">
      <w:pPr>
        <w:pStyle w:val="p"/>
      </w:pPr>
      <w:r>
        <w:rPr>
          <w:sz w:val="24"/>
          <w:szCs w:val="24"/>
        </w:rPr>
        <w:br/>
      </w:r>
      <w:r>
        <w:rPr>
          <w:b/>
          <w:bCs/>
        </w:rPr>
        <w:t xml:space="preserve">7. Transfer Pricing Policies </w:t>
      </w:r>
      <w:r>
        <w:rPr>
          <w:b/>
          <w:bCs/>
        </w:rPr>
        <w:br/>
      </w:r>
      <w:r>
        <w:rPr>
          <w:b/>
          <w:bCs/>
        </w:rPr>
        <w:br/>
        <w:t xml:space="preserve">7.1. Application </w:t>
      </w:r>
      <w:r>
        <w:rPr>
          <w:b/>
          <w:bCs/>
        </w:rPr>
        <w:br/>
      </w:r>
      <w:r>
        <w:t>In Syria, there are no specific transfer pricing rules.</w:t>
      </w:r>
    </w:p>
    <w:p w14:paraId="2F2032CC" w14:textId="77777777" w:rsidR="00D84736" w:rsidRDefault="00D84736">
      <w:pPr>
        <w:pStyle w:val="p"/>
      </w:pPr>
      <w:r>
        <w:t xml:space="preserve">However, businesses whose </w:t>
      </w:r>
      <w:proofErr w:type="spellStart"/>
      <w:r>
        <w:t>centre</w:t>
      </w:r>
      <w:proofErr w:type="spellEnd"/>
      <w:r>
        <w:t xml:space="preserve"> of work is located outside Syria and businesses affiliated with those located outside Syria, and whose profits are transferred indirectly to businesses outside Syria either by an increase or decrease in the sale or purchase price, or by any other method, are subject to tax after the aforementioned profits have been recorded in their accounts. If this cannot be done, then the costs are verified by benchmarking against similar firms.</w:t>
      </w:r>
      <w:r>
        <w:rPr>
          <w:vertAlign w:val="superscript"/>
        </w:rPr>
        <w:t>6</w:t>
      </w:r>
      <w:r w:rsidRPr="00CE3533">
        <w:rPr>
          <w:rStyle w:val="FootnoteReference"/>
        </w:rPr>
        <w:footnoteReference w:customMarkFollows="1" w:id="71"/>
        <w:t>5</w:t>
      </w:r>
    </w:p>
    <w:p w14:paraId="0149985A" w14:textId="77777777" w:rsidR="00D84736" w:rsidRDefault="00D84736">
      <w:pPr>
        <w:pStyle w:val="p"/>
      </w:pPr>
      <w:r>
        <w:rPr>
          <w:sz w:val="24"/>
          <w:szCs w:val="24"/>
        </w:rPr>
        <w:br/>
      </w:r>
      <w:r>
        <w:rPr>
          <w:b/>
          <w:bCs/>
        </w:rPr>
        <w:t xml:space="preserve">7.2. Permissible Pricing Methods </w:t>
      </w:r>
      <w:r>
        <w:rPr>
          <w:b/>
          <w:bCs/>
        </w:rPr>
        <w:br/>
      </w:r>
      <w:r>
        <w:t>In Syria, there are no specific transfer pricing rules.</w:t>
      </w:r>
    </w:p>
    <w:p w14:paraId="7F6658CF" w14:textId="77777777" w:rsidR="00D84736" w:rsidRDefault="00D84736">
      <w:pPr>
        <w:pStyle w:val="p"/>
      </w:pPr>
      <w:r>
        <w:rPr>
          <w:sz w:val="24"/>
          <w:szCs w:val="24"/>
        </w:rPr>
        <w:br/>
      </w:r>
      <w:r>
        <w:rPr>
          <w:b/>
          <w:bCs/>
        </w:rPr>
        <w:t xml:space="preserve">7.3. Penalties for Improper Pricing </w:t>
      </w:r>
      <w:r>
        <w:rPr>
          <w:b/>
          <w:bCs/>
        </w:rPr>
        <w:br/>
      </w:r>
      <w:r>
        <w:t>In Syria, there are no specific transfer pricing rules.</w:t>
      </w:r>
    </w:p>
    <w:p w14:paraId="1469EC2C" w14:textId="77777777" w:rsidR="00D84736" w:rsidRDefault="00D84736">
      <w:pPr>
        <w:pStyle w:val="p"/>
      </w:pPr>
      <w:r>
        <w:rPr>
          <w:sz w:val="24"/>
          <w:szCs w:val="24"/>
        </w:rPr>
        <w:br/>
      </w:r>
      <w:r>
        <w:rPr>
          <w:b/>
          <w:bCs/>
        </w:rPr>
        <w:t xml:space="preserve">7.4. Advance Rulings or Pricing Agreements </w:t>
      </w:r>
      <w:r>
        <w:rPr>
          <w:b/>
          <w:bCs/>
        </w:rPr>
        <w:br/>
      </w:r>
      <w:r>
        <w:t>In Syria, there are no specific transfer pricing rules.</w:t>
      </w:r>
    </w:p>
    <w:p w14:paraId="3E961373" w14:textId="77777777" w:rsidR="00D84736" w:rsidRDefault="00D84736">
      <w:pPr>
        <w:pStyle w:val="p"/>
      </w:pPr>
      <w:r>
        <w:rPr>
          <w:sz w:val="24"/>
          <w:szCs w:val="24"/>
        </w:rPr>
        <w:br/>
      </w:r>
      <w:r>
        <w:rPr>
          <w:b/>
          <w:bCs/>
        </w:rPr>
        <w:t xml:space="preserve">7.5. Documentation </w:t>
      </w:r>
      <w:r>
        <w:rPr>
          <w:b/>
          <w:bCs/>
        </w:rPr>
        <w:br/>
      </w:r>
      <w:r>
        <w:t>In Syria, there are no specific transfer pricing rules.</w:t>
      </w:r>
    </w:p>
    <w:p w14:paraId="1E74F6D9" w14:textId="77777777" w:rsidR="00D84736" w:rsidRDefault="00D84736">
      <w:pPr>
        <w:pStyle w:val="p"/>
      </w:pPr>
      <w:r>
        <w:rPr>
          <w:sz w:val="24"/>
          <w:szCs w:val="24"/>
        </w:rPr>
        <w:br/>
      </w:r>
      <w:r>
        <w:rPr>
          <w:b/>
          <w:bCs/>
        </w:rPr>
        <w:t xml:space="preserve">8. Anti-Avoidance Provisions </w:t>
      </w:r>
      <w:r>
        <w:rPr>
          <w:b/>
          <w:bCs/>
        </w:rPr>
        <w:br/>
      </w:r>
      <w:r>
        <w:rPr>
          <w:b/>
          <w:bCs/>
        </w:rPr>
        <w:br/>
        <w:t xml:space="preserve">8.1. General Anti-Avoidance Provisions </w:t>
      </w:r>
      <w:r>
        <w:rPr>
          <w:b/>
          <w:bCs/>
        </w:rPr>
        <w:br/>
      </w:r>
      <w:r>
        <w:t>Law 24/2003 imposes fines and imprisonment for individuals that attempt to evade their tax liabilities.</w:t>
      </w:r>
    </w:p>
    <w:p w14:paraId="082EB508" w14:textId="77777777" w:rsidR="00D84736" w:rsidRDefault="00D84736">
      <w:pPr>
        <w:pStyle w:val="p"/>
      </w:pPr>
      <w:r>
        <w:rPr>
          <w:sz w:val="24"/>
          <w:szCs w:val="24"/>
        </w:rPr>
        <w:br/>
      </w:r>
      <w:r>
        <w:rPr>
          <w:b/>
          <w:bCs/>
        </w:rPr>
        <w:t xml:space="preserve">8.2. Thin Capitalization/Other Interest Deductibility Rules </w:t>
      </w:r>
      <w:r>
        <w:rPr>
          <w:b/>
          <w:bCs/>
        </w:rPr>
        <w:br/>
      </w:r>
      <w:r>
        <w:t>In Syria, there are no thin capitalization/interest deductibility rules.</w:t>
      </w:r>
    </w:p>
    <w:p w14:paraId="02E3B15A" w14:textId="77777777" w:rsidR="00D84736" w:rsidRDefault="00D84736">
      <w:pPr>
        <w:pStyle w:val="p"/>
      </w:pPr>
      <w:r>
        <w:rPr>
          <w:sz w:val="24"/>
          <w:szCs w:val="24"/>
        </w:rPr>
        <w:br/>
      </w:r>
      <w:r>
        <w:rPr>
          <w:b/>
          <w:bCs/>
        </w:rPr>
        <w:t xml:space="preserve">8.3. Controlled Foreign Company (CFC) Rules </w:t>
      </w:r>
      <w:r>
        <w:rPr>
          <w:b/>
          <w:bCs/>
        </w:rPr>
        <w:br/>
      </w:r>
      <w:r>
        <w:t>In Syria, there are no controlled foreign company rules.</w:t>
      </w:r>
    </w:p>
    <w:p w14:paraId="0155C7CC" w14:textId="71D6D0A5" w:rsidR="00A950B6" w:rsidRDefault="00D84736" w:rsidP="00F21F04">
      <w:pPr>
        <w:pStyle w:val="p"/>
      </w:pPr>
      <w:r>
        <w:rPr>
          <w:sz w:val="24"/>
          <w:szCs w:val="24"/>
        </w:rPr>
        <w:br/>
      </w:r>
      <w:r>
        <w:rPr>
          <w:b/>
          <w:bCs/>
        </w:rPr>
        <w:t xml:space="preserve">9. Other Taxes </w:t>
      </w:r>
      <w:r>
        <w:rPr>
          <w:b/>
          <w:bCs/>
        </w:rPr>
        <w:br/>
      </w:r>
      <w:r>
        <w:rPr>
          <w:b/>
          <w:bCs/>
        </w:rPr>
        <w:br/>
        <w:t xml:space="preserve">9.1. Payroll Taxes </w:t>
      </w:r>
      <w:r>
        <w:rPr>
          <w:b/>
          <w:bCs/>
        </w:rPr>
        <w:br/>
      </w:r>
      <w:r w:rsidR="00A950B6">
        <w:t xml:space="preserve">Aside from income taxes and social security contributions generally withheld at source by employers from their employees' salaries and wages (see </w:t>
      </w:r>
      <w:r w:rsidR="00AD64B5" w:rsidRPr="00AD64B5">
        <w:rPr>
          <w:highlight w:val="yellow"/>
        </w:rPr>
        <w:t>[</w:t>
      </w:r>
      <w:proofErr w:type="gramStart"/>
      <w:r w:rsidR="00AD64B5" w:rsidRPr="00AD64B5">
        <w:rPr>
          <w:highlight w:val="yellow"/>
        </w:rPr>
        <w:t>6.3.1]</w:t>
      </w:r>
      <w:r w:rsidR="00AD64B5" w:rsidRPr="00F610FF">
        <w:rPr>
          <w:highlight w:val="yellow"/>
        </w:rPr>
        <w:t>Section</w:t>
      </w:r>
      <w:proofErr w:type="gramEnd"/>
      <w:r w:rsidR="00AD64B5" w:rsidRPr="00F610FF">
        <w:rPr>
          <w:highlight w:val="yellow"/>
        </w:rPr>
        <w:t xml:space="preserve"> 6.3.1</w:t>
      </w:r>
      <w:r w:rsidR="00AD64B5" w:rsidRPr="00AD64B5">
        <w:rPr>
          <w:highlight w:val="yellow"/>
        </w:rPr>
        <w:t>[end]</w:t>
      </w:r>
      <w:r w:rsidR="00A950B6">
        <w:t xml:space="preserve"> and </w:t>
      </w:r>
      <w:r w:rsidR="00AD64B5" w:rsidRPr="00AD64B5">
        <w:rPr>
          <w:highlight w:val="yellow"/>
        </w:rPr>
        <w:t>[6.6]</w:t>
      </w:r>
      <w:r w:rsidR="00AD64B5" w:rsidRPr="00F610FF">
        <w:rPr>
          <w:highlight w:val="yellow"/>
        </w:rPr>
        <w:t>Section 6.6</w:t>
      </w:r>
      <w:r w:rsidR="00AD64B5" w:rsidRPr="00AD64B5">
        <w:rPr>
          <w:highlight w:val="yellow"/>
        </w:rPr>
        <w:t>[end]</w:t>
      </w:r>
      <w:r w:rsidR="00A950B6">
        <w:t xml:space="preserve">), </w:t>
      </w:r>
      <w:r w:rsidR="00CE6671">
        <w:t xml:space="preserve">and a specific payroll tax for the oil and gas sector (see </w:t>
      </w:r>
      <w:r w:rsidR="00AD64B5" w:rsidRPr="009B1822">
        <w:rPr>
          <w:highlight w:val="red"/>
        </w:rPr>
        <w:t>[10.1]</w:t>
      </w:r>
      <w:r w:rsidR="00AD64B5" w:rsidRPr="00F610FF">
        <w:rPr>
          <w:highlight w:val="red"/>
        </w:rPr>
        <w:t>Section 10.1</w:t>
      </w:r>
      <w:r w:rsidR="00AD64B5" w:rsidRPr="009B1822">
        <w:rPr>
          <w:highlight w:val="red"/>
        </w:rPr>
        <w:t>[end]</w:t>
      </w:r>
      <w:r w:rsidR="00CE6671" w:rsidRPr="009B1822">
        <w:rPr>
          <w:highlight w:val="red"/>
        </w:rPr>
        <w:t>),</w:t>
      </w:r>
      <w:r w:rsidR="00CE6671">
        <w:t xml:space="preserve"> </w:t>
      </w:r>
      <w:r w:rsidR="00A950B6">
        <w:t>there are no other payroll taxes in Syria.</w:t>
      </w:r>
    </w:p>
    <w:p w14:paraId="5DEE8C82" w14:textId="77777777" w:rsidR="00D84736" w:rsidRDefault="00D84736">
      <w:pPr>
        <w:pStyle w:val="p"/>
      </w:pPr>
      <w:r>
        <w:rPr>
          <w:sz w:val="24"/>
          <w:szCs w:val="24"/>
        </w:rPr>
        <w:br/>
      </w:r>
      <w:r>
        <w:rPr>
          <w:b/>
          <w:bCs/>
        </w:rPr>
        <w:t xml:space="preserve">9.2. Capital Taxes (Capital Duties) </w:t>
      </w:r>
      <w:r>
        <w:rPr>
          <w:b/>
          <w:bCs/>
        </w:rPr>
        <w:br/>
      </w:r>
      <w:r>
        <w:t xml:space="preserve">In Syria, there are general minimal fees, in addition to a stamp duty of 0.4 percent of a company's original </w:t>
      </w:r>
      <w:r>
        <w:lastRenderedPageBreak/>
        <w:t>contributed capital, or of any subsequent increase in its contributed capital.</w:t>
      </w:r>
      <w:r>
        <w:rPr>
          <w:vertAlign w:val="superscript"/>
        </w:rPr>
        <w:t>6</w:t>
      </w:r>
      <w:r w:rsidRPr="00CE3533">
        <w:rPr>
          <w:rStyle w:val="FootnoteReference"/>
        </w:rPr>
        <w:footnoteReference w:customMarkFollows="1" w:id="72"/>
        <w:t>9</w:t>
      </w:r>
    </w:p>
    <w:p w14:paraId="239143CD" w14:textId="0DDE3A76" w:rsidR="00D84736" w:rsidRDefault="00D84736">
      <w:pPr>
        <w:pStyle w:val="p"/>
      </w:pPr>
      <w:r>
        <w:rPr>
          <w:sz w:val="24"/>
          <w:szCs w:val="24"/>
        </w:rPr>
        <w:br/>
      </w:r>
      <w:r>
        <w:rPr>
          <w:b/>
          <w:bCs/>
        </w:rPr>
        <w:t xml:space="preserve">9.3. Property Taxes </w:t>
      </w:r>
      <w:r>
        <w:rPr>
          <w:b/>
          <w:bCs/>
        </w:rPr>
        <w:br/>
      </w:r>
      <w:r>
        <w:rPr>
          <w:b/>
          <w:bCs/>
        </w:rPr>
        <w:br/>
        <w:t xml:space="preserve">9.3.1. Transfer Taxes, Including Real Property Transactions </w:t>
      </w:r>
      <w:r>
        <w:rPr>
          <w:b/>
          <w:bCs/>
        </w:rPr>
        <w:br/>
      </w:r>
      <w:r>
        <w:t xml:space="preserve">In Syria, </w:t>
      </w:r>
      <w:r w:rsidR="007F7EDA">
        <w:t>the</w:t>
      </w:r>
      <w:r w:rsidR="00B755C4">
        <w:t xml:space="preserve"> real estate sales tax</w:t>
      </w:r>
      <w:r w:rsidR="007F7EDA">
        <w:t xml:space="preserve"> is</w:t>
      </w:r>
      <w:r w:rsidR="0024368D">
        <w:t xml:space="preserve"> usually paid by </w:t>
      </w:r>
      <w:r>
        <w:t>the seller</w:t>
      </w:r>
      <w:r w:rsidR="0024368D">
        <w:t xml:space="preserve"> </w:t>
      </w:r>
      <w:r w:rsidR="00AC635C">
        <w:t>based on</w:t>
      </w:r>
      <w:r w:rsidR="009C4362">
        <w:t xml:space="preserve"> the </w:t>
      </w:r>
      <w:r w:rsidR="00F63C62">
        <w:t xml:space="preserve">actual </w:t>
      </w:r>
      <w:r w:rsidR="009C4362">
        <w:t>market value</w:t>
      </w:r>
      <w:r w:rsidR="00800C9F">
        <w:t xml:space="preserve"> </w:t>
      </w:r>
      <w:r w:rsidR="009C4362">
        <w:t xml:space="preserve">of the </w:t>
      </w:r>
      <w:r w:rsidR="005714D6">
        <w:t>property</w:t>
      </w:r>
      <w:r w:rsidR="00243319">
        <w:t xml:space="preserve"> (as determined in accordance with Ministry of Finance rules)</w:t>
      </w:r>
      <w:r w:rsidR="00C62027">
        <w:t>.</w:t>
      </w:r>
      <w:r w:rsidR="001E2656">
        <w:t xml:space="preserve"> The real estate sales tax rate depends on the type of property sold</w:t>
      </w:r>
      <w:r w:rsidR="00BB7EBB">
        <w:t>, as follows</w:t>
      </w:r>
      <w:r w:rsidR="001E2656">
        <w:t>:</w:t>
      </w:r>
      <w:r w:rsidR="00C62027">
        <w:rPr>
          <w:rStyle w:val="FootnoteReference"/>
        </w:rPr>
        <w:footnoteReference w:id="73"/>
      </w:r>
    </w:p>
    <w:p w14:paraId="484C9DE4" w14:textId="009D52B1" w:rsidR="00C3298F" w:rsidRDefault="00DD109A">
      <w:pPr>
        <w:pStyle w:val="p"/>
      </w:pPr>
      <w:r>
        <w:rPr>
          <w:noProof/>
        </w:rPr>
        <w:drawing>
          <wp:inline distT="0" distB="0" distL="0" distR="0" wp14:anchorId="62072F8A" wp14:editId="48B7BA71">
            <wp:extent cx="130810" cy="130810"/>
            <wp:effectExtent l="0" t="0" r="0" b="0"/>
            <wp:docPr id="72"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sidR="00C3298F">
        <w:t xml:space="preserve">land </w:t>
      </w:r>
      <w:r w:rsidR="00B9653D">
        <w:t>—</w:t>
      </w:r>
      <w:r w:rsidR="00C3298F">
        <w:t xml:space="preserve"> </w:t>
      </w:r>
      <w:r w:rsidR="009375E0">
        <w:t>1</w:t>
      </w:r>
      <w:r w:rsidR="00AA56C8">
        <w:t xml:space="preserve"> percent or </w:t>
      </w:r>
      <w:r w:rsidR="009375E0">
        <w:t>2</w:t>
      </w:r>
      <w:r w:rsidR="00AA56C8">
        <w:t xml:space="preserve"> percent, depending on </w:t>
      </w:r>
      <w:proofErr w:type="gramStart"/>
      <w:r w:rsidR="00AA56C8">
        <w:t>location;</w:t>
      </w:r>
      <w:proofErr w:type="gramEnd"/>
    </w:p>
    <w:p w14:paraId="519C6FE0" w14:textId="7736A6FA" w:rsidR="001E2656" w:rsidRDefault="00DD109A">
      <w:pPr>
        <w:pStyle w:val="p"/>
      </w:pPr>
      <w:r>
        <w:rPr>
          <w:noProof/>
        </w:rPr>
        <w:drawing>
          <wp:inline distT="0" distB="0" distL="0" distR="0" wp14:anchorId="67D961A2" wp14:editId="198384A8">
            <wp:extent cx="130810" cy="130810"/>
            <wp:effectExtent l="0" t="0" r="0" b="0"/>
            <wp:docPr id="7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sidR="00BB7EBB">
        <w:t xml:space="preserve">residential property </w:t>
      </w:r>
      <w:r w:rsidR="00B9653D">
        <w:t>—</w:t>
      </w:r>
      <w:r w:rsidR="00BB7EBB">
        <w:t xml:space="preserve"> 1 percent;</w:t>
      </w:r>
      <w:r w:rsidR="009375E0">
        <w:t xml:space="preserve"> and</w:t>
      </w:r>
    </w:p>
    <w:p w14:paraId="4A63080D" w14:textId="0B8F397A" w:rsidR="00BB7EBB" w:rsidRDefault="00DD109A">
      <w:pPr>
        <w:pStyle w:val="p"/>
      </w:pPr>
      <w:r>
        <w:rPr>
          <w:noProof/>
        </w:rPr>
        <w:drawing>
          <wp:inline distT="0" distB="0" distL="0" distR="0" wp14:anchorId="54FB2FEF" wp14:editId="436AD8CA">
            <wp:extent cx="130810" cy="130810"/>
            <wp:effectExtent l="0" t="0" r="0" b="0"/>
            <wp:docPr id="74"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sidR="002933C5">
        <w:t xml:space="preserve">nonresidential </w:t>
      </w:r>
      <w:r w:rsidR="00C54C20">
        <w:t>(i.e.,</w:t>
      </w:r>
      <w:r w:rsidR="002933C5">
        <w:t xml:space="preserve"> commercial</w:t>
      </w:r>
      <w:r w:rsidR="00C54C20">
        <w:t>)</w:t>
      </w:r>
      <w:r w:rsidR="002933C5">
        <w:t xml:space="preserve"> property </w:t>
      </w:r>
      <w:r w:rsidR="00B9653D">
        <w:t>—</w:t>
      </w:r>
      <w:r w:rsidR="002933C5">
        <w:t xml:space="preserve"> </w:t>
      </w:r>
      <w:r w:rsidR="00476721">
        <w:t>3 percent</w:t>
      </w:r>
      <w:r w:rsidR="009375E0">
        <w:t>.</w:t>
      </w:r>
    </w:p>
    <w:p w14:paraId="077A84A3" w14:textId="77777777" w:rsidR="00DD109A" w:rsidRDefault="00DD109A" w:rsidP="00DD109A">
      <w:pPr>
        <w:rPr>
          <w:sz w:val="24"/>
          <w:szCs w:val="24"/>
        </w:rPr>
      </w:pPr>
    </w:p>
    <w:p w14:paraId="3110181E" w14:textId="0FDD923C" w:rsidR="00A7791B" w:rsidRDefault="00A7791B" w:rsidP="00A7791B">
      <w:pPr>
        <w:pStyle w:val="p"/>
      </w:pPr>
      <w:r>
        <w:t xml:space="preserve">In the event real estate is </w:t>
      </w:r>
      <w:r w:rsidR="0014063F">
        <w:t>transferred as a gift to</w:t>
      </w:r>
      <w:r w:rsidR="007879BC">
        <w:t xml:space="preserve"> a</w:t>
      </w:r>
      <w:r w:rsidR="0014063F">
        <w:t xml:space="preserve"> spouse, descend</w:t>
      </w:r>
      <w:r w:rsidR="00FE08CA">
        <w:t>a</w:t>
      </w:r>
      <w:r w:rsidR="0014063F">
        <w:t>nt</w:t>
      </w:r>
      <w:r w:rsidR="00FE08CA">
        <w:t>s</w:t>
      </w:r>
      <w:r w:rsidR="0014063F">
        <w:t xml:space="preserve"> </w:t>
      </w:r>
      <w:r w:rsidR="007879BC">
        <w:t>and/or</w:t>
      </w:r>
      <w:r w:rsidR="0014063F">
        <w:t xml:space="preserve"> ascend</w:t>
      </w:r>
      <w:r w:rsidR="00FE08CA">
        <w:t xml:space="preserve">ants, </w:t>
      </w:r>
      <w:r w:rsidR="00A44A78">
        <w:t>a sales tax equivalent to 15 percent of the tax rates listed above applies</w:t>
      </w:r>
      <w:r w:rsidR="00D819F5">
        <w:t xml:space="preserve"> (e.</w:t>
      </w:r>
      <w:r w:rsidR="00822263">
        <w:t>g</w:t>
      </w:r>
      <w:r w:rsidR="00682D17">
        <w:t>.</w:t>
      </w:r>
      <w:r w:rsidR="00D819F5">
        <w:t>, 0.</w:t>
      </w:r>
      <w:r w:rsidR="00F24CA8">
        <w:t>1</w:t>
      </w:r>
      <w:r w:rsidR="00D819F5">
        <w:t>5 percent</w:t>
      </w:r>
      <w:r w:rsidR="00822263">
        <w:t xml:space="preserve"> for residential property)</w:t>
      </w:r>
      <w:r>
        <w:t>.</w:t>
      </w:r>
      <w:r w:rsidR="00855D41">
        <w:t xml:space="preserve"> Other gifts of real estate are subject to the full </w:t>
      </w:r>
      <w:r w:rsidR="00DF2724">
        <w:t xml:space="preserve">tax </w:t>
      </w:r>
      <w:r w:rsidR="00855D41">
        <w:t>rates listed above.</w:t>
      </w:r>
      <w:r w:rsidR="00DF2724">
        <w:rPr>
          <w:rStyle w:val="FootnoteReference"/>
        </w:rPr>
        <w:footnoteReference w:id="74"/>
      </w:r>
    </w:p>
    <w:p w14:paraId="4E58D67E" w14:textId="436ED2F4" w:rsidR="00B17F8C" w:rsidRPr="00DB4D21" w:rsidRDefault="00B17F8C" w:rsidP="00A7791B">
      <w:pPr>
        <w:pStyle w:val="p"/>
      </w:pPr>
      <w:r>
        <w:rPr>
          <w:b/>
          <w:bCs/>
          <w:i/>
          <w:iCs/>
        </w:rPr>
        <w:t>Planning Point:</w:t>
      </w:r>
      <w:r w:rsidR="00DB4D21">
        <w:t xml:space="preserve"> Note that </w:t>
      </w:r>
      <w:r w:rsidR="00616DA8">
        <w:t xml:space="preserve">a </w:t>
      </w:r>
      <w:r w:rsidR="00424D44" w:rsidRPr="00424D44">
        <w:t>buyer</w:t>
      </w:r>
      <w:r w:rsidR="00424D44">
        <w:t xml:space="preserve"> of real estate in Syria</w:t>
      </w:r>
      <w:r w:rsidR="00424D44" w:rsidRPr="00424D44">
        <w:t xml:space="preserve"> must</w:t>
      </w:r>
      <w:r w:rsidR="00AC1282">
        <w:t xml:space="preserve"> pay a</w:t>
      </w:r>
      <w:r w:rsidR="00424D44" w:rsidRPr="00424D44">
        <w:t xml:space="preserve"> deposit </w:t>
      </w:r>
      <w:r w:rsidR="00AC1282">
        <w:t xml:space="preserve">equivalent to </w:t>
      </w:r>
      <w:r w:rsidR="00424D44" w:rsidRPr="00424D44">
        <w:t xml:space="preserve">50 percent of the total amount of the purchase price, in Syrian </w:t>
      </w:r>
      <w:r w:rsidR="00DE680E">
        <w:t>lira</w:t>
      </w:r>
      <w:r w:rsidR="00424D44" w:rsidRPr="00424D44">
        <w:t>, into the seller</w:t>
      </w:r>
      <w:r w:rsidR="00616DA8">
        <w:t>'</w:t>
      </w:r>
      <w:r w:rsidR="00424D44" w:rsidRPr="00424D44">
        <w:t>s bank account.</w:t>
      </w:r>
      <w:r w:rsidR="00316F61">
        <w:rPr>
          <w:rStyle w:val="FootnoteReference"/>
        </w:rPr>
        <w:footnoteReference w:id="75"/>
      </w:r>
    </w:p>
    <w:p w14:paraId="0B4B5FCF" w14:textId="2D77314F" w:rsidR="00040948" w:rsidRDefault="00D84736" w:rsidP="00F32137">
      <w:pPr>
        <w:pStyle w:val="p"/>
      </w:pPr>
      <w:r>
        <w:rPr>
          <w:sz w:val="24"/>
          <w:szCs w:val="24"/>
        </w:rPr>
        <w:br/>
      </w:r>
      <w:r>
        <w:rPr>
          <w:b/>
          <w:bCs/>
        </w:rPr>
        <w:t xml:space="preserve">9.3.2. Real Property Taxes </w:t>
      </w:r>
      <w:r w:rsidR="009D6B69">
        <w:rPr>
          <w:b/>
          <w:bCs/>
        </w:rPr>
        <w:br/>
      </w:r>
      <w:bookmarkStart w:id="1" w:name="_Hlk130982497"/>
      <w:r w:rsidR="001B7006" w:rsidRPr="005D00E7">
        <w:rPr>
          <w:highlight w:val="red"/>
        </w:rPr>
        <w:t>I</w:t>
      </w:r>
      <w:r w:rsidR="00FE2AAC" w:rsidRPr="005D00E7">
        <w:rPr>
          <w:highlight w:val="red"/>
        </w:rPr>
        <w:t xml:space="preserve">ncome from </w:t>
      </w:r>
      <w:r w:rsidR="001B7006" w:rsidRPr="005D00E7">
        <w:rPr>
          <w:highlight w:val="red"/>
        </w:rPr>
        <w:t>p</w:t>
      </w:r>
      <w:r w:rsidR="003414A5" w:rsidRPr="005D00E7">
        <w:rPr>
          <w:highlight w:val="red"/>
        </w:rPr>
        <w:t xml:space="preserve">roperty rented to Syrians and non-Syrians </w:t>
      </w:r>
      <w:r w:rsidR="00212A0A" w:rsidRPr="005D00E7">
        <w:rPr>
          <w:highlight w:val="red"/>
        </w:rPr>
        <w:t>is subject to</w:t>
      </w:r>
      <w:r w:rsidR="003414A5">
        <w:t xml:space="preserve"> </w:t>
      </w:r>
      <w:r w:rsidR="00AA2FF3">
        <w:t xml:space="preserve">income tax rates separate </w:t>
      </w:r>
      <w:r w:rsidR="001F60D6">
        <w:t>from</w:t>
      </w:r>
      <w:r w:rsidR="00AA2FF3">
        <w:t xml:space="preserve"> the main income tax regime</w:t>
      </w:r>
      <w:r w:rsidR="002B4320">
        <w:t xml:space="preserve">, based on the annual rent </w:t>
      </w:r>
      <w:r w:rsidR="00160570">
        <w:t>stated in the lease agreement</w:t>
      </w:r>
      <w:r w:rsidR="005B6A8A">
        <w:t xml:space="preserve"> and the property type:</w:t>
      </w:r>
      <w:r w:rsidR="00FC5888">
        <w:rPr>
          <w:rStyle w:val="FootnoteReference"/>
        </w:rPr>
        <w:footnoteReference w:id="76"/>
      </w:r>
    </w:p>
    <w:tbl>
      <w:tblPr>
        <w:tblStyle w:val="TableGrid"/>
        <w:tblW w:w="0" w:type="auto"/>
        <w:tblLook w:val="04A0" w:firstRow="1" w:lastRow="0" w:firstColumn="1" w:lastColumn="0" w:noHBand="0" w:noVBand="1"/>
      </w:tblPr>
      <w:tblGrid>
        <w:gridCol w:w="9350"/>
      </w:tblGrid>
      <w:tr w:rsidR="004C140A" w14:paraId="7B437325" w14:textId="77777777" w:rsidTr="004C140A">
        <w:tc>
          <w:tcPr>
            <w:tcW w:w="9350" w:type="dxa"/>
          </w:tcPr>
          <w:p w14:paraId="18B2C2A0" w14:textId="5DD74274" w:rsidR="005D00E7" w:rsidRDefault="005D00E7" w:rsidP="005D00E7">
            <w:pPr>
              <w:ind w:left="150"/>
              <w:rPr>
                <w:rFonts w:ascii="Courier New" w:hAnsi="Courier New" w:cs="Courier New"/>
                <w:sz w:val="16"/>
                <w:szCs w:val="16"/>
              </w:rPr>
            </w:pPr>
            <w:r w:rsidRPr="00F610FF">
              <w:rPr>
                <w:rFonts w:ascii="Courier New" w:hAnsi="Courier New" w:cs="Courier New"/>
                <w:highlight w:val="cyan"/>
              </w:rPr>
              <w:t xml:space="preserve">From </w:t>
            </w:r>
            <w:r w:rsidRPr="004C140A">
              <w:rPr>
                <w:rFonts w:ascii="Courier New" w:hAnsi="Courier New" w:cs="Courier New"/>
                <w:highlight w:val="cyan"/>
              </w:rPr>
              <w:t xml:space="preserve">Innodata </w:t>
            </w:r>
            <w:proofErr w:type="spellStart"/>
            <w:proofErr w:type="gramStart"/>
            <w:r w:rsidRPr="004C140A">
              <w:rPr>
                <w:rFonts w:ascii="Courier New" w:hAnsi="Courier New" w:cs="Courier New"/>
                <w:highlight w:val="cyan"/>
              </w:rPr>
              <w:t>XML,</w:t>
            </w:r>
            <w:r w:rsidR="00901B51">
              <w:rPr>
                <w:rFonts w:ascii="Courier New" w:hAnsi="Courier New" w:cs="Courier New"/>
                <w:highlight w:val="cyan"/>
              </w:rPr>
              <w:t>missing</w:t>
            </w:r>
            <w:proofErr w:type="spellEnd"/>
            <w:proofErr w:type="gramEnd"/>
            <w:r w:rsidR="00901B51">
              <w:rPr>
                <w:rFonts w:ascii="Courier New" w:hAnsi="Courier New" w:cs="Courier New"/>
                <w:highlight w:val="cyan"/>
              </w:rPr>
              <w:t xml:space="preserve"> and </w:t>
            </w:r>
            <w:r>
              <w:rPr>
                <w:rFonts w:ascii="Courier New" w:hAnsi="Courier New" w:cs="Courier New"/>
                <w:highlight w:val="cyan"/>
              </w:rPr>
              <w:t>incorrect text</w:t>
            </w:r>
            <w:r w:rsidRPr="004C140A">
              <w:rPr>
                <w:rFonts w:ascii="Courier New" w:hAnsi="Courier New" w:cs="Courier New"/>
                <w:highlight w:val="cyan"/>
              </w:rPr>
              <w:t>:</w:t>
            </w:r>
          </w:p>
          <w:p w14:paraId="6583D87C" w14:textId="77777777" w:rsidR="005D00E7" w:rsidRPr="005D00E7" w:rsidRDefault="005D00E7" w:rsidP="005D00E7">
            <w:pPr>
              <w:pStyle w:val="p"/>
              <w:spacing w:before="0"/>
              <w:rPr>
                <w:rFonts w:ascii="Courier New" w:hAnsi="Courier New" w:cs="Courier New"/>
                <w:sz w:val="16"/>
                <w:szCs w:val="16"/>
              </w:rPr>
            </w:pPr>
            <w:r w:rsidRPr="005D00E7">
              <w:rPr>
                <w:rFonts w:ascii="Courier New" w:hAnsi="Courier New" w:cs="Courier New"/>
                <w:sz w:val="16"/>
                <w:szCs w:val="16"/>
              </w:rPr>
              <w:t>&lt;bna.id bna.id="2"&gt;9.3.</w:t>
            </w:r>
            <w:proofErr w:type="gramStart"/>
            <w:r w:rsidRPr="005D00E7">
              <w:rPr>
                <w:rFonts w:ascii="Courier New" w:hAnsi="Courier New" w:cs="Courier New"/>
                <w:sz w:val="16"/>
                <w:szCs w:val="16"/>
              </w:rPr>
              <w:t>2.&lt;</w:t>
            </w:r>
            <w:proofErr w:type="gramEnd"/>
            <w:r w:rsidRPr="005D00E7">
              <w:rPr>
                <w:rFonts w:ascii="Courier New" w:hAnsi="Courier New" w:cs="Courier New"/>
                <w:sz w:val="16"/>
                <w:szCs w:val="16"/>
              </w:rPr>
              <w:t>/bna.id&gt;</w:t>
            </w:r>
          </w:p>
          <w:p w14:paraId="5711F449" w14:textId="324EFA5D" w:rsidR="005D00E7" w:rsidRPr="005D00E7" w:rsidRDefault="005D00E7" w:rsidP="005D00E7">
            <w:pPr>
              <w:pStyle w:val="p"/>
              <w:spacing w:before="0"/>
              <w:rPr>
                <w:rFonts w:ascii="Courier New" w:hAnsi="Courier New" w:cs="Courier New"/>
                <w:sz w:val="16"/>
                <w:szCs w:val="16"/>
              </w:rPr>
            </w:pPr>
            <w:r w:rsidRPr="005D00E7">
              <w:rPr>
                <w:rFonts w:ascii="Courier New" w:hAnsi="Courier New" w:cs="Courier New"/>
                <w:sz w:val="16"/>
                <w:szCs w:val="16"/>
              </w:rPr>
              <w:t xml:space="preserve">       &lt;name&gt;Real Property</w:t>
            </w:r>
            <w:r>
              <w:rPr>
                <w:rFonts w:ascii="Courier New" w:hAnsi="Courier New" w:cs="Courier New"/>
                <w:sz w:val="16"/>
                <w:szCs w:val="16"/>
              </w:rPr>
              <w:t xml:space="preserve"> </w:t>
            </w:r>
            <w:r w:rsidRPr="005D00E7">
              <w:rPr>
                <w:rFonts w:ascii="Courier New" w:hAnsi="Courier New" w:cs="Courier New"/>
                <w:sz w:val="16"/>
                <w:szCs w:val="16"/>
              </w:rPr>
              <w:t>Taxes&lt;/name&gt;</w:t>
            </w:r>
          </w:p>
          <w:p w14:paraId="66D577A6" w14:textId="77777777" w:rsidR="005D00E7" w:rsidRPr="005D00E7" w:rsidRDefault="005D00E7" w:rsidP="005D00E7">
            <w:pPr>
              <w:pStyle w:val="p"/>
              <w:spacing w:before="0"/>
              <w:rPr>
                <w:rFonts w:ascii="Courier New" w:hAnsi="Courier New" w:cs="Courier New"/>
                <w:sz w:val="16"/>
                <w:szCs w:val="16"/>
              </w:rPr>
            </w:pPr>
            <w:r w:rsidRPr="005D00E7">
              <w:rPr>
                <w:rFonts w:ascii="Courier New" w:hAnsi="Courier New" w:cs="Courier New"/>
                <w:sz w:val="16"/>
                <w:szCs w:val="16"/>
              </w:rPr>
              <w:t xml:space="preserve">       &lt;para </w:t>
            </w:r>
            <w:proofErr w:type="spellStart"/>
            <w:proofErr w:type="gramStart"/>
            <w:r w:rsidRPr="005D00E7">
              <w:rPr>
                <w:rFonts w:ascii="Courier New" w:hAnsi="Courier New" w:cs="Courier New"/>
                <w:sz w:val="16"/>
                <w:szCs w:val="16"/>
              </w:rPr>
              <w:t>include.in.chart</w:t>
            </w:r>
            <w:proofErr w:type="spellEnd"/>
            <w:proofErr w:type="gramEnd"/>
            <w:r w:rsidRPr="005D00E7">
              <w:rPr>
                <w:rFonts w:ascii="Courier New" w:hAnsi="Courier New" w:cs="Courier New"/>
                <w:sz w:val="16"/>
                <w:szCs w:val="16"/>
              </w:rPr>
              <w:t xml:space="preserve">="1"&gt;income tax </w:t>
            </w:r>
            <w:r w:rsidRPr="005D00E7">
              <w:rPr>
                <w:rFonts w:ascii="Courier New" w:hAnsi="Courier New" w:cs="Courier New"/>
                <w:sz w:val="16"/>
                <w:szCs w:val="16"/>
                <w:highlight w:val="red"/>
              </w:rPr>
              <w:t>regime</w:t>
            </w:r>
            <w:r w:rsidRPr="005D00E7">
              <w:rPr>
                <w:rFonts w:ascii="Courier New" w:hAnsi="Courier New" w:cs="Courier New"/>
                <w:sz w:val="16"/>
                <w:szCs w:val="16"/>
              </w:rPr>
              <w:t>, based on the annual rent stated in the lease agreement and the property type:&lt;footnote&gt;&lt;</w:t>
            </w:r>
            <w:proofErr w:type="spellStart"/>
            <w:r w:rsidRPr="005D00E7">
              <w:rPr>
                <w:rFonts w:ascii="Courier New" w:hAnsi="Courier New" w:cs="Courier New"/>
                <w:sz w:val="16"/>
                <w:szCs w:val="16"/>
              </w:rPr>
              <w:t>footnote.marker</w:t>
            </w:r>
            <w:proofErr w:type="spellEnd"/>
            <w:r w:rsidRPr="005D00E7">
              <w:rPr>
                <w:rFonts w:ascii="Courier New" w:hAnsi="Courier New" w:cs="Courier New"/>
                <w:sz w:val="16"/>
                <w:szCs w:val="16"/>
              </w:rPr>
              <w:t>&gt;</w:t>
            </w:r>
          </w:p>
          <w:p w14:paraId="5B4182CA" w14:textId="265C010F" w:rsidR="004C140A" w:rsidRDefault="005D00E7" w:rsidP="005D00E7">
            <w:pPr>
              <w:pStyle w:val="p"/>
              <w:spacing w:before="0"/>
              <w:ind w:firstLine="0"/>
            </w:pPr>
            <w:r w:rsidRPr="005D00E7">
              <w:rPr>
                <w:rFonts w:ascii="Courier New" w:hAnsi="Courier New" w:cs="Courier New"/>
                <w:sz w:val="16"/>
                <w:szCs w:val="16"/>
              </w:rPr>
              <w:t>&lt;superior&gt;9&lt;/superior&gt;&lt;/</w:t>
            </w:r>
            <w:proofErr w:type="spellStart"/>
            <w:proofErr w:type="gramStart"/>
            <w:r w:rsidRPr="005D00E7">
              <w:rPr>
                <w:rFonts w:ascii="Courier New" w:hAnsi="Courier New" w:cs="Courier New"/>
                <w:sz w:val="16"/>
                <w:szCs w:val="16"/>
              </w:rPr>
              <w:t>footnote.marker</w:t>
            </w:r>
            <w:proofErr w:type="spellEnd"/>
            <w:proofErr w:type="gramEnd"/>
            <w:r w:rsidRPr="005D00E7">
              <w:rPr>
                <w:rFonts w:ascii="Courier New" w:hAnsi="Courier New" w:cs="Courier New"/>
                <w:sz w:val="16"/>
                <w:szCs w:val="16"/>
              </w:rPr>
              <w:t>&gt;</w:t>
            </w:r>
          </w:p>
        </w:tc>
      </w:tr>
    </w:tbl>
    <w:p w14:paraId="71FF7B7E" w14:textId="77777777" w:rsidR="004C140A" w:rsidRDefault="004C140A" w:rsidP="00F32137">
      <w:pPr>
        <w:pStyle w:val="p"/>
      </w:pPr>
    </w:p>
    <w:p w14:paraId="6221A48E" w14:textId="35239C54" w:rsidR="005B6A8A" w:rsidRDefault="005C3F1A" w:rsidP="00F32137">
      <w:pPr>
        <w:pStyle w:val="p"/>
      </w:pPr>
      <w:r>
        <w:rPr>
          <w:noProof/>
        </w:rPr>
        <w:drawing>
          <wp:inline distT="0" distB="0" distL="0" distR="0" wp14:anchorId="0E8C588E" wp14:editId="392DFB61">
            <wp:extent cx="130810" cy="130810"/>
            <wp:effectExtent l="0" t="0" r="0" b="0"/>
            <wp:docPr id="1"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sidR="005B6A8A">
        <w:t xml:space="preserve">for </w:t>
      </w:r>
      <w:r w:rsidR="00973223">
        <w:t xml:space="preserve">residential </w:t>
      </w:r>
      <w:r w:rsidR="00493D5B">
        <w:t xml:space="preserve">property </w:t>
      </w:r>
      <w:r w:rsidR="00666F4B">
        <w:t>—</w:t>
      </w:r>
      <w:r w:rsidR="00493D5B">
        <w:t xml:space="preserve"> 5 percent</w:t>
      </w:r>
      <w:r w:rsidR="0057035D">
        <w:t xml:space="preserve">, provided the </w:t>
      </w:r>
      <w:r w:rsidR="00CC4E4F">
        <w:t>income tax</w:t>
      </w:r>
      <w:r w:rsidR="0057035D">
        <w:t xml:space="preserve"> amount is not less than 0.03 percent of </w:t>
      </w:r>
      <w:r w:rsidR="00047DF4">
        <w:t xml:space="preserve">100 percent </w:t>
      </w:r>
      <w:r w:rsidR="0057035D">
        <w:t xml:space="preserve">the </w:t>
      </w:r>
      <w:r w:rsidR="00047DF4">
        <w:t>property</w:t>
      </w:r>
      <w:r w:rsidR="00A97456">
        <w:t>'</w:t>
      </w:r>
      <w:r w:rsidR="00047DF4">
        <w:t xml:space="preserve">s actual market value if unfurnished, or 125 percent of the </w:t>
      </w:r>
      <w:r w:rsidR="00EB373F">
        <w:t>actual market value if furnished; and</w:t>
      </w:r>
    </w:p>
    <w:p w14:paraId="3628225D" w14:textId="6AB7EC5A" w:rsidR="00EB373F" w:rsidRDefault="005C3F1A" w:rsidP="00F32137">
      <w:pPr>
        <w:pStyle w:val="p"/>
      </w:pPr>
      <w:r>
        <w:rPr>
          <w:noProof/>
        </w:rPr>
        <w:drawing>
          <wp:inline distT="0" distB="0" distL="0" distR="0" wp14:anchorId="49AF5371" wp14:editId="6620FAE7">
            <wp:extent cx="130810" cy="130810"/>
            <wp:effectExtent l="0" t="0" r="0" b="0"/>
            <wp:docPr id="24"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t xml:space="preserve"> </w:t>
      </w:r>
      <w:r w:rsidR="00EB373F">
        <w:t xml:space="preserve">for nonresident (i.e., commercial) property </w:t>
      </w:r>
      <w:r w:rsidR="00666F4B">
        <w:t>—</w:t>
      </w:r>
      <w:r w:rsidR="00EB373F">
        <w:t xml:space="preserve"> 10 percent</w:t>
      </w:r>
      <w:r w:rsidR="00F1321A">
        <w:t xml:space="preserve">, provided the </w:t>
      </w:r>
      <w:r w:rsidR="00CC4E4F">
        <w:t>income tax</w:t>
      </w:r>
      <w:r w:rsidR="00F1321A">
        <w:t xml:space="preserve"> amount is not less than 0.06 percent of the </w:t>
      </w:r>
      <w:r w:rsidR="00A97456">
        <w:t>property's actual market value.</w:t>
      </w:r>
    </w:p>
    <w:p w14:paraId="091B4197" w14:textId="77777777" w:rsidR="005C3F1A" w:rsidRDefault="005C3F1A" w:rsidP="005C3F1A">
      <w:pPr>
        <w:rPr>
          <w:sz w:val="24"/>
          <w:szCs w:val="24"/>
        </w:rPr>
      </w:pPr>
    </w:p>
    <w:p w14:paraId="1BFBF18F" w14:textId="72D0926E" w:rsidR="005C3F1A" w:rsidRDefault="005C3F1A" w:rsidP="00F32137">
      <w:pPr>
        <w:pStyle w:val="p"/>
      </w:pPr>
      <w:r>
        <w:t xml:space="preserve">For these purposes, actual market value </w:t>
      </w:r>
      <w:r w:rsidR="008A0FD1">
        <w:t xml:space="preserve">is </w:t>
      </w:r>
      <w:r>
        <w:t>determined in accordance with Ministry of Finance rules.</w:t>
      </w:r>
    </w:p>
    <w:bookmarkEnd w:id="1"/>
    <w:p w14:paraId="5C24B000" w14:textId="77777777" w:rsidR="00D84736" w:rsidRDefault="00D84736">
      <w:pPr>
        <w:pStyle w:val="p"/>
      </w:pPr>
      <w:r>
        <w:rPr>
          <w:sz w:val="24"/>
          <w:szCs w:val="24"/>
        </w:rPr>
        <w:br/>
      </w:r>
      <w:r>
        <w:rPr>
          <w:b/>
          <w:bCs/>
        </w:rPr>
        <w:t xml:space="preserve">9.3.3. Taxes on Movable Property </w:t>
      </w:r>
      <w:r>
        <w:rPr>
          <w:b/>
          <w:bCs/>
        </w:rPr>
        <w:br/>
      </w:r>
      <w:r>
        <w:t>Syria does not impose any taxes on movable property.</w:t>
      </w:r>
    </w:p>
    <w:p w14:paraId="0680C75F" w14:textId="3A11CBF5" w:rsidR="00D84736" w:rsidRDefault="00D84736" w:rsidP="004E5868">
      <w:pPr>
        <w:pStyle w:val="p"/>
        <w:ind w:firstLine="144"/>
      </w:pPr>
      <w:r>
        <w:rPr>
          <w:sz w:val="24"/>
          <w:szCs w:val="24"/>
        </w:rPr>
        <w:br/>
      </w:r>
      <w:r>
        <w:rPr>
          <w:b/>
          <w:bCs/>
        </w:rPr>
        <w:t xml:space="preserve">9.3.4. Fixed Asset Taxes </w:t>
      </w:r>
      <w:r>
        <w:rPr>
          <w:b/>
          <w:bCs/>
        </w:rPr>
        <w:br/>
      </w:r>
      <w:r>
        <w:t>In Syria, there are no fixed asset taxes</w:t>
      </w:r>
      <w:r w:rsidR="00F629AD">
        <w:t xml:space="preserve">, but registration fees </w:t>
      </w:r>
      <w:r w:rsidR="0014281C">
        <w:t>may apply</w:t>
      </w:r>
      <w:r w:rsidR="00F629AD">
        <w:t xml:space="preserve">. </w:t>
      </w:r>
    </w:p>
    <w:tbl>
      <w:tblPr>
        <w:tblStyle w:val="TableGrid"/>
        <w:tblW w:w="0" w:type="auto"/>
        <w:tblLook w:val="04A0" w:firstRow="1" w:lastRow="0" w:firstColumn="1" w:lastColumn="0" w:noHBand="0" w:noVBand="1"/>
      </w:tblPr>
      <w:tblGrid>
        <w:gridCol w:w="9350"/>
      </w:tblGrid>
      <w:tr w:rsidR="005D00E7" w14:paraId="03654680" w14:textId="77777777" w:rsidTr="00B252BC">
        <w:tc>
          <w:tcPr>
            <w:tcW w:w="9350" w:type="dxa"/>
          </w:tcPr>
          <w:p w14:paraId="40CADAD3" w14:textId="77777777" w:rsidR="005D00E7" w:rsidRDefault="005D00E7" w:rsidP="00B252BC">
            <w:pPr>
              <w:ind w:left="150"/>
              <w:rPr>
                <w:rFonts w:ascii="Courier New" w:hAnsi="Courier New" w:cs="Courier New"/>
                <w:sz w:val="16"/>
                <w:szCs w:val="16"/>
              </w:rPr>
            </w:pPr>
            <w:r w:rsidRPr="00F610FF">
              <w:rPr>
                <w:rFonts w:ascii="Courier New" w:hAnsi="Courier New" w:cs="Courier New"/>
                <w:highlight w:val="cyan"/>
              </w:rPr>
              <w:lastRenderedPageBreak/>
              <w:t xml:space="preserve">From </w:t>
            </w:r>
            <w:r w:rsidRPr="004C140A">
              <w:rPr>
                <w:rFonts w:ascii="Courier New" w:hAnsi="Courier New" w:cs="Courier New"/>
                <w:highlight w:val="cyan"/>
              </w:rPr>
              <w:t xml:space="preserve">Innodata </w:t>
            </w:r>
            <w:proofErr w:type="spellStart"/>
            <w:proofErr w:type="gramStart"/>
            <w:r w:rsidRPr="004C140A">
              <w:rPr>
                <w:rFonts w:ascii="Courier New" w:hAnsi="Courier New" w:cs="Courier New"/>
                <w:highlight w:val="cyan"/>
              </w:rPr>
              <w:t>XML,</w:t>
            </w:r>
            <w:r>
              <w:rPr>
                <w:rFonts w:ascii="Courier New" w:hAnsi="Courier New" w:cs="Courier New"/>
                <w:highlight w:val="cyan"/>
              </w:rPr>
              <w:t>incorrect</w:t>
            </w:r>
            <w:proofErr w:type="spellEnd"/>
            <w:proofErr w:type="gramEnd"/>
            <w:r>
              <w:rPr>
                <w:rFonts w:ascii="Courier New" w:hAnsi="Courier New" w:cs="Courier New"/>
                <w:highlight w:val="cyan"/>
              </w:rPr>
              <w:t xml:space="preserve"> text</w:t>
            </w:r>
            <w:r w:rsidRPr="004C140A">
              <w:rPr>
                <w:rFonts w:ascii="Courier New" w:hAnsi="Courier New" w:cs="Courier New"/>
                <w:highlight w:val="cyan"/>
              </w:rPr>
              <w:t>:</w:t>
            </w:r>
          </w:p>
          <w:p w14:paraId="6FCF6EBD" w14:textId="77777777" w:rsidR="005D00E7" w:rsidRPr="005D00E7" w:rsidRDefault="005D00E7" w:rsidP="005D00E7">
            <w:pPr>
              <w:pStyle w:val="p"/>
              <w:spacing w:before="0"/>
              <w:rPr>
                <w:rFonts w:ascii="Courier New" w:hAnsi="Courier New" w:cs="Courier New"/>
                <w:sz w:val="16"/>
                <w:szCs w:val="16"/>
              </w:rPr>
            </w:pPr>
            <w:r w:rsidRPr="005D00E7">
              <w:rPr>
                <w:rFonts w:ascii="Courier New" w:hAnsi="Courier New" w:cs="Courier New"/>
                <w:sz w:val="16"/>
                <w:szCs w:val="16"/>
              </w:rPr>
              <w:t>&lt;bna.id bna.id="4"&gt;9.3.</w:t>
            </w:r>
            <w:proofErr w:type="gramStart"/>
            <w:r w:rsidRPr="005D00E7">
              <w:rPr>
                <w:rFonts w:ascii="Courier New" w:hAnsi="Courier New" w:cs="Courier New"/>
                <w:sz w:val="16"/>
                <w:szCs w:val="16"/>
              </w:rPr>
              <w:t>4.&lt;</w:t>
            </w:r>
            <w:proofErr w:type="gramEnd"/>
            <w:r w:rsidRPr="005D00E7">
              <w:rPr>
                <w:rFonts w:ascii="Courier New" w:hAnsi="Courier New" w:cs="Courier New"/>
                <w:sz w:val="16"/>
                <w:szCs w:val="16"/>
              </w:rPr>
              <w:t>/bna.id&gt;</w:t>
            </w:r>
          </w:p>
          <w:p w14:paraId="189BB8A0" w14:textId="150D656E" w:rsidR="005D00E7" w:rsidRPr="005D00E7" w:rsidRDefault="005D00E7" w:rsidP="005D00E7">
            <w:pPr>
              <w:pStyle w:val="p"/>
              <w:spacing w:before="0"/>
              <w:rPr>
                <w:rFonts w:ascii="Courier New" w:hAnsi="Courier New" w:cs="Courier New"/>
                <w:sz w:val="16"/>
                <w:szCs w:val="16"/>
              </w:rPr>
            </w:pPr>
            <w:r w:rsidRPr="005D00E7">
              <w:rPr>
                <w:rFonts w:ascii="Courier New" w:hAnsi="Courier New" w:cs="Courier New"/>
                <w:sz w:val="16"/>
                <w:szCs w:val="16"/>
              </w:rPr>
              <w:t xml:space="preserve">       &lt;name&gt;Fixed Asset</w:t>
            </w:r>
            <w:r>
              <w:rPr>
                <w:rFonts w:ascii="Courier New" w:hAnsi="Courier New" w:cs="Courier New"/>
                <w:sz w:val="16"/>
                <w:szCs w:val="16"/>
              </w:rPr>
              <w:t xml:space="preserve"> </w:t>
            </w:r>
            <w:r w:rsidRPr="005D00E7">
              <w:rPr>
                <w:rFonts w:ascii="Courier New" w:hAnsi="Courier New" w:cs="Courier New"/>
                <w:sz w:val="16"/>
                <w:szCs w:val="16"/>
              </w:rPr>
              <w:t>Taxes&lt;/name&gt;</w:t>
            </w:r>
          </w:p>
          <w:p w14:paraId="1D272FE6" w14:textId="29068ED2" w:rsidR="005D00E7" w:rsidRDefault="005D00E7" w:rsidP="005D00E7">
            <w:pPr>
              <w:pStyle w:val="p"/>
              <w:spacing w:before="0"/>
              <w:ind w:firstLine="0"/>
            </w:pPr>
            <w:r w:rsidRPr="005D00E7">
              <w:rPr>
                <w:rFonts w:ascii="Courier New" w:hAnsi="Courier New" w:cs="Courier New"/>
                <w:sz w:val="16"/>
                <w:szCs w:val="16"/>
              </w:rPr>
              <w:t xml:space="preserve">       &lt;para </w:t>
            </w:r>
            <w:proofErr w:type="spellStart"/>
            <w:proofErr w:type="gramStart"/>
            <w:r w:rsidRPr="005D00E7">
              <w:rPr>
                <w:rFonts w:ascii="Courier New" w:hAnsi="Courier New" w:cs="Courier New"/>
                <w:sz w:val="16"/>
                <w:szCs w:val="16"/>
              </w:rPr>
              <w:t>include.in.chart</w:t>
            </w:r>
            <w:proofErr w:type="spellEnd"/>
            <w:proofErr w:type="gramEnd"/>
            <w:r w:rsidRPr="005D00E7">
              <w:rPr>
                <w:rFonts w:ascii="Courier New" w:hAnsi="Courier New" w:cs="Courier New"/>
                <w:sz w:val="16"/>
                <w:szCs w:val="16"/>
              </w:rPr>
              <w:t>="1"&gt;</w:t>
            </w:r>
            <w:r w:rsidRPr="005D00E7">
              <w:rPr>
                <w:rFonts w:ascii="Courier New" w:hAnsi="Courier New" w:cs="Courier New"/>
                <w:sz w:val="16"/>
                <w:szCs w:val="16"/>
                <w:highlight w:val="red"/>
              </w:rPr>
              <w:t>Syria does not impose any taxes on movable property.&lt;</w:t>
            </w:r>
            <w:r w:rsidRPr="005D00E7">
              <w:rPr>
                <w:rFonts w:ascii="Courier New" w:hAnsi="Courier New" w:cs="Courier New"/>
                <w:sz w:val="16"/>
                <w:szCs w:val="16"/>
              </w:rPr>
              <w:t>/para&gt;</w:t>
            </w:r>
          </w:p>
        </w:tc>
      </w:tr>
    </w:tbl>
    <w:p w14:paraId="2662B2A8" w14:textId="185FB00D" w:rsidR="00D84736" w:rsidRDefault="00D84736" w:rsidP="00F32137">
      <w:pPr>
        <w:pStyle w:val="p"/>
        <w:tabs>
          <w:tab w:val="left" w:pos="5970"/>
        </w:tabs>
        <w:rPr>
          <w:lang w:eastAsia="en-US"/>
        </w:rPr>
      </w:pPr>
      <w:r>
        <w:rPr>
          <w:sz w:val="24"/>
          <w:szCs w:val="24"/>
        </w:rPr>
        <w:br/>
      </w:r>
      <w:r>
        <w:rPr>
          <w:b/>
          <w:bCs/>
        </w:rPr>
        <w:t xml:space="preserve">9.4. Miscellaneous Taxes </w:t>
      </w:r>
      <w:r>
        <w:rPr>
          <w:b/>
          <w:bCs/>
        </w:rPr>
        <w:br/>
      </w:r>
      <w:r w:rsidR="009A63DD">
        <w:rPr>
          <w:lang w:eastAsia="en-US"/>
        </w:rPr>
        <w:t>In Syria, miscellaneous taxes include the following:</w:t>
      </w:r>
    </w:p>
    <w:p w14:paraId="336C94B3" w14:textId="52587E43" w:rsidR="00D84736" w:rsidRDefault="00D56218">
      <w:pPr>
        <w:pStyle w:val="p"/>
      </w:pPr>
      <w:r>
        <w:rPr>
          <w:noProof/>
        </w:rPr>
        <w:drawing>
          <wp:inline distT="0" distB="0" distL="0" distR="0" wp14:anchorId="2BF9E860" wp14:editId="1A47DF91">
            <wp:extent cx="130810" cy="130810"/>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Inheritance and Gift Tax is regulated by Legislative Decree 56/2004.</w:t>
      </w:r>
    </w:p>
    <w:p w14:paraId="67915D4F" w14:textId="0CC1FC64" w:rsidR="00D84736" w:rsidRDefault="00D56218">
      <w:pPr>
        <w:pStyle w:val="p"/>
      </w:pPr>
      <w:r>
        <w:rPr>
          <w:noProof/>
        </w:rPr>
        <w:drawing>
          <wp:inline distT="0" distB="0" distL="0" distR="0" wp14:anchorId="2D5473EE" wp14:editId="503B448F">
            <wp:extent cx="130810" cy="130810"/>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Customs duties and fees are regulated by the Ministry of Finance. The Ministry issues the list of custom fees and taxes for each specific item.</w:t>
      </w:r>
    </w:p>
    <w:p w14:paraId="4EB58813" w14:textId="49756B37" w:rsidR="00D84736" w:rsidRDefault="00D56218">
      <w:pPr>
        <w:pStyle w:val="p"/>
      </w:pPr>
      <w:r>
        <w:rPr>
          <w:noProof/>
        </w:rPr>
        <w:drawing>
          <wp:inline distT="0" distB="0" distL="0" distR="0" wp14:anchorId="1BF04F20" wp14:editId="057DE2E0">
            <wp:extent cx="130810" cy="130810"/>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A local administration fee levied at a rate of 10 percent.</w:t>
      </w:r>
      <w:r w:rsidR="00D84736">
        <w:rPr>
          <w:vertAlign w:val="superscript"/>
        </w:rPr>
        <w:t>7</w:t>
      </w:r>
      <w:r w:rsidR="00D84736" w:rsidRPr="00CE3533">
        <w:rPr>
          <w:rStyle w:val="FootnoteReference"/>
        </w:rPr>
        <w:footnoteReference w:customMarkFollows="1" w:id="77"/>
        <w:t>7</w:t>
      </w:r>
    </w:p>
    <w:p w14:paraId="25321BB8" w14:textId="783AEB4B" w:rsidR="00D84736" w:rsidRDefault="00D56218">
      <w:pPr>
        <w:pStyle w:val="p"/>
      </w:pPr>
      <w:r>
        <w:rPr>
          <w:noProof/>
        </w:rPr>
        <w:drawing>
          <wp:inline distT="0" distB="0" distL="0" distR="0" wp14:anchorId="6D18340C" wp14:editId="17461FB4">
            <wp:extent cx="130810" cy="13081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D84736">
        <w:t xml:space="preserve"> A reconstruction fee is levied at a rate of 10 percent.</w:t>
      </w:r>
      <w:r w:rsidR="00D84736">
        <w:rPr>
          <w:vertAlign w:val="superscript"/>
        </w:rPr>
        <w:t>7</w:t>
      </w:r>
      <w:r w:rsidR="00D84736" w:rsidRPr="00CE3533">
        <w:rPr>
          <w:rStyle w:val="FootnoteReference"/>
        </w:rPr>
        <w:footnoteReference w:customMarkFollows="1" w:id="78"/>
        <w:t>8</w:t>
      </w:r>
    </w:p>
    <w:p w14:paraId="0E5E1B04" w14:textId="77777777" w:rsidR="00D84736" w:rsidRDefault="00D84736">
      <w:pPr>
        <w:rPr>
          <w:sz w:val="24"/>
          <w:szCs w:val="24"/>
        </w:rPr>
      </w:pPr>
    </w:p>
    <w:p w14:paraId="4B3F32A2" w14:textId="590F48DE" w:rsidR="00D84736" w:rsidRDefault="00D84736">
      <w:pPr>
        <w:pStyle w:val="p"/>
      </w:pPr>
      <w:r>
        <w:rPr>
          <w:sz w:val="24"/>
          <w:szCs w:val="24"/>
        </w:rPr>
        <w:br/>
      </w:r>
      <w:r>
        <w:rPr>
          <w:b/>
          <w:bCs/>
        </w:rPr>
        <w:t xml:space="preserve">10. Special Industries </w:t>
      </w:r>
      <w:r>
        <w:rPr>
          <w:b/>
          <w:bCs/>
        </w:rPr>
        <w:br/>
      </w:r>
      <w:r>
        <w:rPr>
          <w:b/>
          <w:bCs/>
        </w:rPr>
        <w:br/>
        <w:t xml:space="preserve">10.1. Oil, Gas and Mineral Extraction </w:t>
      </w:r>
      <w:r>
        <w:rPr>
          <w:b/>
          <w:bCs/>
        </w:rPr>
        <w:br/>
      </w:r>
      <w:r>
        <w:t xml:space="preserve">Income from Syrian resident companies operating in the oil, gas, and mineral extraction fields is generally taxed in the same way as income generated by other companies in Syria (see </w:t>
      </w:r>
      <w:r w:rsidR="00AD64B5" w:rsidRPr="00AD64B5">
        <w:rPr>
          <w:highlight w:val="yellow"/>
        </w:rPr>
        <w:t>[</w:t>
      </w:r>
      <w:proofErr w:type="gramStart"/>
      <w:r w:rsidR="00AD64B5" w:rsidRPr="00AD64B5">
        <w:rPr>
          <w:highlight w:val="yellow"/>
        </w:rPr>
        <w:t>2.1]</w:t>
      </w:r>
      <w:r w:rsidR="00AD64B5" w:rsidRPr="00F610FF">
        <w:rPr>
          <w:highlight w:val="yellow"/>
        </w:rPr>
        <w:t>Section</w:t>
      </w:r>
      <w:proofErr w:type="gramEnd"/>
      <w:r w:rsidR="00AD64B5" w:rsidRPr="00F610FF">
        <w:rPr>
          <w:highlight w:val="yellow"/>
        </w:rPr>
        <w:t xml:space="preserve"> 2.1</w:t>
      </w:r>
      <w:r w:rsidR="00AD64B5" w:rsidRPr="00AD64B5">
        <w:rPr>
          <w:highlight w:val="yellow"/>
        </w:rPr>
        <w:t>[end]</w:t>
      </w:r>
      <w:r>
        <w:t xml:space="preserve"> and </w:t>
      </w:r>
      <w:r w:rsidR="00AD64B5" w:rsidRPr="00AD64B5">
        <w:rPr>
          <w:highlight w:val="yellow"/>
        </w:rPr>
        <w:t>[3.1]</w:t>
      </w:r>
      <w:r w:rsidR="00AD64B5" w:rsidRPr="00F610FF">
        <w:rPr>
          <w:highlight w:val="yellow"/>
        </w:rPr>
        <w:t>Section 3.1</w:t>
      </w:r>
      <w:r w:rsidR="00AD64B5" w:rsidRPr="00AD64B5">
        <w:rPr>
          <w:highlight w:val="yellow"/>
        </w:rPr>
        <w:t>[end]</w:t>
      </w:r>
      <w:r>
        <w:t>).</w:t>
      </w:r>
      <w:r w:rsidR="00316321">
        <w:t xml:space="preserve"> </w:t>
      </w:r>
      <w:r w:rsidR="000949D6" w:rsidRPr="006D08FF">
        <w:rPr>
          <w:highlight w:val="yellow"/>
        </w:rPr>
        <w:t>N</w:t>
      </w:r>
      <w:r w:rsidR="00316321" w:rsidRPr="006D08FF">
        <w:rPr>
          <w:highlight w:val="yellow"/>
        </w:rPr>
        <w:t xml:space="preserve">et profits </w:t>
      </w:r>
      <w:r w:rsidR="00D53CE5" w:rsidRPr="006D08FF">
        <w:rPr>
          <w:highlight w:val="yellow"/>
        </w:rPr>
        <w:t xml:space="preserve">of oil and </w:t>
      </w:r>
      <w:r w:rsidR="002E34FC" w:rsidRPr="006D08FF">
        <w:rPr>
          <w:highlight w:val="yellow"/>
        </w:rPr>
        <w:t>gas investment companies are subject to an income tax rate of 35 percent.</w:t>
      </w:r>
      <w:r w:rsidR="002E34FC">
        <w:rPr>
          <w:rStyle w:val="FootnoteReference"/>
        </w:rPr>
        <w:footnoteReference w:id="79"/>
      </w:r>
    </w:p>
    <w:p w14:paraId="03E9859E" w14:textId="02A99B67" w:rsidR="00D84736" w:rsidRDefault="00D84736">
      <w:pPr>
        <w:pStyle w:val="p"/>
      </w:pPr>
      <w:r>
        <w:t>Nonresident companies operating in the oil and gas industry are subject to a withholding tax of 7 percent on income from services rendered, in addition to a 3 percent payroll withholding tax (tax on salaries and wages). Both withholding taxes are final.</w:t>
      </w:r>
      <w:r>
        <w:rPr>
          <w:vertAlign w:val="superscript"/>
        </w:rPr>
        <w:t>8</w:t>
      </w:r>
      <w:r w:rsidRPr="00CE3533">
        <w:rPr>
          <w:rStyle w:val="FootnoteReference"/>
        </w:rPr>
        <w:footnoteReference w:customMarkFollows="1" w:id="80"/>
        <w:t>0</w:t>
      </w:r>
    </w:p>
    <w:p w14:paraId="30B7A4B0" w14:textId="3A6B6176" w:rsidR="00D84736" w:rsidRDefault="00D84736">
      <w:pPr>
        <w:pStyle w:val="p"/>
      </w:pPr>
      <w:r>
        <w:rPr>
          <w:sz w:val="24"/>
          <w:szCs w:val="24"/>
        </w:rPr>
        <w:br/>
      </w:r>
      <w:r>
        <w:rPr>
          <w:b/>
          <w:bCs/>
        </w:rPr>
        <w:t xml:space="preserve">10.2. Banking and Finance </w:t>
      </w:r>
      <w:r>
        <w:rPr>
          <w:b/>
          <w:bCs/>
        </w:rPr>
        <w:br/>
      </w:r>
      <w:r w:rsidR="00B07E03">
        <w:t xml:space="preserve">The taxable income of </w:t>
      </w:r>
      <w:r>
        <w:t>companies operating in the banking</w:t>
      </w:r>
      <w:r w:rsidR="00667182">
        <w:t>,</w:t>
      </w:r>
      <w:r>
        <w:t xml:space="preserve"> insurance </w:t>
      </w:r>
      <w:r w:rsidR="00667182">
        <w:t xml:space="preserve">and financial brokerage </w:t>
      </w:r>
      <w:r>
        <w:t xml:space="preserve">sectors is generally </w:t>
      </w:r>
      <w:r w:rsidR="00B07E03">
        <w:t xml:space="preserve">determined </w:t>
      </w:r>
      <w:r>
        <w:t xml:space="preserve">in the same way as income generated by other companies in Syria (see </w:t>
      </w:r>
      <w:r w:rsidR="00AD64B5" w:rsidRPr="00AD64B5">
        <w:rPr>
          <w:highlight w:val="yellow"/>
        </w:rPr>
        <w:t>[</w:t>
      </w:r>
      <w:proofErr w:type="gramStart"/>
      <w:r w:rsidR="00AD64B5" w:rsidRPr="00AD64B5">
        <w:rPr>
          <w:highlight w:val="yellow"/>
        </w:rPr>
        <w:t>2.1]</w:t>
      </w:r>
      <w:r w:rsidR="00AD64B5" w:rsidRPr="00F610FF">
        <w:rPr>
          <w:highlight w:val="yellow"/>
        </w:rPr>
        <w:t>Section</w:t>
      </w:r>
      <w:proofErr w:type="gramEnd"/>
      <w:r w:rsidR="00AD64B5" w:rsidRPr="00F610FF">
        <w:rPr>
          <w:highlight w:val="yellow"/>
        </w:rPr>
        <w:t xml:space="preserve"> 2.1</w:t>
      </w:r>
      <w:r w:rsidR="00AD64B5" w:rsidRPr="00AD64B5">
        <w:rPr>
          <w:highlight w:val="yellow"/>
        </w:rPr>
        <w:t>[end]</w:t>
      </w:r>
      <w:r>
        <w:t>).</w:t>
      </w:r>
    </w:p>
    <w:p w14:paraId="7A18C8FD" w14:textId="4486CC86" w:rsidR="00D84736" w:rsidRDefault="00862BE5">
      <w:pPr>
        <w:pStyle w:val="p"/>
      </w:pPr>
      <w:r w:rsidRPr="0016517E">
        <w:rPr>
          <w:highlight w:val="yellow"/>
        </w:rPr>
        <w:t>The net profits of operating banks, insurance and reinsurance companies, and financial brokerage companies are subject to an income tax rate of 25 percent</w:t>
      </w:r>
      <w:r>
        <w:t>.</w:t>
      </w:r>
      <w:r w:rsidR="0020334D">
        <w:rPr>
          <w:rStyle w:val="FootnoteReference"/>
        </w:rPr>
        <w:footnoteReference w:id="81"/>
      </w:r>
      <w:r>
        <w:t xml:space="preserve"> </w:t>
      </w:r>
      <w:r w:rsidR="00662321">
        <w:t>T</w:t>
      </w:r>
      <w:r w:rsidR="00D84736">
        <w:t>he local administration fee</w:t>
      </w:r>
      <w:r w:rsidR="00662321">
        <w:t xml:space="preserve"> also applies</w:t>
      </w:r>
      <w:r w:rsidR="00D84736">
        <w:t xml:space="preserve"> (</w:t>
      </w:r>
      <w:r w:rsidR="00662321">
        <w:t xml:space="preserve">see </w:t>
      </w:r>
      <w:r w:rsidR="00AD64B5" w:rsidRPr="00AD64B5">
        <w:rPr>
          <w:highlight w:val="yellow"/>
        </w:rPr>
        <w:t>[</w:t>
      </w:r>
      <w:proofErr w:type="gramStart"/>
      <w:r w:rsidR="00AD64B5" w:rsidRPr="00AD64B5">
        <w:rPr>
          <w:highlight w:val="yellow"/>
        </w:rPr>
        <w:t>9.4]</w:t>
      </w:r>
      <w:r w:rsidR="00AD64B5" w:rsidRPr="00F610FF">
        <w:rPr>
          <w:highlight w:val="yellow"/>
        </w:rPr>
        <w:t>Section</w:t>
      </w:r>
      <w:proofErr w:type="gramEnd"/>
      <w:r w:rsidR="00AD64B5" w:rsidRPr="00F610FF">
        <w:rPr>
          <w:highlight w:val="yellow"/>
        </w:rPr>
        <w:t xml:space="preserve"> 9.4</w:t>
      </w:r>
      <w:r w:rsidR="00AD64B5" w:rsidRPr="00AD64B5">
        <w:rPr>
          <w:highlight w:val="yellow"/>
        </w:rPr>
        <w:t>[end]</w:t>
      </w:r>
      <w:r w:rsidR="00D84736">
        <w:t xml:space="preserve">). </w:t>
      </w:r>
      <w:r w:rsidR="00283FE8">
        <w:t>However, private banking legislation provides for a</w:t>
      </w:r>
      <w:r w:rsidR="00BB3021">
        <w:t xml:space="preserve"> reduced</w:t>
      </w:r>
      <w:r w:rsidR="00283FE8">
        <w:t xml:space="preserve"> </w:t>
      </w:r>
      <w:r w:rsidR="00D84736">
        <w:t xml:space="preserve">rate </w:t>
      </w:r>
      <w:r w:rsidR="00BB3021">
        <w:t xml:space="preserve">of </w:t>
      </w:r>
      <w:r w:rsidR="00D84736">
        <w:t xml:space="preserve">15 percent, and </w:t>
      </w:r>
      <w:r w:rsidR="00BB3021">
        <w:t xml:space="preserve">exemption from </w:t>
      </w:r>
      <w:r w:rsidR="00D84736">
        <w:t>the local administration fee, if more than 50 percent of the shares in the company are publicly owned.</w:t>
      </w:r>
      <w:r w:rsidR="00D84736">
        <w:rPr>
          <w:vertAlign w:val="superscript"/>
        </w:rPr>
        <w:t>8</w:t>
      </w:r>
      <w:r w:rsidR="00D84736" w:rsidRPr="00CE3533">
        <w:rPr>
          <w:rStyle w:val="FootnoteReference"/>
        </w:rPr>
        <w:footnoteReference w:customMarkFollows="1" w:id="82"/>
        <w:t>2</w:t>
      </w:r>
    </w:p>
    <w:p w14:paraId="6C4995A1" w14:textId="6023621C" w:rsidR="00D84736" w:rsidRDefault="00D84736">
      <w:pPr>
        <w:pStyle w:val="p"/>
      </w:pPr>
      <w:r>
        <w:rPr>
          <w:sz w:val="24"/>
          <w:szCs w:val="24"/>
        </w:rPr>
        <w:br/>
      </w:r>
      <w:r>
        <w:rPr>
          <w:b/>
          <w:bCs/>
        </w:rPr>
        <w:t>11. About the Author</w:t>
      </w:r>
      <w:r w:rsidRPr="00C77E3E">
        <w:rPr>
          <w:b/>
          <w:bCs/>
          <w:highlight w:val="red"/>
        </w:rPr>
        <w:t>s</w:t>
      </w:r>
      <w:r>
        <w:rPr>
          <w:b/>
          <w:bCs/>
        </w:rPr>
        <w:t xml:space="preserve"> </w:t>
      </w:r>
      <w:r>
        <w:rPr>
          <w:b/>
          <w:bCs/>
        </w:rPr>
        <w:br/>
      </w:r>
      <w:r>
        <w:t xml:space="preserve">Georges </w:t>
      </w:r>
      <w:proofErr w:type="spellStart"/>
      <w:r>
        <w:t>Sioufi</w:t>
      </w:r>
      <w:proofErr w:type="spellEnd"/>
      <w:r>
        <w:t xml:space="preserve"> and George </w:t>
      </w:r>
      <w:proofErr w:type="spellStart"/>
      <w:r>
        <w:t>Bassous</w:t>
      </w:r>
      <w:proofErr w:type="spellEnd"/>
    </w:p>
    <w:p w14:paraId="5DFE21D8" w14:textId="77777777" w:rsidR="00D84736" w:rsidRDefault="00D84736">
      <w:pPr>
        <w:pStyle w:val="p"/>
      </w:pPr>
      <w:r>
        <w:t xml:space="preserve"> </w:t>
      </w:r>
      <w:r>
        <w:rPr>
          <w:i/>
          <w:iCs/>
        </w:rPr>
        <w:t>SRDB Law Firm, Paris</w:t>
      </w:r>
      <w:r>
        <w:t xml:space="preserve"> </w:t>
      </w:r>
    </w:p>
    <w:p w14:paraId="79654C15" w14:textId="08A9BC9B" w:rsidR="00D84736" w:rsidRDefault="00D84736">
      <w:pPr>
        <w:pStyle w:val="p"/>
      </w:pPr>
      <w:r>
        <w:lastRenderedPageBreak/>
        <w:t xml:space="preserve"> </w:t>
      </w:r>
      <w:r>
        <w:rPr>
          <w:i/>
          <w:iCs/>
        </w:rPr>
        <w:t xml:space="preserve">Last reviewed/updated </w:t>
      </w:r>
      <w:r w:rsidR="00463A61">
        <w:rPr>
          <w:i/>
          <w:iCs/>
        </w:rPr>
        <w:t>July 19</w:t>
      </w:r>
      <w:r w:rsidR="00BA0427">
        <w:rPr>
          <w:i/>
          <w:iCs/>
        </w:rPr>
        <w:t>, 202</w:t>
      </w:r>
      <w:r w:rsidR="00463A61">
        <w:rPr>
          <w:i/>
          <w:iCs/>
        </w:rPr>
        <w:t>4</w:t>
      </w:r>
      <w:r>
        <w:rPr>
          <w:i/>
          <w:iCs/>
        </w:rPr>
        <w:t xml:space="preserve"> </w:t>
      </w:r>
    </w:p>
    <w:p w14:paraId="3E24C20E" w14:textId="77777777" w:rsidR="00D84736" w:rsidRDefault="00D84736">
      <w:pPr>
        <w:rPr>
          <w:sz w:val="24"/>
          <w:szCs w:val="24"/>
        </w:rPr>
      </w:pPr>
    </w:p>
    <w:p w14:paraId="233579D1" w14:textId="6161DBD1" w:rsidR="00D84736" w:rsidRDefault="00D84736">
      <w:pPr>
        <w:jc w:val="center"/>
      </w:pPr>
      <w:r>
        <w:rPr>
          <w:sz w:val="24"/>
          <w:szCs w:val="24"/>
        </w:rPr>
        <w:t>Copyright©</w:t>
      </w:r>
      <w:r w:rsidR="00463A61">
        <w:rPr>
          <w:sz w:val="24"/>
          <w:szCs w:val="24"/>
        </w:rPr>
        <w:t xml:space="preserve">2024 </w:t>
      </w:r>
      <w:r>
        <w:rPr>
          <w:sz w:val="24"/>
          <w:szCs w:val="24"/>
        </w:rPr>
        <w:t>by Bloomberg Industry Group, Inc.</w:t>
      </w:r>
    </w:p>
    <w:sectPr w:rsidR="00D84736">
      <w:type w:val="continuous"/>
      <w:pgSz w:w="12240" w:h="15840"/>
      <w:pgMar w:top="1417" w:right="1440" w:bottom="14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FDA92" w14:textId="77777777" w:rsidR="0093529E" w:rsidRDefault="0093529E">
      <w:r>
        <w:separator/>
      </w:r>
    </w:p>
  </w:endnote>
  <w:endnote w:type="continuationSeparator" w:id="0">
    <w:p w14:paraId="06205835" w14:textId="77777777" w:rsidR="0093529E" w:rsidRDefault="0093529E">
      <w:r>
        <w:continuationSeparator/>
      </w:r>
    </w:p>
  </w:endnote>
  <w:endnote w:type="continuationNotice" w:id="1">
    <w:p w14:paraId="598E8CEA" w14:textId="77777777" w:rsidR="0093529E" w:rsidRDefault="00935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A17A8" w14:textId="77777777" w:rsidR="0093529E" w:rsidRDefault="0093529E">
      <w:r>
        <w:separator/>
      </w:r>
    </w:p>
  </w:footnote>
  <w:footnote w:type="continuationSeparator" w:id="0">
    <w:p w14:paraId="430244CE" w14:textId="77777777" w:rsidR="0093529E" w:rsidRDefault="0093529E">
      <w:r>
        <w:continuationSeparator/>
      </w:r>
    </w:p>
  </w:footnote>
  <w:footnote w:type="continuationNotice" w:id="1">
    <w:p w14:paraId="7DA16B84" w14:textId="77777777" w:rsidR="0093529E" w:rsidRDefault="0093529E"/>
  </w:footnote>
  <w:footnote w:id="2">
    <w:p w14:paraId="19B15E37" w14:textId="4F7CE7C6" w:rsidR="00422901" w:rsidRDefault="00D84736">
      <w:pPr>
        <w:pStyle w:val="p"/>
      </w:pPr>
      <w:r w:rsidRPr="00CE3533">
        <w:rPr>
          <w:rStyle w:val="FootnoteReference"/>
        </w:rPr>
        <w:t xml:space="preserve"> </w:t>
      </w:r>
      <w:r>
        <w:rPr>
          <w:vertAlign w:val="superscript"/>
        </w:rPr>
        <w:t>1</w:t>
      </w:r>
      <w:r>
        <w:t xml:space="preserve"> Legislative Decree No. 29/2011 (Companies Law), art. 10.</w:t>
      </w:r>
    </w:p>
  </w:footnote>
  <w:footnote w:id="3">
    <w:p w14:paraId="503C7D40" w14:textId="3D345A79" w:rsidR="00422901" w:rsidRDefault="00D84736">
      <w:pPr>
        <w:pStyle w:val="p"/>
      </w:pPr>
      <w:r w:rsidRPr="00CE3533">
        <w:rPr>
          <w:rStyle w:val="FootnoteReference"/>
        </w:rPr>
        <w:t xml:space="preserve"> </w:t>
      </w:r>
      <w:r>
        <w:rPr>
          <w:vertAlign w:val="superscript"/>
        </w:rPr>
        <w:t>2</w:t>
      </w:r>
      <w:r>
        <w:t xml:space="preserve"> Law No. 24/2003 (Income Tax Law), art. 3.</w:t>
      </w:r>
    </w:p>
  </w:footnote>
  <w:footnote w:id="4">
    <w:p w14:paraId="326E0E66" w14:textId="0F5B7F13" w:rsidR="00422901" w:rsidRDefault="00D84736">
      <w:pPr>
        <w:pStyle w:val="p"/>
      </w:pPr>
      <w:r w:rsidRPr="00CE3533">
        <w:rPr>
          <w:rStyle w:val="FootnoteReference"/>
        </w:rPr>
        <w:t xml:space="preserve"> </w:t>
      </w:r>
      <w:r>
        <w:rPr>
          <w:vertAlign w:val="superscript"/>
        </w:rPr>
        <w:t>3</w:t>
      </w:r>
      <w:r>
        <w:t xml:space="preserve"> Law No. 24/2003 (Income Tax Law), art. 3.</w:t>
      </w:r>
    </w:p>
  </w:footnote>
  <w:footnote w:id="5">
    <w:p w14:paraId="6A2FF203" w14:textId="412920B5" w:rsidR="00422901" w:rsidRDefault="00D84736">
      <w:pPr>
        <w:pStyle w:val="p"/>
      </w:pPr>
      <w:r w:rsidRPr="00CE3533">
        <w:rPr>
          <w:rStyle w:val="FootnoteReference"/>
        </w:rPr>
        <w:t xml:space="preserve"> </w:t>
      </w:r>
      <w:r>
        <w:rPr>
          <w:vertAlign w:val="superscript"/>
        </w:rPr>
        <w:t>4</w:t>
      </w:r>
      <w:r>
        <w:t xml:space="preserve"> Law No. 24/2003 (Income Tax Law), arts. 84 and 98.</w:t>
      </w:r>
    </w:p>
  </w:footnote>
  <w:footnote w:id="6">
    <w:p w14:paraId="3CDB2BC7" w14:textId="3188A898" w:rsidR="00422901" w:rsidRDefault="00D84736">
      <w:pPr>
        <w:pStyle w:val="p"/>
      </w:pPr>
      <w:r w:rsidRPr="00CE3533">
        <w:rPr>
          <w:rStyle w:val="FootnoteReference"/>
        </w:rPr>
        <w:t xml:space="preserve"> </w:t>
      </w:r>
      <w:r>
        <w:rPr>
          <w:vertAlign w:val="superscript"/>
        </w:rPr>
        <w:t>5</w:t>
      </w:r>
      <w:r>
        <w:t xml:space="preserve"> Law No. 24/2003 (Income Tax Law), art. 3.</w:t>
      </w:r>
    </w:p>
  </w:footnote>
  <w:footnote w:id="7">
    <w:p w14:paraId="7B4D04C1" w14:textId="360FD539" w:rsidR="00422901" w:rsidRDefault="00D84736">
      <w:pPr>
        <w:pStyle w:val="p"/>
      </w:pPr>
      <w:r w:rsidRPr="00CE3533">
        <w:rPr>
          <w:rStyle w:val="FootnoteReference"/>
        </w:rPr>
        <w:t xml:space="preserve"> </w:t>
      </w:r>
      <w:r>
        <w:rPr>
          <w:vertAlign w:val="superscript"/>
        </w:rPr>
        <w:t>6</w:t>
      </w:r>
      <w:r>
        <w:t xml:space="preserve"> Law No. 24/2003 (Income Tax Law).</w:t>
      </w:r>
    </w:p>
  </w:footnote>
  <w:footnote w:id="8">
    <w:p w14:paraId="56949A1B" w14:textId="0E2B9EE0" w:rsidR="00422901" w:rsidRDefault="00D84736">
      <w:pPr>
        <w:pStyle w:val="p"/>
      </w:pPr>
      <w:r w:rsidRPr="00CE3533">
        <w:rPr>
          <w:rStyle w:val="FootnoteReference"/>
        </w:rPr>
        <w:t xml:space="preserve"> </w:t>
      </w:r>
      <w:r>
        <w:rPr>
          <w:vertAlign w:val="superscript"/>
        </w:rPr>
        <w:t>7</w:t>
      </w:r>
      <w:r>
        <w:t xml:space="preserve"> Law No. 24/2003 (Income tax Law), art. 5.</w:t>
      </w:r>
    </w:p>
  </w:footnote>
  <w:footnote w:id="9">
    <w:p w14:paraId="0874EF2E" w14:textId="79719BD9" w:rsidR="00422901" w:rsidRDefault="00D84736">
      <w:pPr>
        <w:pStyle w:val="p"/>
      </w:pPr>
      <w:r w:rsidRPr="00CE3533">
        <w:rPr>
          <w:rStyle w:val="FootnoteReference"/>
        </w:rPr>
        <w:t xml:space="preserve"> </w:t>
      </w:r>
      <w:r>
        <w:rPr>
          <w:vertAlign w:val="superscript"/>
        </w:rPr>
        <w:t>8</w:t>
      </w:r>
      <w:r>
        <w:t xml:space="preserve"> Law No. 24/2003 (Income Tax Law), art. 7.</w:t>
      </w:r>
    </w:p>
  </w:footnote>
  <w:footnote w:id="10">
    <w:p w14:paraId="21F3CE66" w14:textId="328A2030" w:rsidR="00422901" w:rsidRDefault="00D84736">
      <w:pPr>
        <w:pStyle w:val="p"/>
      </w:pPr>
      <w:r w:rsidRPr="00CE3533">
        <w:rPr>
          <w:rStyle w:val="FootnoteReference"/>
        </w:rPr>
        <w:t xml:space="preserve"> </w:t>
      </w:r>
      <w:r>
        <w:rPr>
          <w:vertAlign w:val="superscript"/>
        </w:rPr>
        <w:t>9</w:t>
      </w:r>
      <w:r>
        <w:t xml:space="preserve"> Law No. 24/2003 (Income Tax Law), art. 4(a).</w:t>
      </w:r>
    </w:p>
  </w:footnote>
  <w:footnote w:id="11">
    <w:p w14:paraId="76531046" w14:textId="31876AC1" w:rsidR="00422901" w:rsidRDefault="00D84736">
      <w:pPr>
        <w:pStyle w:val="p"/>
      </w:pPr>
      <w:r w:rsidRPr="00CE3533">
        <w:rPr>
          <w:rStyle w:val="FootnoteReference"/>
        </w:rPr>
        <w:t xml:space="preserve"> </w:t>
      </w:r>
      <w:r>
        <w:rPr>
          <w:vertAlign w:val="superscript"/>
        </w:rPr>
        <w:t>10</w:t>
      </w:r>
      <w:r>
        <w:t xml:space="preserve"> Law No. 24/2003 (Income Tax Law), art. 7.</w:t>
      </w:r>
    </w:p>
  </w:footnote>
  <w:footnote w:id="12">
    <w:p w14:paraId="158B9C55" w14:textId="557EC020" w:rsidR="00422901" w:rsidRDefault="00D84736">
      <w:pPr>
        <w:pStyle w:val="p"/>
      </w:pPr>
      <w:r w:rsidRPr="00CE3533">
        <w:rPr>
          <w:rStyle w:val="FootnoteReference"/>
        </w:rPr>
        <w:t xml:space="preserve"> </w:t>
      </w:r>
      <w:r>
        <w:rPr>
          <w:vertAlign w:val="superscript"/>
        </w:rPr>
        <w:t>11</w:t>
      </w:r>
      <w:r>
        <w:t xml:space="preserve"> Law No. 24/2003 (Income Tax Law), art. 7.</w:t>
      </w:r>
    </w:p>
  </w:footnote>
  <w:footnote w:id="13">
    <w:p w14:paraId="18B47C91" w14:textId="7C20EEFB" w:rsidR="009F41C3" w:rsidRPr="00C94E42" w:rsidRDefault="009F41C3">
      <w:pPr>
        <w:pStyle w:val="FootnoteText"/>
        <w:rPr>
          <w:lang w:val="en-GB"/>
        </w:rPr>
      </w:pPr>
      <w:r>
        <w:rPr>
          <w:rStyle w:val="FootnoteReference"/>
        </w:rPr>
        <w:footnoteRef/>
      </w:r>
      <w:r>
        <w:t xml:space="preserve"> Law No. 24/2003 (Income Tax Law), art.</w:t>
      </w:r>
      <w:r w:rsidR="00922F2A">
        <w:t xml:space="preserve"> 7(</w:t>
      </w:r>
      <w:r w:rsidR="00094288">
        <w:t>b</w:t>
      </w:r>
      <w:r w:rsidR="00922F2A">
        <w:t xml:space="preserve">)(7), as inserted by </w:t>
      </w:r>
      <w:r w:rsidR="00310BF1" w:rsidRPr="00310BF1">
        <w:t>Legislative Decree No. 30 of 2023, art. 2</w:t>
      </w:r>
      <w:r w:rsidR="00310BF1">
        <w:t>.</w:t>
      </w:r>
    </w:p>
  </w:footnote>
  <w:footnote w:id="14">
    <w:p w14:paraId="1DE67C86" w14:textId="3F8E1DD7" w:rsidR="00422901" w:rsidRDefault="00D84736">
      <w:pPr>
        <w:pStyle w:val="p"/>
      </w:pPr>
      <w:r w:rsidRPr="00CE3533">
        <w:rPr>
          <w:rStyle w:val="FootnoteReference"/>
        </w:rPr>
        <w:t xml:space="preserve"> </w:t>
      </w:r>
      <w:r>
        <w:rPr>
          <w:vertAlign w:val="superscript"/>
        </w:rPr>
        <w:t>12</w:t>
      </w:r>
      <w:r>
        <w:t xml:space="preserve"> Law No. 34/2008, art. 11.</w:t>
      </w:r>
    </w:p>
  </w:footnote>
  <w:footnote w:id="15">
    <w:p w14:paraId="7AAA9A26" w14:textId="60AB852E" w:rsidR="00422901" w:rsidRDefault="00D84736">
      <w:pPr>
        <w:pStyle w:val="p"/>
      </w:pPr>
      <w:r w:rsidRPr="00CE3533">
        <w:rPr>
          <w:rStyle w:val="FootnoteReference"/>
        </w:rPr>
        <w:t xml:space="preserve"> </w:t>
      </w:r>
      <w:r>
        <w:rPr>
          <w:vertAlign w:val="superscript"/>
        </w:rPr>
        <w:t>13</w:t>
      </w:r>
      <w:r>
        <w:t xml:space="preserve"> Law No. 34/2008, art. 3.</w:t>
      </w:r>
    </w:p>
  </w:footnote>
  <w:footnote w:id="16">
    <w:p w14:paraId="60813721" w14:textId="250CC409" w:rsidR="00422901" w:rsidRDefault="00D84736">
      <w:pPr>
        <w:pStyle w:val="p"/>
      </w:pPr>
      <w:r w:rsidRPr="00CE3533">
        <w:rPr>
          <w:rStyle w:val="FootnoteReference"/>
        </w:rPr>
        <w:t xml:space="preserve"> </w:t>
      </w:r>
      <w:r>
        <w:rPr>
          <w:vertAlign w:val="superscript"/>
        </w:rPr>
        <w:t>14</w:t>
      </w:r>
      <w:r>
        <w:t xml:space="preserve"> Legislative Decree No. 40/2003, art. 7; Law 24/2003 (Income Tax Law), art 3.</w:t>
      </w:r>
    </w:p>
  </w:footnote>
  <w:footnote w:id="17">
    <w:p w14:paraId="490E021A" w14:textId="005F0506" w:rsidR="00422901" w:rsidRDefault="00D84736">
      <w:pPr>
        <w:pStyle w:val="p"/>
      </w:pPr>
      <w:r w:rsidRPr="00CE3533">
        <w:rPr>
          <w:rStyle w:val="FootnoteReference"/>
        </w:rPr>
        <w:t xml:space="preserve"> </w:t>
      </w:r>
      <w:r>
        <w:rPr>
          <w:vertAlign w:val="superscript"/>
        </w:rPr>
        <w:t>15</w:t>
      </w:r>
      <w:r>
        <w:t xml:space="preserve"> Law No. 24/2003 (Income Tax Law), art. 66.</w:t>
      </w:r>
    </w:p>
  </w:footnote>
  <w:footnote w:id="18">
    <w:p w14:paraId="1D1501CC" w14:textId="69464BBF" w:rsidR="00422901" w:rsidRDefault="00D84736">
      <w:pPr>
        <w:pStyle w:val="p"/>
      </w:pPr>
      <w:r w:rsidRPr="00CE3533">
        <w:rPr>
          <w:rStyle w:val="FootnoteReference"/>
        </w:rPr>
        <w:t xml:space="preserve"> </w:t>
      </w:r>
      <w:r>
        <w:rPr>
          <w:vertAlign w:val="superscript"/>
        </w:rPr>
        <w:t>16</w:t>
      </w:r>
      <w:r>
        <w:t xml:space="preserve"> Law </w:t>
      </w:r>
      <w:r w:rsidR="00094288">
        <w:t xml:space="preserve">No. </w:t>
      </w:r>
      <w:r>
        <w:t>18/2021, art. 21.</w:t>
      </w:r>
    </w:p>
  </w:footnote>
  <w:footnote w:id="19">
    <w:p w14:paraId="00E8F167" w14:textId="1058EFE2" w:rsidR="00422901" w:rsidRDefault="00D84736">
      <w:pPr>
        <w:pStyle w:val="p"/>
      </w:pPr>
      <w:r w:rsidRPr="00CE3533">
        <w:rPr>
          <w:rStyle w:val="FootnoteReference"/>
        </w:rPr>
        <w:t xml:space="preserve"> </w:t>
      </w:r>
      <w:r>
        <w:rPr>
          <w:vertAlign w:val="superscript"/>
        </w:rPr>
        <w:t>17</w:t>
      </w:r>
      <w:r>
        <w:t xml:space="preserve"> Law </w:t>
      </w:r>
      <w:r w:rsidR="00094288">
        <w:t xml:space="preserve">No. </w:t>
      </w:r>
      <w:r>
        <w:t>18/2021, art. 21.</w:t>
      </w:r>
    </w:p>
  </w:footnote>
  <w:footnote w:id="20">
    <w:p w14:paraId="22316B43" w14:textId="0EA3E955" w:rsidR="00422901" w:rsidRDefault="00D84736">
      <w:pPr>
        <w:pStyle w:val="p"/>
      </w:pPr>
      <w:r w:rsidRPr="00CE3533">
        <w:rPr>
          <w:rStyle w:val="FootnoteReference"/>
        </w:rPr>
        <w:t xml:space="preserve"> </w:t>
      </w:r>
      <w:r>
        <w:rPr>
          <w:vertAlign w:val="superscript"/>
        </w:rPr>
        <w:t>18</w:t>
      </w:r>
      <w:r>
        <w:t xml:space="preserve"> Legislative Decree No. 51/2006, art. 6.</w:t>
      </w:r>
    </w:p>
  </w:footnote>
  <w:footnote w:id="21">
    <w:p w14:paraId="5CECAF34" w14:textId="77777777" w:rsidR="00D84736" w:rsidRDefault="00D84736">
      <w:pPr>
        <w:pStyle w:val="p"/>
      </w:pPr>
      <w:r w:rsidRPr="00CE3533">
        <w:rPr>
          <w:rStyle w:val="FootnoteReference"/>
        </w:rPr>
        <w:t xml:space="preserve"> </w:t>
      </w:r>
      <w:r>
        <w:rPr>
          <w:vertAlign w:val="superscript"/>
        </w:rPr>
        <w:t>19</w:t>
      </w:r>
      <w:r>
        <w:t xml:space="preserve"> Law No. 24/2003 (Income Tax Law), art. 4.</w:t>
      </w:r>
    </w:p>
    <w:p w14:paraId="7F0A51D7" w14:textId="77777777" w:rsidR="00422901" w:rsidRDefault="00422901">
      <w:pPr>
        <w:pStyle w:val="p"/>
      </w:pPr>
    </w:p>
  </w:footnote>
  <w:footnote w:id="22">
    <w:p w14:paraId="20A47483" w14:textId="59CE629C" w:rsidR="000964CD" w:rsidRDefault="000964CD" w:rsidP="000964CD">
      <w:pPr>
        <w:pStyle w:val="FootnoteText"/>
      </w:pPr>
      <w:r>
        <w:rPr>
          <w:rStyle w:val="FootnoteReference"/>
        </w:rPr>
        <w:footnoteRef/>
      </w:r>
      <w:r>
        <w:t xml:space="preserve"> Decree No. 13</w:t>
      </w:r>
      <w:r w:rsidR="005068A1">
        <w:t>/</w:t>
      </w:r>
      <w:r>
        <w:t xml:space="preserve">2022. </w:t>
      </w:r>
    </w:p>
  </w:footnote>
  <w:footnote w:id="23">
    <w:p w14:paraId="0976D0B7" w14:textId="37FD167C" w:rsidR="001178AF" w:rsidRDefault="001178AF" w:rsidP="001178AF">
      <w:pPr>
        <w:pStyle w:val="FootnoteText"/>
      </w:pPr>
      <w:r>
        <w:rPr>
          <w:rStyle w:val="FootnoteReference"/>
        </w:rPr>
        <w:footnoteRef/>
      </w:r>
      <w:r>
        <w:t xml:space="preserve"> Decree No. 3</w:t>
      </w:r>
      <w:r w:rsidR="00124B76">
        <w:t>/</w:t>
      </w:r>
      <w:r>
        <w:t>2023.</w:t>
      </w:r>
    </w:p>
  </w:footnote>
  <w:footnote w:id="24">
    <w:p w14:paraId="49F2957F" w14:textId="77777777" w:rsidR="00D84736" w:rsidRDefault="00D84736">
      <w:pPr>
        <w:pStyle w:val="p"/>
      </w:pPr>
      <w:r w:rsidRPr="00CE3533">
        <w:rPr>
          <w:rStyle w:val="FootnoteReference"/>
        </w:rPr>
        <w:t xml:space="preserve"> </w:t>
      </w:r>
      <w:r>
        <w:rPr>
          <w:vertAlign w:val="superscript"/>
        </w:rPr>
        <w:t>20</w:t>
      </w:r>
      <w:r>
        <w:t xml:space="preserve"> The Ministry of Finance determines which specific taxpayers fall into the category of "large/major taxpayers".</w:t>
      </w:r>
    </w:p>
    <w:p w14:paraId="7A5E14A8" w14:textId="77777777" w:rsidR="00422901" w:rsidRDefault="00422901">
      <w:pPr>
        <w:pStyle w:val="p"/>
      </w:pPr>
    </w:p>
  </w:footnote>
  <w:footnote w:id="25">
    <w:p w14:paraId="064B63FA" w14:textId="77777777" w:rsidR="00D84736" w:rsidRDefault="00D84736">
      <w:pPr>
        <w:pStyle w:val="p"/>
      </w:pPr>
      <w:r w:rsidRPr="00CE3533">
        <w:rPr>
          <w:rStyle w:val="FootnoteReference"/>
        </w:rPr>
        <w:t xml:space="preserve"> </w:t>
      </w:r>
      <w:r>
        <w:rPr>
          <w:vertAlign w:val="superscript"/>
        </w:rPr>
        <w:t>21</w:t>
      </w:r>
      <w:r>
        <w:t xml:space="preserve"> Law No. 24/2003 (Income Tax Law), art. 13(a), as amended by Legislative Decree No. 51/2006, art. 2.</w:t>
      </w:r>
    </w:p>
    <w:p w14:paraId="15471383" w14:textId="77777777" w:rsidR="00422901" w:rsidRDefault="00422901">
      <w:pPr>
        <w:pStyle w:val="p"/>
      </w:pPr>
    </w:p>
  </w:footnote>
  <w:footnote w:id="26">
    <w:p w14:paraId="62C44A13" w14:textId="77777777" w:rsidR="00D84736" w:rsidRDefault="00D84736">
      <w:pPr>
        <w:pStyle w:val="p"/>
      </w:pPr>
      <w:r w:rsidRPr="00CE3533">
        <w:rPr>
          <w:rStyle w:val="FootnoteReference"/>
        </w:rPr>
        <w:t xml:space="preserve"> </w:t>
      </w:r>
      <w:r>
        <w:rPr>
          <w:vertAlign w:val="superscript"/>
        </w:rPr>
        <w:t>22</w:t>
      </w:r>
      <w:r>
        <w:t xml:space="preserve"> Law No. 24/2003 (Income Tax Law), art. 13(a), as amended by Legislative Decree No. 51/2006, art. 2.</w:t>
      </w:r>
    </w:p>
    <w:p w14:paraId="1F5AB1AA" w14:textId="77777777" w:rsidR="00422901" w:rsidRDefault="00422901">
      <w:pPr>
        <w:pStyle w:val="p"/>
      </w:pPr>
    </w:p>
  </w:footnote>
  <w:footnote w:id="27">
    <w:p w14:paraId="755E9CC6" w14:textId="2525B1F0" w:rsidR="00D84736" w:rsidRDefault="00D84736">
      <w:pPr>
        <w:pStyle w:val="p"/>
      </w:pPr>
      <w:r w:rsidRPr="00CE3533">
        <w:rPr>
          <w:rStyle w:val="FootnoteReference"/>
        </w:rPr>
        <w:t xml:space="preserve"> </w:t>
      </w:r>
      <w:r>
        <w:rPr>
          <w:vertAlign w:val="superscript"/>
        </w:rPr>
        <w:t>23</w:t>
      </w:r>
      <w:r>
        <w:t xml:space="preserve"> Law No. 24/2003 (Income Tax Law), arts. 13 and 18</w:t>
      </w:r>
      <w:r w:rsidR="00C776FD">
        <w:t xml:space="preserve">, as amended by Legislative Decree No. 30/2023, art. </w:t>
      </w:r>
      <w:r w:rsidR="00797C70">
        <w:t>7</w:t>
      </w:r>
      <w:r>
        <w:t>.</w:t>
      </w:r>
    </w:p>
    <w:p w14:paraId="49B145D9" w14:textId="77777777" w:rsidR="00422901" w:rsidRDefault="00422901">
      <w:pPr>
        <w:pStyle w:val="p"/>
      </w:pPr>
    </w:p>
  </w:footnote>
  <w:footnote w:id="28">
    <w:p w14:paraId="30D181A8" w14:textId="70F5DA23" w:rsidR="00D84736" w:rsidRDefault="00D84736">
      <w:pPr>
        <w:pStyle w:val="p"/>
      </w:pPr>
      <w:r w:rsidRPr="00CE3533">
        <w:rPr>
          <w:rStyle w:val="FootnoteReference"/>
        </w:rPr>
        <w:t xml:space="preserve"> </w:t>
      </w:r>
      <w:r>
        <w:rPr>
          <w:vertAlign w:val="superscript"/>
        </w:rPr>
        <w:t>24</w:t>
      </w:r>
      <w:r>
        <w:t xml:space="preserve"> Law No. 24/2003 (Income Tax Law), arts. 83, 84</w:t>
      </w:r>
      <w:r w:rsidR="00366C6B">
        <w:t xml:space="preserve"> (as amended by Legislative Decree No. 30/2023, art. </w:t>
      </w:r>
      <w:r w:rsidR="004A785D">
        <w:t>24),</w:t>
      </w:r>
      <w:r>
        <w:t xml:space="preserve"> and 98.</w:t>
      </w:r>
    </w:p>
    <w:p w14:paraId="7067CC1E" w14:textId="77777777" w:rsidR="00422901" w:rsidRDefault="00422901">
      <w:pPr>
        <w:pStyle w:val="p"/>
      </w:pPr>
    </w:p>
  </w:footnote>
  <w:footnote w:id="29">
    <w:p w14:paraId="590E7CAE" w14:textId="77777777" w:rsidR="00D84736" w:rsidRDefault="00D84736">
      <w:pPr>
        <w:pStyle w:val="p"/>
      </w:pPr>
      <w:r w:rsidRPr="00CE3533">
        <w:rPr>
          <w:rStyle w:val="FootnoteReference"/>
        </w:rPr>
        <w:t xml:space="preserve"> </w:t>
      </w:r>
      <w:r>
        <w:rPr>
          <w:vertAlign w:val="superscript"/>
        </w:rPr>
        <w:t>25</w:t>
      </w:r>
      <w:r>
        <w:t xml:space="preserve"> Law No. 60/2004, art. 1.</w:t>
      </w:r>
    </w:p>
    <w:p w14:paraId="1BD1FAB3" w14:textId="77777777" w:rsidR="00422901" w:rsidRDefault="00422901">
      <w:pPr>
        <w:pStyle w:val="p"/>
      </w:pPr>
    </w:p>
  </w:footnote>
  <w:footnote w:id="30">
    <w:p w14:paraId="3E4FCAAD" w14:textId="1E772F2E" w:rsidR="00422901" w:rsidRDefault="00D84736">
      <w:pPr>
        <w:pStyle w:val="p"/>
      </w:pPr>
      <w:r w:rsidRPr="00CE3533">
        <w:rPr>
          <w:rStyle w:val="FootnoteReference"/>
        </w:rPr>
        <w:t xml:space="preserve"> </w:t>
      </w:r>
      <w:r>
        <w:rPr>
          <w:vertAlign w:val="superscript"/>
        </w:rPr>
        <w:t>26</w:t>
      </w:r>
      <w:r>
        <w:t xml:space="preserve"> Law </w:t>
      </w:r>
      <w:r w:rsidR="0063195A">
        <w:t xml:space="preserve">No. </w:t>
      </w:r>
      <w:r>
        <w:t>24/2003 (Income Tax Law), art. 14(d).</w:t>
      </w:r>
    </w:p>
  </w:footnote>
  <w:footnote w:id="31">
    <w:p w14:paraId="43E75F6E" w14:textId="0AA2E1D4" w:rsidR="00422901" w:rsidRDefault="00D84736">
      <w:pPr>
        <w:pStyle w:val="p"/>
      </w:pPr>
      <w:r w:rsidRPr="00CE3533">
        <w:rPr>
          <w:rStyle w:val="FootnoteReference"/>
        </w:rPr>
        <w:t xml:space="preserve"> </w:t>
      </w:r>
      <w:r>
        <w:rPr>
          <w:vertAlign w:val="superscript"/>
        </w:rPr>
        <w:t>27</w:t>
      </w:r>
      <w:r>
        <w:t xml:space="preserve"> The "Provisional Levy" is a revised figure for the taxpayer's tax liability for the relevant tax year.</w:t>
      </w:r>
    </w:p>
  </w:footnote>
  <w:footnote w:id="32">
    <w:p w14:paraId="51386DEA" w14:textId="55E538D8" w:rsidR="00422901" w:rsidRDefault="00D84736">
      <w:pPr>
        <w:pStyle w:val="p"/>
      </w:pPr>
      <w:r w:rsidRPr="00CE3533">
        <w:rPr>
          <w:rStyle w:val="FootnoteReference"/>
        </w:rPr>
        <w:t xml:space="preserve"> </w:t>
      </w:r>
      <w:r>
        <w:rPr>
          <w:vertAlign w:val="superscript"/>
        </w:rPr>
        <w:t>28</w:t>
      </w:r>
      <w:r>
        <w:t xml:space="preserve"> Law No. 24/2003 (Income Tax Law), arts. 24–35.</w:t>
      </w:r>
    </w:p>
  </w:footnote>
  <w:footnote w:id="33">
    <w:p w14:paraId="57BC1D27" w14:textId="3B76BDF2" w:rsidR="00422901" w:rsidRDefault="00D84736">
      <w:pPr>
        <w:pStyle w:val="p"/>
      </w:pPr>
      <w:r w:rsidRPr="00CE3533">
        <w:rPr>
          <w:rStyle w:val="FootnoteReference"/>
        </w:rPr>
        <w:t xml:space="preserve"> </w:t>
      </w:r>
      <w:r>
        <w:rPr>
          <w:vertAlign w:val="superscript"/>
        </w:rPr>
        <w:t>29</w:t>
      </w:r>
      <w:r>
        <w:t xml:space="preserve"> Law No. 24/2003 (Income Tax Law), art. 107.</w:t>
      </w:r>
    </w:p>
  </w:footnote>
  <w:footnote w:id="34">
    <w:p w14:paraId="1E4E4E2D" w14:textId="4427CF53" w:rsidR="00422901" w:rsidRDefault="00D84736">
      <w:pPr>
        <w:pStyle w:val="p"/>
      </w:pPr>
      <w:r w:rsidRPr="00CE3533">
        <w:rPr>
          <w:rStyle w:val="FootnoteReference"/>
        </w:rPr>
        <w:t xml:space="preserve"> </w:t>
      </w:r>
      <w:r>
        <w:rPr>
          <w:vertAlign w:val="superscript"/>
        </w:rPr>
        <w:t>30</w:t>
      </w:r>
      <w:r>
        <w:t xml:space="preserve"> Law No. 2/1983, arts. 2 and 6.</w:t>
      </w:r>
    </w:p>
  </w:footnote>
  <w:footnote w:id="35">
    <w:p w14:paraId="24B7116D" w14:textId="78BD8E2D" w:rsidR="00422901" w:rsidRDefault="00D84736">
      <w:pPr>
        <w:pStyle w:val="p"/>
      </w:pPr>
      <w:r w:rsidRPr="00CE3533">
        <w:rPr>
          <w:rStyle w:val="FootnoteReference"/>
        </w:rPr>
        <w:t xml:space="preserve"> </w:t>
      </w:r>
      <w:r>
        <w:rPr>
          <w:vertAlign w:val="superscript"/>
        </w:rPr>
        <w:t>31</w:t>
      </w:r>
      <w:r>
        <w:t xml:space="preserve"> Legislative Decree No. 84/1949 (Civil Code), art. 372.</w:t>
      </w:r>
    </w:p>
  </w:footnote>
  <w:footnote w:id="36">
    <w:p w14:paraId="6F497C6A" w14:textId="72A47402" w:rsidR="00422901" w:rsidRDefault="00D84736">
      <w:pPr>
        <w:pStyle w:val="p"/>
      </w:pPr>
      <w:r w:rsidRPr="00CE3533">
        <w:rPr>
          <w:rStyle w:val="FootnoteReference"/>
        </w:rPr>
        <w:t xml:space="preserve"> </w:t>
      </w:r>
      <w:r>
        <w:rPr>
          <w:vertAlign w:val="superscript"/>
        </w:rPr>
        <w:t>32</w:t>
      </w:r>
      <w:r>
        <w:t xml:space="preserve"> Law No. 24/2003, art. 31(e).</w:t>
      </w:r>
    </w:p>
  </w:footnote>
  <w:footnote w:id="37">
    <w:p w14:paraId="62CF951B" w14:textId="54B4F16C" w:rsidR="00422901" w:rsidRDefault="00D84736">
      <w:pPr>
        <w:pStyle w:val="p"/>
      </w:pPr>
      <w:r w:rsidRPr="00CE3533">
        <w:rPr>
          <w:rStyle w:val="FootnoteReference"/>
        </w:rPr>
        <w:t xml:space="preserve"> </w:t>
      </w:r>
      <w:r>
        <w:rPr>
          <w:vertAlign w:val="superscript"/>
        </w:rPr>
        <w:t>33</w:t>
      </w:r>
      <w:r>
        <w:t xml:space="preserve"> Law No. 24/2003 (Income Tax Law), art. 16(b), as amended by Legislative Decree No. </w:t>
      </w:r>
      <w:r w:rsidR="00725150">
        <w:t xml:space="preserve">30/2023, art. 4. </w:t>
      </w:r>
    </w:p>
  </w:footnote>
  <w:footnote w:id="38">
    <w:p w14:paraId="3A366172" w14:textId="52CD6920" w:rsidR="00C0569F" w:rsidRDefault="00C0569F" w:rsidP="00C0569F">
      <w:pPr>
        <w:pStyle w:val="p"/>
      </w:pPr>
      <w:r w:rsidRPr="00CE3533">
        <w:rPr>
          <w:rStyle w:val="FootnoteReference"/>
        </w:rPr>
        <w:t xml:space="preserve"> </w:t>
      </w:r>
      <w:r>
        <w:rPr>
          <w:vertAlign w:val="superscript"/>
        </w:rPr>
        <w:t>34</w:t>
      </w:r>
      <w:r>
        <w:t xml:space="preserve"> Law No. 24/2003 (Income Tax Law), art. 16(a), as amended by Legislative Decree No. </w:t>
      </w:r>
      <w:r w:rsidR="007767D5">
        <w:t>30/2023, art. 4</w:t>
      </w:r>
      <w:r>
        <w:t>.</w:t>
      </w:r>
    </w:p>
    <w:p w14:paraId="53452E6D" w14:textId="77777777" w:rsidR="00C0569F" w:rsidRDefault="00C0569F" w:rsidP="00C0569F">
      <w:pPr>
        <w:pStyle w:val="p"/>
      </w:pPr>
    </w:p>
  </w:footnote>
  <w:footnote w:id="39">
    <w:p w14:paraId="685C08B6" w14:textId="77777777" w:rsidR="00D84736" w:rsidRDefault="00D84736">
      <w:pPr>
        <w:pStyle w:val="p"/>
      </w:pPr>
      <w:r w:rsidRPr="00CE3533">
        <w:rPr>
          <w:rStyle w:val="FootnoteReference"/>
        </w:rPr>
        <w:t xml:space="preserve"> </w:t>
      </w:r>
      <w:r>
        <w:rPr>
          <w:vertAlign w:val="superscript"/>
        </w:rPr>
        <w:t>35</w:t>
      </w:r>
      <w:r>
        <w:t xml:space="preserve"> Law No. 2/1983, art. 6.</w:t>
      </w:r>
    </w:p>
    <w:p w14:paraId="2DC72062" w14:textId="77777777" w:rsidR="00422901" w:rsidRDefault="00422901">
      <w:pPr>
        <w:pStyle w:val="p"/>
      </w:pPr>
    </w:p>
  </w:footnote>
  <w:footnote w:id="40">
    <w:p w14:paraId="4B322984" w14:textId="7071E10E" w:rsidR="00D84736" w:rsidRDefault="00D84736">
      <w:pPr>
        <w:pStyle w:val="p"/>
      </w:pPr>
      <w:r w:rsidRPr="00CE3533">
        <w:rPr>
          <w:rStyle w:val="FootnoteReference"/>
        </w:rPr>
        <w:t xml:space="preserve"> </w:t>
      </w:r>
      <w:r>
        <w:rPr>
          <w:vertAlign w:val="superscript"/>
        </w:rPr>
        <w:t>36</w:t>
      </w:r>
      <w:r>
        <w:t xml:space="preserve"> Law No. 31/1975</w:t>
      </w:r>
      <w:r w:rsidR="00FE1D8D">
        <w:t>;</w:t>
      </w:r>
      <w:r>
        <w:t xml:space="preserve"> </w:t>
      </w:r>
      <w:r w:rsidR="00035C7D">
        <w:t>Law No. 15/2021</w:t>
      </w:r>
      <w:r w:rsidR="00731DBD">
        <w:t xml:space="preserve"> (Real Estate Sales Tax Law)</w:t>
      </w:r>
      <w:r>
        <w:t>.</w:t>
      </w:r>
    </w:p>
    <w:p w14:paraId="5E6F8597" w14:textId="77777777" w:rsidR="00422901" w:rsidRDefault="00422901">
      <w:pPr>
        <w:pStyle w:val="p"/>
      </w:pPr>
    </w:p>
  </w:footnote>
  <w:footnote w:id="41">
    <w:p w14:paraId="7764ED7C" w14:textId="77777777" w:rsidR="00D84736" w:rsidRDefault="00D84736">
      <w:pPr>
        <w:pStyle w:val="p"/>
      </w:pPr>
      <w:r w:rsidRPr="00CE3533">
        <w:rPr>
          <w:rStyle w:val="FootnoteReference"/>
        </w:rPr>
        <w:t xml:space="preserve"> </w:t>
      </w:r>
      <w:r>
        <w:rPr>
          <w:vertAlign w:val="superscript"/>
        </w:rPr>
        <w:t>37</w:t>
      </w:r>
      <w:r>
        <w:t xml:space="preserve"> Law No. 24/2003 (Income Tax Law), art. 21.</w:t>
      </w:r>
    </w:p>
    <w:p w14:paraId="75F7A302" w14:textId="77777777" w:rsidR="00422901" w:rsidRDefault="00422901">
      <w:pPr>
        <w:pStyle w:val="p"/>
      </w:pPr>
    </w:p>
  </w:footnote>
  <w:footnote w:id="42">
    <w:p w14:paraId="38357265" w14:textId="5BD3C7FA" w:rsidR="00D84736" w:rsidRDefault="00D84736">
      <w:pPr>
        <w:pStyle w:val="p"/>
      </w:pPr>
      <w:r w:rsidRPr="00CE3533">
        <w:rPr>
          <w:rStyle w:val="FootnoteReference"/>
        </w:rPr>
        <w:t xml:space="preserve"> </w:t>
      </w:r>
      <w:r>
        <w:rPr>
          <w:vertAlign w:val="superscript"/>
        </w:rPr>
        <w:t>38</w:t>
      </w:r>
      <w:r>
        <w:t xml:space="preserve"> Generally implied from Law No. 24/2003 (Income Tax Law), Law No. 31/1975</w:t>
      </w:r>
      <w:r w:rsidR="00C62382">
        <w:t>,</w:t>
      </w:r>
      <w:r>
        <w:t xml:space="preserve"> and </w:t>
      </w:r>
      <w:r w:rsidR="00C62382">
        <w:t>Law No. 15/2021</w:t>
      </w:r>
      <w:r w:rsidR="008178EE">
        <w:t xml:space="preserve"> (Real Estate Sales Tax Law)</w:t>
      </w:r>
      <w:r>
        <w:t>.</w:t>
      </w:r>
    </w:p>
    <w:p w14:paraId="75727178" w14:textId="77777777" w:rsidR="00422901" w:rsidRDefault="00422901">
      <w:pPr>
        <w:pStyle w:val="p"/>
      </w:pPr>
    </w:p>
  </w:footnote>
  <w:footnote w:id="43">
    <w:p w14:paraId="4277EE32" w14:textId="61096DDB" w:rsidR="00D84736" w:rsidRDefault="00D84736">
      <w:pPr>
        <w:pStyle w:val="p"/>
      </w:pPr>
      <w:r w:rsidRPr="00CE3533">
        <w:rPr>
          <w:rStyle w:val="FootnoteReference"/>
        </w:rPr>
        <w:t xml:space="preserve"> </w:t>
      </w:r>
      <w:r>
        <w:rPr>
          <w:vertAlign w:val="superscript"/>
        </w:rPr>
        <w:t>39</w:t>
      </w:r>
      <w:r>
        <w:t xml:space="preserve"> Law No. 31/1975</w:t>
      </w:r>
      <w:r w:rsidR="00FE1D8D">
        <w:t>;</w:t>
      </w:r>
      <w:r w:rsidR="00C62382" w:rsidRPr="00C62382">
        <w:t xml:space="preserve"> </w:t>
      </w:r>
      <w:r w:rsidR="00C62382">
        <w:t>Law No. 15/2021</w:t>
      </w:r>
      <w:r w:rsidR="008178EE">
        <w:t xml:space="preserve"> (Real Estate Sales Tax Law)</w:t>
      </w:r>
      <w:r>
        <w:t>.</w:t>
      </w:r>
    </w:p>
    <w:p w14:paraId="0DF9D9B2" w14:textId="77777777" w:rsidR="00422901" w:rsidRDefault="00422901">
      <w:pPr>
        <w:pStyle w:val="p"/>
      </w:pPr>
    </w:p>
  </w:footnote>
  <w:footnote w:id="44">
    <w:p w14:paraId="452139DC" w14:textId="77777777" w:rsidR="00D84736" w:rsidRDefault="00D84736">
      <w:pPr>
        <w:pStyle w:val="p"/>
      </w:pPr>
      <w:r w:rsidRPr="00CE3533">
        <w:rPr>
          <w:rStyle w:val="FootnoteReference"/>
        </w:rPr>
        <w:t xml:space="preserve"> </w:t>
      </w:r>
      <w:r>
        <w:rPr>
          <w:vertAlign w:val="superscript"/>
        </w:rPr>
        <w:t>40</w:t>
      </w:r>
      <w:r>
        <w:t xml:space="preserve"> Legislative Decree No. 29/2011 (Companies Law), arts 31, 56 and 92; Law No. 24/2003 (Income Tax Law), art. 21(c).</w:t>
      </w:r>
    </w:p>
    <w:p w14:paraId="26B58F9B" w14:textId="77777777" w:rsidR="00422901" w:rsidRDefault="00422901">
      <w:pPr>
        <w:pStyle w:val="p"/>
      </w:pPr>
    </w:p>
  </w:footnote>
  <w:footnote w:id="45">
    <w:p w14:paraId="1E52E941" w14:textId="41C86451" w:rsidR="00D84736" w:rsidRDefault="00D84736">
      <w:pPr>
        <w:pStyle w:val="p"/>
      </w:pPr>
      <w:r w:rsidRPr="00CE3533">
        <w:rPr>
          <w:rStyle w:val="FootnoteReference"/>
        </w:rPr>
        <w:t xml:space="preserve"> </w:t>
      </w:r>
      <w:r>
        <w:rPr>
          <w:vertAlign w:val="superscript"/>
        </w:rPr>
        <w:t>41</w:t>
      </w:r>
      <w:r>
        <w:t xml:space="preserve"> </w:t>
      </w:r>
      <w:r w:rsidR="008178EE">
        <w:t>Law No. 15/2021</w:t>
      </w:r>
      <w:r w:rsidR="008178EE" w:rsidDel="008178EE">
        <w:t xml:space="preserve"> </w:t>
      </w:r>
      <w:r>
        <w:t>(Real Estate</w:t>
      </w:r>
      <w:r w:rsidR="008178EE">
        <w:t xml:space="preserve"> Sales</w:t>
      </w:r>
      <w:r>
        <w:t xml:space="preserve"> Tax Law).</w:t>
      </w:r>
    </w:p>
    <w:p w14:paraId="6DCB2213" w14:textId="77777777" w:rsidR="00422901" w:rsidRDefault="00422901">
      <w:pPr>
        <w:pStyle w:val="p"/>
      </w:pPr>
    </w:p>
  </w:footnote>
  <w:footnote w:id="46">
    <w:p w14:paraId="53C30E96" w14:textId="3589437E" w:rsidR="00422901" w:rsidRDefault="00D84736">
      <w:pPr>
        <w:pStyle w:val="p"/>
      </w:pPr>
      <w:r w:rsidRPr="00CE3533">
        <w:rPr>
          <w:rStyle w:val="FootnoteReference"/>
        </w:rPr>
        <w:t xml:space="preserve"> </w:t>
      </w:r>
      <w:r>
        <w:rPr>
          <w:vertAlign w:val="superscript"/>
        </w:rPr>
        <w:t>42</w:t>
      </w:r>
      <w:r>
        <w:t xml:space="preserve"> Law No. 24/2003 (Income Tax Law), arts. 6 and 12.</w:t>
      </w:r>
    </w:p>
  </w:footnote>
  <w:footnote w:id="47">
    <w:p w14:paraId="7078074B" w14:textId="6DEF0892" w:rsidR="00422901" w:rsidRDefault="00D84736">
      <w:pPr>
        <w:pStyle w:val="p"/>
      </w:pPr>
      <w:r w:rsidRPr="00CE3533">
        <w:rPr>
          <w:rStyle w:val="FootnoteReference"/>
        </w:rPr>
        <w:t xml:space="preserve"> </w:t>
      </w:r>
      <w:r>
        <w:rPr>
          <w:vertAlign w:val="superscript"/>
        </w:rPr>
        <w:t>43</w:t>
      </w:r>
      <w:r>
        <w:t xml:space="preserve"> Law No.24/2003 (Income Tax Law), art. 61, as amended by Law No. 60/2004, art. 9.</w:t>
      </w:r>
    </w:p>
  </w:footnote>
  <w:footnote w:id="48">
    <w:p w14:paraId="2ECA87E4" w14:textId="0628B40A" w:rsidR="00422901" w:rsidRDefault="00D84736">
      <w:pPr>
        <w:pStyle w:val="p"/>
      </w:pPr>
      <w:r w:rsidRPr="00CE3533">
        <w:rPr>
          <w:rStyle w:val="FootnoteReference"/>
        </w:rPr>
        <w:t xml:space="preserve"> </w:t>
      </w:r>
      <w:r>
        <w:rPr>
          <w:vertAlign w:val="superscript"/>
        </w:rPr>
        <w:t>44</w:t>
      </w:r>
      <w:r>
        <w:t xml:space="preserve"> Law No. 24/2003 (Income Tax Law), art. 84</w:t>
      </w:r>
      <w:r w:rsidR="006520A6">
        <w:t xml:space="preserve">, as amended by Legislative Decree No. 30/2023, art. </w:t>
      </w:r>
      <w:r w:rsidR="00055D3F">
        <w:t>24</w:t>
      </w:r>
      <w:r>
        <w:t>.</w:t>
      </w:r>
    </w:p>
  </w:footnote>
  <w:footnote w:id="49">
    <w:p w14:paraId="2ACBF991" w14:textId="77777777" w:rsidR="00D84736" w:rsidRDefault="00D84736">
      <w:pPr>
        <w:pStyle w:val="p"/>
      </w:pPr>
      <w:r w:rsidRPr="00CE3533">
        <w:rPr>
          <w:rStyle w:val="FootnoteReference"/>
        </w:rPr>
        <w:t xml:space="preserve"> </w:t>
      </w:r>
      <w:r>
        <w:rPr>
          <w:vertAlign w:val="superscript"/>
        </w:rPr>
        <w:t>45</w:t>
      </w:r>
      <w:r>
        <w:t xml:space="preserve"> Law No. 24/2003 (Income Tax Law), art. 61, as amended by Law No. 60/2004, art. 9.</w:t>
      </w:r>
    </w:p>
    <w:p w14:paraId="6E31EAF1" w14:textId="77777777" w:rsidR="00422901" w:rsidRDefault="00422901">
      <w:pPr>
        <w:pStyle w:val="p"/>
      </w:pPr>
    </w:p>
  </w:footnote>
  <w:footnote w:id="50">
    <w:p w14:paraId="3967B646" w14:textId="628FA5CB" w:rsidR="00422901" w:rsidRDefault="00D84736">
      <w:pPr>
        <w:pStyle w:val="p"/>
      </w:pPr>
      <w:r w:rsidRPr="00CE3533">
        <w:rPr>
          <w:rStyle w:val="FootnoteReference"/>
        </w:rPr>
        <w:t xml:space="preserve"> </w:t>
      </w:r>
      <w:r>
        <w:rPr>
          <w:vertAlign w:val="superscript"/>
        </w:rPr>
        <w:t>46</w:t>
      </w:r>
      <w:r>
        <w:t xml:space="preserve"> Law No. 24/2003 (Income Tax Law), art. 61, as amended by Law No. 60/2004, art. 9.</w:t>
      </w:r>
    </w:p>
  </w:footnote>
  <w:footnote w:id="51">
    <w:p w14:paraId="57B7C4B2" w14:textId="3BD8457F" w:rsidR="00422901" w:rsidRDefault="00D84736">
      <w:pPr>
        <w:pStyle w:val="p"/>
      </w:pPr>
      <w:r w:rsidRPr="00CE3533">
        <w:rPr>
          <w:rStyle w:val="FootnoteReference"/>
        </w:rPr>
        <w:t xml:space="preserve"> </w:t>
      </w:r>
      <w:r>
        <w:rPr>
          <w:vertAlign w:val="superscript"/>
        </w:rPr>
        <w:t>47</w:t>
      </w:r>
      <w:r>
        <w:t xml:space="preserve"> Law No. 24/2003 (Income Tax Law), art. 61, as amended by Law No. 60/2004, art. 9.</w:t>
      </w:r>
    </w:p>
  </w:footnote>
  <w:footnote w:id="52">
    <w:p w14:paraId="1C34A5DC" w14:textId="72EEF06D" w:rsidR="00422901" w:rsidRDefault="00D84736">
      <w:pPr>
        <w:pStyle w:val="p"/>
      </w:pPr>
      <w:r w:rsidRPr="00CE3533">
        <w:rPr>
          <w:rStyle w:val="FootnoteReference"/>
        </w:rPr>
        <w:t xml:space="preserve"> </w:t>
      </w:r>
      <w:r>
        <w:rPr>
          <w:vertAlign w:val="superscript"/>
        </w:rPr>
        <w:t>48</w:t>
      </w:r>
      <w:r>
        <w:t xml:space="preserve"> Law No. 24/2003 (Income Tax Law), arts. 3 and 66.</w:t>
      </w:r>
    </w:p>
  </w:footnote>
  <w:footnote w:id="53">
    <w:p w14:paraId="6089633C" w14:textId="538A76E3" w:rsidR="00422901" w:rsidRDefault="00D84736">
      <w:pPr>
        <w:pStyle w:val="p"/>
      </w:pPr>
      <w:r w:rsidRPr="00CE3533">
        <w:rPr>
          <w:rStyle w:val="FootnoteReference"/>
        </w:rPr>
        <w:t xml:space="preserve"> </w:t>
      </w:r>
      <w:r>
        <w:rPr>
          <w:vertAlign w:val="superscript"/>
        </w:rPr>
        <w:t>49</w:t>
      </w:r>
      <w:r>
        <w:t xml:space="preserve"> </w:t>
      </w:r>
      <w:r w:rsidRPr="002F17AF">
        <w:rPr>
          <w:highlight w:val="red"/>
        </w:rPr>
        <w:t>Law No. 24/2003 (Income Tax Law), arts. 83, 84</w:t>
      </w:r>
      <w:r w:rsidR="00FA181C" w:rsidRPr="002F17AF">
        <w:rPr>
          <w:highlight w:val="red"/>
        </w:rPr>
        <w:t xml:space="preserve"> (as amended by Legislative Decree No. 30/2023</w:t>
      </w:r>
      <w:r w:rsidR="00A24FA7" w:rsidRPr="002F17AF">
        <w:rPr>
          <w:highlight w:val="red"/>
        </w:rPr>
        <w:t xml:space="preserve">, art. </w:t>
      </w:r>
      <w:r w:rsidR="00D54E74" w:rsidRPr="002F17AF">
        <w:rPr>
          <w:highlight w:val="red"/>
        </w:rPr>
        <w:t>24),</w:t>
      </w:r>
      <w:r w:rsidRPr="002F17AF">
        <w:rPr>
          <w:highlight w:val="red"/>
        </w:rPr>
        <w:t xml:space="preserve"> and 98.</w:t>
      </w:r>
    </w:p>
    <w:tbl>
      <w:tblPr>
        <w:tblStyle w:val="TableGrid"/>
        <w:tblW w:w="0" w:type="auto"/>
        <w:tblLook w:val="04A0" w:firstRow="1" w:lastRow="0" w:firstColumn="1" w:lastColumn="0" w:noHBand="0" w:noVBand="1"/>
      </w:tblPr>
      <w:tblGrid>
        <w:gridCol w:w="9350"/>
      </w:tblGrid>
      <w:tr w:rsidR="002F17AF" w14:paraId="230EA6DE" w14:textId="77777777" w:rsidTr="002F17AF">
        <w:tc>
          <w:tcPr>
            <w:tcW w:w="9350" w:type="dxa"/>
          </w:tcPr>
          <w:p w14:paraId="5986F02D" w14:textId="270B1ADF" w:rsidR="002F17AF" w:rsidRPr="00F610FF" w:rsidRDefault="002F17AF" w:rsidP="002F17AF">
            <w:pPr>
              <w:pStyle w:val="p"/>
              <w:rPr>
                <w:rFonts w:ascii="Courier New" w:hAnsi="Courier New" w:cs="Courier New"/>
              </w:rPr>
            </w:pPr>
            <w:r w:rsidRPr="00F610FF">
              <w:rPr>
                <w:rFonts w:ascii="Courier New" w:hAnsi="Courier New" w:cs="Courier New"/>
                <w:highlight w:val="cyan"/>
              </w:rPr>
              <w:t>From Innodata XML</w:t>
            </w:r>
            <w:r>
              <w:rPr>
                <w:rFonts w:ascii="Courier New" w:hAnsi="Courier New" w:cs="Courier New"/>
                <w:highlight w:val="cyan"/>
              </w:rPr>
              <w:t>, text from footnote 48 repeated in footnote 49, and footnote 49 text omitted entirely</w:t>
            </w:r>
            <w:r w:rsidRPr="00F610FF">
              <w:rPr>
                <w:rFonts w:ascii="Courier New" w:hAnsi="Courier New" w:cs="Courier New"/>
                <w:highlight w:val="cyan"/>
              </w:rPr>
              <w:t>:</w:t>
            </w:r>
          </w:p>
          <w:p w14:paraId="12A4AD9E" w14:textId="77777777" w:rsidR="002F17AF" w:rsidRPr="00901B51" w:rsidRDefault="002F17AF" w:rsidP="002F17AF">
            <w:pPr>
              <w:pStyle w:val="p"/>
              <w:spacing w:before="0"/>
              <w:ind w:firstLine="144"/>
              <w:rPr>
                <w:rFonts w:ascii="Courier New" w:hAnsi="Courier New" w:cs="Courier New"/>
                <w:sz w:val="16"/>
                <w:szCs w:val="16"/>
                <w:highlight w:val="red"/>
              </w:rPr>
            </w:pPr>
            <w:r w:rsidRPr="002F17AF">
              <w:rPr>
                <w:rFonts w:ascii="Courier New" w:hAnsi="Courier New" w:cs="Courier New"/>
                <w:sz w:val="16"/>
                <w:szCs w:val="16"/>
              </w:rPr>
              <w:t xml:space="preserve">&lt;para </w:t>
            </w:r>
            <w:proofErr w:type="spellStart"/>
            <w:proofErr w:type="gramStart"/>
            <w:r w:rsidRPr="002F17AF">
              <w:rPr>
                <w:rFonts w:ascii="Courier New" w:hAnsi="Courier New" w:cs="Courier New"/>
                <w:sz w:val="16"/>
                <w:szCs w:val="16"/>
              </w:rPr>
              <w:t>include.in.chart</w:t>
            </w:r>
            <w:proofErr w:type="spellEnd"/>
            <w:proofErr w:type="gramEnd"/>
            <w:r w:rsidRPr="002F17AF">
              <w:rPr>
                <w:rFonts w:ascii="Courier New" w:hAnsi="Courier New" w:cs="Courier New"/>
                <w:sz w:val="16"/>
                <w:szCs w:val="16"/>
              </w:rPr>
              <w:t>="1"&gt;In Syria, individuals are generally taxed only on domestic source income (income generated from activities conducted in Syria).&lt;footnote</w:t>
            </w:r>
            <w:r w:rsidRPr="00901B51">
              <w:rPr>
                <w:rFonts w:ascii="Courier New" w:hAnsi="Courier New" w:cs="Courier New"/>
                <w:sz w:val="16"/>
                <w:szCs w:val="16"/>
                <w:highlight w:val="red"/>
              </w:rPr>
              <w:t>&gt;&lt;</w:t>
            </w:r>
            <w:proofErr w:type="spellStart"/>
            <w:r w:rsidRPr="00901B51">
              <w:rPr>
                <w:rFonts w:ascii="Courier New" w:hAnsi="Courier New" w:cs="Courier New"/>
                <w:sz w:val="16"/>
                <w:szCs w:val="16"/>
                <w:highlight w:val="red"/>
              </w:rPr>
              <w:t>footnote.marker</w:t>
            </w:r>
            <w:proofErr w:type="spellEnd"/>
            <w:r w:rsidRPr="00901B51">
              <w:rPr>
                <w:rFonts w:ascii="Courier New" w:hAnsi="Courier New" w:cs="Courier New"/>
                <w:sz w:val="16"/>
                <w:szCs w:val="16"/>
                <w:highlight w:val="red"/>
              </w:rPr>
              <w:t>&gt;</w:t>
            </w:r>
          </w:p>
          <w:p w14:paraId="52A541BE" w14:textId="77777777" w:rsidR="002F17AF" w:rsidRPr="002F17AF" w:rsidRDefault="002F17AF" w:rsidP="002F17AF">
            <w:pPr>
              <w:pStyle w:val="p"/>
              <w:spacing w:before="0"/>
              <w:ind w:firstLine="144"/>
              <w:rPr>
                <w:rFonts w:ascii="Courier New" w:hAnsi="Courier New" w:cs="Courier New"/>
                <w:sz w:val="16"/>
                <w:szCs w:val="16"/>
                <w:highlight w:val="red"/>
              </w:rPr>
            </w:pPr>
            <w:r w:rsidRPr="00901B51">
              <w:rPr>
                <w:rFonts w:ascii="Courier New" w:hAnsi="Courier New" w:cs="Courier New"/>
                <w:sz w:val="16"/>
                <w:szCs w:val="16"/>
                <w:highlight w:val="red"/>
              </w:rPr>
              <w:t>&lt;superior&gt;48&lt;/superior&gt;&lt;/</w:t>
            </w:r>
            <w:proofErr w:type="gramStart"/>
            <w:r w:rsidRPr="00901B51">
              <w:rPr>
                <w:rFonts w:ascii="Courier New" w:hAnsi="Courier New" w:cs="Courier New"/>
                <w:sz w:val="16"/>
                <w:szCs w:val="16"/>
                <w:highlight w:val="red"/>
              </w:rPr>
              <w:t>footnote.marker</w:t>
            </w:r>
            <w:proofErr w:type="gramEnd"/>
            <w:r w:rsidRPr="00901B51">
              <w:rPr>
                <w:rFonts w:ascii="Courier New" w:hAnsi="Courier New" w:cs="Courier New"/>
                <w:sz w:val="16"/>
                <w:szCs w:val="16"/>
                <w:highlight w:val="red"/>
              </w:rPr>
              <w:t xml:space="preserve">&gt;&lt;footnote.text&gt;&lt;para&gt;Law No. 24/2003 (Income Tax Law), arts. 3 and </w:t>
            </w:r>
            <w:proofErr w:type="gramStart"/>
            <w:r w:rsidRPr="00901B51">
              <w:rPr>
                <w:rFonts w:ascii="Courier New" w:hAnsi="Courier New" w:cs="Courier New"/>
                <w:sz w:val="16"/>
                <w:szCs w:val="16"/>
                <w:highlight w:val="red"/>
              </w:rPr>
              <w:t>66.&lt;</w:t>
            </w:r>
            <w:proofErr w:type="gramEnd"/>
            <w:r w:rsidRPr="00901B51">
              <w:rPr>
                <w:rFonts w:ascii="Courier New" w:hAnsi="Courier New" w:cs="Courier New"/>
                <w:sz w:val="16"/>
                <w:szCs w:val="16"/>
                <w:highlight w:val="red"/>
              </w:rPr>
              <w:t>/para&gt;&lt;/</w:t>
            </w:r>
            <w:proofErr w:type="spellStart"/>
            <w:r w:rsidRPr="00901B51">
              <w:rPr>
                <w:rFonts w:ascii="Courier New" w:hAnsi="Courier New" w:cs="Courier New"/>
                <w:sz w:val="16"/>
                <w:szCs w:val="16"/>
                <w:highlight w:val="red"/>
              </w:rPr>
              <w:t>footnote.text</w:t>
            </w:r>
            <w:proofErr w:type="spellEnd"/>
            <w:r w:rsidRPr="00901B51">
              <w:rPr>
                <w:rFonts w:ascii="Courier New" w:hAnsi="Courier New" w:cs="Courier New"/>
                <w:sz w:val="16"/>
                <w:szCs w:val="16"/>
                <w:highlight w:val="red"/>
              </w:rPr>
              <w:t>&gt;&lt;/footnote&gt;</w:t>
            </w:r>
            <w:r w:rsidRPr="002F17AF">
              <w:rPr>
                <w:rFonts w:ascii="Courier New" w:hAnsi="Courier New" w:cs="Courier New"/>
                <w:sz w:val="16"/>
                <w:szCs w:val="16"/>
              </w:rPr>
              <w:t xml:space="preserve"> Exceptions include the tax on capital income, which is levied at a rate of 10 percent on qualifying foreign-source income (from September 1, 2023; previously 7.5 percent</w:t>
            </w:r>
            <w:r w:rsidRPr="002F17AF">
              <w:rPr>
                <w:rFonts w:ascii="Courier New" w:hAnsi="Courier New" w:cs="Courier New"/>
                <w:sz w:val="16"/>
                <w:szCs w:val="16"/>
                <w:highlight w:val="red"/>
              </w:rPr>
              <w:t>).&lt;footnote&gt;&lt;</w:t>
            </w:r>
            <w:proofErr w:type="spellStart"/>
            <w:r w:rsidRPr="002F17AF">
              <w:rPr>
                <w:rFonts w:ascii="Courier New" w:hAnsi="Courier New" w:cs="Courier New"/>
                <w:sz w:val="16"/>
                <w:szCs w:val="16"/>
                <w:highlight w:val="red"/>
              </w:rPr>
              <w:t>footnote.marker</w:t>
            </w:r>
            <w:proofErr w:type="spellEnd"/>
            <w:r w:rsidRPr="002F17AF">
              <w:rPr>
                <w:rFonts w:ascii="Courier New" w:hAnsi="Courier New" w:cs="Courier New"/>
                <w:sz w:val="16"/>
                <w:szCs w:val="16"/>
                <w:highlight w:val="red"/>
              </w:rPr>
              <w:t>&gt;</w:t>
            </w:r>
          </w:p>
          <w:p w14:paraId="28D7EA78" w14:textId="77777777" w:rsidR="002F17AF" w:rsidRPr="002F17AF" w:rsidRDefault="002F17AF" w:rsidP="002F17AF">
            <w:pPr>
              <w:pStyle w:val="p"/>
              <w:spacing w:before="0"/>
              <w:ind w:firstLine="144"/>
              <w:rPr>
                <w:rFonts w:ascii="Courier New" w:hAnsi="Courier New" w:cs="Courier New"/>
                <w:sz w:val="16"/>
                <w:szCs w:val="16"/>
              </w:rPr>
            </w:pPr>
            <w:r w:rsidRPr="002F17AF">
              <w:rPr>
                <w:rFonts w:ascii="Courier New" w:hAnsi="Courier New" w:cs="Courier New"/>
                <w:sz w:val="16"/>
                <w:szCs w:val="16"/>
                <w:highlight w:val="red"/>
              </w:rPr>
              <w:t>&lt;superior&gt;49&lt;/superior&gt;&lt;/</w:t>
            </w:r>
            <w:proofErr w:type="gramStart"/>
            <w:r w:rsidRPr="002F17AF">
              <w:rPr>
                <w:rFonts w:ascii="Courier New" w:hAnsi="Courier New" w:cs="Courier New"/>
                <w:sz w:val="16"/>
                <w:szCs w:val="16"/>
                <w:highlight w:val="red"/>
              </w:rPr>
              <w:t>footnote.marker</w:t>
            </w:r>
            <w:proofErr w:type="gramEnd"/>
            <w:r w:rsidRPr="002F17AF">
              <w:rPr>
                <w:rFonts w:ascii="Courier New" w:hAnsi="Courier New" w:cs="Courier New"/>
                <w:sz w:val="16"/>
                <w:szCs w:val="16"/>
                <w:highlight w:val="red"/>
              </w:rPr>
              <w:t xml:space="preserve">&gt;&lt;footnote.text&gt;&lt;para&gt;Law No. 24/2003 (Income Tax Law), arts. 3 and </w:t>
            </w:r>
            <w:proofErr w:type="gramStart"/>
            <w:r w:rsidRPr="002F17AF">
              <w:rPr>
                <w:rFonts w:ascii="Courier New" w:hAnsi="Courier New" w:cs="Courier New"/>
                <w:sz w:val="16"/>
                <w:szCs w:val="16"/>
                <w:highlight w:val="red"/>
              </w:rPr>
              <w:t>66.&lt;</w:t>
            </w:r>
            <w:proofErr w:type="gramEnd"/>
            <w:r w:rsidRPr="002F17AF">
              <w:rPr>
                <w:rFonts w:ascii="Courier New" w:hAnsi="Courier New" w:cs="Courier New"/>
                <w:sz w:val="16"/>
                <w:szCs w:val="16"/>
                <w:highlight w:val="red"/>
              </w:rPr>
              <w:t>/para&gt;&lt;/</w:t>
            </w:r>
            <w:proofErr w:type="spellStart"/>
            <w:r w:rsidRPr="002F17AF">
              <w:rPr>
                <w:rFonts w:ascii="Courier New" w:hAnsi="Courier New" w:cs="Courier New"/>
                <w:sz w:val="16"/>
                <w:szCs w:val="16"/>
                <w:highlight w:val="red"/>
              </w:rPr>
              <w:t>footnote.text</w:t>
            </w:r>
            <w:proofErr w:type="spellEnd"/>
            <w:r w:rsidRPr="002F17AF">
              <w:rPr>
                <w:rFonts w:ascii="Courier New" w:hAnsi="Courier New" w:cs="Courier New"/>
                <w:sz w:val="16"/>
                <w:szCs w:val="16"/>
                <w:highlight w:val="red"/>
              </w:rPr>
              <w:t>&gt;&lt;/footnote</w:t>
            </w:r>
            <w:r w:rsidRPr="002F17AF">
              <w:rPr>
                <w:rFonts w:ascii="Courier New" w:hAnsi="Courier New" w:cs="Courier New"/>
                <w:sz w:val="16"/>
                <w:szCs w:val="16"/>
              </w:rPr>
              <w:t>&gt;&lt;/para&gt;</w:t>
            </w:r>
          </w:p>
          <w:p w14:paraId="3197AE83" w14:textId="7E4ACC44" w:rsidR="002F17AF" w:rsidRDefault="002F17AF" w:rsidP="002F17AF">
            <w:pPr>
              <w:pStyle w:val="p"/>
              <w:ind w:firstLine="0"/>
            </w:pPr>
            <w:r>
              <w:t xml:space="preserve">       </w:t>
            </w:r>
          </w:p>
        </w:tc>
      </w:tr>
    </w:tbl>
    <w:p w14:paraId="040EA843" w14:textId="77777777" w:rsidR="002F17AF" w:rsidRDefault="002F17AF">
      <w:pPr>
        <w:pStyle w:val="p"/>
      </w:pPr>
    </w:p>
  </w:footnote>
  <w:footnote w:id="54">
    <w:p w14:paraId="47756F11" w14:textId="01FFD4E2" w:rsidR="00422901" w:rsidRDefault="00D84736">
      <w:pPr>
        <w:pStyle w:val="p"/>
      </w:pPr>
      <w:r w:rsidRPr="00CE3533">
        <w:rPr>
          <w:rStyle w:val="FootnoteReference"/>
        </w:rPr>
        <w:t xml:space="preserve"> </w:t>
      </w:r>
      <w:r>
        <w:rPr>
          <w:vertAlign w:val="superscript"/>
        </w:rPr>
        <w:t>50</w:t>
      </w:r>
      <w:r>
        <w:t xml:space="preserve"> Law No. 24/2003 (Income Tax Law), art 68, as amended by Legislative Decree No. 48/2005, art. 1.</w:t>
      </w:r>
    </w:p>
  </w:footnote>
  <w:footnote w:id="55">
    <w:p w14:paraId="58D3B5E8" w14:textId="1DE5CE18" w:rsidR="00422901" w:rsidRDefault="00D84736">
      <w:pPr>
        <w:pStyle w:val="p"/>
      </w:pPr>
      <w:r w:rsidRPr="00CE3533">
        <w:rPr>
          <w:rStyle w:val="FootnoteReference"/>
        </w:rPr>
        <w:t xml:space="preserve"> </w:t>
      </w:r>
      <w:r>
        <w:rPr>
          <w:vertAlign w:val="superscript"/>
        </w:rPr>
        <w:t>51</w:t>
      </w:r>
      <w:r>
        <w:t xml:space="preserve"> Law No. 24/2003 (Income Tax Law), arts. 83, 84</w:t>
      </w:r>
      <w:r w:rsidR="00D54E74">
        <w:t xml:space="preserve"> (as amended by Legislative Decree No. 30/2023, art. 24),</w:t>
      </w:r>
      <w:r>
        <w:t xml:space="preserve"> and 98.</w:t>
      </w:r>
    </w:p>
  </w:footnote>
  <w:footnote w:id="56">
    <w:p w14:paraId="25919892" w14:textId="59A2E412" w:rsidR="00422901" w:rsidRDefault="00D84736">
      <w:pPr>
        <w:pStyle w:val="p"/>
      </w:pPr>
      <w:r w:rsidRPr="00CE3533">
        <w:rPr>
          <w:rStyle w:val="FootnoteReference"/>
        </w:rPr>
        <w:t xml:space="preserve"> </w:t>
      </w:r>
      <w:r>
        <w:rPr>
          <w:vertAlign w:val="superscript"/>
        </w:rPr>
        <w:t>52</w:t>
      </w:r>
      <w:r>
        <w:t xml:space="preserve"> Law No. 24/2003 (Income Tax Law), art. 20</w:t>
      </w:r>
      <w:r w:rsidR="004D029D">
        <w:t xml:space="preserve">, as amended by Legislative Decree </w:t>
      </w:r>
      <w:r w:rsidR="00E41029">
        <w:t xml:space="preserve">No. </w:t>
      </w:r>
      <w:r w:rsidR="004D029D">
        <w:t xml:space="preserve">30/2023, art. </w:t>
      </w:r>
      <w:r w:rsidR="00123F36">
        <w:t>10</w:t>
      </w:r>
      <w:r>
        <w:t>.</w:t>
      </w:r>
    </w:p>
  </w:footnote>
  <w:footnote w:id="57">
    <w:p w14:paraId="6EAC2F2A" w14:textId="44DB495D" w:rsidR="00232031" w:rsidRDefault="00232031" w:rsidP="00232031">
      <w:pPr>
        <w:pStyle w:val="p"/>
      </w:pPr>
      <w:r w:rsidRPr="00CE3533">
        <w:rPr>
          <w:rStyle w:val="FootnoteReference"/>
        </w:rPr>
        <w:t xml:space="preserve"> </w:t>
      </w:r>
      <w:r>
        <w:rPr>
          <w:vertAlign w:val="superscript"/>
        </w:rPr>
        <w:t>53</w:t>
      </w:r>
      <w:r>
        <w:t xml:space="preserve"> Law No. 24/2003 (Income Tax Law), art. 6</w:t>
      </w:r>
      <w:r w:rsidR="00C02078">
        <w:t>8</w:t>
      </w:r>
      <w:r>
        <w:t xml:space="preserve">(a), as amended by Legislative Decree No. </w:t>
      </w:r>
      <w:r w:rsidR="00C02078">
        <w:t>30</w:t>
      </w:r>
      <w:r>
        <w:t>/20</w:t>
      </w:r>
      <w:r w:rsidR="00C02078">
        <w:t>23</w:t>
      </w:r>
      <w:r>
        <w:t>, art</w:t>
      </w:r>
      <w:r w:rsidR="00403D5D">
        <w:t>.</w:t>
      </w:r>
      <w:r>
        <w:t xml:space="preserve"> </w:t>
      </w:r>
      <w:r w:rsidR="00403D5D">
        <w:t>19</w:t>
      </w:r>
      <w:r>
        <w:t>.</w:t>
      </w:r>
    </w:p>
  </w:footnote>
  <w:footnote w:id="58">
    <w:p w14:paraId="3102DF03" w14:textId="3351ED67" w:rsidR="000D51D8" w:rsidRPr="00C94E42" w:rsidRDefault="000D51D8">
      <w:pPr>
        <w:pStyle w:val="FootnoteText"/>
        <w:rPr>
          <w:lang w:val="en-GB"/>
        </w:rPr>
      </w:pPr>
      <w:r>
        <w:rPr>
          <w:rStyle w:val="FootnoteReference"/>
        </w:rPr>
        <w:footnoteRef/>
      </w:r>
      <w:r>
        <w:t xml:space="preserve"> Law No. 24/2003 (Income Tax Law), art. 68(</w:t>
      </w:r>
      <w:r w:rsidR="00403D5D">
        <w:t>b</w:t>
      </w:r>
      <w:r>
        <w:t>), as amended by Legislative Decree No. 30/2023, art</w:t>
      </w:r>
      <w:r w:rsidR="00403D5D">
        <w:t>.</w:t>
      </w:r>
      <w:r>
        <w:t xml:space="preserve"> </w:t>
      </w:r>
      <w:r w:rsidR="000F17F4">
        <w:t>19</w:t>
      </w:r>
      <w:r>
        <w:t>.</w:t>
      </w:r>
    </w:p>
  </w:footnote>
  <w:footnote w:id="59">
    <w:p w14:paraId="086E36A5" w14:textId="3B6F0487" w:rsidR="00422901" w:rsidRDefault="00D84736">
      <w:pPr>
        <w:pStyle w:val="p"/>
      </w:pPr>
      <w:r w:rsidRPr="00CE3533">
        <w:rPr>
          <w:rStyle w:val="FootnoteReference"/>
        </w:rPr>
        <w:t xml:space="preserve"> </w:t>
      </w:r>
      <w:r>
        <w:rPr>
          <w:vertAlign w:val="superscript"/>
        </w:rPr>
        <w:t>54</w:t>
      </w:r>
      <w:r>
        <w:t xml:space="preserve"> Law No. 24/2003 (Income Tax Law), arts. 83, 84</w:t>
      </w:r>
      <w:r w:rsidR="00C66C8A">
        <w:t xml:space="preserve"> (as amended by Legislative Decree No. 30/2023, art. 24),</w:t>
      </w:r>
      <w:r>
        <w:t xml:space="preserve"> and 98.</w:t>
      </w:r>
    </w:p>
  </w:footnote>
  <w:footnote w:id="60">
    <w:p w14:paraId="4C133C00" w14:textId="612A606C" w:rsidR="00422901" w:rsidRDefault="00D84736">
      <w:pPr>
        <w:pStyle w:val="p"/>
      </w:pPr>
      <w:r w:rsidRPr="00CE3533">
        <w:rPr>
          <w:rStyle w:val="FootnoteReference"/>
        </w:rPr>
        <w:t xml:space="preserve"> </w:t>
      </w:r>
      <w:r>
        <w:rPr>
          <w:vertAlign w:val="superscript"/>
        </w:rPr>
        <w:t>55</w:t>
      </w:r>
      <w:r>
        <w:t xml:space="preserve"> Law No. 24/2003 (Income Tax Law), arts. 83–103.</w:t>
      </w:r>
    </w:p>
  </w:footnote>
  <w:footnote w:id="61">
    <w:p w14:paraId="5FD9047B" w14:textId="05147F3B" w:rsidR="00E43CA5" w:rsidRPr="00C94E42" w:rsidRDefault="00E43CA5">
      <w:pPr>
        <w:pStyle w:val="FootnoteText"/>
        <w:rPr>
          <w:lang w:val="en-GB"/>
        </w:rPr>
      </w:pPr>
      <w:r>
        <w:rPr>
          <w:rStyle w:val="FootnoteReference"/>
        </w:rPr>
        <w:footnoteRef/>
      </w:r>
      <w:r>
        <w:t xml:space="preserve"> Law No. 24/2003 (Income Tax Law), art. </w:t>
      </w:r>
      <w:r w:rsidR="0055442D">
        <w:t>77</w:t>
      </w:r>
      <w:r>
        <w:t xml:space="preserve">, as amended by Legislative Decree No. 30/2023, art. </w:t>
      </w:r>
      <w:r w:rsidR="0084695A">
        <w:t>22</w:t>
      </w:r>
      <w:r>
        <w:t>.</w:t>
      </w:r>
    </w:p>
  </w:footnote>
  <w:footnote w:id="62">
    <w:p w14:paraId="099F18D7" w14:textId="38C62F5B" w:rsidR="00422901" w:rsidRDefault="00D84736">
      <w:pPr>
        <w:pStyle w:val="p"/>
      </w:pPr>
      <w:r w:rsidRPr="00CE3533">
        <w:rPr>
          <w:rStyle w:val="FootnoteReference"/>
        </w:rPr>
        <w:t xml:space="preserve"> </w:t>
      </w:r>
      <w:r>
        <w:rPr>
          <w:vertAlign w:val="superscript"/>
        </w:rPr>
        <w:t>56</w:t>
      </w:r>
      <w:r>
        <w:t xml:space="preserve"> Law No. 24/2003 (Income Tax Law), art. 13(a)(2), as amended by Legislative Decree No. 51/2006, art. 2.</w:t>
      </w:r>
    </w:p>
  </w:footnote>
  <w:footnote w:id="63">
    <w:p w14:paraId="122323D8" w14:textId="1FB332D2" w:rsidR="00422901" w:rsidRDefault="00D84736">
      <w:pPr>
        <w:pStyle w:val="p"/>
      </w:pPr>
      <w:r w:rsidRPr="00CE3533">
        <w:rPr>
          <w:rStyle w:val="FootnoteReference"/>
        </w:rPr>
        <w:t xml:space="preserve"> </w:t>
      </w:r>
      <w:r>
        <w:rPr>
          <w:vertAlign w:val="superscript"/>
        </w:rPr>
        <w:t>57</w:t>
      </w:r>
      <w:r>
        <w:t xml:space="preserve"> Law No. 24/2003 (Income Tax Law), art. 14(d).</w:t>
      </w:r>
    </w:p>
  </w:footnote>
  <w:footnote w:id="64">
    <w:p w14:paraId="77FC4CA4" w14:textId="05B99A8B" w:rsidR="00422901" w:rsidRDefault="00D84736">
      <w:pPr>
        <w:pStyle w:val="p"/>
      </w:pPr>
      <w:r w:rsidRPr="00CE3533">
        <w:rPr>
          <w:rStyle w:val="FootnoteReference"/>
        </w:rPr>
        <w:t xml:space="preserve"> </w:t>
      </w:r>
      <w:r>
        <w:rPr>
          <w:vertAlign w:val="superscript"/>
        </w:rPr>
        <w:t>58</w:t>
      </w:r>
      <w:r>
        <w:t xml:space="preserve"> Law No. 24/2003 (Income Tax Law), art. 107.</w:t>
      </w:r>
    </w:p>
  </w:footnote>
  <w:footnote w:id="65">
    <w:p w14:paraId="385B42E4" w14:textId="6E60EF1C" w:rsidR="00422901" w:rsidRDefault="00D84736">
      <w:pPr>
        <w:pStyle w:val="p"/>
      </w:pPr>
      <w:r w:rsidRPr="00CE3533">
        <w:rPr>
          <w:rStyle w:val="FootnoteReference"/>
        </w:rPr>
        <w:t xml:space="preserve"> </w:t>
      </w:r>
      <w:r>
        <w:rPr>
          <w:vertAlign w:val="superscript"/>
        </w:rPr>
        <w:t>59</w:t>
      </w:r>
      <w:r>
        <w:t xml:space="preserve"> Based on Syrian common law, which prohibits more than one tax being levied on the same item of income.</w:t>
      </w:r>
    </w:p>
  </w:footnote>
  <w:footnote w:id="66">
    <w:p w14:paraId="50F1F1C9" w14:textId="0ED84F5F" w:rsidR="00422901" w:rsidRDefault="00D84736">
      <w:pPr>
        <w:pStyle w:val="p"/>
      </w:pPr>
      <w:r w:rsidRPr="00CE3533">
        <w:rPr>
          <w:rStyle w:val="FootnoteReference"/>
        </w:rPr>
        <w:t xml:space="preserve"> </w:t>
      </w:r>
      <w:r>
        <w:rPr>
          <w:vertAlign w:val="superscript"/>
        </w:rPr>
        <w:t>60</w:t>
      </w:r>
      <w:r>
        <w:t xml:space="preserve"> Law </w:t>
      </w:r>
      <w:r w:rsidR="009225C2">
        <w:t xml:space="preserve">No. </w:t>
      </w:r>
      <w:r>
        <w:t>24/2003 (Income Tax Law), arts. 83 and 84</w:t>
      </w:r>
      <w:r w:rsidR="007A5EAE">
        <w:t xml:space="preserve"> (as amended by Legislative Decree No. 30/2023, art. 24)</w:t>
      </w:r>
      <w:r>
        <w:t>.</w:t>
      </w:r>
    </w:p>
  </w:footnote>
  <w:footnote w:id="67">
    <w:p w14:paraId="59D2D42F" w14:textId="5D4D4047" w:rsidR="00422901" w:rsidRDefault="00D84736">
      <w:pPr>
        <w:pStyle w:val="p"/>
      </w:pPr>
      <w:r w:rsidRPr="00CE3533">
        <w:rPr>
          <w:rStyle w:val="FootnoteReference"/>
        </w:rPr>
        <w:t xml:space="preserve"> </w:t>
      </w:r>
      <w:r>
        <w:rPr>
          <w:vertAlign w:val="superscript"/>
        </w:rPr>
        <w:t>61</w:t>
      </w:r>
      <w:r>
        <w:t xml:space="preserve"> Law No. 24/2003 (Income Tax Law), arts. 83 and 84</w:t>
      </w:r>
      <w:r w:rsidR="009225C2">
        <w:t xml:space="preserve"> (as amended by Legislative Decree No. 30/2023, art. 24)</w:t>
      </w:r>
      <w:r>
        <w:t>.</w:t>
      </w:r>
    </w:p>
  </w:footnote>
  <w:footnote w:id="68">
    <w:p w14:paraId="3ECCA4FD" w14:textId="48281E51" w:rsidR="00422901" w:rsidRDefault="00D84736">
      <w:pPr>
        <w:pStyle w:val="p"/>
      </w:pPr>
      <w:r w:rsidRPr="00CE3533">
        <w:rPr>
          <w:rStyle w:val="FootnoteReference"/>
        </w:rPr>
        <w:t xml:space="preserve"> </w:t>
      </w:r>
      <w:r>
        <w:rPr>
          <w:vertAlign w:val="superscript"/>
        </w:rPr>
        <w:t>62</w:t>
      </w:r>
      <w:r>
        <w:t xml:space="preserve"> Law No. 24/2003 (Income Tax Law), art. 105.</w:t>
      </w:r>
    </w:p>
  </w:footnote>
  <w:footnote w:id="69">
    <w:p w14:paraId="46CE6118" w14:textId="0DAAC3E9" w:rsidR="00422901" w:rsidRDefault="00D84736">
      <w:pPr>
        <w:pStyle w:val="p"/>
      </w:pPr>
      <w:r w:rsidRPr="00CE3533">
        <w:rPr>
          <w:rStyle w:val="FootnoteReference"/>
        </w:rPr>
        <w:t xml:space="preserve"> </w:t>
      </w:r>
      <w:r>
        <w:rPr>
          <w:vertAlign w:val="superscript"/>
        </w:rPr>
        <w:t>63</w:t>
      </w:r>
      <w:r>
        <w:t xml:space="preserve"> Law No. 24/2003 (Income Tax Law), arts. 83, 84</w:t>
      </w:r>
      <w:r w:rsidR="009225C2">
        <w:t xml:space="preserve"> (</w:t>
      </w:r>
      <w:r w:rsidR="00E30DB1">
        <w:t>as amended by Legislative Decree No. 30/2023, art. 24</w:t>
      </w:r>
      <w:r w:rsidR="009225C2">
        <w:t>),</w:t>
      </w:r>
      <w:r>
        <w:t xml:space="preserve"> and 98.</w:t>
      </w:r>
    </w:p>
  </w:footnote>
  <w:footnote w:id="70">
    <w:p w14:paraId="3358ED86" w14:textId="65F6A82A" w:rsidR="00422901" w:rsidRDefault="00D84736">
      <w:pPr>
        <w:pStyle w:val="p"/>
      </w:pPr>
      <w:r w:rsidRPr="00CE3533">
        <w:rPr>
          <w:rStyle w:val="FootnoteReference"/>
        </w:rPr>
        <w:t xml:space="preserve"> </w:t>
      </w:r>
      <w:r>
        <w:rPr>
          <w:vertAlign w:val="superscript"/>
        </w:rPr>
        <w:t>64</w:t>
      </w:r>
      <w:r>
        <w:t xml:space="preserve"> Law No. 24/2003 (Income Tax Law), art. 105.</w:t>
      </w:r>
    </w:p>
  </w:footnote>
  <w:footnote w:id="71">
    <w:p w14:paraId="759CEE0A" w14:textId="77777777" w:rsidR="00D84736" w:rsidRDefault="00D84736">
      <w:pPr>
        <w:pStyle w:val="p"/>
      </w:pPr>
      <w:r w:rsidRPr="00CE3533">
        <w:rPr>
          <w:rStyle w:val="FootnoteReference"/>
        </w:rPr>
        <w:t xml:space="preserve"> </w:t>
      </w:r>
      <w:r>
        <w:rPr>
          <w:vertAlign w:val="superscript"/>
        </w:rPr>
        <w:t>65</w:t>
      </w:r>
      <w:r>
        <w:t xml:space="preserve"> Law No. 24/2003 (Income Tax Law), art. 11.</w:t>
      </w:r>
    </w:p>
    <w:p w14:paraId="2064F6F6" w14:textId="77777777" w:rsidR="00422901" w:rsidRDefault="00422901">
      <w:pPr>
        <w:pStyle w:val="p"/>
      </w:pPr>
    </w:p>
  </w:footnote>
  <w:footnote w:id="72">
    <w:p w14:paraId="372A041E" w14:textId="77777777" w:rsidR="00D84736" w:rsidRDefault="00D84736">
      <w:pPr>
        <w:pStyle w:val="p"/>
      </w:pPr>
      <w:r w:rsidRPr="00CE3533">
        <w:rPr>
          <w:rStyle w:val="FootnoteReference"/>
        </w:rPr>
        <w:t xml:space="preserve"> </w:t>
      </w:r>
      <w:r>
        <w:rPr>
          <w:vertAlign w:val="superscript"/>
        </w:rPr>
        <w:t>69</w:t>
      </w:r>
      <w:r>
        <w:t xml:space="preserve"> Legislative Decree No. 44/2005, Annex, Table No. 1, items 7 and 8, as amended by Legislative Decree No, 24/2011, art. 4.</w:t>
      </w:r>
    </w:p>
    <w:p w14:paraId="61ECC0D2" w14:textId="77777777" w:rsidR="00422901" w:rsidRDefault="00422901">
      <w:pPr>
        <w:pStyle w:val="p"/>
      </w:pPr>
    </w:p>
  </w:footnote>
  <w:footnote w:id="73">
    <w:p w14:paraId="50F821C8" w14:textId="38001392" w:rsidR="00C62027" w:rsidRPr="009725A8" w:rsidRDefault="00C62027">
      <w:pPr>
        <w:pStyle w:val="FootnoteText"/>
      </w:pPr>
      <w:r>
        <w:rPr>
          <w:rStyle w:val="FootnoteReference"/>
        </w:rPr>
        <w:footnoteRef/>
      </w:r>
      <w:r>
        <w:t xml:space="preserve"> Law No. 15/2021 (Real Estate </w:t>
      </w:r>
      <w:r w:rsidR="007D44AE">
        <w:t xml:space="preserve">Sales </w:t>
      </w:r>
      <w:r>
        <w:t>Tax Law), art. 5.</w:t>
      </w:r>
    </w:p>
  </w:footnote>
  <w:footnote w:id="74">
    <w:p w14:paraId="2355ACBC" w14:textId="079CDDCF" w:rsidR="00DF2724" w:rsidRPr="009725A8" w:rsidRDefault="00DF2724">
      <w:pPr>
        <w:pStyle w:val="FootnoteText"/>
      </w:pPr>
      <w:r>
        <w:rPr>
          <w:rStyle w:val="FootnoteReference"/>
        </w:rPr>
        <w:footnoteRef/>
      </w:r>
      <w:r>
        <w:t xml:space="preserve"> </w:t>
      </w:r>
      <w:r w:rsidR="002033B1">
        <w:t>Law No. 15/2021</w:t>
      </w:r>
      <w:r w:rsidR="00D935AB">
        <w:t xml:space="preserve"> (Real Estate Sales Tax Law)</w:t>
      </w:r>
      <w:r w:rsidR="002033B1">
        <w:t>, art. 7.</w:t>
      </w:r>
    </w:p>
  </w:footnote>
  <w:footnote w:id="75">
    <w:p w14:paraId="26D9985A" w14:textId="53AA5CB9" w:rsidR="00316F61" w:rsidRPr="00DB32A0" w:rsidRDefault="00316F61">
      <w:pPr>
        <w:pStyle w:val="FootnoteText"/>
      </w:pPr>
      <w:r>
        <w:rPr>
          <w:rStyle w:val="FootnoteReference"/>
        </w:rPr>
        <w:footnoteRef/>
      </w:r>
      <w:r>
        <w:t xml:space="preserve"> </w:t>
      </w:r>
      <w:r w:rsidR="00DB32A0" w:rsidRPr="00314C80">
        <w:rPr>
          <w:lang w:val="en-GB"/>
        </w:rPr>
        <w:t>Prime Ministry Decision No. 7 M.W. dated February 13, 2022</w:t>
      </w:r>
      <w:r w:rsidR="00DB32A0">
        <w:rPr>
          <w:lang w:val="en-GB"/>
        </w:rPr>
        <w:t xml:space="preserve">; </w:t>
      </w:r>
      <w:r w:rsidR="00DB32A0" w:rsidRPr="00DB32A0">
        <w:rPr>
          <w:lang w:val="en-GB"/>
        </w:rPr>
        <w:t>Prime Ministry Decision No. 9 M.W. dated February 1, 2023</w:t>
      </w:r>
      <w:r w:rsidR="00DB32A0">
        <w:rPr>
          <w:lang w:val="en-GB"/>
        </w:rPr>
        <w:t>.</w:t>
      </w:r>
    </w:p>
  </w:footnote>
  <w:footnote w:id="76">
    <w:p w14:paraId="20D05E8C" w14:textId="44446799" w:rsidR="00FC5888" w:rsidRPr="00FC5888" w:rsidRDefault="00FC5888">
      <w:pPr>
        <w:pStyle w:val="FootnoteText"/>
      </w:pPr>
      <w:r>
        <w:rPr>
          <w:rStyle w:val="FootnoteReference"/>
        </w:rPr>
        <w:footnoteRef/>
      </w:r>
      <w:r>
        <w:t xml:space="preserve"> Law No. 15/2021</w:t>
      </w:r>
      <w:r w:rsidR="00D935AB">
        <w:t xml:space="preserve"> (Real Estate Sales Tax Law)</w:t>
      </w:r>
      <w:r>
        <w:t>, art. 16.</w:t>
      </w:r>
    </w:p>
  </w:footnote>
  <w:footnote w:id="77">
    <w:p w14:paraId="78185C2E" w14:textId="77777777" w:rsidR="00D84736" w:rsidRDefault="00D84736">
      <w:pPr>
        <w:pStyle w:val="p"/>
      </w:pPr>
      <w:r w:rsidRPr="00CE3533">
        <w:rPr>
          <w:rStyle w:val="FootnoteReference"/>
        </w:rPr>
        <w:t xml:space="preserve"> </w:t>
      </w:r>
      <w:r>
        <w:rPr>
          <w:vertAlign w:val="superscript"/>
        </w:rPr>
        <w:t>77</w:t>
      </w:r>
      <w:r>
        <w:t xml:space="preserve"> The local administration fee is set annually by the local authorities.</w:t>
      </w:r>
    </w:p>
    <w:p w14:paraId="5995570E" w14:textId="77777777" w:rsidR="00422901" w:rsidRDefault="00422901">
      <w:pPr>
        <w:pStyle w:val="p"/>
      </w:pPr>
    </w:p>
  </w:footnote>
  <w:footnote w:id="78">
    <w:p w14:paraId="5139A826" w14:textId="77777777" w:rsidR="00D84736" w:rsidRDefault="00D84736">
      <w:pPr>
        <w:pStyle w:val="p"/>
      </w:pPr>
      <w:r w:rsidRPr="00CE3533">
        <w:rPr>
          <w:rStyle w:val="FootnoteReference"/>
        </w:rPr>
        <w:t xml:space="preserve"> </w:t>
      </w:r>
      <w:r>
        <w:rPr>
          <w:vertAlign w:val="superscript"/>
        </w:rPr>
        <w:t>78</w:t>
      </w:r>
      <w:r>
        <w:t xml:space="preserve"> Law No. 13/2013, art. 1, as amended by Legislative Decree No. 3/2016, art. 1, and subsequently amended by Law No. 46/2017, art. 1.</w:t>
      </w:r>
    </w:p>
    <w:p w14:paraId="2BF4A182" w14:textId="77777777" w:rsidR="00422901" w:rsidRDefault="00422901">
      <w:pPr>
        <w:pStyle w:val="p"/>
      </w:pPr>
    </w:p>
  </w:footnote>
  <w:footnote w:id="79">
    <w:p w14:paraId="3247F348" w14:textId="4D4F9D52" w:rsidR="002E34FC" w:rsidRPr="00C94E42" w:rsidRDefault="002E34FC">
      <w:pPr>
        <w:pStyle w:val="FootnoteText"/>
        <w:rPr>
          <w:lang w:val="en-GB"/>
        </w:rPr>
      </w:pPr>
      <w:r>
        <w:rPr>
          <w:rStyle w:val="FootnoteReference"/>
        </w:rPr>
        <w:footnoteRef/>
      </w:r>
      <w:r>
        <w:t xml:space="preserve"> </w:t>
      </w:r>
      <w:r w:rsidR="002820FC">
        <w:t xml:space="preserve">Law No. 24/2003 (Income Tax Law), art. </w:t>
      </w:r>
      <w:r w:rsidR="00D61FBA">
        <w:t>1</w:t>
      </w:r>
      <w:r w:rsidR="002820FC">
        <w:t>6</w:t>
      </w:r>
      <w:r w:rsidR="00D61FBA">
        <w:t>(</w:t>
      </w:r>
      <w:r w:rsidR="003F6340">
        <w:t>b</w:t>
      </w:r>
      <w:r w:rsidR="00D61FBA">
        <w:t>)</w:t>
      </w:r>
      <w:r w:rsidR="002820FC">
        <w:t>, as amended by Legislative Decree No.</w:t>
      </w:r>
      <w:r w:rsidR="00D61FBA">
        <w:t xml:space="preserve"> 30/2023, art. 4.</w:t>
      </w:r>
    </w:p>
  </w:footnote>
  <w:footnote w:id="80">
    <w:p w14:paraId="1471FB56" w14:textId="77777777" w:rsidR="00D84736" w:rsidRDefault="00D84736">
      <w:pPr>
        <w:pStyle w:val="p"/>
      </w:pPr>
      <w:r w:rsidRPr="00CE3533">
        <w:rPr>
          <w:rStyle w:val="FootnoteReference"/>
        </w:rPr>
        <w:t xml:space="preserve"> </w:t>
      </w:r>
      <w:r>
        <w:rPr>
          <w:vertAlign w:val="superscript"/>
        </w:rPr>
        <w:t>80</w:t>
      </w:r>
      <w:r>
        <w:t xml:space="preserve"> Law No. 60/2004, art. 1.</w:t>
      </w:r>
    </w:p>
    <w:p w14:paraId="73C3DEBE" w14:textId="77777777" w:rsidR="00422901" w:rsidRDefault="00422901">
      <w:pPr>
        <w:pStyle w:val="p"/>
      </w:pPr>
    </w:p>
  </w:footnote>
  <w:footnote w:id="81">
    <w:p w14:paraId="0E35BD66" w14:textId="79FE8C94" w:rsidR="0020334D" w:rsidRPr="00C94E42" w:rsidRDefault="0020334D">
      <w:pPr>
        <w:pStyle w:val="FootnoteText"/>
        <w:rPr>
          <w:lang w:val="en-GB"/>
        </w:rPr>
      </w:pPr>
      <w:r>
        <w:rPr>
          <w:rStyle w:val="FootnoteReference"/>
        </w:rPr>
        <w:footnoteRef/>
      </w:r>
      <w:r>
        <w:t xml:space="preserve"> Law No. 24/2003 (Income Tax Law), art. 16(</w:t>
      </w:r>
      <w:r w:rsidR="003F6340">
        <w:t>b</w:t>
      </w:r>
      <w:r>
        <w:t>), as amended by Legislative Decree No. 30/2023, art. 4.</w:t>
      </w:r>
    </w:p>
  </w:footnote>
  <w:footnote w:id="82">
    <w:p w14:paraId="6FB07BEA" w14:textId="77777777" w:rsidR="00D84736" w:rsidRDefault="00D84736">
      <w:pPr>
        <w:pStyle w:val="p"/>
      </w:pPr>
      <w:r w:rsidRPr="00CE3533">
        <w:rPr>
          <w:rStyle w:val="FootnoteReference"/>
        </w:rPr>
        <w:t xml:space="preserve"> </w:t>
      </w:r>
      <w:r>
        <w:rPr>
          <w:vertAlign w:val="superscript"/>
        </w:rPr>
        <w:t>82</w:t>
      </w:r>
      <w:r>
        <w:t xml:space="preserve"> Legislative Decree No. 43/2005, art. 42.</w:t>
      </w:r>
    </w:p>
    <w:p w14:paraId="608EBF29" w14:textId="77777777" w:rsidR="00422901" w:rsidRDefault="00422901">
      <w:pPr>
        <w:pStyle w:val="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
      </v:shape>
    </w:pict>
  </w:numPicBullet>
  <w:abstractNum w:abstractNumId="0" w15:restartNumberingAfterBreak="0">
    <w:nsid w:val="14FC402F"/>
    <w:multiLevelType w:val="hybridMultilevel"/>
    <w:tmpl w:val="FFFFFFFF"/>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 w15:restartNumberingAfterBreak="0">
    <w:nsid w:val="384E47B8"/>
    <w:multiLevelType w:val="hybridMultilevel"/>
    <w:tmpl w:val="FFFFFFFF"/>
    <w:lvl w:ilvl="0" w:tplc="6FCA1ADC">
      <w:start w:val="1"/>
      <w:numFmt w:val="bullet"/>
      <w:lvlText w:val=""/>
      <w:lvlPicBulletId w:val="0"/>
      <w:lvlJc w:val="left"/>
      <w:pPr>
        <w:tabs>
          <w:tab w:val="num" w:pos="720"/>
        </w:tabs>
        <w:ind w:left="720" w:hanging="360"/>
      </w:pPr>
      <w:rPr>
        <w:rFonts w:ascii="Symbol" w:hAnsi="Symbol" w:hint="default"/>
      </w:rPr>
    </w:lvl>
    <w:lvl w:ilvl="1" w:tplc="E0FE3214" w:tentative="1">
      <w:start w:val="1"/>
      <w:numFmt w:val="bullet"/>
      <w:lvlText w:val=""/>
      <w:lvlJc w:val="left"/>
      <w:pPr>
        <w:tabs>
          <w:tab w:val="num" w:pos="1440"/>
        </w:tabs>
        <w:ind w:left="1440" w:hanging="360"/>
      </w:pPr>
      <w:rPr>
        <w:rFonts w:ascii="Symbol" w:hAnsi="Symbol" w:hint="default"/>
      </w:rPr>
    </w:lvl>
    <w:lvl w:ilvl="2" w:tplc="9674596C" w:tentative="1">
      <w:start w:val="1"/>
      <w:numFmt w:val="bullet"/>
      <w:lvlText w:val=""/>
      <w:lvlJc w:val="left"/>
      <w:pPr>
        <w:tabs>
          <w:tab w:val="num" w:pos="2160"/>
        </w:tabs>
        <w:ind w:left="2160" w:hanging="360"/>
      </w:pPr>
      <w:rPr>
        <w:rFonts w:ascii="Symbol" w:hAnsi="Symbol" w:hint="default"/>
      </w:rPr>
    </w:lvl>
    <w:lvl w:ilvl="3" w:tplc="D5D844FE" w:tentative="1">
      <w:start w:val="1"/>
      <w:numFmt w:val="bullet"/>
      <w:lvlText w:val=""/>
      <w:lvlJc w:val="left"/>
      <w:pPr>
        <w:tabs>
          <w:tab w:val="num" w:pos="2880"/>
        </w:tabs>
        <w:ind w:left="2880" w:hanging="360"/>
      </w:pPr>
      <w:rPr>
        <w:rFonts w:ascii="Symbol" w:hAnsi="Symbol" w:hint="default"/>
      </w:rPr>
    </w:lvl>
    <w:lvl w:ilvl="4" w:tplc="2826A8B2" w:tentative="1">
      <w:start w:val="1"/>
      <w:numFmt w:val="bullet"/>
      <w:lvlText w:val=""/>
      <w:lvlJc w:val="left"/>
      <w:pPr>
        <w:tabs>
          <w:tab w:val="num" w:pos="3600"/>
        </w:tabs>
        <w:ind w:left="3600" w:hanging="360"/>
      </w:pPr>
      <w:rPr>
        <w:rFonts w:ascii="Symbol" w:hAnsi="Symbol" w:hint="default"/>
      </w:rPr>
    </w:lvl>
    <w:lvl w:ilvl="5" w:tplc="4908096C" w:tentative="1">
      <w:start w:val="1"/>
      <w:numFmt w:val="bullet"/>
      <w:lvlText w:val=""/>
      <w:lvlJc w:val="left"/>
      <w:pPr>
        <w:tabs>
          <w:tab w:val="num" w:pos="4320"/>
        </w:tabs>
        <w:ind w:left="4320" w:hanging="360"/>
      </w:pPr>
      <w:rPr>
        <w:rFonts w:ascii="Symbol" w:hAnsi="Symbol" w:hint="default"/>
      </w:rPr>
    </w:lvl>
    <w:lvl w:ilvl="6" w:tplc="C7FEF556" w:tentative="1">
      <w:start w:val="1"/>
      <w:numFmt w:val="bullet"/>
      <w:lvlText w:val=""/>
      <w:lvlJc w:val="left"/>
      <w:pPr>
        <w:tabs>
          <w:tab w:val="num" w:pos="5040"/>
        </w:tabs>
        <w:ind w:left="5040" w:hanging="360"/>
      </w:pPr>
      <w:rPr>
        <w:rFonts w:ascii="Symbol" w:hAnsi="Symbol" w:hint="default"/>
      </w:rPr>
    </w:lvl>
    <w:lvl w:ilvl="7" w:tplc="8C562092" w:tentative="1">
      <w:start w:val="1"/>
      <w:numFmt w:val="bullet"/>
      <w:lvlText w:val=""/>
      <w:lvlJc w:val="left"/>
      <w:pPr>
        <w:tabs>
          <w:tab w:val="num" w:pos="5760"/>
        </w:tabs>
        <w:ind w:left="5760" w:hanging="360"/>
      </w:pPr>
      <w:rPr>
        <w:rFonts w:ascii="Symbol" w:hAnsi="Symbol" w:hint="default"/>
      </w:rPr>
    </w:lvl>
    <w:lvl w:ilvl="8" w:tplc="D54A0E1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2834AD4"/>
    <w:multiLevelType w:val="hybridMultilevel"/>
    <w:tmpl w:val="E64E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13F00"/>
    <w:multiLevelType w:val="hybridMultilevel"/>
    <w:tmpl w:val="FFFFFFFF"/>
    <w:lvl w:ilvl="0" w:tplc="77905354">
      <w:start w:val="72"/>
      <w:numFmt w:val="bullet"/>
      <w:lvlText w:val="-"/>
      <w:lvlJc w:val="left"/>
      <w:pPr>
        <w:ind w:left="510" w:hanging="360"/>
      </w:pPr>
      <w:rPr>
        <w:rFonts w:ascii="Times New Roman" w:eastAsiaTheme="minorEastAsia" w:hAnsi="Times New Roman" w:hint="default"/>
      </w:rPr>
    </w:lvl>
    <w:lvl w:ilvl="1" w:tplc="040C0003" w:tentative="1">
      <w:start w:val="1"/>
      <w:numFmt w:val="bullet"/>
      <w:lvlText w:val="o"/>
      <w:lvlJc w:val="left"/>
      <w:pPr>
        <w:ind w:left="1230" w:hanging="360"/>
      </w:pPr>
      <w:rPr>
        <w:rFonts w:ascii="Courier New" w:hAnsi="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hint="default"/>
      </w:rPr>
    </w:lvl>
    <w:lvl w:ilvl="8" w:tplc="040C0005" w:tentative="1">
      <w:start w:val="1"/>
      <w:numFmt w:val="bullet"/>
      <w:lvlText w:val=""/>
      <w:lvlJc w:val="left"/>
      <w:pPr>
        <w:ind w:left="6270" w:hanging="360"/>
      </w:pPr>
      <w:rPr>
        <w:rFonts w:ascii="Wingdings" w:hAnsi="Wingdings" w:hint="default"/>
      </w:rPr>
    </w:lvl>
  </w:abstractNum>
  <w:num w:numId="1" w16cid:durableId="1765102565">
    <w:abstractNumId w:val="1"/>
  </w:num>
  <w:num w:numId="2" w16cid:durableId="1094546281">
    <w:abstractNumId w:val="0"/>
  </w:num>
  <w:num w:numId="3" w16cid:durableId="1374844439">
    <w:abstractNumId w:val="3"/>
  </w:num>
  <w:num w:numId="4" w16cid:durableId="139199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33"/>
    <w:rsid w:val="00000CAB"/>
    <w:rsid w:val="0000168E"/>
    <w:rsid w:val="0000456B"/>
    <w:rsid w:val="00004F0A"/>
    <w:rsid w:val="0000539E"/>
    <w:rsid w:val="00005E8C"/>
    <w:rsid w:val="000072C7"/>
    <w:rsid w:val="00014EF4"/>
    <w:rsid w:val="00015307"/>
    <w:rsid w:val="00035C7D"/>
    <w:rsid w:val="00040948"/>
    <w:rsid w:val="00041CFD"/>
    <w:rsid w:val="0004272D"/>
    <w:rsid w:val="00047DF4"/>
    <w:rsid w:val="00054ABC"/>
    <w:rsid w:val="00055D3F"/>
    <w:rsid w:val="00081F98"/>
    <w:rsid w:val="00091659"/>
    <w:rsid w:val="00094288"/>
    <w:rsid w:val="0009435B"/>
    <w:rsid w:val="000949D6"/>
    <w:rsid w:val="000964CD"/>
    <w:rsid w:val="00096916"/>
    <w:rsid w:val="0009721A"/>
    <w:rsid w:val="000A39A0"/>
    <w:rsid w:val="000A3F39"/>
    <w:rsid w:val="000B30DE"/>
    <w:rsid w:val="000B58EC"/>
    <w:rsid w:val="000D24AE"/>
    <w:rsid w:val="000D3D63"/>
    <w:rsid w:val="000D51D8"/>
    <w:rsid w:val="000D6C75"/>
    <w:rsid w:val="000E14BD"/>
    <w:rsid w:val="000E198C"/>
    <w:rsid w:val="000F17F4"/>
    <w:rsid w:val="000F4EB5"/>
    <w:rsid w:val="00101A1F"/>
    <w:rsid w:val="00103230"/>
    <w:rsid w:val="00112754"/>
    <w:rsid w:val="00114604"/>
    <w:rsid w:val="00114977"/>
    <w:rsid w:val="00117081"/>
    <w:rsid w:val="001178AF"/>
    <w:rsid w:val="00122169"/>
    <w:rsid w:val="00122607"/>
    <w:rsid w:val="00123F36"/>
    <w:rsid w:val="00124B76"/>
    <w:rsid w:val="00131E2C"/>
    <w:rsid w:val="0014063F"/>
    <w:rsid w:val="0014281C"/>
    <w:rsid w:val="00142AD8"/>
    <w:rsid w:val="00142F50"/>
    <w:rsid w:val="00143CD6"/>
    <w:rsid w:val="00145A6D"/>
    <w:rsid w:val="00146540"/>
    <w:rsid w:val="00157404"/>
    <w:rsid w:val="00160570"/>
    <w:rsid w:val="00161841"/>
    <w:rsid w:val="0016517E"/>
    <w:rsid w:val="00167FBB"/>
    <w:rsid w:val="00172C1F"/>
    <w:rsid w:val="00175BA5"/>
    <w:rsid w:val="001772DD"/>
    <w:rsid w:val="00183747"/>
    <w:rsid w:val="00191A18"/>
    <w:rsid w:val="001A2077"/>
    <w:rsid w:val="001A3DDA"/>
    <w:rsid w:val="001B4187"/>
    <w:rsid w:val="001B5DB9"/>
    <w:rsid w:val="001B7006"/>
    <w:rsid w:val="001C1089"/>
    <w:rsid w:val="001C2521"/>
    <w:rsid w:val="001C2B0A"/>
    <w:rsid w:val="001D0EE8"/>
    <w:rsid w:val="001E011D"/>
    <w:rsid w:val="001E2656"/>
    <w:rsid w:val="001E6924"/>
    <w:rsid w:val="001F1294"/>
    <w:rsid w:val="001F22BF"/>
    <w:rsid w:val="001F53DA"/>
    <w:rsid w:val="001F60D6"/>
    <w:rsid w:val="0020334D"/>
    <w:rsid w:val="002033B1"/>
    <w:rsid w:val="00205BB9"/>
    <w:rsid w:val="00205D45"/>
    <w:rsid w:val="00205DC2"/>
    <w:rsid w:val="0020770D"/>
    <w:rsid w:val="00212A0A"/>
    <w:rsid w:val="00217143"/>
    <w:rsid w:val="00232031"/>
    <w:rsid w:val="00243319"/>
    <w:rsid w:val="0024368D"/>
    <w:rsid w:val="00250823"/>
    <w:rsid w:val="00253189"/>
    <w:rsid w:val="00254D7B"/>
    <w:rsid w:val="00255445"/>
    <w:rsid w:val="00265E21"/>
    <w:rsid w:val="00276B2F"/>
    <w:rsid w:val="00280761"/>
    <w:rsid w:val="002820FC"/>
    <w:rsid w:val="00283813"/>
    <w:rsid w:val="00283FE8"/>
    <w:rsid w:val="002933C5"/>
    <w:rsid w:val="00293E15"/>
    <w:rsid w:val="002A1924"/>
    <w:rsid w:val="002B4320"/>
    <w:rsid w:val="002C09D6"/>
    <w:rsid w:val="002C5183"/>
    <w:rsid w:val="002C7198"/>
    <w:rsid w:val="002D3DD3"/>
    <w:rsid w:val="002E34FC"/>
    <w:rsid w:val="002F17AF"/>
    <w:rsid w:val="003047D2"/>
    <w:rsid w:val="00310BF1"/>
    <w:rsid w:val="00311740"/>
    <w:rsid w:val="00312B5B"/>
    <w:rsid w:val="003131FB"/>
    <w:rsid w:val="00313C7C"/>
    <w:rsid w:val="00314C80"/>
    <w:rsid w:val="00316321"/>
    <w:rsid w:val="00316F61"/>
    <w:rsid w:val="00317376"/>
    <w:rsid w:val="00324A4D"/>
    <w:rsid w:val="00324D46"/>
    <w:rsid w:val="003265C8"/>
    <w:rsid w:val="003414A5"/>
    <w:rsid w:val="0034763F"/>
    <w:rsid w:val="0035326F"/>
    <w:rsid w:val="00361A32"/>
    <w:rsid w:val="00366C6B"/>
    <w:rsid w:val="00370A58"/>
    <w:rsid w:val="003725C8"/>
    <w:rsid w:val="00376A98"/>
    <w:rsid w:val="003844F5"/>
    <w:rsid w:val="00385059"/>
    <w:rsid w:val="00385A29"/>
    <w:rsid w:val="003959B3"/>
    <w:rsid w:val="00395C56"/>
    <w:rsid w:val="003A4EC3"/>
    <w:rsid w:val="003B1F24"/>
    <w:rsid w:val="003B3678"/>
    <w:rsid w:val="003C788E"/>
    <w:rsid w:val="003D369C"/>
    <w:rsid w:val="003D6A50"/>
    <w:rsid w:val="003D716E"/>
    <w:rsid w:val="003E4684"/>
    <w:rsid w:val="003F4746"/>
    <w:rsid w:val="003F6340"/>
    <w:rsid w:val="003F6410"/>
    <w:rsid w:val="00403429"/>
    <w:rsid w:val="00403D5D"/>
    <w:rsid w:val="00404F55"/>
    <w:rsid w:val="00415893"/>
    <w:rsid w:val="00416C0C"/>
    <w:rsid w:val="004176B6"/>
    <w:rsid w:val="00422901"/>
    <w:rsid w:val="004243AD"/>
    <w:rsid w:val="00424D44"/>
    <w:rsid w:val="00426789"/>
    <w:rsid w:val="00436752"/>
    <w:rsid w:val="00444EDA"/>
    <w:rsid w:val="00445CFB"/>
    <w:rsid w:val="00450E55"/>
    <w:rsid w:val="004530C9"/>
    <w:rsid w:val="00455D6A"/>
    <w:rsid w:val="00463A61"/>
    <w:rsid w:val="00465FB5"/>
    <w:rsid w:val="00467925"/>
    <w:rsid w:val="004747B0"/>
    <w:rsid w:val="00476721"/>
    <w:rsid w:val="00480ECD"/>
    <w:rsid w:val="00481973"/>
    <w:rsid w:val="00486B5D"/>
    <w:rsid w:val="0049124C"/>
    <w:rsid w:val="00492469"/>
    <w:rsid w:val="00493D5B"/>
    <w:rsid w:val="00493D8F"/>
    <w:rsid w:val="004A785D"/>
    <w:rsid w:val="004C140A"/>
    <w:rsid w:val="004D029D"/>
    <w:rsid w:val="004D6C2D"/>
    <w:rsid w:val="004E5868"/>
    <w:rsid w:val="004F3701"/>
    <w:rsid w:val="004F4AE1"/>
    <w:rsid w:val="004F7518"/>
    <w:rsid w:val="0050542B"/>
    <w:rsid w:val="005068A1"/>
    <w:rsid w:val="00521D88"/>
    <w:rsid w:val="005369B5"/>
    <w:rsid w:val="00541DF9"/>
    <w:rsid w:val="00552712"/>
    <w:rsid w:val="0055442D"/>
    <w:rsid w:val="00563753"/>
    <w:rsid w:val="005658EC"/>
    <w:rsid w:val="00566AC8"/>
    <w:rsid w:val="005678D9"/>
    <w:rsid w:val="00567AD0"/>
    <w:rsid w:val="0057035D"/>
    <w:rsid w:val="005714D6"/>
    <w:rsid w:val="0057482E"/>
    <w:rsid w:val="005773BF"/>
    <w:rsid w:val="00582DE7"/>
    <w:rsid w:val="00590A7E"/>
    <w:rsid w:val="00593579"/>
    <w:rsid w:val="005A0A1A"/>
    <w:rsid w:val="005A1AE6"/>
    <w:rsid w:val="005A2064"/>
    <w:rsid w:val="005B6A8A"/>
    <w:rsid w:val="005C3F1A"/>
    <w:rsid w:val="005C5A3E"/>
    <w:rsid w:val="005C66E5"/>
    <w:rsid w:val="005D00E7"/>
    <w:rsid w:val="0060007E"/>
    <w:rsid w:val="006007AE"/>
    <w:rsid w:val="00615740"/>
    <w:rsid w:val="00616393"/>
    <w:rsid w:val="00616BF3"/>
    <w:rsid w:val="00616DA8"/>
    <w:rsid w:val="00617976"/>
    <w:rsid w:val="00625FFE"/>
    <w:rsid w:val="0063195A"/>
    <w:rsid w:val="00632A65"/>
    <w:rsid w:val="00644069"/>
    <w:rsid w:val="006520A6"/>
    <w:rsid w:val="00662321"/>
    <w:rsid w:val="00666F4B"/>
    <w:rsid w:val="00667182"/>
    <w:rsid w:val="006700BA"/>
    <w:rsid w:val="00670922"/>
    <w:rsid w:val="00682D17"/>
    <w:rsid w:val="00686426"/>
    <w:rsid w:val="006942A5"/>
    <w:rsid w:val="0069686F"/>
    <w:rsid w:val="006A0A6B"/>
    <w:rsid w:val="006B1F54"/>
    <w:rsid w:val="006B25A3"/>
    <w:rsid w:val="006B7EC0"/>
    <w:rsid w:val="006C4DE4"/>
    <w:rsid w:val="006D08FF"/>
    <w:rsid w:val="006D0D09"/>
    <w:rsid w:val="006D4990"/>
    <w:rsid w:val="006F2607"/>
    <w:rsid w:val="007033B2"/>
    <w:rsid w:val="00705259"/>
    <w:rsid w:val="00715979"/>
    <w:rsid w:val="00720913"/>
    <w:rsid w:val="007225BC"/>
    <w:rsid w:val="0072376B"/>
    <w:rsid w:val="00725150"/>
    <w:rsid w:val="0072590B"/>
    <w:rsid w:val="00725C12"/>
    <w:rsid w:val="00730271"/>
    <w:rsid w:val="00730458"/>
    <w:rsid w:val="00731DBD"/>
    <w:rsid w:val="00743E8A"/>
    <w:rsid w:val="0074560D"/>
    <w:rsid w:val="00755D2D"/>
    <w:rsid w:val="00756FA5"/>
    <w:rsid w:val="00766ADE"/>
    <w:rsid w:val="007767D5"/>
    <w:rsid w:val="00777B1D"/>
    <w:rsid w:val="007829AA"/>
    <w:rsid w:val="007879BC"/>
    <w:rsid w:val="00790D16"/>
    <w:rsid w:val="00794896"/>
    <w:rsid w:val="00797C70"/>
    <w:rsid w:val="007A2967"/>
    <w:rsid w:val="007A3CFA"/>
    <w:rsid w:val="007A5EAE"/>
    <w:rsid w:val="007B06AB"/>
    <w:rsid w:val="007C6FF9"/>
    <w:rsid w:val="007D0CD0"/>
    <w:rsid w:val="007D44AE"/>
    <w:rsid w:val="007E7A3F"/>
    <w:rsid w:val="007F7EDA"/>
    <w:rsid w:val="00800C9F"/>
    <w:rsid w:val="008010AF"/>
    <w:rsid w:val="0081418B"/>
    <w:rsid w:val="00814611"/>
    <w:rsid w:val="008178EE"/>
    <w:rsid w:val="00822263"/>
    <w:rsid w:val="00823666"/>
    <w:rsid w:val="00824B3D"/>
    <w:rsid w:val="00831271"/>
    <w:rsid w:val="00842DC9"/>
    <w:rsid w:val="0084695A"/>
    <w:rsid w:val="0085553A"/>
    <w:rsid w:val="00855D41"/>
    <w:rsid w:val="00862BE5"/>
    <w:rsid w:val="00866CA8"/>
    <w:rsid w:val="008717D1"/>
    <w:rsid w:val="00873BC1"/>
    <w:rsid w:val="008763A5"/>
    <w:rsid w:val="00881465"/>
    <w:rsid w:val="00883F24"/>
    <w:rsid w:val="00895679"/>
    <w:rsid w:val="008A0FD1"/>
    <w:rsid w:val="008C04EF"/>
    <w:rsid w:val="008C648A"/>
    <w:rsid w:val="008D0C7C"/>
    <w:rsid w:val="008D5D64"/>
    <w:rsid w:val="008E129A"/>
    <w:rsid w:val="008F00A0"/>
    <w:rsid w:val="008F106F"/>
    <w:rsid w:val="008F6B41"/>
    <w:rsid w:val="008F765B"/>
    <w:rsid w:val="008F78AE"/>
    <w:rsid w:val="00901B51"/>
    <w:rsid w:val="009035F1"/>
    <w:rsid w:val="00913DB6"/>
    <w:rsid w:val="00913F04"/>
    <w:rsid w:val="00917824"/>
    <w:rsid w:val="009225C2"/>
    <w:rsid w:val="00922F2A"/>
    <w:rsid w:val="00923087"/>
    <w:rsid w:val="0092617B"/>
    <w:rsid w:val="009262E5"/>
    <w:rsid w:val="00932C0E"/>
    <w:rsid w:val="0093529E"/>
    <w:rsid w:val="009375E0"/>
    <w:rsid w:val="0094062E"/>
    <w:rsid w:val="00940C8F"/>
    <w:rsid w:val="0094183C"/>
    <w:rsid w:val="00945A1E"/>
    <w:rsid w:val="0094645B"/>
    <w:rsid w:val="009535DB"/>
    <w:rsid w:val="00955824"/>
    <w:rsid w:val="00957A25"/>
    <w:rsid w:val="009725A8"/>
    <w:rsid w:val="00973223"/>
    <w:rsid w:val="009911C3"/>
    <w:rsid w:val="009A2C72"/>
    <w:rsid w:val="009A4F4D"/>
    <w:rsid w:val="009A63DD"/>
    <w:rsid w:val="009B1822"/>
    <w:rsid w:val="009B20F1"/>
    <w:rsid w:val="009B4FDC"/>
    <w:rsid w:val="009C0C08"/>
    <w:rsid w:val="009C0F18"/>
    <w:rsid w:val="009C4362"/>
    <w:rsid w:val="009C4FC2"/>
    <w:rsid w:val="009D3D5A"/>
    <w:rsid w:val="009D3E13"/>
    <w:rsid w:val="009D5E0C"/>
    <w:rsid w:val="009D6722"/>
    <w:rsid w:val="009D6B69"/>
    <w:rsid w:val="009E3839"/>
    <w:rsid w:val="009E43FC"/>
    <w:rsid w:val="009E533C"/>
    <w:rsid w:val="009F41C3"/>
    <w:rsid w:val="009F6658"/>
    <w:rsid w:val="00A02352"/>
    <w:rsid w:val="00A037E0"/>
    <w:rsid w:val="00A1125E"/>
    <w:rsid w:val="00A17B50"/>
    <w:rsid w:val="00A21A48"/>
    <w:rsid w:val="00A23170"/>
    <w:rsid w:val="00A24FA7"/>
    <w:rsid w:val="00A32FB2"/>
    <w:rsid w:val="00A36DB2"/>
    <w:rsid w:val="00A37BC4"/>
    <w:rsid w:val="00A44A78"/>
    <w:rsid w:val="00A51A06"/>
    <w:rsid w:val="00A56998"/>
    <w:rsid w:val="00A577EE"/>
    <w:rsid w:val="00A7791B"/>
    <w:rsid w:val="00A84109"/>
    <w:rsid w:val="00A950B6"/>
    <w:rsid w:val="00A97456"/>
    <w:rsid w:val="00AA17B7"/>
    <w:rsid w:val="00AA2FF3"/>
    <w:rsid w:val="00AA56C8"/>
    <w:rsid w:val="00AC0224"/>
    <w:rsid w:val="00AC1282"/>
    <w:rsid w:val="00AC635C"/>
    <w:rsid w:val="00AD1487"/>
    <w:rsid w:val="00AD620F"/>
    <w:rsid w:val="00AD64B5"/>
    <w:rsid w:val="00AD7721"/>
    <w:rsid w:val="00AF32DA"/>
    <w:rsid w:val="00AF59A9"/>
    <w:rsid w:val="00B054FF"/>
    <w:rsid w:val="00B067C3"/>
    <w:rsid w:val="00B07E03"/>
    <w:rsid w:val="00B1135F"/>
    <w:rsid w:val="00B15180"/>
    <w:rsid w:val="00B17F8C"/>
    <w:rsid w:val="00B20FFD"/>
    <w:rsid w:val="00B3340E"/>
    <w:rsid w:val="00B3383D"/>
    <w:rsid w:val="00B3531B"/>
    <w:rsid w:val="00B40ADB"/>
    <w:rsid w:val="00B41B44"/>
    <w:rsid w:val="00B47DBA"/>
    <w:rsid w:val="00B571EE"/>
    <w:rsid w:val="00B66D60"/>
    <w:rsid w:val="00B755C4"/>
    <w:rsid w:val="00B86E39"/>
    <w:rsid w:val="00B943C1"/>
    <w:rsid w:val="00B9653D"/>
    <w:rsid w:val="00BA0427"/>
    <w:rsid w:val="00BA194E"/>
    <w:rsid w:val="00BA5917"/>
    <w:rsid w:val="00BA698A"/>
    <w:rsid w:val="00BB3021"/>
    <w:rsid w:val="00BB7EBB"/>
    <w:rsid w:val="00BC5FE4"/>
    <w:rsid w:val="00BC6D37"/>
    <w:rsid w:val="00BD1182"/>
    <w:rsid w:val="00BE661B"/>
    <w:rsid w:val="00BE7ADD"/>
    <w:rsid w:val="00BF2159"/>
    <w:rsid w:val="00C02078"/>
    <w:rsid w:val="00C02841"/>
    <w:rsid w:val="00C0569F"/>
    <w:rsid w:val="00C247F8"/>
    <w:rsid w:val="00C3298F"/>
    <w:rsid w:val="00C3389C"/>
    <w:rsid w:val="00C3503C"/>
    <w:rsid w:val="00C37620"/>
    <w:rsid w:val="00C4626E"/>
    <w:rsid w:val="00C519BB"/>
    <w:rsid w:val="00C54C20"/>
    <w:rsid w:val="00C62027"/>
    <w:rsid w:val="00C62382"/>
    <w:rsid w:val="00C63543"/>
    <w:rsid w:val="00C66C8A"/>
    <w:rsid w:val="00C74969"/>
    <w:rsid w:val="00C776FD"/>
    <w:rsid w:val="00C77E3E"/>
    <w:rsid w:val="00C822AD"/>
    <w:rsid w:val="00C8307B"/>
    <w:rsid w:val="00C83688"/>
    <w:rsid w:val="00C83A4D"/>
    <w:rsid w:val="00C86483"/>
    <w:rsid w:val="00C94E42"/>
    <w:rsid w:val="00CA16EB"/>
    <w:rsid w:val="00CB26A2"/>
    <w:rsid w:val="00CB5462"/>
    <w:rsid w:val="00CB55CE"/>
    <w:rsid w:val="00CC4E4F"/>
    <w:rsid w:val="00CD6D4F"/>
    <w:rsid w:val="00CE3533"/>
    <w:rsid w:val="00CE57E0"/>
    <w:rsid w:val="00CE5F57"/>
    <w:rsid w:val="00CE6671"/>
    <w:rsid w:val="00CE7EA6"/>
    <w:rsid w:val="00CF2087"/>
    <w:rsid w:val="00CF763C"/>
    <w:rsid w:val="00D12D86"/>
    <w:rsid w:val="00D13F54"/>
    <w:rsid w:val="00D261CB"/>
    <w:rsid w:val="00D34945"/>
    <w:rsid w:val="00D364C3"/>
    <w:rsid w:val="00D42079"/>
    <w:rsid w:val="00D53CE5"/>
    <w:rsid w:val="00D5447A"/>
    <w:rsid w:val="00D54E74"/>
    <w:rsid w:val="00D56218"/>
    <w:rsid w:val="00D56971"/>
    <w:rsid w:val="00D61FBA"/>
    <w:rsid w:val="00D71049"/>
    <w:rsid w:val="00D770C5"/>
    <w:rsid w:val="00D816E2"/>
    <w:rsid w:val="00D819F5"/>
    <w:rsid w:val="00D84736"/>
    <w:rsid w:val="00D8675B"/>
    <w:rsid w:val="00D87045"/>
    <w:rsid w:val="00D87C8B"/>
    <w:rsid w:val="00D935AB"/>
    <w:rsid w:val="00DB031A"/>
    <w:rsid w:val="00DB32A0"/>
    <w:rsid w:val="00DB36E9"/>
    <w:rsid w:val="00DB3CBB"/>
    <w:rsid w:val="00DB4D21"/>
    <w:rsid w:val="00DB6E72"/>
    <w:rsid w:val="00DB7F25"/>
    <w:rsid w:val="00DC7BBA"/>
    <w:rsid w:val="00DD0492"/>
    <w:rsid w:val="00DD109A"/>
    <w:rsid w:val="00DD1D41"/>
    <w:rsid w:val="00DD52C1"/>
    <w:rsid w:val="00DE1F12"/>
    <w:rsid w:val="00DE680E"/>
    <w:rsid w:val="00DE7D55"/>
    <w:rsid w:val="00DF2724"/>
    <w:rsid w:val="00E02DDB"/>
    <w:rsid w:val="00E03DA1"/>
    <w:rsid w:val="00E16428"/>
    <w:rsid w:val="00E243C7"/>
    <w:rsid w:val="00E30DB1"/>
    <w:rsid w:val="00E33145"/>
    <w:rsid w:val="00E34080"/>
    <w:rsid w:val="00E349EE"/>
    <w:rsid w:val="00E41029"/>
    <w:rsid w:val="00E43CA5"/>
    <w:rsid w:val="00E4621C"/>
    <w:rsid w:val="00E47F63"/>
    <w:rsid w:val="00E53722"/>
    <w:rsid w:val="00E70E98"/>
    <w:rsid w:val="00E72342"/>
    <w:rsid w:val="00E84437"/>
    <w:rsid w:val="00E973D7"/>
    <w:rsid w:val="00EA1950"/>
    <w:rsid w:val="00EB373F"/>
    <w:rsid w:val="00EB3A6F"/>
    <w:rsid w:val="00EB4F3A"/>
    <w:rsid w:val="00EB7C9F"/>
    <w:rsid w:val="00ED5C0D"/>
    <w:rsid w:val="00ED6302"/>
    <w:rsid w:val="00ED648E"/>
    <w:rsid w:val="00EE2BF8"/>
    <w:rsid w:val="00EF6CD9"/>
    <w:rsid w:val="00F1321A"/>
    <w:rsid w:val="00F20473"/>
    <w:rsid w:val="00F21F04"/>
    <w:rsid w:val="00F23678"/>
    <w:rsid w:val="00F24CA8"/>
    <w:rsid w:val="00F24D57"/>
    <w:rsid w:val="00F2639E"/>
    <w:rsid w:val="00F279AF"/>
    <w:rsid w:val="00F32137"/>
    <w:rsid w:val="00F4796A"/>
    <w:rsid w:val="00F53456"/>
    <w:rsid w:val="00F610FF"/>
    <w:rsid w:val="00F629AD"/>
    <w:rsid w:val="00F637B0"/>
    <w:rsid w:val="00F63C62"/>
    <w:rsid w:val="00F730DB"/>
    <w:rsid w:val="00F83F63"/>
    <w:rsid w:val="00F87811"/>
    <w:rsid w:val="00F9212F"/>
    <w:rsid w:val="00FA0905"/>
    <w:rsid w:val="00FA181C"/>
    <w:rsid w:val="00FB1B12"/>
    <w:rsid w:val="00FB2751"/>
    <w:rsid w:val="00FC5888"/>
    <w:rsid w:val="00FD4EEE"/>
    <w:rsid w:val="00FD541C"/>
    <w:rsid w:val="00FD6128"/>
    <w:rsid w:val="00FE08CA"/>
    <w:rsid w:val="00FE1D44"/>
    <w:rsid w:val="00FE1D8D"/>
    <w:rsid w:val="00FE25F9"/>
    <w:rsid w:val="00FE2AAC"/>
    <w:rsid w:val="00FF0A5D"/>
    <w:rsid w:val="00FF35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A21B6E9"/>
  <w14:defaultImageDpi w14:val="0"/>
  <w15:docId w15:val="{65EC6B14-894A-4F4F-8D84-5A69A57C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sz w:val="20"/>
      <w:szCs w:val="20"/>
      <w:lang w:val="en-US"/>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b/>
      <w:bCs/>
      <w:color w:val="FF0000"/>
      <w:sz w:val="28"/>
      <w:szCs w:val="28"/>
      <w:lang w:val="en-US"/>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b/>
      <w:bCs/>
      <w:color w:val="000000"/>
      <w:sz w:val="28"/>
      <w:szCs w:val="28"/>
      <w:lang w:val="en-US"/>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b/>
      <w:bCs/>
      <w:sz w:val="20"/>
      <w:szCs w:val="20"/>
      <w:lang w:val="en-US"/>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sz w:val="20"/>
      <w:szCs w:val="20"/>
      <w:lang w:val="en-US"/>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b/>
      <w:bCs/>
      <w:color w:val="0000FF"/>
      <w:sz w:val="36"/>
      <w:szCs w:val="36"/>
      <w:lang w:val="en-US"/>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b/>
      <w:bCs/>
      <w:sz w:val="28"/>
      <w:szCs w:val="28"/>
      <w:lang w:val="en-US"/>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sz w:val="20"/>
      <w:szCs w:val="20"/>
      <w:lang w:val="en-US"/>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sz w:val="20"/>
      <w:szCs w:val="20"/>
      <w:lang w:val="en-US"/>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b/>
      <w:bCs/>
      <w:color w:val="FF0000"/>
      <w:lang w:val="en-US"/>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b/>
      <w:bCs/>
      <w:sz w:val="30"/>
      <w:szCs w:val="30"/>
      <w:lang w:val="en-US"/>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b/>
      <w:bCs/>
      <w:sz w:val="20"/>
      <w:szCs w:val="20"/>
      <w:lang w:val="en-US"/>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i/>
      <w:iCs/>
      <w:color w:val="0000FF"/>
      <w:sz w:val="20"/>
      <w:szCs w:val="20"/>
      <w:lang w:val="en-US"/>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olor w:val="0000FF"/>
      <w:sz w:val="20"/>
      <w:szCs w:val="20"/>
      <w:lang w:val="en-US"/>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olor w:val="0000FF"/>
      <w:sz w:val="20"/>
      <w:szCs w:val="20"/>
      <w:lang w:val="en-US"/>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olor w:val="0000FF"/>
      <w:sz w:val="20"/>
      <w:szCs w:val="20"/>
      <w:lang w:val="en-US"/>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b/>
      <w:bCs/>
      <w:lang w:val="en-US"/>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sz w:val="18"/>
      <w:szCs w:val="18"/>
      <w:lang w:val="en-US"/>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olor w:val="0000FF"/>
      <w:sz w:val="20"/>
      <w:szCs w:val="20"/>
      <w:lang w:val="en-US"/>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sz w:val="18"/>
      <w:szCs w:val="18"/>
      <w:lang w:val="en-US"/>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b/>
      <w:bCs/>
      <w:sz w:val="24"/>
      <w:szCs w:val="24"/>
      <w:lang w:val="en-US"/>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b/>
      <w:bCs/>
      <w:sz w:val="24"/>
      <w:szCs w:val="24"/>
      <w:lang w:val="en-US"/>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sz w:val="18"/>
      <w:szCs w:val="18"/>
      <w:lang w:val="en-US"/>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sz w:val="20"/>
      <w:szCs w:val="20"/>
      <w:lang w:val="en-US"/>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b/>
      <w:bCs/>
      <w:sz w:val="24"/>
      <w:szCs w:val="24"/>
      <w:lang w:val="en-US"/>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b/>
      <w:bCs/>
      <w:sz w:val="20"/>
      <w:szCs w:val="20"/>
      <w:lang w:val="en-US"/>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b/>
      <w:bCs/>
      <w:i/>
      <w:iCs/>
      <w:sz w:val="24"/>
      <w:szCs w:val="24"/>
      <w:lang w:val="en-US"/>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b/>
      <w:bCs/>
      <w:sz w:val="24"/>
      <w:szCs w:val="24"/>
      <w:lang w:val="en-US"/>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b/>
      <w:bCs/>
      <w:i/>
      <w:iCs/>
      <w:sz w:val="24"/>
      <w:szCs w:val="24"/>
      <w:lang w:val="en-US"/>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i/>
      <w:iCs/>
      <w:sz w:val="20"/>
      <w:szCs w:val="20"/>
      <w:lang w:val="en-US"/>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sz w:val="20"/>
      <w:szCs w:val="20"/>
      <w:lang w:val="en-US"/>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i/>
      <w:iCs/>
      <w:sz w:val="20"/>
      <w:szCs w:val="20"/>
      <w:lang w:val="en-US"/>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b/>
      <w:bCs/>
      <w:sz w:val="24"/>
      <w:szCs w:val="24"/>
      <w:lang w:val="en-US"/>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sz w:val="18"/>
      <w:szCs w:val="18"/>
      <w:lang w:val="en-US"/>
    </w:rPr>
  </w:style>
  <w:style w:type="character" w:styleId="FootnoteReference">
    <w:name w:val="footnote reference"/>
    <w:basedOn w:val="DefaultParagraphFont"/>
    <w:uiPriority w:val="99"/>
    <w:semiHidden/>
    <w:unhideWhenUsed/>
    <w:rPr>
      <w:rFonts w:cs="Times New Roman"/>
      <w:vertAlign w:val="superscript"/>
    </w:rPr>
  </w:style>
  <w:style w:type="character" w:styleId="EndnoteReference">
    <w:name w:val="endnote reference"/>
    <w:basedOn w:val="DefaultParagraphFont"/>
    <w:uiPriority w:val="99"/>
    <w:semiHidden/>
    <w:unhideWhenUsed/>
    <w:rsid w:val="00CE3533"/>
    <w:rPr>
      <w:rFonts w:cs="Times New Roman"/>
      <w:vertAlign w:val="superscript"/>
    </w:rPr>
  </w:style>
  <w:style w:type="paragraph" w:styleId="Revision">
    <w:name w:val="Revision"/>
    <w:hidden/>
    <w:uiPriority w:val="99"/>
    <w:semiHidden/>
    <w:rsid w:val="00CE3533"/>
    <w:pPr>
      <w:spacing w:after="0" w:line="240" w:lineRule="auto"/>
    </w:pPr>
    <w:rPr>
      <w:rFonts w:ascii="Times New Roman" w:hAnsi="Times New Roman"/>
      <w:sz w:val="20"/>
      <w:szCs w:val="20"/>
      <w:lang w:val="en-US"/>
    </w:rPr>
  </w:style>
  <w:style w:type="paragraph" w:styleId="FootnoteText">
    <w:name w:val="footnote text"/>
    <w:basedOn w:val="Normal"/>
    <w:link w:val="FootnoteTextChar"/>
    <w:uiPriority w:val="99"/>
    <w:semiHidden/>
    <w:unhideWhenUsed/>
    <w:rsid w:val="00450E55"/>
    <w:rPr>
      <w:lang w:eastAsia="en-US"/>
    </w:rPr>
  </w:style>
  <w:style w:type="character" w:customStyle="1" w:styleId="FootnoteTextChar">
    <w:name w:val="Footnote Text Char"/>
    <w:basedOn w:val="DefaultParagraphFont"/>
    <w:link w:val="FootnoteText"/>
    <w:uiPriority w:val="99"/>
    <w:semiHidden/>
    <w:locked/>
    <w:rsid w:val="00450E55"/>
    <w:rPr>
      <w:rFonts w:ascii="Times New Roman" w:hAnsi="Times New Roman" w:cs="Times New Roman"/>
      <w:sz w:val="20"/>
      <w:szCs w:val="20"/>
      <w:lang w:val="en-US" w:eastAsia="en-US"/>
    </w:rPr>
  </w:style>
  <w:style w:type="character" w:styleId="CommentReference">
    <w:name w:val="annotation reference"/>
    <w:basedOn w:val="DefaultParagraphFont"/>
    <w:uiPriority w:val="99"/>
    <w:semiHidden/>
    <w:unhideWhenUsed/>
    <w:rsid w:val="00450E55"/>
    <w:rPr>
      <w:sz w:val="16"/>
    </w:rPr>
  </w:style>
  <w:style w:type="paragraph" w:styleId="CommentText">
    <w:name w:val="annotation text"/>
    <w:basedOn w:val="Normal"/>
    <w:link w:val="CommentTextChar"/>
    <w:uiPriority w:val="99"/>
    <w:unhideWhenUsed/>
    <w:rsid w:val="00450E55"/>
    <w:rPr>
      <w:lang w:eastAsia="en-US"/>
    </w:rPr>
  </w:style>
  <w:style w:type="character" w:customStyle="1" w:styleId="CommentTextChar">
    <w:name w:val="Comment Text Char"/>
    <w:basedOn w:val="DefaultParagraphFont"/>
    <w:link w:val="CommentText"/>
    <w:uiPriority w:val="99"/>
    <w:locked/>
    <w:rsid w:val="00450E55"/>
    <w:rPr>
      <w:rFonts w:ascii="Times New Roman" w:hAnsi="Times New Roman" w:cs="Times New Roman"/>
      <w:sz w:val="20"/>
      <w:szCs w:val="20"/>
      <w:lang w:val="en-US" w:eastAsia="en-US"/>
    </w:rPr>
  </w:style>
  <w:style w:type="paragraph" w:customStyle="1" w:styleId="v1msonormal">
    <w:name w:val="v1msonormal"/>
    <w:basedOn w:val="Normal"/>
    <w:rsid w:val="006D4990"/>
    <w:pPr>
      <w:widowControl/>
      <w:autoSpaceDE/>
      <w:autoSpaceDN/>
      <w:adjustRightInd/>
      <w:spacing w:before="100" w:beforeAutospacing="1" w:after="100" w:afterAutospacing="1"/>
    </w:pPr>
    <w:rPr>
      <w:sz w:val="24"/>
      <w:szCs w:val="24"/>
      <w:lang w:val="fr-FR"/>
    </w:rPr>
  </w:style>
  <w:style w:type="character" w:styleId="Hyperlink">
    <w:name w:val="Hyperlink"/>
    <w:basedOn w:val="DefaultParagraphFont"/>
    <w:uiPriority w:val="99"/>
    <w:unhideWhenUsed/>
    <w:rsid w:val="00756FA5"/>
    <w:rPr>
      <w:color w:val="0000FF"/>
      <w:u w:val="single"/>
    </w:rPr>
  </w:style>
  <w:style w:type="paragraph" w:styleId="CommentSubject">
    <w:name w:val="annotation subject"/>
    <w:basedOn w:val="CommentText"/>
    <w:next w:val="CommentText"/>
    <w:link w:val="CommentSubjectChar"/>
    <w:uiPriority w:val="99"/>
    <w:semiHidden/>
    <w:unhideWhenUsed/>
    <w:rsid w:val="00FB1B12"/>
    <w:rPr>
      <w:b/>
      <w:bCs/>
      <w:lang w:eastAsia="fr-FR"/>
    </w:rPr>
  </w:style>
  <w:style w:type="character" w:customStyle="1" w:styleId="CommentSubjectChar">
    <w:name w:val="Comment Subject Char"/>
    <w:basedOn w:val="CommentTextChar"/>
    <w:link w:val="CommentSubject"/>
    <w:uiPriority w:val="99"/>
    <w:semiHidden/>
    <w:rsid w:val="00FB1B12"/>
    <w:rPr>
      <w:rFonts w:ascii="Times New Roman" w:hAnsi="Times New Roman" w:cs="Times New Roman"/>
      <w:b/>
      <w:bCs/>
      <w:sz w:val="20"/>
      <w:szCs w:val="20"/>
      <w:lang w:val="en-US" w:eastAsia="en-US"/>
    </w:rPr>
  </w:style>
  <w:style w:type="character" w:styleId="UnresolvedMention">
    <w:name w:val="Unresolved Mention"/>
    <w:basedOn w:val="DefaultParagraphFont"/>
    <w:uiPriority w:val="99"/>
    <w:semiHidden/>
    <w:unhideWhenUsed/>
    <w:rsid w:val="00FB1B12"/>
    <w:rPr>
      <w:color w:val="605E5C"/>
      <w:shd w:val="clear" w:color="auto" w:fill="E1DFDD"/>
    </w:rPr>
  </w:style>
  <w:style w:type="paragraph" w:styleId="Header">
    <w:name w:val="header"/>
    <w:basedOn w:val="Normal"/>
    <w:link w:val="HeaderChar"/>
    <w:uiPriority w:val="99"/>
    <w:semiHidden/>
    <w:unhideWhenUsed/>
    <w:rsid w:val="009E43FC"/>
    <w:pPr>
      <w:tabs>
        <w:tab w:val="center" w:pos="4680"/>
        <w:tab w:val="right" w:pos="9360"/>
      </w:tabs>
    </w:pPr>
  </w:style>
  <w:style w:type="character" w:customStyle="1" w:styleId="HeaderChar">
    <w:name w:val="Header Char"/>
    <w:basedOn w:val="DefaultParagraphFont"/>
    <w:link w:val="Header"/>
    <w:uiPriority w:val="99"/>
    <w:semiHidden/>
    <w:rsid w:val="009E43FC"/>
    <w:rPr>
      <w:rFonts w:ascii="Times New Roman" w:hAnsi="Times New Roman"/>
      <w:sz w:val="20"/>
      <w:szCs w:val="20"/>
      <w:lang w:val="en-US"/>
    </w:rPr>
  </w:style>
  <w:style w:type="paragraph" w:styleId="Footer">
    <w:name w:val="footer"/>
    <w:basedOn w:val="Normal"/>
    <w:link w:val="FooterChar"/>
    <w:uiPriority w:val="99"/>
    <w:semiHidden/>
    <w:unhideWhenUsed/>
    <w:rsid w:val="009E43FC"/>
    <w:pPr>
      <w:tabs>
        <w:tab w:val="center" w:pos="4680"/>
        <w:tab w:val="right" w:pos="9360"/>
      </w:tabs>
    </w:pPr>
  </w:style>
  <w:style w:type="character" w:customStyle="1" w:styleId="FooterChar">
    <w:name w:val="Footer Char"/>
    <w:basedOn w:val="DefaultParagraphFont"/>
    <w:link w:val="Footer"/>
    <w:uiPriority w:val="99"/>
    <w:semiHidden/>
    <w:rsid w:val="009E43FC"/>
    <w:rPr>
      <w:rFonts w:ascii="Times New Roman" w:hAnsi="Times New Roman"/>
      <w:sz w:val="20"/>
      <w:szCs w:val="20"/>
      <w:lang w:val="en-US"/>
    </w:rPr>
  </w:style>
  <w:style w:type="paragraph" w:styleId="ListParagraph">
    <w:name w:val="List Paragraph"/>
    <w:basedOn w:val="Normal"/>
    <w:uiPriority w:val="34"/>
    <w:qFormat/>
    <w:rsid w:val="00265E21"/>
    <w:pPr>
      <w:ind w:left="720"/>
      <w:contextualSpacing/>
    </w:pPr>
  </w:style>
  <w:style w:type="table" w:styleId="TableGrid">
    <w:name w:val="Table Grid"/>
    <w:basedOn w:val="TableNormal"/>
    <w:uiPriority w:val="39"/>
    <w:rsid w:val="00BE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15123">
      <w:bodyDiv w:val="1"/>
      <w:marLeft w:val="0"/>
      <w:marRight w:val="0"/>
      <w:marTop w:val="0"/>
      <w:marBottom w:val="0"/>
      <w:divBdr>
        <w:top w:val="none" w:sz="0" w:space="0" w:color="auto"/>
        <w:left w:val="none" w:sz="0" w:space="0" w:color="auto"/>
        <w:bottom w:val="none" w:sz="0" w:space="0" w:color="auto"/>
        <w:right w:val="none" w:sz="0" w:space="0" w:color="auto"/>
      </w:divBdr>
      <w:divsChild>
        <w:div w:id="1070273943">
          <w:marLeft w:val="0"/>
          <w:marRight w:val="0"/>
          <w:marTop w:val="0"/>
          <w:marBottom w:val="0"/>
          <w:divBdr>
            <w:top w:val="none" w:sz="0" w:space="0" w:color="auto"/>
            <w:left w:val="none" w:sz="0" w:space="0" w:color="auto"/>
            <w:bottom w:val="none" w:sz="0" w:space="0" w:color="auto"/>
            <w:right w:val="none" w:sz="0" w:space="0" w:color="auto"/>
          </w:divBdr>
        </w:div>
        <w:div w:id="1061749794">
          <w:marLeft w:val="0"/>
          <w:marRight w:val="0"/>
          <w:marTop w:val="0"/>
          <w:marBottom w:val="0"/>
          <w:divBdr>
            <w:top w:val="none" w:sz="0" w:space="0" w:color="auto"/>
            <w:left w:val="none" w:sz="0" w:space="0" w:color="auto"/>
            <w:bottom w:val="none" w:sz="0" w:space="0" w:color="auto"/>
            <w:right w:val="none" w:sz="0" w:space="0" w:color="auto"/>
          </w:divBdr>
        </w:div>
      </w:divsChild>
    </w:div>
    <w:div w:id="849611141">
      <w:marLeft w:val="0"/>
      <w:marRight w:val="0"/>
      <w:marTop w:val="0"/>
      <w:marBottom w:val="0"/>
      <w:divBdr>
        <w:top w:val="none" w:sz="0" w:space="0" w:color="auto"/>
        <w:left w:val="none" w:sz="0" w:space="0" w:color="auto"/>
        <w:bottom w:val="none" w:sz="0" w:space="0" w:color="auto"/>
        <w:right w:val="none" w:sz="0" w:space="0" w:color="auto"/>
      </w:divBdr>
    </w:div>
    <w:div w:id="849611142">
      <w:marLeft w:val="0"/>
      <w:marRight w:val="0"/>
      <w:marTop w:val="0"/>
      <w:marBottom w:val="0"/>
      <w:divBdr>
        <w:top w:val="none" w:sz="0" w:space="0" w:color="auto"/>
        <w:left w:val="none" w:sz="0" w:space="0" w:color="auto"/>
        <w:bottom w:val="none" w:sz="0" w:space="0" w:color="auto"/>
        <w:right w:val="none" w:sz="0" w:space="0" w:color="auto"/>
      </w:divBdr>
    </w:div>
    <w:div w:id="849611143">
      <w:marLeft w:val="0"/>
      <w:marRight w:val="0"/>
      <w:marTop w:val="0"/>
      <w:marBottom w:val="0"/>
      <w:divBdr>
        <w:top w:val="none" w:sz="0" w:space="0" w:color="auto"/>
        <w:left w:val="none" w:sz="0" w:space="0" w:color="auto"/>
        <w:bottom w:val="none" w:sz="0" w:space="0" w:color="auto"/>
        <w:right w:val="none" w:sz="0" w:space="0" w:color="auto"/>
      </w:divBdr>
    </w:div>
    <w:div w:id="930551708">
      <w:bodyDiv w:val="1"/>
      <w:marLeft w:val="0"/>
      <w:marRight w:val="0"/>
      <w:marTop w:val="0"/>
      <w:marBottom w:val="0"/>
      <w:divBdr>
        <w:top w:val="none" w:sz="0" w:space="0" w:color="auto"/>
        <w:left w:val="none" w:sz="0" w:space="0" w:color="auto"/>
        <w:bottom w:val="none" w:sz="0" w:space="0" w:color="auto"/>
        <w:right w:val="none" w:sz="0" w:space="0" w:color="auto"/>
      </w:divBdr>
      <w:divsChild>
        <w:div w:id="744258062">
          <w:marLeft w:val="0"/>
          <w:marRight w:val="0"/>
          <w:marTop w:val="0"/>
          <w:marBottom w:val="0"/>
          <w:divBdr>
            <w:top w:val="none" w:sz="0" w:space="0" w:color="auto"/>
            <w:left w:val="none" w:sz="0" w:space="0" w:color="auto"/>
            <w:bottom w:val="none" w:sz="0" w:space="0" w:color="auto"/>
            <w:right w:val="none" w:sz="0" w:space="0" w:color="auto"/>
          </w:divBdr>
        </w:div>
        <w:div w:id="677149696">
          <w:marLeft w:val="0"/>
          <w:marRight w:val="0"/>
          <w:marTop w:val="0"/>
          <w:marBottom w:val="0"/>
          <w:divBdr>
            <w:top w:val="none" w:sz="0" w:space="0" w:color="auto"/>
            <w:left w:val="none" w:sz="0" w:space="0" w:color="auto"/>
            <w:bottom w:val="none" w:sz="0" w:space="0" w:color="auto"/>
            <w:right w:val="none" w:sz="0" w:space="0" w:color="auto"/>
          </w:divBdr>
        </w:div>
        <w:div w:id="957368303">
          <w:marLeft w:val="0"/>
          <w:marRight w:val="0"/>
          <w:marTop w:val="0"/>
          <w:marBottom w:val="0"/>
          <w:divBdr>
            <w:top w:val="none" w:sz="0" w:space="0" w:color="auto"/>
            <w:left w:val="none" w:sz="0" w:space="0" w:color="auto"/>
            <w:bottom w:val="none" w:sz="0" w:space="0" w:color="auto"/>
            <w:right w:val="none" w:sz="0" w:space="0" w:color="auto"/>
          </w:divBdr>
        </w:div>
        <w:div w:id="1152916685">
          <w:marLeft w:val="0"/>
          <w:marRight w:val="0"/>
          <w:marTop w:val="0"/>
          <w:marBottom w:val="0"/>
          <w:divBdr>
            <w:top w:val="none" w:sz="0" w:space="0" w:color="auto"/>
            <w:left w:val="none" w:sz="0" w:space="0" w:color="auto"/>
            <w:bottom w:val="none" w:sz="0" w:space="0" w:color="auto"/>
            <w:right w:val="none" w:sz="0" w:space="0" w:color="auto"/>
          </w:divBdr>
        </w:div>
        <w:div w:id="1920820356">
          <w:marLeft w:val="0"/>
          <w:marRight w:val="0"/>
          <w:marTop w:val="0"/>
          <w:marBottom w:val="0"/>
          <w:divBdr>
            <w:top w:val="none" w:sz="0" w:space="0" w:color="auto"/>
            <w:left w:val="none" w:sz="0" w:space="0" w:color="auto"/>
            <w:bottom w:val="none" w:sz="0" w:space="0" w:color="auto"/>
            <w:right w:val="none" w:sz="0" w:space="0" w:color="auto"/>
          </w:divBdr>
        </w:div>
      </w:divsChild>
    </w:div>
    <w:div w:id="1038242069">
      <w:bodyDiv w:val="1"/>
      <w:marLeft w:val="0"/>
      <w:marRight w:val="0"/>
      <w:marTop w:val="0"/>
      <w:marBottom w:val="0"/>
      <w:divBdr>
        <w:top w:val="none" w:sz="0" w:space="0" w:color="auto"/>
        <w:left w:val="none" w:sz="0" w:space="0" w:color="auto"/>
        <w:bottom w:val="none" w:sz="0" w:space="0" w:color="auto"/>
        <w:right w:val="none" w:sz="0" w:space="0" w:color="auto"/>
      </w:divBdr>
      <w:divsChild>
        <w:div w:id="431123561">
          <w:marLeft w:val="0"/>
          <w:marRight w:val="0"/>
          <w:marTop w:val="0"/>
          <w:marBottom w:val="0"/>
          <w:divBdr>
            <w:top w:val="none" w:sz="0" w:space="0" w:color="auto"/>
            <w:left w:val="none" w:sz="0" w:space="0" w:color="auto"/>
            <w:bottom w:val="none" w:sz="0" w:space="0" w:color="auto"/>
            <w:right w:val="none" w:sz="0" w:space="0" w:color="auto"/>
          </w:divBdr>
        </w:div>
        <w:div w:id="825246534">
          <w:marLeft w:val="0"/>
          <w:marRight w:val="0"/>
          <w:marTop w:val="0"/>
          <w:marBottom w:val="0"/>
          <w:divBdr>
            <w:top w:val="none" w:sz="0" w:space="0" w:color="auto"/>
            <w:left w:val="none" w:sz="0" w:space="0" w:color="auto"/>
            <w:bottom w:val="none" w:sz="0" w:space="0" w:color="auto"/>
            <w:right w:val="none" w:sz="0" w:space="0" w:color="auto"/>
          </w:divBdr>
        </w:div>
        <w:div w:id="1575042962">
          <w:marLeft w:val="0"/>
          <w:marRight w:val="0"/>
          <w:marTop w:val="0"/>
          <w:marBottom w:val="0"/>
          <w:divBdr>
            <w:top w:val="none" w:sz="0" w:space="0" w:color="auto"/>
            <w:left w:val="none" w:sz="0" w:space="0" w:color="auto"/>
            <w:bottom w:val="none" w:sz="0" w:space="0" w:color="auto"/>
            <w:right w:val="none" w:sz="0" w:space="0" w:color="auto"/>
          </w:divBdr>
        </w:div>
        <w:div w:id="1893223896">
          <w:marLeft w:val="0"/>
          <w:marRight w:val="0"/>
          <w:marTop w:val="0"/>
          <w:marBottom w:val="0"/>
          <w:divBdr>
            <w:top w:val="none" w:sz="0" w:space="0" w:color="auto"/>
            <w:left w:val="none" w:sz="0" w:space="0" w:color="auto"/>
            <w:bottom w:val="none" w:sz="0" w:space="0" w:color="auto"/>
            <w:right w:val="none" w:sz="0" w:space="0" w:color="auto"/>
          </w:divBdr>
        </w:div>
        <w:div w:id="2053144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40814\Downloads\www.syriantax.gov.s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r40814\Downloads\www.syrianfinance.gov.s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go.bloombergtax.com/product/tax/search/results/d5e4045bc2f5354658b7452b189a585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arliament.gov.sy/arabic/index.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327a59-4249-437c-920f-8e220a816aa5" xsi:nil="true"/>
    <lcf76f155ced4ddcb4097134ff3c332f xmlns="c1adba8d-baf0-4ce5-a078-1356844c0b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7A7FB020AE8047B696C8EDE3C8C15D" ma:contentTypeVersion="20" ma:contentTypeDescription="Create a new document." ma:contentTypeScope="" ma:versionID="88301111c6233f2919410b0edd73e41f">
  <xsd:schema xmlns:xsd="http://www.w3.org/2001/XMLSchema" xmlns:xs="http://www.w3.org/2001/XMLSchema" xmlns:p="http://schemas.microsoft.com/office/2006/metadata/properties" xmlns:ns1="http://schemas.microsoft.com/sharepoint/v3" xmlns:ns2="b8327a59-4249-437c-920f-8e220a816aa5" xmlns:ns3="c1adba8d-baf0-4ce5-a078-1356844c0b6a" targetNamespace="http://schemas.microsoft.com/office/2006/metadata/properties" ma:root="true" ma:fieldsID="bfe9d64da66e3ad3fd66e90caaab87b8" ns1:_="" ns2:_="" ns3:_="">
    <xsd:import namespace="http://schemas.microsoft.com/sharepoint/v3"/>
    <xsd:import namespace="b8327a59-4249-437c-920f-8e220a816aa5"/>
    <xsd:import namespace="c1adba8d-baf0-4ce5-a078-1356844c0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27a59-4249-437c-920f-8e220a816a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9ace13-f03b-4dfa-a187-13ceb1f132a5}" ma:internalName="TaxCatchAll" ma:showField="CatchAllData" ma:web="b8327a59-4249-437c-920f-8e220a816a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dba8d-baf0-4ce5-a078-1356844c0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4A593-F107-442C-882A-1EF394CE6E5E}">
  <ds:schemaRefs>
    <ds:schemaRef ds:uri="http://schemas.microsoft.com/office/2006/metadata/properties"/>
    <ds:schemaRef ds:uri="http://schemas.microsoft.com/office/infopath/2007/PartnerControls"/>
    <ds:schemaRef ds:uri="http://schemas.microsoft.com/sharepoint/v3"/>
    <ds:schemaRef ds:uri="b8327a59-4249-437c-920f-8e220a816aa5"/>
    <ds:schemaRef ds:uri="c1adba8d-baf0-4ce5-a078-1356844c0b6a"/>
  </ds:schemaRefs>
</ds:datastoreItem>
</file>

<file path=customXml/itemProps2.xml><?xml version="1.0" encoding="utf-8"?>
<ds:datastoreItem xmlns:ds="http://schemas.openxmlformats.org/officeDocument/2006/customXml" ds:itemID="{4EE0649C-78CD-43AF-96E9-D9E5016AF8C0}">
  <ds:schemaRefs>
    <ds:schemaRef ds:uri="http://schemas.openxmlformats.org/officeDocument/2006/bibliography"/>
  </ds:schemaRefs>
</ds:datastoreItem>
</file>

<file path=customXml/itemProps3.xml><?xml version="1.0" encoding="utf-8"?>
<ds:datastoreItem xmlns:ds="http://schemas.openxmlformats.org/officeDocument/2006/customXml" ds:itemID="{E9A618F5-6A7F-4C15-AF8F-9275697D0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27a59-4249-437c-920f-8e220a816aa5"/>
    <ds:schemaRef ds:uri="c1adba8d-baf0-4ce5-a078-1356844c0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37719-8C27-4062-8DD8-631C4FC6B726}">
  <ds:schemaRefs>
    <ds:schemaRef ds:uri="http://schemas.microsoft.com/sharepoint/v3/contenttype/form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6199</Words>
  <Characters>37252</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Chaproniere, David</dc:creator>
  <cp:keywords/>
  <dc:description/>
  <cp:lastModifiedBy>Cruz, Ricky</cp:lastModifiedBy>
  <cp:revision>2</cp:revision>
  <dcterms:created xsi:type="dcterms:W3CDTF">2024-08-02T16:15:00Z</dcterms:created>
  <dcterms:modified xsi:type="dcterms:W3CDTF">2024-08-02T16:15:00Z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86616f-5bb4-45d1-b9c4-7a19bded0f1d_Enabled">
    <vt:lpwstr>true</vt:lpwstr>
  </property>
  <property fmtid="{D5CDD505-2E9C-101B-9397-08002B2CF9AE}" pid="3" name="MSIP_Label_f786616f-5bb4-45d1-b9c4-7a19bded0f1d_SetDate">
    <vt:lpwstr>2023-08-14T17:35:09Z</vt:lpwstr>
  </property>
  <property fmtid="{D5CDD505-2E9C-101B-9397-08002B2CF9AE}" pid="4" name="MSIP_Label_f786616f-5bb4-45d1-b9c4-7a19bded0f1d_Method">
    <vt:lpwstr>Standard</vt:lpwstr>
  </property>
  <property fmtid="{D5CDD505-2E9C-101B-9397-08002B2CF9AE}" pid="5" name="MSIP_Label_f786616f-5bb4-45d1-b9c4-7a19bded0f1d_Name">
    <vt:lpwstr>Public</vt:lpwstr>
  </property>
  <property fmtid="{D5CDD505-2E9C-101B-9397-08002B2CF9AE}" pid="6" name="MSIP_Label_f786616f-5bb4-45d1-b9c4-7a19bded0f1d_SiteId">
    <vt:lpwstr>97be21fd-c601-4b16-9920-f5accc69da65</vt:lpwstr>
  </property>
  <property fmtid="{D5CDD505-2E9C-101B-9397-08002B2CF9AE}" pid="7" name="MSIP_Label_f786616f-5bb4-45d1-b9c4-7a19bded0f1d_ActionId">
    <vt:lpwstr>ec43d1d9-ac7f-4ef4-b85e-975e3bb3fc76</vt:lpwstr>
  </property>
  <property fmtid="{D5CDD505-2E9C-101B-9397-08002B2CF9AE}" pid="8" name="MSIP_Label_f786616f-5bb4-45d1-b9c4-7a19bded0f1d_ContentBits">
    <vt:lpwstr>0</vt:lpwstr>
  </property>
  <property fmtid="{D5CDD505-2E9C-101B-9397-08002B2CF9AE}" pid="9" name="ContentTypeId">
    <vt:lpwstr>0x010100FF7A7FB020AE8047B696C8EDE3C8C15D</vt:lpwstr>
  </property>
</Properties>
</file>