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86DB0" w14:textId="77777777" w:rsidR="0023123D" w:rsidRDefault="00FF0BDF">
      <w:pPr>
        <w:spacing w:after="23" w:line="259" w:lineRule="auto"/>
        <w:ind w:left="108" w:firstLine="0"/>
      </w:pPr>
      <w:r>
        <w:rPr>
          <w:b/>
          <w:sz w:val="18"/>
        </w:rPr>
        <w:t xml:space="preserve">Table 1: Continuous Transaction Control Models </w:t>
      </w:r>
    </w:p>
    <w:p w14:paraId="53B58E94" w14:textId="77777777" w:rsidR="00FF0BDF" w:rsidRDefault="00FF0BDF">
      <w:pPr>
        <w:spacing w:before="46" w:after="0" w:line="259" w:lineRule="auto"/>
        <w:ind w:left="0" w:firstLine="0"/>
        <w:rPr>
          <w:sz w:val="22"/>
        </w:rPr>
      </w:pPr>
    </w:p>
    <w:tbl>
      <w:tblPr>
        <w:tblStyle w:val="TableGrid"/>
        <w:tblpPr w:vertAnchor="text" w:tblpX="1" w:tblpY="242"/>
        <w:tblOverlap w:val="never"/>
        <w:tblW w:w="6569" w:type="dxa"/>
        <w:tblInd w:w="0" w:type="dxa"/>
        <w:tblCellMar>
          <w:top w:w="7" w:type="dxa"/>
          <w:left w:w="107" w:type="dxa"/>
          <w:bottom w:w="0" w:type="dxa"/>
          <w:right w:w="68" w:type="dxa"/>
        </w:tblCellMar>
        <w:tblLook w:val="04A0" w:firstRow="1" w:lastRow="0" w:firstColumn="1" w:lastColumn="0" w:noHBand="0" w:noVBand="1"/>
      </w:tblPr>
      <w:tblGrid>
        <w:gridCol w:w="1439"/>
        <w:gridCol w:w="5130"/>
      </w:tblGrid>
      <w:tr w:rsidR="00FF0BDF" w14:paraId="09D87755" w14:textId="77777777" w:rsidTr="00805EBF">
        <w:trPr>
          <w:trHeight w:val="382"/>
        </w:trPr>
        <w:tc>
          <w:tcPr>
            <w:tcW w:w="1439" w:type="dxa"/>
            <w:tcBorders>
              <w:top w:val="single" w:sz="4" w:space="0" w:color="000000"/>
              <w:left w:val="single" w:sz="4" w:space="0" w:color="000000"/>
              <w:bottom w:val="single" w:sz="4" w:space="0" w:color="000000"/>
              <w:right w:val="single" w:sz="4" w:space="0" w:color="000000"/>
            </w:tcBorders>
            <w:shd w:val="clear" w:color="auto" w:fill="1E8BCD"/>
          </w:tcPr>
          <w:p w14:paraId="06355DE1" w14:textId="77777777" w:rsidR="00FF0BDF" w:rsidRDefault="00FF0BDF" w:rsidP="00805EBF">
            <w:pPr>
              <w:spacing w:after="0" w:line="259" w:lineRule="auto"/>
              <w:ind w:left="0" w:right="42" w:firstLine="0"/>
              <w:jc w:val="center"/>
            </w:pPr>
            <w:r>
              <w:rPr>
                <w:b/>
                <w:color w:val="FFFFFF"/>
                <w:sz w:val="18"/>
              </w:rPr>
              <w:t xml:space="preserve">Model  </w:t>
            </w:r>
          </w:p>
        </w:tc>
        <w:tc>
          <w:tcPr>
            <w:tcW w:w="5130" w:type="dxa"/>
            <w:tcBorders>
              <w:top w:val="single" w:sz="4" w:space="0" w:color="000000"/>
              <w:left w:val="single" w:sz="4" w:space="0" w:color="000000"/>
              <w:bottom w:val="single" w:sz="4" w:space="0" w:color="000000"/>
              <w:right w:val="single" w:sz="4" w:space="0" w:color="000000"/>
            </w:tcBorders>
            <w:shd w:val="clear" w:color="auto" w:fill="1E8BCD"/>
          </w:tcPr>
          <w:p w14:paraId="485F44A0" w14:textId="77777777" w:rsidR="00FF0BDF" w:rsidRDefault="00FF0BDF" w:rsidP="00805EBF">
            <w:pPr>
              <w:spacing w:after="0" w:line="259" w:lineRule="auto"/>
              <w:ind w:left="0" w:right="42" w:firstLine="0"/>
              <w:jc w:val="center"/>
            </w:pPr>
            <w:r>
              <w:rPr>
                <w:b/>
                <w:color w:val="FFFFFF"/>
                <w:sz w:val="18"/>
              </w:rPr>
              <w:t xml:space="preserve">Description  </w:t>
            </w:r>
          </w:p>
        </w:tc>
      </w:tr>
      <w:tr w:rsidR="00FF0BDF" w14:paraId="7A084E68" w14:textId="77777777" w:rsidTr="00805EBF">
        <w:trPr>
          <w:trHeight w:val="541"/>
        </w:trPr>
        <w:tc>
          <w:tcPr>
            <w:tcW w:w="1439" w:type="dxa"/>
            <w:tcBorders>
              <w:top w:val="single" w:sz="4" w:space="0" w:color="000000"/>
              <w:left w:val="single" w:sz="4" w:space="0" w:color="000000"/>
              <w:bottom w:val="single" w:sz="4" w:space="0" w:color="000000"/>
              <w:right w:val="single" w:sz="4" w:space="0" w:color="000000"/>
            </w:tcBorders>
          </w:tcPr>
          <w:p w14:paraId="5066BD1D" w14:textId="77777777" w:rsidR="00FF0BDF" w:rsidRDefault="00FF0BDF" w:rsidP="00805EBF">
            <w:pPr>
              <w:spacing w:after="0" w:line="259" w:lineRule="auto"/>
              <w:ind w:left="0" w:firstLine="0"/>
            </w:pPr>
            <w:r>
              <w:rPr>
                <w:b/>
                <w:sz w:val="18"/>
              </w:rPr>
              <w:t xml:space="preserve">Post-audit </w:t>
            </w:r>
          </w:p>
        </w:tc>
        <w:tc>
          <w:tcPr>
            <w:tcW w:w="5130" w:type="dxa"/>
            <w:tcBorders>
              <w:top w:val="single" w:sz="4" w:space="0" w:color="000000"/>
              <w:left w:val="single" w:sz="4" w:space="0" w:color="000000"/>
              <w:bottom w:val="single" w:sz="4" w:space="0" w:color="000000"/>
              <w:right w:val="single" w:sz="4" w:space="0" w:color="000000"/>
            </w:tcBorders>
          </w:tcPr>
          <w:p w14:paraId="1071D515" w14:textId="77777777" w:rsidR="00FF0BDF" w:rsidRDefault="00FF0BDF" w:rsidP="00805EBF">
            <w:pPr>
              <w:spacing w:after="0" w:line="259" w:lineRule="auto"/>
              <w:ind w:left="1" w:firstLine="0"/>
            </w:pPr>
            <w:r>
              <w:rPr>
                <w:sz w:val="18"/>
              </w:rPr>
              <w:t xml:space="preserve">No continuous transaction control. Invoicing data provided upon audit. </w:t>
            </w:r>
            <w:r>
              <w:rPr>
                <w:b/>
                <w:sz w:val="18"/>
              </w:rPr>
              <w:t xml:space="preserve"> </w:t>
            </w:r>
          </w:p>
        </w:tc>
      </w:tr>
      <w:tr w:rsidR="00FF0BDF" w14:paraId="4BC83CF3" w14:textId="77777777" w:rsidTr="00805EBF">
        <w:trPr>
          <w:trHeight w:val="672"/>
        </w:trPr>
        <w:tc>
          <w:tcPr>
            <w:tcW w:w="1439" w:type="dxa"/>
            <w:tcBorders>
              <w:top w:val="single" w:sz="4" w:space="0" w:color="000000"/>
              <w:left w:val="single" w:sz="4" w:space="0" w:color="000000"/>
              <w:bottom w:val="single" w:sz="4" w:space="0" w:color="000000"/>
              <w:right w:val="single" w:sz="4" w:space="0" w:color="000000"/>
            </w:tcBorders>
          </w:tcPr>
          <w:p w14:paraId="2BB4EC6F" w14:textId="77777777" w:rsidR="00FF0BDF" w:rsidRDefault="00FF0BDF" w:rsidP="00805EBF">
            <w:pPr>
              <w:spacing w:after="0" w:line="259" w:lineRule="auto"/>
              <w:ind w:left="0" w:firstLine="0"/>
            </w:pPr>
            <w:r>
              <w:rPr>
                <w:b/>
                <w:sz w:val="18"/>
              </w:rPr>
              <w:t>Centralized Exchange</w:t>
            </w:r>
            <w:r>
              <w:rPr>
                <w:sz w:val="18"/>
              </w:rPr>
              <w:t xml:space="preserve"> </w:t>
            </w:r>
          </w:p>
        </w:tc>
        <w:tc>
          <w:tcPr>
            <w:tcW w:w="5130" w:type="dxa"/>
            <w:tcBorders>
              <w:top w:val="single" w:sz="4" w:space="0" w:color="000000"/>
              <w:left w:val="single" w:sz="4" w:space="0" w:color="000000"/>
              <w:bottom w:val="single" w:sz="4" w:space="0" w:color="000000"/>
              <w:right w:val="single" w:sz="4" w:space="0" w:color="000000"/>
            </w:tcBorders>
          </w:tcPr>
          <w:p w14:paraId="56DF3384" w14:textId="77777777" w:rsidR="00FF0BDF" w:rsidRDefault="00FF0BDF" w:rsidP="00805EBF">
            <w:pPr>
              <w:spacing w:after="0" w:line="259" w:lineRule="auto"/>
              <w:ind w:left="1" w:firstLine="0"/>
            </w:pPr>
            <w:r>
              <w:rPr>
                <w:sz w:val="18"/>
              </w:rPr>
              <w:t xml:space="preserve">Platform or procedure requiring the tax authority to authorize and issue invoices upon the request of the issuer.  </w:t>
            </w:r>
          </w:p>
        </w:tc>
      </w:tr>
      <w:tr w:rsidR="00FF0BDF" w14:paraId="4B75E61C" w14:textId="77777777" w:rsidTr="00805EBF">
        <w:trPr>
          <w:trHeight w:val="778"/>
        </w:trPr>
        <w:tc>
          <w:tcPr>
            <w:tcW w:w="1439" w:type="dxa"/>
            <w:tcBorders>
              <w:top w:val="single" w:sz="4" w:space="0" w:color="000000"/>
              <w:left w:val="single" w:sz="4" w:space="0" w:color="000000"/>
              <w:bottom w:val="single" w:sz="4" w:space="0" w:color="000000"/>
              <w:right w:val="single" w:sz="4" w:space="0" w:color="000000"/>
            </w:tcBorders>
          </w:tcPr>
          <w:p w14:paraId="5BD702A1" w14:textId="77777777" w:rsidR="00FF0BDF" w:rsidRDefault="00FF0BDF" w:rsidP="00805EBF">
            <w:pPr>
              <w:spacing w:after="0" w:line="259" w:lineRule="auto"/>
              <w:ind w:left="0" w:firstLine="0"/>
            </w:pPr>
            <w:r>
              <w:rPr>
                <w:b/>
                <w:sz w:val="18"/>
              </w:rPr>
              <w:t>Centralized Clearance</w:t>
            </w:r>
            <w:r>
              <w:rPr>
                <w:sz w:val="18"/>
              </w:rPr>
              <w:t xml:space="preserve"> </w:t>
            </w:r>
          </w:p>
        </w:tc>
        <w:tc>
          <w:tcPr>
            <w:tcW w:w="5130" w:type="dxa"/>
            <w:tcBorders>
              <w:top w:val="single" w:sz="4" w:space="0" w:color="000000"/>
              <w:left w:val="single" w:sz="4" w:space="0" w:color="000000"/>
              <w:bottom w:val="single" w:sz="4" w:space="0" w:color="000000"/>
              <w:right w:val="single" w:sz="4" w:space="0" w:color="000000"/>
            </w:tcBorders>
          </w:tcPr>
          <w:p w14:paraId="628CB7D9" w14:textId="77777777" w:rsidR="00FF0BDF" w:rsidRDefault="00FF0BDF" w:rsidP="00805EBF">
            <w:pPr>
              <w:spacing w:after="0" w:line="259" w:lineRule="auto"/>
              <w:ind w:left="1" w:firstLine="0"/>
            </w:pPr>
            <w:r>
              <w:rPr>
                <w:sz w:val="18"/>
              </w:rPr>
              <w:t xml:space="preserve">Scheme through which invoices can only be issued after they are verified and </w:t>
            </w:r>
            <w:proofErr w:type="gramStart"/>
            <w:r>
              <w:rPr>
                <w:sz w:val="18"/>
              </w:rPr>
              <w:t>cleared</w:t>
            </w:r>
            <w:proofErr w:type="gramEnd"/>
            <w:r>
              <w:rPr>
                <w:sz w:val="18"/>
              </w:rPr>
              <w:t xml:space="preserve"> through a central platform operated by the tax authority. </w:t>
            </w:r>
          </w:p>
        </w:tc>
      </w:tr>
      <w:tr w:rsidR="00FF0BDF" w14:paraId="7DC8DD9E" w14:textId="77777777" w:rsidTr="00805EBF">
        <w:trPr>
          <w:trHeight w:val="1248"/>
        </w:trPr>
        <w:tc>
          <w:tcPr>
            <w:tcW w:w="1439" w:type="dxa"/>
            <w:tcBorders>
              <w:top w:val="single" w:sz="4" w:space="0" w:color="000000"/>
              <w:left w:val="single" w:sz="4" w:space="0" w:color="000000"/>
              <w:bottom w:val="single" w:sz="4" w:space="0" w:color="000000"/>
              <w:right w:val="single" w:sz="4" w:space="0" w:color="000000"/>
            </w:tcBorders>
          </w:tcPr>
          <w:p w14:paraId="050997B1" w14:textId="77777777" w:rsidR="00FF0BDF" w:rsidRDefault="00FF0BDF" w:rsidP="00805EBF">
            <w:pPr>
              <w:spacing w:after="0" w:line="259" w:lineRule="auto"/>
              <w:ind w:left="0" w:firstLine="0"/>
            </w:pPr>
            <w:r>
              <w:rPr>
                <w:b/>
                <w:sz w:val="18"/>
              </w:rPr>
              <w:t>Decentralized Clearance</w:t>
            </w:r>
            <w:r>
              <w:rPr>
                <w:sz w:val="18"/>
              </w:rPr>
              <w:t xml:space="preserve"> </w:t>
            </w:r>
          </w:p>
        </w:tc>
        <w:tc>
          <w:tcPr>
            <w:tcW w:w="5130" w:type="dxa"/>
            <w:tcBorders>
              <w:top w:val="single" w:sz="4" w:space="0" w:color="000000"/>
              <w:left w:val="single" w:sz="4" w:space="0" w:color="000000"/>
              <w:bottom w:val="single" w:sz="4" w:space="0" w:color="000000"/>
              <w:right w:val="single" w:sz="4" w:space="0" w:color="000000"/>
            </w:tcBorders>
          </w:tcPr>
          <w:p w14:paraId="5C0D1AC5" w14:textId="77777777" w:rsidR="00FF0BDF" w:rsidRDefault="00FF0BDF" w:rsidP="00805EBF">
            <w:pPr>
              <w:spacing w:after="0" w:line="259" w:lineRule="auto"/>
              <w:ind w:left="1" w:right="2" w:firstLine="0"/>
            </w:pPr>
            <w:r>
              <w:rPr>
                <w:sz w:val="18"/>
              </w:rPr>
              <w:t xml:space="preserve">Scheme through which invoices are sent to authorized third party service providers for validation. The service provider signs and seals the invoice for return to the tax authority and to the taxpayer, who can then send it on to the counterparty. </w:t>
            </w:r>
          </w:p>
        </w:tc>
      </w:tr>
      <w:tr w:rsidR="00FF0BDF" w14:paraId="6537A7A4" w14:textId="77777777" w:rsidTr="00805EBF">
        <w:trPr>
          <w:trHeight w:val="1013"/>
        </w:trPr>
        <w:tc>
          <w:tcPr>
            <w:tcW w:w="1439" w:type="dxa"/>
            <w:tcBorders>
              <w:top w:val="single" w:sz="4" w:space="0" w:color="000000"/>
              <w:left w:val="single" w:sz="4" w:space="0" w:color="000000"/>
              <w:bottom w:val="single" w:sz="4" w:space="0" w:color="000000"/>
              <w:right w:val="single" w:sz="4" w:space="0" w:color="000000"/>
            </w:tcBorders>
          </w:tcPr>
          <w:p w14:paraId="1DEADF60" w14:textId="77777777" w:rsidR="00FF0BDF" w:rsidRDefault="00FF0BDF" w:rsidP="00805EBF">
            <w:pPr>
              <w:spacing w:after="0" w:line="259" w:lineRule="auto"/>
              <w:ind w:left="0" w:firstLine="0"/>
            </w:pPr>
            <w:r>
              <w:rPr>
                <w:b/>
                <w:sz w:val="18"/>
              </w:rPr>
              <w:t>Real-time reporting</w:t>
            </w:r>
            <w:r>
              <w:rPr>
                <w:sz w:val="18"/>
              </w:rPr>
              <w:t xml:space="preserve"> </w:t>
            </w:r>
          </w:p>
        </w:tc>
        <w:tc>
          <w:tcPr>
            <w:tcW w:w="5130" w:type="dxa"/>
            <w:tcBorders>
              <w:top w:val="single" w:sz="4" w:space="0" w:color="000000"/>
              <w:left w:val="single" w:sz="4" w:space="0" w:color="000000"/>
              <w:bottom w:val="single" w:sz="4" w:space="0" w:color="000000"/>
              <w:right w:val="single" w:sz="4" w:space="0" w:color="000000"/>
            </w:tcBorders>
          </w:tcPr>
          <w:p w14:paraId="56882BC8" w14:textId="77777777" w:rsidR="00FF0BDF" w:rsidRDefault="00FF0BDF" w:rsidP="00805EBF">
            <w:pPr>
              <w:spacing w:after="0" w:line="257" w:lineRule="auto"/>
              <w:ind w:left="1" w:firstLine="0"/>
            </w:pPr>
            <w:r>
              <w:rPr>
                <w:sz w:val="18"/>
              </w:rPr>
              <w:t xml:space="preserve">A system that requires taxpayers to communicate invoicing data to the tax authority within a specified period, e.g., a set </w:t>
            </w:r>
          </w:p>
          <w:p w14:paraId="4104838E" w14:textId="77777777" w:rsidR="00FF0BDF" w:rsidRDefault="00FF0BDF" w:rsidP="00805EBF">
            <w:pPr>
              <w:spacing w:after="0" w:line="259" w:lineRule="auto"/>
              <w:ind w:left="1" w:firstLine="0"/>
            </w:pPr>
            <w:r>
              <w:rPr>
                <w:sz w:val="18"/>
              </w:rPr>
              <w:t xml:space="preserve">number of days from issuance, but not to obtain authorization prior to issuance. </w:t>
            </w:r>
          </w:p>
        </w:tc>
      </w:tr>
      <w:tr w:rsidR="00FF0BDF" w14:paraId="1369D050" w14:textId="77777777" w:rsidTr="00805EBF">
        <w:trPr>
          <w:trHeight w:val="778"/>
        </w:trPr>
        <w:tc>
          <w:tcPr>
            <w:tcW w:w="1439" w:type="dxa"/>
            <w:tcBorders>
              <w:top w:val="single" w:sz="4" w:space="0" w:color="000000"/>
              <w:left w:val="single" w:sz="4" w:space="0" w:color="000000"/>
              <w:bottom w:val="single" w:sz="4" w:space="0" w:color="000000"/>
              <w:right w:val="single" w:sz="4" w:space="0" w:color="000000"/>
            </w:tcBorders>
          </w:tcPr>
          <w:p w14:paraId="23271C3E" w14:textId="77777777" w:rsidR="00FF0BDF" w:rsidRDefault="00FF0BDF" w:rsidP="00805EBF">
            <w:pPr>
              <w:spacing w:after="0" w:line="259" w:lineRule="auto"/>
              <w:ind w:left="0" w:firstLine="0"/>
            </w:pPr>
            <w:r>
              <w:rPr>
                <w:b/>
                <w:sz w:val="18"/>
              </w:rPr>
              <w:t xml:space="preserve">Batch reporting  </w:t>
            </w:r>
          </w:p>
        </w:tc>
        <w:tc>
          <w:tcPr>
            <w:tcW w:w="5130" w:type="dxa"/>
            <w:tcBorders>
              <w:top w:val="single" w:sz="4" w:space="0" w:color="000000"/>
              <w:left w:val="single" w:sz="4" w:space="0" w:color="000000"/>
              <w:bottom w:val="single" w:sz="4" w:space="0" w:color="000000"/>
              <w:right w:val="single" w:sz="4" w:space="0" w:color="000000"/>
            </w:tcBorders>
          </w:tcPr>
          <w:p w14:paraId="2E732BF3" w14:textId="77777777" w:rsidR="00FF0BDF" w:rsidRDefault="00FF0BDF" w:rsidP="00805EBF">
            <w:pPr>
              <w:spacing w:after="0" w:line="259" w:lineRule="auto"/>
              <w:ind w:left="1" w:right="805" w:firstLine="0"/>
              <w:jc w:val="both"/>
            </w:pPr>
            <w:r>
              <w:rPr>
                <w:sz w:val="18"/>
              </w:rPr>
              <w:t xml:space="preserve">A system similar to real-time reporting, except that taxpayers are required to upload invoicing data periodically, e.g., monthly.  </w:t>
            </w:r>
          </w:p>
        </w:tc>
      </w:tr>
    </w:tbl>
    <w:p w14:paraId="62E4CB77" w14:textId="77777777" w:rsidR="00FF0BDF" w:rsidRDefault="00FF0BDF">
      <w:pPr>
        <w:spacing w:before="46" w:after="0" w:line="259" w:lineRule="auto"/>
        <w:ind w:left="0" w:firstLine="0"/>
        <w:rPr>
          <w:sz w:val="22"/>
        </w:rPr>
      </w:pPr>
    </w:p>
    <w:sectPr w:rsidR="00FF0BDF">
      <w:type w:val="continuous"/>
      <w:pgSz w:w="15840" w:h="12240" w:orient="landscape"/>
      <w:pgMar w:top="527" w:right="1147" w:bottom="429"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23D"/>
    <w:rsid w:val="0023123D"/>
    <w:rsid w:val="00917565"/>
    <w:rsid w:val="00FF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1F577"/>
  <w15:docId w15:val="{1FEBB7A2-382B-4ED3-919F-2B59CF39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3" w:line="263" w:lineRule="auto"/>
      <w:ind w:left="10"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0000FF"/>
      <w:u w:val="single" w:color="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FF"/>
      <w:sz w:val="24"/>
      <w:u w:val="single" w:color="0000FF"/>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952</Characters>
  <Application>Microsoft Office Word</Application>
  <DocSecurity>0</DocSecurity>
  <Lines>7</Lines>
  <Paragraphs>2</Paragraphs>
  <ScaleCrop>false</ScaleCrop>
  <Company>Bloomberg Industry Group</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Krista</dc:creator>
  <cp:keywords/>
  <cp:lastModifiedBy>Cruz, Ricky</cp:lastModifiedBy>
  <cp:revision>2</cp:revision>
  <dcterms:created xsi:type="dcterms:W3CDTF">2025-06-13T15:01:00Z</dcterms:created>
  <dcterms:modified xsi:type="dcterms:W3CDTF">2025-06-13T15:01:00Z</dcterms:modified>
</cp:coreProperties>
</file>