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64FE" w14:textId="77777777" w:rsidR="00DB6620" w:rsidRDefault="00DB6620" w:rsidP="00DB6620">
      <w:pPr>
        <w:pStyle w:val="BDocStart"/>
      </w:pPr>
      <w:sdt>
        <w:sdtPr>
          <w:tag w:val="unit.start.head"/>
          <w:id w:val="991913488"/>
          <w:lock w:val="sdtLocked"/>
          <w:placeholder>
            <w:docPart w:val="D817D94A57664B01BE5F97469D90692D"/>
          </w:placeholder>
          <w15:appearance w15:val="hidden"/>
        </w:sdtPr>
        <w:sdtContent>
          <w:r>
            <w:t>Unit.Start</w:t>
          </w:r>
        </w:sdtContent>
      </w:sdt>
    </w:p>
    <w:sdt>
      <w:sdtPr>
        <w:rPr>
          <w:rStyle w:val="BContentControl"/>
        </w:rPr>
        <w:alias w:val="unit.start"/>
        <w:tag w:val="Unit1"/>
        <w:id w:val="-223209984"/>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BF62396" w14:textId="77777777" w:rsidR="00DB6620" w:rsidRDefault="00DB6620" w:rsidP="00DB6620">
          <w:pPr>
            <w:pStyle w:val="BNormal"/>
          </w:pPr>
          <w:sdt>
            <w:sdtPr>
              <w:rPr>
                <w:rStyle w:val="BContentControl"/>
              </w:rPr>
              <w:alias w:val="acct.code"/>
              <w:tag w:val="acct.code"/>
              <w:id w:val="218482560"/>
              <w:lock w:val="sdtLocked"/>
              <w:placeholder>
                <w:docPart w:val="842A00F9CB1A4996B00024F863EDD11C"/>
              </w:placeholder>
              <w:dataBinding w:prefixMappings="xmlns:ns0='http://www.bna.com/gateway/unit.start' " w:xpath="/ns0:document[1]/ns0:unit.start[1]/@acct.code" w:storeItemID="{B04FCA99-13B0-422B-ADC9-9491644FA79D}"/>
              <w15:appearance w15:val="tags"/>
              <w:text/>
            </w:sdtPr>
            <w:sdtContent>
              <w:r>
                <w:rPr>
                  <w:rStyle w:val="BContentControl"/>
                </w:rPr>
                <w:t>TD2M20</w:t>
              </w:r>
            </w:sdtContent>
          </w:sdt>
          <w:sdt>
            <w:sdtPr>
              <w:rPr>
                <w:rStyle w:val="BContentControl"/>
              </w:rPr>
              <w:alias w:val="bna.id.prefix"/>
              <w:tag w:val="bna.id.prefix"/>
              <w:id w:val="1973471738"/>
              <w:lock w:val="sdtLocked"/>
              <w:placeholder>
                <w:docPart w:val="9DBD4B7D7D034421997011D6C9D84263"/>
              </w:placeholder>
              <w:dataBinding w:prefixMappings="xmlns:ns0='http://www.bna.com/gateway/unit.start' " w:xpath="/ns0:document[1]/ns0:unit.start[1]/@bna.id.prefix" w:storeItemID="{B04FCA99-13B0-422B-ADC9-9491644FA79D}"/>
              <w15:appearance w15:val="tags"/>
              <w:text/>
            </w:sdtPr>
            <w:sdtContent>
              <w:r>
                <w:rPr>
                  <w:rStyle w:val="BContentControl"/>
                </w:rPr>
                <w:t>15</w:t>
              </w:r>
            </w:sdtContent>
          </w:sdt>
          <w:r w:rsidRPr="00DB6620">
            <w:rPr>
              <w:rStyle w:val="BContentControl"/>
            </w:rPr>
            <w:t xml:space="preserve"> </w:t>
          </w:r>
          <w:sdt>
            <w:sdtPr>
              <w:rPr>
                <w:rStyle w:val="BContentControl"/>
              </w:rPr>
              <w:alias w:val="class.code*"/>
              <w:tag w:val="class.code"/>
              <w:id w:val="2059043564"/>
              <w:lock w:val="sdtLocked"/>
              <w:placeholder>
                <w:docPart w:val="1244F838404246C0BF0C16C075CB7E02"/>
              </w:placeholder>
              <w:dataBinding w:prefixMappings="xmlns:ns0='http://www.bna.com/gateway/unit.start' " w:xpath="/ns0:document[1]/ns0:unit.start[1]/@class.code" w:storeItemID="{B04FCA99-13B0-422B-ADC9-9491644FA79D}"/>
              <w15:appearance w15:val="tags"/>
              <w:text/>
            </w:sdtPr>
            <w:sdtContent>
              <w:r>
                <w:rPr>
                  <w:rStyle w:val="BContentControl"/>
                </w:rPr>
                <w:t>A</w:t>
              </w:r>
            </w:sdtContent>
          </w:sdt>
          <w:r w:rsidRPr="00DB6620">
            <w:rPr>
              <w:rStyle w:val="BContentControl"/>
            </w:rPr>
            <w:t xml:space="preserve"> </w:t>
          </w:r>
          <w:sdt>
            <w:sdtPr>
              <w:rPr>
                <w:rStyle w:val="BContentControl"/>
              </w:rPr>
              <w:alias w:val="class.name*"/>
              <w:tag w:val="class.name"/>
              <w:id w:val="-135645430"/>
              <w:lock w:val="sdtLocked"/>
              <w:placeholder>
                <w:docPart w:val="4A674DB8440A4A869A37FE3FD444F090"/>
              </w:placeholder>
              <w:dataBinding w:prefixMappings="xmlns:ns0='http://www.bna.com/gateway/unit.start' " w:xpath="/ns0:document[1]/ns0:unit.start[1]/@class.name" w:storeItemID="{B04FCA99-13B0-422B-ADC9-9491644FA79D}"/>
              <w15:appearance w15:val="tags"/>
              <w:text/>
            </w:sdtPr>
            <w:sdtContent>
              <w:r>
                <w:rPr>
                  <w:rStyle w:val="BContentControl"/>
                </w:rPr>
                <w:t>Book Body</w:t>
              </w:r>
            </w:sdtContent>
          </w:sdt>
          <w:r w:rsidRPr="00DB6620">
            <w:rPr>
              <w:rStyle w:val="BContentControl"/>
            </w:rPr>
            <w:t xml:space="preserve"> </w:t>
          </w:r>
          <w:sdt>
            <w:sdtPr>
              <w:rPr>
                <w:rStyle w:val="BContentControl"/>
              </w:rPr>
              <w:alias w:val="copyright.owner"/>
              <w:tag w:val="copyright.owner"/>
              <w:id w:val="-141350792"/>
              <w:lock w:val="sdtLocked"/>
              <w:placeholder>
                <w:docPart w:val="3F7B89AB7B674E9799EDD71E46668933"/>
              </w:placeholder>
              <w:dataBinding w:prefixMappings="xmlns:ns0='http://www.bna.com/gateway/unit.start' " w:xpath="/ns0:document[1]/ns0:unit.start[1]/@copyright.owner" w:storeItemID="{B04FCA99-13B0-422B-ADC9-9491644FA79D}"/>
              <w15:appearance w15:val="tags"/>
              <w:text/>
            </w:sdtPr>
            <w:sdtContent>
              <w:r w:rsidRPr="00DB6620">
                <w:rPr>
                  <w:rStyle w:val="BContentControl"/>
                </w:rPr>
                <w:t>enter text</w:t>
              </w:r>
            </w:sdtContent>
          </w:sdt>
          <w:r w:rsidRPr="00DB6620">
            <w:rPr>
              <w:rStyle w:val="BContentControl"/>
            </w:rPr>
            <w:t xml:space="preserve"> </w:t>
          </w:r>
          <w:sdt>
            <w:sdtPr>
              <w:rPr>
                <w:rStyle w:val="BContentControl"/>
              </w:rPr>
              <w:alias w:val="date"/>
              <w:tag w:val="date"/>
              <w:id w:val="1832406908"/>
              <w:lock w:val="sdtLocked"/>
              <w:placeholder>
                <w:docPart w:val="72FC6AA3592D4544853B002D6129AFC8"/>
              </w:placeholder>
              <w:dataBinding w:prefixMappings="xmlns:ns0='http://www.bna.com/gateway/unit.start' " w:xpath="/ns0:document[1]/ns0:unit.start[1]/@date" w:storeItemID="{B04FCA99-13B0-422B-ADC9-9491644FA79D}"/>
              <w15:appearance w15:val="tags"/>
              <w:text/>
            </w:sdtPr>
            <w:sdtContent>
              <w:r>
                <w:rPr>
                  <w:rStyle w:val="BContentControl"/>
                </w:rPr>
                <w:t>2025-09-25</w:t>
              </w:r>
            </w:sdtContent>
          </w:sdt>
          <w:r w:rsidRPr="00DB6620">
            <w:rPr>
              <w:rStyle w:val="BContentControl"/>
            </w:rPr>
            <w:t xml:space="preserve"> </w:t>
          </w:r>
          <w:sdt>
            <w:sdtPr>
              <w:rPr>
                <w:rStyle w:val="BContentControl"/>
              </w:rPr>
              <w:alias w:val="folio"/>
              <w:tag w:val="folio"/>
              <w:id w:val="-852651096"/>
              <w:lock w:val="sdtLocked"/>
              <w:placeholder>
                <w:docPart w:val="46EB35026BBE4E5C973C1B37B928ECD7"/>
              </w:placeholder>
              <w:dataBinding w:prefixMappings="xmlns:ns0='http://www.bna.com/gateway/unit.start' " w:xpath="/ns0:document[1]/ns0:unit.start[1]/@folio" w:storeItemID="{B04FCA99-13B0-422B-ADC9-9491644FA79D}"/>
              <w15:appearance w15:val="tags"/>
              <w:text/>
            </w:sdtPr>
            <w:sdtContent>
              <w:r>
                <w:rPr>
                  <w:rStyle w:val="BContentControl"/>
                </w:rPr>
                <w:t>645</w:t>
              </w:r>
            </w:sdtContent>
          </w:sdt>
          <w:r w:rsidRPr="00DB6620">
            <w:rPr>
              <w:rStyle w:val="BContentControl"/>
            </w:rPr>
            <w:t xml:space="preserve"> </w:t>
          </w:r>
          <w:sdt>
            <w:sdtPr>
              <w:rPr>
                <w:rStyle w:val="BContentControl"/>
              </w:rPr>
              <w:alias w:val="part.name"/>
              <w:tag w:val="part.name"/>
              <w:id w:val="-73677498"/>
              <w:lock w:val="sdtLocked"/>
              <w:placeholder>
                <w:docPart w:val="FB9947D5C4794D64A69B71259820F29D"/>
              </w:placeholder>
              <w:dataBinding w:prefixMappings="xmlns:ns0='http://www.bna.com/gateway/unit.start' " w:xpath="/ns0:document[1]/ns0:unit.start[1]/@part.name" w:storeItemID="{B04FCA99-13B0-422B-ADC9-9491644FA79D}"/>
              <w15:appearance w15:val="tags"/>
              <w:text/>
            </w:sdtPr>
            <w:sdtContent>
              <w:r>
                <w:rPr>
                  <w:rStyle w:val="BContentControl"/>
                </w:rPr>
                <w:t>Part III. International Dilution Law</w:t>
              </w:r>
            </w:sdtContent>
          </w:sdt>
          <w:r w:rsidRPr="00DB6620">
            <w:rPr>
              <w:rStyle w:val="BContentControl"/>
            </w:rPr>
            <w:t xml:space="preserve"> </w:t>
          </w:r>
          <w:sdt>
            <w:sdtPr>
              <w:rPr>
                <w:rStyle w:val="BContentControl"/>
              </w:rPr>
              <w:alias w:val="part.num"/>
              <w:tag w:val="part.num"/>
              <w:id w:val="225420884"/>
              <w:lock w:val="sdtLocked"/>
              <w:placeholder>
                <w:docPart w:val="1D396950C671409B8FA268BEBD15F7B4"/>
              </w:placeholder>
              <w:dataBinding w:prefixMappings="xmlns:ns0='http://www.bna.com/gateway/unit.start' " w:xpath="/ns0:document[1]/ns0:unit.start[1]/@part.num" w:storeItemID="{B04FCA99-13B0-422B-ADC9-9491644FA79D}"/>
              <w15:appearance w15:val="tags"/>
              <w:text/>
            </w:sdtPr>
            <w:sdtContent>
              <w:r>
                <w:rPr>
                  <w:rStyle w:val="BContentControl"/>
                </w:rPr>
                <w:t>3</w:t>
              </w:r>
            </w:sdtContent>
          </w:sdt>
          <w:r w:rsidRPr="00DB6620">
            <w:rPr>
              <w:rStyle w:val="BContentControl"/>
            </w:rPr>
            <w:t xml:space="preserve"> </w:t>
          </w:r>
          <w:sdt>
            <w:sdtPr>
              <w:rPr>
                <w:rStyle w:val="BContentControl"/>
              </w:rPr>
              <w:alias w:val="subpart.name"/>
              <w:tag w:val="subpart.name"/>
              <w:id w:val="-188302320"/>
              <w:lock w:val="sdtLocked"/>
              <w:placeholder>
                <w:docPart w:val="6A447FB62E8740D0860BB954EEB7A0D6"/>
              </w:placeholder>
              <w:dataBinding w:prefixMappings="xmlns:ns0='http://www.bna.com/gateway/unit.start' " w:xpath="/ns0:document[1]/ns0:unit.start[1]/@subpart.name" w:storeItemID="{B04FCA99-13B0-422B-ADC9-9491644FA79D}"/>
              <w15:appearance w15:val="tags"/>
              <w:text/>
            </w:sdtPr>
            <w:sdtContent>
              <w:r w:rsidRPr="00DB6620">
                <w:rPr>
                  <w:rStyle w:val="BContentControl"/>
                </w:rPr>
                <w:t>enter text</w:t>
              </w:r>
            </w:sdtContent>
          </w:sdt>
          <w:r w:rsidRPr="00DB6620">
            <w:rPr>
              <w:rStyle w:val="BContentControl"/>
            </w:rPr>
            <w:t xml:space="preserve"> </w:t>
          </w:r>
          <w:sdt>
            <w:sdtPr>
              <w:rPr>
                <w:rStyle w:val="BContentControl"/>
              </w:rPr>
              <w:alias w:val="pdm.name"/>
              <w:tag w:val="pdm.name"/>
              <w:id w:val="-1209880241"/>
              <w:lock w:val="sdtLocked"/>
              <w:placeholder>
                <w:docPart w:val="74E844365F3B41BCAF951ED9318C5462"/>
              </w:placeholder>
              <w:dataBinding w:prefixMappings="xmlns:ns0='http://www.bna.com/gateway/unit.start' " w:xpath="/ns0:document[1]/ns0:unit.start[1]/@pdm.name" w:storeItemID="{B04FCA99-13B0-422B-ADC9-9491644FA79D}"/>
              <w15:appearance w15:val="tags"/>
              <w:text/>
            </w:sdtPr>
            <w:sdtContent>
              <w:r>
                <w:rPr>
                  <w:rStyle w:val="BContentControl"/>
                </w:rPr>
                <w:t>Chap15</w:t>
              </w:r>
            </w:sdtContent>
          </w:sdt>
          <w:r w:rsidRPr="00DB6620">
            <w:rPr>
              <w:rStyle w:val="BContentControl"/>
            </w:rPr>
            <w:t xml:space="preserve"> </w:t>
          </w:r>
          <w:sdt>
            <w:sdtPr>
              <w:rPr>
                <w:rStyle w:val="BContentControl"/>
              </w:rPr>
              <w:alias w:val="publication.name"/>
              <w:tag w:val="publication.name"/>
              <w:id w:val="-2035184727"/>
              <w:lock w:val="sdtLocked"/>
              <w:placeholder>
                <w:docPart w:val="872CF2CEECF3487594A2542DAC212723"/>
              </w:placeholder>
              <w:dataBinding w:prefixMappings="xmlns:ns0='http://www.bna.com/gateway/unit.start' " w:xpath="/ns0:document[1]/ns0:unit.start[1]/@publication.name" w:storeItemID="{B04FCA99-13B0-422B-ADC9-9491644FA79D}"/>
              <w15:appearance w15:val="tags"/>
              <w:text/>
            </w:sdtPr>
            <w:sdtContent>
              <w:r>
                <w:rPr>
                  <w:rStyle w:val="BContentControl"/>
                </w:rPr>
                <w:t>Trademark Dilution - Federal, State, and International Law, Second Edition</w:t>
              </w:r>
            </w:sdtContent>
          </w:sdt>
          <w:r w:rsidRPr="00DB6620">
            <w:rPr>
              <w:rStyle w:val="BContentControl"/>
            </w:rPr>
            <w:t xml:space="preserve"> </w:t>
          </w:r>
          <w:sdt>
            <w:sdtPr>
              <w:rPr>
                <w:rStyle w:val="BContentControl"/>
              </w:rPr>
              <w:alias w:val="service.code*"/>
              <w:tag w:val="mUnit1"/>
              <w:id w:val="-1291964254"/>
              <w:lock w:val="sdtLocked"/>
              <w:placeholder>
                <w:docPart w:val="F61695790B8C48DB85D6EF0BD458850E"/>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Content>
              <w:r>
                <w:rPr>
                  <w:rStyle w:val="BContentControl"/>
                </w:rPr>
                <w:t>td-book</w:t>
              </w:r>
            </w:sdtContent>
          </w:sdt>
          <w:r w:rsidRPr="00DB6620">
            <w:rPr>
              <w:rStyle w:val="BContentControl"/>
            </w:rPr>
            <w:t xml:space="preserve"> </w:t>
          </w:r>
          <w:sdt>
            <w:sdtPr>
              <w:rPr>
                <w:rStyle w:val="BContentControl"/>
              </w:rPr>
              <w:alias w:val="supplement"/>
              <w:tag w:val="supplement"/>
              <w:id w:val="285704799"/>
              <w:lock w:val="sdtLocked"/>
              <w:placeholder>
                <w:docPart w:val="0E3B8CA8205944298B490981E703110B"/>
              </w:placeholder>
              <w:dataBinding w:prefixMappings="xmlns:ns0='http://www.bna.com/gateway/unit.start' " w:xpath="/ns0:document[1]/ns0:unit.start[1]/@supplement" w:storeItemID="{B04FCA99-13B0-422B-ADC9-9491644FA79D}"/>
              <w15:appearance w15:val="tags"/>
              <w:text/>
            </w:sdtPr>
            <w:sdtContent>
              <w:r>
                <w:rPr>
                  <w:rStyle w:val="BContentControl"/>
                </w:rPr>
                <w:t>0</w:t>
              </w:r>
            </w:sdtContent>
          </w:sdt>
          <w:r w:rsidRPr="00DB6620">
            <w:rPr>
              <w:rStyle w:val="BContentControl"/>
            </w:rPr>
            <w:t xml:space="preserve"> </w:t>
          </w:r>
          <w:sdt>
            <w:sdtPr>
              <w:rPr>
                <w:rStyle w:val="BContentControl"/>
              </w:rPr>
              <w:alias w:val="unit.code"/>
              <w:tag w:val="unit.code"/>
              <w:id w:val="-1545585929"/>
              <w:lock w:val="sdtLocked"/>
              <w:placeholder>
                <w:docPart w:val="3FFE3A45081B4E0FAF72D1DF952801CC"/>
              </w:placeholder>
              <w:dataBinding w:prefixMappings="xmlns:ns0='http://www.bna.com/gateway/unit.start' " w:xpath="/ns0:document[1]/ns0:unit.start[1]/@unit.code" w:storeItemID="{B04FCA99-13B0-422B-ADC9-9491644FA79D}"/>
              <w15:appearance w15:val="tags"/>
              <w:text/>
            </w:sdtPr>
            <w:sdtContent>
              <w:r>
                <w:rPr>
                  <w:rStyle w:val="BContentControl"/>
                </w:rPr>
                <w:t>main0015</w:t>
              </w:r>
            </w:sdtContent>
          </w:sdt>
          <w:r w:rsidRPr="00DB6620">
            <w:rPr>
              <w:rStyle w:val="BContentControl"/>
            </w:rPr>
            <w:t xml:space="preserve"> </w:t>
          </w:r>
          <w:sdt>
            <w:sdtPr>
              <w:rPr>
                <w:rStyle w:val="BContentControl"/>
              </w:rPr>
              <w:alias w:val="unit.name*"/>
              <w:tag w:val="unit.name"/>
              <w:id w:val="-1121377354"/>
              <w:lock w:val="sdtLocked"/>
              <w:placeholder>
                <w:docPart w:val="8D7E20614C8A4B68B46F8D4A832E8452"/>
              </w:placeholder>
              <w:dataBinding w:prefixMappings="xmlns:ns0='http://www.bna.com/gateway/unit.start' " w:xpath="/ns0:document[1]/ns0:unit.start[1]/@unit.name" w:storeItemID="{B04FCA99-13B0-422B-ADC9-9491644FA79D}"/>
              <w15:appearance w15:val="tags"/>
              <w:text/>
            </w:sdtPr>
            <w:sdtContent>
              <w:r>
                <w:rPr>
                  <w:rStyle w:val="BContentControl"/>
                </w:rPr>
                <w:t>Chapter 15. International Dilution Law</w:t>
              </w:r>
            </w:sdtContent>
          </w:sdt>
          <w:r w:rsidRPr="00DB6620">
            <w:rPr>
              <w:rStyle w:val="BContentControl"/>
            </w:rPr>
            <w:t xml:space="preserve"> </w:t>
          </w:r>
          <w:sdt>
            <w:sdtPr>
              <w:rPr>
                <w:rStyle w:val="BContentControl"/>
              </w:rPr>
              <w:alias w:val="volume.num"/>
              <w:tag w:val="volume.num"/>
              <w:id w:val="-1110347211"/>
              <w:lock w:val="sdtLocked"/>
              <w:placeholder>
                <w:docPart w:val="34A6416D45BD4E6B820C363F1212784F"/>
              </w:placeholder>
              <w:dataBinding w:prefixMappings="xmlns:ns0='http://www.bna.com/gateway/unit.start' " w:xpath="/ns0:document[1]/ns0:unit.start[1]/@volume.num" w:storeItemID="{B04FCA99-13B0-422B-ADC9-9491644FA79D}"/>
              <w15:appearance w15:val="tags"/>
              <w:text/>
            </w:sdtPr>
            <w:sdtContent>
              <w:r>
                <w:rPr>
                  <w:rStyle w:val="BContentControl"/>
                </w:rPr>
                <w:t>1</w:t>
              </w:r>
            </w:sdtContent>
          </w:sdt>
        </w:p>
        <w:bookmarkEnd w:id="0" w:displacedByCustomXml="next"/>
      </w:sdtContent>
    </w:sdt>
    <w:p w14:paraId="3CC01DFD" w14:textId="77777777" w:rsidR="00DB6620" w:rsidRPr="00DB6620" w:rsidRDefault="00DB6620" w:rsidP="00DB6620">
      <w:pPr>
        <w:pStyle w:val="BDocStart"/>
      </w:pPr>
      <w:sdt>
        <w:sdtPr>
          <w:tag w:val="DocStart"/>
          <w:id w:val="-388725493"/>
          <w:lock w:val="sdtLocked"/>
          <w:placeholder>
            <w:docPart w:val="8E5BA97CB1A14D7A9848F02978F65D1A"/>
          </w:placeholder>
          <w15:appearance w15:val="hidden"/>
        </w:sdtPr>
        <w:sdtContent>
          <w:r>
            <w:t>Document</w:t>
          </w:r>
        </w:sdtContent>
      </w:sdt>
    </w:p>
    <w:p w14:paraId="314B4D5A" w14:textId="77777777" w:rsidR="006F142F" w:rsidRPr="00B14711" w:rsidRDefault="006F142F" w:rsidP="00C8177B">
      <w:pPr>
        <w:pStyle w:val="chaptertitle"/>
        <w:spacing w:after="120" w:line="240" w:lineRule="auto"/>
        <w:rPr>
          <w:rFonts w:ascii="Times New Roman" w:hAnsi="Times New Roman" w:cs="Times New Roman"/>
        </w:rPr>
      </w:pPr>
      <w:r w:rsidRPr="00B14711">
        <w:rPr>
          <w:rFonts w:ascii="Times New Roman" w:hAnsi="Times New Roman" w:cs="Times New Roman"/>
        </w:rPr>
        <w:t>Chapter 15</w:t>
      </w:r>
      <w:r>
        <w:rPr>
          <w:rFonts w:ascii="Times New Roman" w:hAnsi="Times New Roman" w:cs="Times New Roman"/>
        </w:rPr>
        <w:t>.</w:t>
      </w:r>
      <w:r w:rsidRPr="00C9593D">
        <w:rPr>
          <w:rFonts w:ascii="Times New Roman" w:hAnsi="Times New Roman" w:cs="Times New Roman"/>
        </w:rPr>
        <w:t xml:space="preserve"> </w:t>
      </w:r>
      <w:r w:rsidRPr="00B14711">
        <w:rPr>
          <w:rFonts w:ascii="Times New Roman" w:hAnsi="Times New Roman" w:cs="Times New Roman"/>
        </w:rPr>
        <w:t>International Dilution Law</w:t>
      </w:r>
    </w:p>
    <w:p w14:paraId="30E33263" w14:textId="77777777" w:rsidR="006F142F" w:rsidRPr="00C9593D" w:rsidRDefault="006F142F" w:rsidP="00C8177B">
      <w:pPr>
        <w:pStyle w:val="chapternumber"/>
        <w:spacing w:after="120" w:line="240" w:lineRule="auto"/>
        <w:rPr>
          <w:rFonts w:ascii="Times New Roman" w:hAnsi="Times New Roman" w:cs="Times New Roman"/>
          <w:b w:val="0"/>
        </w:rPr>
      </w:pPr>
      <w:r w:rsidRPr="00C8177B">
        <w:rPr>
          <w:rFonts w:ascii="Times New Roman" w:hAnsi="Times New Roman" w:cs="Times New Roman"/>
          <w:b w:val="0"/>
          <w:i/>
          <w:sz w:val="22"/>
        </w:rPr>
        <w:t xml:space="preserve">This chapter is current through May </w:t>
      </w:r>
      <w:r>
        <w:rPr>
          <w:rFonts w:ascii="Times New Roman" w:hAnsi="Times New Roman" w:cs="Times New Roman"/>
          <w:b w:val="0"/>
          <w:i/>
          <w:sz w:val="22"/>
        </w:rPr>
        <w:t>2025.</w:t>
      </w:r>
    </w:p>
    <w:p w14:paraId="1710DEC1" w14:textId="77777777" w:rsidR="006F142F" w:rsidRDefault="006F142F" w:rsidP="00C9593D">
      <w:pPr>
        <w:pStyle w:val="ChapterNum"/>
        <w:ind w:firstLine="0"/>
        <w:rPr>
          <w:sz w:val="22"/>
          <w:szCs w:val="22"/>
        </w:rPr>
      </w:pPr>
      <w:hyperlink r:id="rId13" w:history="1">
        <w:r w:rsidRPr="00C50A7A">
          <w:rPr>
            <w:rStyle w:val="Hyperlink"/>
            <w:sz w:val="22"/>
            <w:szCs w:val="22"/>
          </w:rPr>
          <w:t>David Welkowitz</w:t>
        </w:r>
      </w:hyperlink>
      <w:r>
        <w:rPr>
          <w:rStyle w:val="FootnoteReference"/>
          <w:rFonts w:eastAsiaTheme="majorEastAsia"/>
          <w:sz w:val="22"/>
          <w:szCs w:val="22"/>
        </w:rPr>
        <w:footnoteReference w:id="1"/>
      </w:r>
    </w:p>
    <w:p w14:paraId="7D3E3CF8" w14:textId="77777777" w:rsidR="006F142F" w:rsidRDefault="006F142F" w:rsidP="00C9593D">
      <w:pPr>
        <w:pStyle w:val="ChapterNum"/>
        <w:ind w:firstLine="0"/>
        <w:rPr>
          <w:i/>
          <w:sz w:val="22"/>
          <w:szCs w:val="22"/>
        </w:rPr>
      </w:pPr>
      <w:r>
        <w:rPr>
          <w:i/>
          <w:sz w:val="22"/>
          <w:szCs w:val="22"/>
        </w:rPr>
        <w:t>Whittier Law School, Costa Mesa, CA</w:t>
      </w:r>
    </w:p>
    <w:p w14:paraId="57B5F266" w14:textId="77777777" w:rsidR="006F142F" w:rsidRDefault="006F142F" w:rsidP="00C9593D">
      <w:pPr>
        <w:pStyle w:val="ChapterNum"/>
        <w:ind w:firstLine="0"/>
        <w:rPr>
          <w:i/>
          <w:sz w:val="22"/>
          <w:szCs w:val="22"/>
        </w:rPr>
      </w:pPr>
    </w:p>
    <w:p w14:paraId="7A211A14" w14:textId="77777777" w:rsidR="006F142F" w:rsidRDefault="006F142F" w:rsidP="00C9593D">
      <w:pPr>
        <w:pStyle w:val="ChapterNum"/>
        <w:ind w:firstLine="0"/>
        <w:rPr>
          <w:i/>
          <w:sz w:val="22"/>
          <w:szCs w:val="22"/>
        </w:rPr>
      </w:pPr>
    </w:p>
    <w:p w14:paraId="62F2681A" w14:textId="77777777" w:rsidR="006F142F" w:rsidRDefault="006F142F" w:rsidP="00C9593D">
      <w:pPr>
        <w:pStyle w:val="chapternumber"/>
        <w:spacing w:after="120" w:line="240" w:lineRule="auto"/>
        <w:rPr>
          <w:rFonts w:ascii="Times New Roman" w:hAnsi="Times New Roman" w:cs="Times New Roman"/>
          <w:b w:val="0"/>
          <w:sz w:val="22"/>
          <w:szCs w:val="22"/>
        </w:rPr>
      </w:pPr>
    </w:p>
    <w:p w14:paraId="08908A96" w14:textId="77777777" w:rsidR="006F142F" w:rsidRPr="00D03BFB" w:rsidRDefault="006F142F" w:rsidP="00C9593D">
      <w:pPr>
        <w:pStyle w:val="chapternumber"/>
        <w:spacing w:after="120" w:line="240" w:lineRule="auto"/>
        <w:rPr>
          <w:rFonts w:ascii="Times New Roman" w:hAnsi="Times New Roman" w:cs="Times New Roman"/>
          <w:b w:val="0"/>
          <w:sz w:val="22"/>
          <w:szCs w:val="22"/>
        </w:rPr>
      </w:pPr>
    </w:p>
    <w:p w14:paraId="2C214781" w14:textId="77777777" w:rsidR="006F142F" w:rsidRPr="00B14711" w:rsidRDefault="006F142F" w:rsidP="00B14711">
      <w:pPr>
        <w:pStyle w:val="1stLevelHeadII"/>
        <w:rPr>
          <w:rFonts w:cs="Times New Roman"/>
        </w:rPr>
      </w:pPr>
      <w:r w:rsidRPr="00B14711">
        <w:rPr>
          <w:rFonts w:cs="Times New Roman"/>
        </w:rPr>
        <w:t>I.</w:t>
      </w:r>
      <w:r w:rsidRPr="00B14711">
        <w:rPr>
          <w:rFonts w:cs="Times New Roman"/>
        </w:rPr>
        <w:t> </w:t>
      </w:r>
      <w:commentRangeStart w:id="1"/>
      <w:r w:rsidRPr="00B14711">
        <w:rPr>
          <w:rFonts w:cs="Times New Roman"/>
        </w:rPr>
        <w:t>Introduction</w:t>
      </w:r>
      <w:commentRangeEnd w:id="1"/>
      <w:r>
        <w:rPr>
          <w:rStyle w:val="CommentReference"/>
          <w:rFonts w:eastAsiaTheme="minorHAnsi"/>
          <w:b w:val="0"/>
          <w:bCs w:val="0"/>
          <w:smallCaps w:val="0"/>
          <w:color w:val="auto"/>
        </w:rPr>
        <w:commentReference w:id="1"/>
      </w:r>
    </w:p>
    <w:p w14:paraId="13C0DD62" w14:textId="77777777" w:rsidR="006F142F" w:rsidRPr="00B14711" w:rsidRDefault="006F142F" w:rsidP="00B14711">
      <w:pPr>
        <w:pStyle w:val="text"/>
      </w:pPr>
      <w:r w:rsidRPr="00B14711">
        <w:t>During the debates on the Federal Trademark Dilution Act (FTDA), it was asserted that the obligations of the United States under various international agreements required the United States to protect marks from dilution.</w:t>
      </w:r>
      <w:r w:rsidRPr="00B14711">
        <w:rPr>
          <w:spacing w:val="-3"/>
          <w:vertAlign w:val="superscript"/>
        </w:rPr>
        <w:footnoteReference w:id="2"/>
      </w:r>
      <w:r w:rsidRPr="00B14711">
        <w:t xml:space="preserve"> These assertions brought into focus the international scope of trademark protection. We live in a time when companies sell their products throughout the world. The Internet has made information about companies from around the world—and their accompanying trademarks—available to anyone with access to the Internet. In this increasingly interconnected world, intellectual property has become a critical element of commerce and trade.</w:t>
      </w:r>
      <w:r w:rsidRPr="00B14711">
        <w:rPr>
          <w:spacing w:val="-3"/>
          <w:vertAlign w:val="superscript"/>
        </w:rPr>
        <w:footnoteReference w:id="3"/>
      </w:r>
      <w:r w:rsidRPr="00B14711">
        <w:t xml:space="preserve"> Thus, few practitioners with forward-looking clients can remain ignorant of international trends.</w:t>
      </w:r>
    </w:p>
    <w:p w14:paraId="68F9B0F2" w14:textId="77777777" w:rsidR="006F142F" w:rsidRPr="00B14711" w:rsidRDefault="006F142F" w:rsidP="00B14711">
      <w:pPr>
        <w:pStyle w:val="text"/>
        <w:rPr>
          <w:spacing w:val="-3"/>
        </w:rPr>
      </w:pPr>
      <w:r w:rsidRPr="00B14711">
        <w:t>Despite the moves toward international homogenization, the laws of separate nations often vary significantly. Trademark law in particular has historically been very territorially oriented. That is, countries treat their trademark laws as protecting marks that are used within their own countries and pursuant to their own laws.</w:t>
      </w:r>
      <w:r w:rsidRPr="00B14711">
        <w:rPr>
          <w:spacing w:val="-3"/>
          <w:vertAlign w:val="superscript"/>
        </w:rPr>
        <w:footnoteReference w:id="4"/>
      </w:r>
    </w:p>
    <w:p w14:paraId="4E062488" w14:textId="77777777" w:rsidR="006F142F" w:rsidRPr="00B14711" w:rsidRDefault="006F142F" w:rsidP="00B14711">
      <w:pPr>
        <w:pStyle w:val="text"/>
        <w:rPr>
          <w:spacing w:val="-3"/>
        </w:rPr>
      </w:pPr>
      <w:r w:rsidRPr="00B14711">
        <w:t>Although national, as opposed to state, protection against dilution is a fairly recent phenomenon in the United States, other countries have provided dilution protection for some time. Indeed, Frank Schechter’s seminal article in 1927 cited a German trademark dilution case as precedent.</w:t>
      </w:r>
      <w:r w:rsidRPr="00B14711">
        <w:rPr>
          <w:spacing w:val="-3"/>
          <w:vertAlign w:val="superscript"/>
        </w:rPr>
        <w:footnoteReference w:id="5"/>
      </w:r>
      <w:r w:rsidRPr="00B14711">
        <w:t xml:space="preserve"> In addition to the laws of individual countries, various international agreements and regional agreements appear to provide dilution protection.</w:t>
      </w:r>
      <w:r w:rsidRPr="00B14711">
        <w:rPr>
          <w:spacing w:val="-3"/>
          <w:vertAlign w:val="superscript"/>
        </w:rPr>
        <w:footnoteReference w:id="6"/>
      </w:r>
    </w:p>
    <w:p w14:paraId="5CB44F78" w14:textId="77777777" w:rsidR="006F142F" w:rsidRPr="00B14711" w:rsidRDefault="006F142F" w:rsidP="00B14711">
      <w:pPr>
        <w:pStyle w:val="text"/>
      </w:pPr>
      <w:r w:rsidRPr="00B14711">
        <w:t>This chapter surveys some of the more prominent international attempts to protect trademarks from dilution. Although this discussion cannot be comprehensive, it should provide the reader with a starting point to become familiar with the international dimensions of dilution.</w:t>
      </w:r>
    </w:p>
    <w:p w14:paraId="0C59952D" w14:textId="77777777" w:rsidR="006F142F" w:rsidRPr="00B14711" w:rsidRDefault="006F142F" w:rsidP="00B14711">
      <w:pPr>
        <w:pStyle w:val="1stLevelHeadII"/>
        <w:rPr>
          <w:rFonts w:cs="Times New Roman"/>
        </w:rPr>
      </w:pPr>
      <w:r w:rsidRPr="00B14711">
        <w:rPr>
          <w:rFonts w:cs="Times New Roman"/>
        </w:rPr>
        <w:t>II.</w:t>
      </w:r>
      <w:r w:rsidRPr="00B14711">
        <w:rPr>
          <w:rFonts w:cs="Times New Roman"/>
        </w:rPr>
        <w:t> </w:t>
      </w:r>
      <w:r w:rsidRPr="00B14711">
        <w:rPr>
          <w:rFonts w:cs="Times New Roman"/>
        </w:rPr>
        <w:t>International Agreements and Exhortations:</w:t>
      </w:r>
      <w:r w:rsidRPr="00B14711">
        <w:rPr>
          <w:rFonts w:cs="Times New Roman"/>
        </w:rPr>
        <w:br/>
        <w:t>The Paris Convention, TRIPS, and WIPO</w:t>
      </w:r>
    </w:p>
    <w:p w14:paraId="63BC8602" w14:textId="77777777" w:rsidR="006F142F" w:rsidRPr="00B14711" w:rsidRDefault="006F142F" w:rsidP="00B14711">
      <w:pPr>
        <w:pStyle w:val="2ndLevel1"/>
        <w:rPr>
          <w:rFonts w:cs="Times New Roman"/>
        </w:rPr>
      </w:pPr>
      <w:r w:rsidRPr="00B14711">
        <w:rPr>
          <w:rFonts w:cs="Times New Roman"/>
        </w:rPr>
        <w:t>A.</w:t>
      </w:r>
      <w:r w:rsidRPr="00B14711">
        <w:rPr>
          <w:rFonts w:cs="Times New Roman"/>
        </w:rPr>
        <w:tab/>
        <w:t>The Paris Convention</w:t>
      </w:r>
    </w:p>
    <w:p w14:paraId="526DF070" w14:textId="77777777" w:rsidR="006F142F" w:rsidRPr="00B14711" w:rsidRDefault="006F142F" w:rsidP="00B14711">
      <w:pPr>
        <w:pStyle w:val="text"/>
      </w:pPr>
      <w:r w:rsidRPr="00B14711">
        <w:t xml:space="preserve">One of the earliest international attempts to standardize intellectual property protection, including trademark law, was the Paris Convention for the Protection of Industrial Property (the Paris Convention). The first iteration of this agreement was in 1883, and it was revised and/or amended several times during the </w:t>
      </w:r>
      <w:r>
        <w:t>20th</w:t>
      </w:r>
      <w:r w:rsidRPr="00B14711">
        <w:t xml:space="preserve"> century.</w:t>
      </w:r>
      <w:r w:rsidRPr="00B14711">
        <w:rPr>
          <w:spacing w:val="-3"/>
          <w:vertAlign w:val="superscript"/>
        </w:rPr>
        <w:footnoteReference w:id="7"/>
      </w:r>
      <w:r w:rsidRPr="00B14711">
        <w:t xml:space="preserve"> For dilution purposes the most significant section is Article 6</w:t>
      </w:r>
      <w:r w:rsidRPr="00B14711">
        <w:rPr>
          <w:i/>
          <w:iCs/>
        </w:rPr>
        <w:t>bis</w:t>
      </w:r>
      <w:r w:rsidRPr="00B14711">
        <w:t>, which provides protection for “well-known” marks. However, Article 6</w:t>
      </w:r>
      <w:r w:rsidRPr="00B14711">
        <w:rPr>
          <w:i/>
          <w:iCs/>
        </w:rPr>
        <w:t>bis</w:t>
      </w:r>
      <w:r w:rsidRPr="00B14711">
        <w:t xml:space="preserve"> does not provide protection from dilution, as that concept exists under the TDRA or under state laws in the United States. Article 6</w:t>
      </w:r>
      <w:r w:rsidRPr="00B14711">
        <w:rPr>
          <w:i/>
          <w:iCs/>
        </w:rPr>
        <w:t>bis</w:t>
      </w:r>
      <w:r w:rsidRPr="00B14711">
        <w:t>(1) mandates protection of well-known marks against uses “liable to create confusion.”</w:t>
      </w:r>
      <w:r w:rsidRPr="00B14711">
        <w:rPr>
          <w:spacing w:val="-3"/>
          <w:vertAlign w:val="superscript"/>
        </w:rPr>
        <w:footnoteReference w:id="8"/>
      </w:r>
      <w:r w:rsidRPr="00B14711">
        <w:t xml:space="preserve"> Such protection is like that of traditional trademark infringement; dilution provides protection even in the absence of confusion. Thus, the United States, a signatory of the Paris Convention since the </w:t>
      </w:r>
      <w:r>
        <w:t>19th</w:t>
      </w:r>
      <w:r w:rsidRPr="00B14711">
        <w:t xml:space="preserve"> century, could consider itself in compliance even without having enacted a dilution statute.</w:t>
      </w:r>
    </w:p>
    <w:p w14:paraId="5EADE03D" w14:textId="77777777" w:rsidR="006F142F" w:rsidRPr="00B14711" w:rsidRDefault="006F142F" w:rsidP="00B14711">
      <w:pPr>
        <w:pStyle w:val="text"/>
      </w:pPr>
      <w:r w:rsidRPr="00B14711">
        <w:t>Another provision of the Paris Convention, Article 10</w:t>
      </w:r>
      <w:r w:rsidRPr="00B14711">
        <w:rPr>
          <w:i/>
          <w:iCs/>
        </w:rPr>
        <w:t>bis</w:t>
      </w:r>
      <w:r w:rsidRPr="00B14711">
        <w:t>, mandates broad protection against “unfair competition.” Subsection (2) of Article 10</w:t>
      </w:r>
      <w:r w:rsidRPr="00B14711">
        <w:rPr>
          <w:i/>
          <w:iCs/>
        </w:rPr>
        <w:t>bis</w:t>
      </w:r>
      <w:r w:rsidRPr="00B14711">
        <w:t xml:space="preserve"> provides:</w:t>
      </w:r>
    </w:p>
    <w:p w14:paraId="4F805F0C" w14:textId="77777777" w:rsidR="006F142F" w:rsidRPr="00B14711" w:rsidRDefault="006F142F" w:rsidP="00B14711">
      <w:pPr>
        <w:pStyle w:val="Blockquoteflush"/>
      </w:pPr>
      <w:r w:rsidRPr="00B14711">
        <w:t>Any act of competition contrary to honest practices in industrial or commercial matters constitutes an act of unfair competition.</w:t>
      </w:r>
    </w:p>
    <w:p w14:paraId="0ACB35DD" w14:textId="77777777" w:rsidR="006F142F" w:rsidRPr="00B14711" w:rsidRDefault="006F142F" w:rsidP="00B14711">
      <w:pPr>
        <w:pStyle w:val="textflush"/>
      </w:pPr>
      <w:r w:rsidRPr="00B14711">
        <w:t>Although one could argue that this provision includes protection from trademark dilution, it has not been so construed in the United States. Moreover, subsection (3) of Article 10</w:t>
      </w:r>
      <w:r w:rsidRPr="00B14711">
        <w:rPr>
          <w:i/>
          <w:iCs/>
        </w:rPr>
        <w:t>bis</w:t>
      </w:r>
      <w:r w:rsidRPr="00B14711">
        <w:t>, which lists specific forms of unfair competition, pointedly refers to acts that “create confusion,” constitute “false allegations,” or that would tend “to mislead the public.” All of these are actions that would fall within the boundaries of conventional trademark infringement</w:t>
      </w:r>
      <w:commentRangeStart w:id="2"/>
      <w:r w:rsidRPr="00B14711">
        <w:t>.</w:t>
      </w:r>
      <w:r w:rsidRPr="00EF5BCD">
        <w:rPr>
          <w:rStyle w:val="FootnoteReference"/>
        </w:rPr>
        <w:footnoteReference w:id="9"/>
      </w:r>
      <w:commentRangeEnd w:id="2"/>
      <w:r>
        <w:rPr>
          <w:rStyle w:val="CommentReference"/>
        </w:rPr>
        <w:commentReference w:id="2"/>
      </w:r>
    </w:p>
    <w:p w14:paraId="30DE2558" w14:textId="77777777" w:rsidR="006F142F" w:rsidRPr="00B14711" w:rsidRDefault="006F142F" w:rsidP="00B14711">
      <w:pPr>
        <w:pStyle w:val="2ndLevelHeadA0"/>
        <w:rPr>
          <w:rFonts w:cs="Times New Roman"/>
        </w:rPr>
      </w:pPr>
      <w:r w:rsidRPr="00B14711">
        <w:rPr>
          <w:rFonts w:cs="Times New Roman"/>
        </w:rPr>
        <w:t>B.</w:t>
      </w:r>
      <w:r w:rsidRPr="00B14711">
        <w:rPr>
          <w:rFonts w:cs="Times New Roman"/>
        </w:rPr>
        <w:tab/>
        <w:t>The TRIPS Agreement</w:t>
      </w:r>
    </w:p>
    <w:p w14:paraId="554B7470" w14:textId="77777777" w:rsidR="006F142F" w:rsidRPr="00B14711" w:rsidRDefault="006F142F" w:rsidP="00B14711">
      <w:pPr>
        <w:pStyle w:val="text"/>
      </w:pPr>
      <w:r w:rsidRPr="00B14711">
        <w:t xml:space="preserve">The General Agreement on Tariffs and Trade, or GATT, includes an entire section, the </w:t>
      </w:r>
      <w:r w:rsidRPr="00B14711">
        <w:rPr>
          <w:spacing w:val="-3"/>
        </w:rPr>
        <w:t>Agreement on Trade-Related Aspects of Intellectual Property Rights</w:t>
      </w:r>
      <w:r w:rsidRPr="00B14711">
        <w:t xml:space="preserve"> (TRIPS), devoted to the required protection of intellectual property. The trademark provisions of TRIPS build on the Paris Convention’s trademark protections and also grant some new forms of protection that are broader than those of the Paris Convention.</w:t>
      </w:r>
    </w:p>
    <w:p w14:paraId="4ABED3DD" w14:textId="77777777" w:rsidR="006F142F" w:rsidRPr="00B14711" w:rsidRDefault="006F142F" w:rsidP="00B14711">
      <w:pPr>
        <w:pStyle w:val="text"/>
      </w:pPr>
      <w:r w:rsidRPr="00B14711">
        <w:t>Article 16 of TRIPS incorporates and extends the protection of the Paris Convention. Subsection 2 of Article 16 makes the provisions of Article 6</w:t>
      </w:r>
      <w:r w:rsidRPr="00B14711">
        <w:rPr>
          <w:i/>
          <w:iCs/>
        </w:rPr>
        <w:t>bis</w:t>
      </w:r>
      <w:r w:rsidRPr="00B14711">
        <w:t xml:space="preserve"> of </w:t>
      </w:r>
      <w:r>
        <w:t xml:space="preserve">the </w:t>
      </w:r>
      <w:r w:rsidRPr="00B14711">
        <w:t>Paris Convention (relating to well-known marks) applicable to services. Subsection 3 makes the same article applicable to uses on “goods or services which are not similar to those in respect of which a trademark is registered.” However, subsection 3 does require that consumers perceive “a connection between” the mark owner and the second user. Arguably, the term “connection” could be taken to mean only the “mental association” required by dilution. This may have been the basis for the arguments that GATT mandated passage of the FTDA. However, conventional trademark infringement law in the United States has long recognized that a second use that indicates a “connection,” by approval or sponsorship, with the mark owner constitutes a form of confusion.</w:t>
      </w:r>
      <w:r w:rsidRPr="00B14711">
        <w:rPr>
          <w:spacing w:val="-3"/>
          <w:vertAlign w:val="superscript"/>
        </w:rPr>
        <w:footnoteReference w:id="10"/>
      </w:r>
      <w:r w:rsidRPr="00B14711">
        <w:t xml:space="preserve"> Thus, the notion of confusion appears to be preserved.</w:t>
      </w:r>
    </w:p>
    <w:p w14:paraId="15D2A3B3" w14:textId="77777777" w:rsidR="006F142F" w:rsidRPr="00B14711" w:rsidRDefault="006F142F" w:rsidP="00B14711">
      <w:pPr>
        <w:pStyle w:val="text"/>
        <w:tabs>
          <w:tab w:val="left" w:pos="360"/>
        </w:tabs>
      </w:pPr>
      <w:r w:rsidRPr="00B14711">
        <w:t>The TRIPS sections on “geographical indications” provide a stronger basis for asserting that TRIPS incorporates notions of dilution. Article 23(1) prohibits the use of geographical indications for wines or spirits when a product does not originate in that geographical location. It further provides that the prohibition cannot be avoided by adding “expressions such as ‘kind,’ ‘type,’ ‘style,’ ‘imitation,’ or the like” to the geographical indication. In other words, a wine could not be labeled “champagne style” or “imitation champagne.” This portion of TRIPS appears to grant protection from dilution as well as confusion. The addition of the listed phrases would, in most cases, eliminate confusion. Thus, this article seems to protect against the “cheapening” of the designations, not simply uses that mislead.</w:t>
      </w:r>
    </w:p>
    <w:p w14:paraId="4CDEB868" w14:textId="77777777" w:rsidR="006F142F" w:rsidRPr="00B14711" w:rsidRDefault="006F142F" w:rsidP="00B14711">
      <w:pPr>
        <w:pStyle w:val="2ndLevelHeadA0"/>
        <w:rPr>
          <w:rFonts w:cs="Times New Roman"/>
        </w:rPr>
      </w:pPr>
      <w:r w:rsidRPr="00B14711">
        <w:rPr>
          <w:rFonts w:cs="Times New Roman"/>
        </w:rPr>
        <w:t>C.</w:t>
      </w:r>
      <w:r w:rsidRPr="00B14711">
        <w:rPr>
          <w:rFonts w:cs="Times New Roman"/>
        </w:rPr>
        <w:tab/>
        <w:t>The WIPO Resolution Concerning Well-Known Marks</w:t>
      </w:r>
    </w:p>
    <w:p w14:paraId="17555855" w14:textId="77777777" w:rsidR="006F142F" w:rsidRPr="00B14711" w:rsidRDefault="006F142F" w:rsidP="00B14711">
      <w:pPr>
        <w:pStyle w:val="text"/>
        <w:rPr>
          <w:spacing w:val="-3"/>
        </w:rPr>
      </w:pPr>
      <w:r w:rsidRPr="00B14711">
        <w:t>The Paris Convention and, by incorporation, the TRIPS agreement both contain protections for “well-known” marks. However, neither contains any definition of the term “well-known.” Countries have not settled on a uniform interpretation of this phrase.</w:t>
      </w:r>
      <w:r w:rsidRPr="00B14711">
        <w:rPr>
          <w:spacing w:val="-3"/>
          <w:vertAlign w:val="superscript"/>
        </w:rPr>
        <w:footnoteReference w:id="11"/>
      </w:r>
      <w:r w:rsidRPr="00B14711">
        <w:t xml:space="preserve"> Moreover, the language of the Paris Convention and TRIPS lends itself more to protection from confusion than dilution, even of “well-known” marks.</w:t>
      </w:r>
      <w:r w:rsidRPr="00B14711">
        <w:rPr>
          <w:spacing w:val="-3"/>
          <w:vertAlign w:val="superscript"/>
        </w:rPr>
        <w:footnoteReference w:id="12"/>
      </w:r>
      <w:r w:rsidRPr="00B14711">
        <w:t xml:space="preserve"> In 1995, the World Intellectual Property Organization (WIPO) worked to change both of these omissions, creat</w:t>
      </w:r>
      <w:r>
        <w:t>ing</w:t>
      </w:r>
      <w:r w:rsidRPr="00B14711">
        <w:t xml:space="preserve"> a Committee of Experts on Well-Known Marks to consider these issues. The work was continued and completed by the WIPO Standing Committee on the Law of Trademarks, Industrial Designs and Geographical Indications. The Standing Committee produced a draft resolution for the General Assembly of WIPO and the member states of the Paris Convention. A final version—the WIPO Resolution—was adopted in September 1999.</w:t>
      </w:r>
      <w:r w:rsidRPr="00B14711">
        <w:rPr>
          <w:spacing w:val="-3"/>
          <w:vertAlign w:val="superscript"/>
        </w:rPr>
        <w:footnoteReference w:id="13"/>
      </w:r>
    </w:p>
    <w:p w14:paraId="402A7398" w14:textId="77777777" w:rsidR="006F142F" w:rsidRPr="00B14711" w:rsidRDefault="006F142F" w:rsidP="00B14711">
      <w:pPr>
        <w:pStyle w:val="text"/>
        <w:rPr>
          <w:spacing w:val="-3"/>
        </w:rPr>
      </w:pPr>
      <w:r w:rsidRPr="00B14711">
        <w:t>The WIPO Resolution, which is not a treaty, contains two important additions to the protections of the Paris Convention and TRIPS. First, it sets out factors to consider when deciding whether a mark is “well known.”</w:t>
      </w:r>
      <w:r w:rsidRPr="00B14711">
        <w:rPr>
          <w:spacing w:val="-3"/>
          <w:vertAlign w:val="superscript"/>
        </w:rPr>
        <w:footnoteReference w:id="14"/>
      </w:r>
      <w:r w:rsidRPr="00B14711">
        <w:t xml:space="preserve"> Several of these factors are very similar to those used under the original FTDA and the TDRA to determine whether a mark is famous.</w:t>
      </w:r>
      <w:r w:rsidRPr="00B14711">
        <w:rPr>
          <w:spacing w:val="-3"/>
          <w:vertAlign w:val="superscript"/>
        </w:rPr>
        <w:footnoteReference w:id="15"/>
      </w:r>
      <w:r w:rsidRPr="00B14711">
        <w:t xml:space="preserve"> Other factors add interesting considerations to the TDRA mix: “the record of successful enforcement of rights in the mark” and “the value associated with the mark.”</w:t>
      </w:r>
      <w:r w:rsidRPr="00B14711">
        <w:rPr>
          <w:spacing w:val="-3"/>
          <w:vertAlign w:val="superscript"/>
        </w:rPr>
        <w:footnoteReference w:id="16"/>
      </w:r>
      <w:r w:rsidRPr="00B14711">
        <w:t xml:space="preserve"> In addition, the WIPO Resolution states that neither registration </w:t>
      </w:r>
      <w:r w:rsidRPr="00B14711">
        <w:rPr>
          <w:i/>
          <w:iCs/>
        </w:rPr>
        <w:t>nor use</w:t>
      </w:r>
      <w:r w:rsidRPr="00B14711">
        <w:t xml:space="preserve"> in the country shall be required for well-known status.</w:t>
      </w:r>
      <w:r w:rsidRPr="00B14711">
        <w:rPr>
          <w:spacing w:val="-3"/>
          <w:vertAlign w:val="superscript"/>
        </w:rPr>
        <w:footnoteReference w:id="17"/>
      </w:r>
      <w:r w:rsidRPr="00B14711">
        <w:t xml:space="preserve"> Indeed, it need not even be shown that “the public at large in the Member State” considers the mark to be “well known.”</w:t>
      </w:r>
      <w:r w:rsidRPr="00B14711">
        <w:rPr>
          <w:spacing w:val="-3"/>
          <w:vertAlign w:val="superscript"/>
        </w:rPr>
        <w:footnoteReference w:id="18"/>
      </w:r>
    </w:p>
    <w:p w14:paraId="37A16955" w14:textId="77777777" w:rsidR="006F142F" w:rsidRPr="00B14711" w:rsidRDefault="006F142F" w:rsidP="00B14711">
      <w:pPr>
        <w:pStyle w:val="text"/>
        <w:rPr>
          <w:spacing w:val="-3"/>
        </w:rPr>
      </w:pPr>
      <w:r w:rsidRPr="00B14711">
        <w:t>Second, the WIPO Resolution requires that well-known marks be protected “against conflicting marks, business identifiers and domain names.”</w:t>
      </w:r>
      <w:r w:rsidRPr="00B14711">
        <w:rPr>
          <w:spacing w:val="-3"/>
          <w:vertAlign w:val="superscript"/>
        </w:rPr>
        <w:footnoteReference w:id="19"/>
      </w:r>
      <w:r w:rsidRPr="00B14711">
        <w:t xml:space="preserve"> The Resolution defines “conflicting marks” as including marks that “dilute in an unfair manner” and uses that “take advantage of the distinctive character of the well-known mark.”</w:t>
      </w:r>
      <w:r w:rsidRPr="00B14711">
        <w:rPr>
          <w:spacing w:val="-3"/>
          <w:vertAlign w:val="superscript"/>
        </w:rPr>
        <w:footnoteReference w:id="20"/>
      </w:r>
      <w:r w:rsidRPr="00B14711">
        <w:t xml:space="preserve"> These provisions arguably go beyond the protections of the TDRA, particularly the provision regarding “taking advantage” of another mark. This could include parodies and other devices considered legitimate, and even constitutionally protected, under U.S. law.</w:t>
      </w:r>
      <w:r w:rsidRPr="00B14711">
        <w:rPr>
          <w:spacing w:val="-3"/>
          <w:vertAlign w:val="superscript"/>
        </w:rPr>
        <w:footnoteReference w:id="21"/>
      </w:r>
      <w:r w:rsidRPr="00B14711">
        <w:t xml:space="preserve"> Interestingly enough, the Resolution permits member states to “require that the well-known mark be well known by the public at large” in order to be eligible for dilution protection, despite the earlier provision that “well-known” does not necessarily mean well known in the particular country.</w:t>
      </w:r>
      <w:r w:rsidRPr="00B14711">
        <w:rPr>
          <w:spacing w:val="-3"/>
          <w:vertAlign w:val="superscript"/>
        </w:rPr>
        <w:footnoteReference w:id="22"/>
      </w:r>
    </w:p>
    <w:p w14:paraId="4652B6EC" w14:textId="77777777" w:rsidR="006F142F" w:rsidRPr="00B14711" w:rsidRDefault="006F142F" w:rsidP="00B14711">
      <w:pPr>
        <w:pStyle w:val="text"/>
      </w:pPr>
      <w:r w:rsidRPr="00B14711">
        <w:t>Because the WIPO Resolution is not a treaty, it is not binding, at least not in the United States. However, it may be influential, both to legislators seeking to amend their trademark laws and to courts interpreting existing laws.</w:t>
      </w:r>
    </w:p>
    <w:p w14:paraId="6E405BCA" w14:textId="77777777" w:rsidR="006F142F" w:rsidRPr="00B14711" w:rsidRDefault="006F142F" w:rsidP="00B14711">
      <w:pPr>
        <w:pStyle w:val="1stLevelHeadII"/>
        <w:rPr>
          <w:rFonts w:cs="Times New Roman"/>
        </w:rPr>
      </w:pPr>
      <w:r w:rsidRPr="00B14711">
        <w:rPr>
          <w:rFonts w:cs="Times New Roman"/>
        </w:rPr>
        <w:t>III.</w:t>
      </w:r>
      <w:r w:rsidRPr="00B14711">
        <w:rPr>
          <w:rFonts w:cs="Times New Roman"/>
        </w:rPr>
        <w:t> </w:t>
      </w:r>
      <w:r w:rsidRPr="00B14711">
        <w:rPr>
          <w:rFonts w:cs="Times New Roman"/>
        </w:rPr>
        <w:t>Regional International Protection</w:t>
      </w:r>
    </w:p>
    <w:p w14:paraId="360E4F57" w14:textId="77777777" w:rsidR="006F142F" w:rsidRPr="00B14711" w:rsidRDefault="006F142F" w:rsidP="00B14711">
      <w:pPr>
        <w:pStyle w:val="text"/>
        <w:tabs>
          <w:tab w:val="left" w:pos="360"/>
        </w:tabs>
      </w:pPr>
      <w:r w:rsidRPr="00B14711">
        <w:t>In some instances, notably in Europe, groups of countries have created regional organizations under whose umbrella the intellectual property protection of the member countries is subsumed, either entirely or in part. This section discusses examples of such regional protection in the context of trademark dilution.</w:t>
      </w:r>
    </w:p>
    <w:p w14:paraId="5E06994A" w14:textId="77777777" w:rsidR="006F142F" w:rsidRPr="00B14711" w:rsidRDefault="006F142F" w:rsidP="00B14711">
      <w:pPr>
        <w:pStyle w:val="2ndLevelHeadA0"/>
        <w:rPr>
          <w:rFonts w:cs="Times New Roman"/>
        </w:rPr>
      </w:pPr>
      <w:r w:rsidRPr="00B14711">
        <w:rPr>
          <w:rFonts w:cs="Times New Roman"/>
        </w:rPr>
        <w:t>A.</w:t>
      </w:r>
      <w:r w:rsidRPr="00B14711">
        <w:rPr>
          <w:rFonts w:cs="Times New Roman"/>
        </w:rPr>
        <w:tab/>
        <w:t>The European Union</w:t>
      </w:r>
    </w:p>
    <w:p w14:paraId="3E33A02C" w14:textId="77777777" w:rsidR="006F142F" w:rsidRPr="00B14711" w:rsidRDefault="006F142F" w:rsidP="00B14711">
      <w:pPr>
        <w:pStyle w:val="text"/>
        <w:tabs>
          <w:tab w:val="left" w:pos="360"/>
        </w:tabs>
      </w:pPr>
      <w:r w:rsidRPr="003131C0">
        <w:t xml:space="preserve">The European Union (EU), whose membership now </w:t>
      </w:r>
      <w:r w:rsidRPr="00BF51BA">
        <w:t xml:space="preserve">includes </w:t>
      </w:r>
      <w:r>
        <w:t>27</w:t>
      </w:r>
      <w:r w:rsidRPr="003131C0">
        <w:t xml:space="preserve"> different countries in Europe, has a dual trademark protection system.</w:t>
      </w:r>
      <w:r>
        <w:t xml:space="preserve"> </w:t>
      </w:r>
      <w:r w:rsidRPr="00B14711">
        <w:t>There is a</w:t>
      </w:r>
      <w:r>
        <w:t>n</w:t>
      </w:r>
      <w:r w:rsidRPr="00B14711">
        <w:t xml:space="preserve"> </w:t>
      </w:r>
      <w:r>
        <w:t>EU</w:t>
      </w:r>
      <w:r w:rsidRPr="00B14711">
        <w:t xml:space="preserve"> Trade Mark</w:t>
      </w:r>
      <w:r>
        <w:t xml:space="preserve"> (EUTM)</w:t>
      </w:r>
      <w:r w:rsidRPr="00B14711">
        <w:t xml:space="preserve"> system</w:t>
      </w:r>
      <w:r>
        <w:t xml:space="preserve"> (formerly known as the Community Trade Mark or CTM)</w:t>
      </w:r>
      <w:r w:rsidRPr="00B14711">
        <w:t>, which allows trademark owners to register their marks centrally for EU-wide protection. In addition, the individual countries of the EU maintain their own national trademark protection systems. However, the potential lack of uniformity of national systems is tempered by a 1988 directive of the European Council (Trademark Harmonization Directive or Directive), which mandated a certain degree of harmonization of the trademark laws of the EU member states.</w:t>
      </w:r>
      <w:r w:rsidRPr="00B14711">
        <w:rPr>
          <w:spacing w:val="-4"/>
          <w:vertAlign w:val="superscript"/>
        </w:rPr>
        <w:footnoteReference w:id="23"/>
      </w:r>
      <w:r w:rsidRPr="00B14711">
        <w:t xml:space="preserve"> The Trademark Harmonization Directive and the provisions regulating the CTM system both contain protections against what a U.S. observer would recognize as dilution of a trademark. Those provisions are discussed in the next two sections. As a large trading entity, the EU’s trademark protection is an important consideration for companies doing business abroad.</w:t>
      </w:r>
    </w:p>
    <w:p w14:paraId="5D948E3A" w14:textId="77777777" w:rsidR="006F142F" w:rsidRPr="00B14711" w:rsidRDefault="006F142F" w:rsidP="00B14711">
      <w:pPr>
        <w:pStyle w:val="3rdLevelHead1"/>
        <w:rPr>
          <w:rFonts w:cs="Times New Roman"/>
        </w:rPr>
      </w:pPr>
      <w:r w:rsidRPr="00B14711">
        <w:rPr>
          <w:rFonts w:cs="Times New Roman"/>
        </w:rPr>
        <w:t>1.</w:t>
      </w:r>
      <w:r w:rsidRPr="00B14711">
        <w:rPr>
          <w:rFonts w:cs="Times New Roman"/>
        </w:rPr>
        <w:tab/>
        <w:t>The Trademark Harmonization Directive</w:t>
      </w:r>
    </w:p>
    <w:p w14:paraId="27212389" w14:textId="77777777" w:rsidR="006F142F" w:rsidRPr="003131C0" w:rsidRDefault="006F142F" w:rsidP="00D34D0E">
      <w:pPr>
        <w:pStyle w:val="text"/>
      </w:pPr>
      <w:r w:rsidRPr="003131C0">
        <w:t>The Trademark Harmonization Directive sets forth a complete system of national trademark protection to be implemented by legislation in each of the member states of the EU. The Directive thus attempts to ensure that, in large part, the national trademark laws of the member states are approximately the same. The Directive is now in its third iteration: The original Directive was issued in 1988, and a revised Directive was issued in 2008.</w:t>
      </w:r>
      <w:r w:rsidRPr="003131C0">
        <w:rPr>
          <w:vertAlign w:val="superscript"/>
        </w:rPr>
        <w:footnoteReference w:id="24"/>
      </w:r>
      <w:r w:rsidRPr="003131C0">
        <w:t xml:space="preserve"> In December 2015</w:t>
      </w:r>
      <w:r>
        <w:t>,</w:t>
      </w:r>
      <w:r w:rsidRPr="003131C0">
        <w:t xml:space="preserve"> the EU revised both the Directive</w:t>
      </w:r>
      <w:r w:rsidRPr="003131C0">
        <w:rPr>
          <w:vertAlign w:val="superscript"/>
        </w:rPr>
        <w:footnoteReference w:id="25"/>
      </w:r>
      <w:r w:rsidRPr="003131C0">
        <w:t xml:space="preserve"> and the Community Trade Mark Regulation.</w:t>
      </w:r>
      <w:r w:rsidRPr="003131C0">
        <w:rPr>
          <w:vertAlign w:val="superscript"/>
        </w:rPr>
        <w:footnoteReference w:id="26"/>
      </w:r>
      <w:r>
        <w:t xml:space="preserve"> </w:t>
      </w:r>
      <w:r w:rsidRPr="003131C0">
        <w:t>Although most of the Directive’s provisions were mandatory from the beginning, in the original Directive the dilution provisions were not mandatory.</w:t>
      </w:r>
      <w:r w:rsidRPr="003131C0">
        <w:rPr>
          <w:vertAlign w:val="superscript"/>
        </w:rPr>
        <w:footnoteReference w:id="27"/>
      </w:r>
      <w:r w:rsidRPr="003131C0">
        <w:t xml:space="preserve"> In the 2015 revision, the dilution provisions are mandatory. The Directive requires that member states enact national legislation to implement its directions; however, as to the 2015 Directive, countries are directed only to amend their laws to the extent necessary to implement substantive changes wrought by the 2015 Directive.</w:t>
      </w:r>
      <w:r w:rsidRPr="003131C0">
        <w:rPr>
          <w:vertAlign w:val="superscript"/>
        </w:rPr>
        <w:footnoteReference w:id="28"/>
      </w:r>
      <w:r w:rsidRPr="003131C0">
        <w:t xml:space="preserve"> As the 2015 Directive repeals the prior Directive as of January 15, 2019,</w:t>
      </w:r>
      <w:r w:rsidRPr="003131C0">
        <w:rPr>
          <w:vertAlign w:val="superscript"/>
        </w:rPr>
        <w:footnoteReference w:id="29"/>
      </w:r>
      <w:r w:rsidRPr="003131C0">
        <w:t xml:space="preserve"> one expects that countries </w:t>
      </w:r>
      <w:r>
        <w:t>would</w:t>
      </w:r>
      <w:r w:rsidRPr="003131C0">
        <w:t xml:space="preserve"> </w:t>
      </w:r>
      <w:r>
        <w:t xml:space="preserve">have </w:t>
      </w:r>
      <w:r w:rsidRPr="003131C0">
        <w:t>amend</w:t>
      </w:r>
      <w:r>
        <w:t>ed</w:t>
      </w:r>
      <w:r w:rsidRPr="003131C0">
        <w:t xml:space="preserve"> their laws by that date, if not sooner.</w:t>
      </w:r>
    </w:p>
    <w:p w14:paraId="3D5CF7CA" w14:textId="77777777" w:rsidR="006F142F" w:rsidRPr="003131C0" w:rsidRDefault="006F142F" w:rsidP="00D34D0E">
      <w:pPr>
        <w:pStyle w:val="text"/>
      </w:pPr>
      <w:r w:rsidRPr="003131C0">
        <w:t>Originally, the dilution provisions of the Directive were contained in Articles 4 and 5. Article 4 dealt with the requirements for registration and the grounds for opposition, while Article 5 dealt with grounds for infringement. In the 2015 Directive</w:t>
      </w:r>
      <w:r w:rsidRPr="003131C0">
        <w:rPr>
          <w:i/>
          <w:iCs/>
        </w:rPr>
        <w:t>,</w:t>
      </w:r>
      <w:r w:rsidRPr="003131C0">
        <w:t xml:space="preserve"> the dilution provisions are contained in Article </w:t>
      </w:r>
      <w:r>
        <w:t>5(3)(a)</w:t>
      </w:r>
      <w:r w:rsidRPr="003131C0">
        <w:t xml:space="preserve">, which deals with relative grounds for refusal of registration, and Article </w:t>
      </w:r>
      <w:r>
        <w:t>10(2)(c)</w:t>
      </w:r>
      <w:r w:rsidRPr="003131C0">
        <w:t>, which sets forth the rights granted to trademark owners. However, for the most part, the new provisions mirror the language of the original Directive. Thus, we will begin with the original provisions and note the changes wrought by the 2015 Directive at the end of this section.</w:t>
      </w:r>
    </w:p>
    <w:p w14:paraId="329AE2FD" w14:textId="77777777" w:rsidR="006F142F" w:rsidRPr="003131C0" w:rsidRDefault="006F142F" w:rsidP="00D34D0E">
      <w:pPr>
        <w:pStyle w:val="text"/>
      </w:pPr>
      <w:r w:rsidRPr="003131C0">
        <w:t>To illustrate how dilution works under the Directive we will use Article 5 of the original Directive, which provided, in pertinent part, as follows:</w:t>
      </w:r>
    </w:p>
    <w:p w14:paraId="7B02DF3F" w14:textId="77777777" w:rsidR="006F142F" w:rsidRPr="003131C0" w:rsidRDefault="006F142F" w:rsidP="00D34D0E">
      <w:pPr>
        <w:pStyle w:val="block-f-0"/>
        <w:rPr>
          <w:rFonts w:cs="Times New Roman"/>
        </w:rPr>
      </w:pPr>
      <w:r w:rsidRPr="003131C0">
        <w:rPr>
          <w:rFonts w:cs="Times New Roman"/>
        </w:rPr>
        <w:t>Rights conferred by a trade mark</w:t>
      </w:r>
    </w:p>
    <w:p w14:paraId="383B5DD6" w14:textId="77777777" w:rsidR="006F142F" w:rsidRPr="003131C0" w:rsidRDefault="006F142F" w:rsidP="00D34D0E">
      <w:pPr>
        <w:pStyle w:val="block-f-0"/>
        <w:rPr>
          <w:rFonts w:cs="Times New Roman"/>
        </w:rPr>
      </w:pPr>
      <w:r w:rsidRPr="003131C0">
        <w:rPr>
          <w:rFonts w:cs="Times New Roman"/>
        </w:rPr>
        <w:t>1. The registered trade mark shall confer on the proprietor exclusive rights therein. The proprietor shall be entitled to prevent all third parties not having his consent from using in the course of trade:</w:t>
      </w:r>
    </w:p>
    <w:p w14:paraId="588BAE96" w14:textId="77777777" w:rsidR="006F142F" w:rsidRPr="003131C0" w:rsidRDefault="006F142F" w:rsidP="00D34D0E">
      <w:pPr>
        <w:pStyle w:val="block-f-0"/>
        <w:rPr>
          <w:rFonts w:cs="Times New Roman"/>
        </w:rPr>
      </w:pPr>
      <w:r w:rsidRPr="003131C0">
        <w:rPr>
          <w:rFonts w:cs="Times New Roman"/>
        </w:rPr>
        <w:t>(a) any sign which is identical with the trade mark in relation to goods or services which are identical with those for which the trade mark is registered;</w:t>
      </w:r>
    </w:p>
    <w:p w14:paraId="01B59427" w14:textId="77777777" w:rsidR="006F142F" w:rsidRPr="003131C0" w:rsidRDefault="006F142F" w:rsidP="00D34D0E">
      <w:pPr>
        <w:pStyle w:val="block-f-0"/>
        <w:rPr>
          <w:rFonts w:cs="Times New Roman"/>
        </w:rPr>
      </w:pPr>
      <w:r w:rsidRPr="003131C0">
        <w:rPr>
          <w:rFonts w:cs="Times New Roman"/>
        </w:rPr>
        <w:t>(b) any sign where, because of its identity with, or similarity to, the trade mark and the identity or similarity of the goods or services covered by the trade mark and the sign, there exists a likelihood of confusion on the part of the public, which includes the likelihood of association between the sign and the trade mark.</w:t>
      </w:r>
    </w:p>
    <w:p w14:paraId="2E013F9C" w14:textId="77777777" w:rsidR="006F142F" w:rsidRPr="003131C0" w:rsidRDefault="006F142F" w:rsidP="00D34D0E">
      <w:pPr>
        <w:pStyle w:val="block-f"/>
        <w:rPr>
          <w:rFonts w:cs="Times New Roman"/>
        </w:rPr>
      </w:pPr>
      <w:r w:rsidRPr="003131C0">
        <w:rPr>
          <w:rFonts w:cs="Times New Roman"/>
        </w:rPr>
        <w:t>2. Any Member State may also provide that the proprietor shall be entitled to prevent all third parties not having his consent from using in the course of trade any sign which is identical with, or similar to, the trade mark in relation to goods or services which are not similar to those for which the trade mark is registered, where the latter has a reputation in the Member State and where use of that sign without due cause takes unfair advantage of, or is detrimental to, the distinctive character or the repute of the trade mark.</w:t>
      </w:r>
    </w:p>
    <w:p w14:paraId="00F21A4C" w14:textId="77777777" w:rsidR="006F142F" w:rsidRPr="003131C0" w:rsidRDefault="006F142F" w:rsidP="00D34D0E">
      <w:pPr>
        <w:pStyle w:val="text"/>
      </w:pPr>
      <w:r w:rsidRPr="003131C0">
        <w:t xml:space="preserve">Although it does not use the term “dilution,” Article 5(2) appears most clearly to </w:t>
      </w:r>
      <w:r>
        <w:t xml:space="preserve">have </w:t>
      </w:r>
      <w:r w:rsidRPr="003131C0">
        <w:t>implement</w:t>
      </w:r>
      <w:r>
        <w:t>ed</w:t>
      </w:r>
      <w:r w:rsidRPr="003131C0">
        <w:t xml:space="preserve"> dilution protection. The idea of making use of a well-known mark that “is detrimental to[] the distinctive character or the repute” of a well-known mark is similar to the notions of dilution found in U.S. law.</w:t>
      </w:r>
      <w:r w:rsidRPr="003131C0">
        <w:rPr>
          <w:vertAlign w:val="superscript"/>
        </w:rPr>
        <w:footnoteReference w:id="30"/>
      </w:r>
      <w:r w:rsidRPr="003131C0">
        <w:t xml:space="preserve"> As its language indicates, the Directive did not mandate that countries adopt this provision (“Any Member State </w:t>
      </w:r>
      <w:r w:rsidRPr="003131C0">
        <w:rPr>
          <w:i/>
          <w:iCs/>
        </w:rPr>
        <w:t>may</w:t>
      </w:r>
      <w:r w:rsidRPr="003131C0">
        <w:t> </w:t>
      </w:r>
      <w:r>
        <w:t>…</w:t>
      </w:r>
      <w:r w:rsidRPr="003131C0">
        <w:t> provide </w:t>
      </w:r>
      <w:r>
        <w:t>…</w:t>
      </w:r>
      <w:r w:rsidRPr="003131C0">
        <w:t xml:space="preserve">”), but it </w:t>
      </w:r>
      <w:r>
        <w:t>was</w:t>
      </w:r>
      <w:r w:rsidRPr="003131C0">
        <w:t xml:space="preserve"> widely implemented.</w:t>
      </w:r>
      <w:r w:rsidRPr="003131C0">
        <w:rPr>
          <w:vertAlign w:val="superscript"/>
        </w:rPr>
        <w:footnoteReference w:id="31"/>
      </w:r>
      <w:r w:rsidRPr="003131C0">
        <w:t xml:space="preserve"> It has also been argued that the “likelihood of association” language in Article 5(1)(b) (which </w:t>
      </w:r>
      <w:r w:rsidRPr="003131C0">
        <w:rPr>
          <w:i/>
          <w:iCs/>
        </w:rPr>
        <w:t>is</w:t>
      </w:r>
      <w:r w:rsidRPr="003131C0">
        <w:t xml:space="preserve"> mandatory) permits protection of marks without any demonstration of confusion. This latter argument has not proven successful.</w:t>
      </w:r>
    </w:p>
    <w:p w14:paraId="62E778D3" w14:textId="77777777" w:rsidR="006F142F" w:rsidRPr="003131C0" w:rsidRDefault="006F142F" w:rsidP="00D34D0E">
      <w:pPr>
        <w:pStyle w:val="text"/>
        <w:rPr>
          <w:vertAlign w:val="superscript"/>
        </w:rPr>
      </w:pPr>
      <w:r w:rsidRPr="003131C0">
        <w:t>The argument over the meaning of Article 5(1)(b) may be traced through a key case in the U</w:t>
      </w:r>
      <w:r>
        <w:t>.</w:t>
      </w:r>
      <w:r w:rsidRPr="003131C0">
        <w:t>K. The U</w:t>
      </w:r>
      <w:r>
        <w:t>.</w:t>
      </w:r>
      <w:r w:rsidRPr="003131C0">
        <w:t>K</w:t>
      </w:r>
      <w:r>
        <w:t>.</w:t>
      </w:r>
      <w:r w:rsidRPr="003131C0">
        <w:t xml:space="preserve"> implemented the Directive in 1994, and included all of Article 5, which became Section 10 of its Trade Marks Act. In 1995, Section 10(2), the equivalent of Article 5(1)(b), was the subject of a court decision in </w:t>
      </w:r>
      <w:r w:rsidRPr="003131C0">
        <w:rPr>
          <w:i/>
          <w:iCs/>
        </w:rPr>
        <w:t>Wagamama, Ltd</w:t>
      </w:r>
      <w:r w:rsidRPr="003131C0">
        <w:t>.</w:t>
      </w:r>
      <w:r w:rsidRPr="003131C0">
        <w:rPr>
          <w:i/>
          <w:iCs/>
        </w:rPr>
        <w:t xml:space="preserve"> v</w:t>
      </w:r>
      <w:r w:rsidRPr="003131C0">
        <w:t>.</w:t>
      </w:r>
      <w:r w:rsidRPr="003131C0">
        <w:rPr>
          <w:i/>
          <w:iCs/>
        </w:rPr>
        <w:t xml:space="preserve"> City Centre Restaurants PLC</w:t>
      </w:r>
      <w:r w:rsidRPr="003131C0">
        <w:t>.</w:t>
      </w:r>
      <w:r w:rsidRPr="003131C0">
        <w:rPr>
          <w:vertAlign w:val="superscript"/>
        </w:rPr>
        <w:footnoteReference w:id="32"/>
      </w:r>
      <w:r w:rsidRPr="003131C0">
        <w:t xml:space="preserve"> In that case, a dispute between owners of a Japanese restaurant called Wagamama and of an Indian restaurant called Rajamama, the plaintiff argued that the “likelihood of association” language of Section 10(2) meant that the defendant infringed the plaintiff’s mark if the defendant’s mark “called to mind” the plaintiff’s mark.</w:t>
      </w:r>
      <w:r w:rsidRPr="003131C0">
        <w:rPr>
          <w:vertAlign w:val="superscript"/>
        </w:rPr>
        <w:footnoteReference w:id="33"/>
      </w:r>
      <w:r w:rsidRPr="003131C0">
        <w:t xml:space="preserve"> This interpretation would impose liability without a need for confusion. However, the court rejected this argument, and ruled that confusion was still a requirement.</w:t>
      </w:r>
      <w:r w:rsidRPr="003131C0">
        <w:rPr>
          <w:vertAlign w:val="superscript"/>
        </w:rPr>
        <w:footnoteReference w:id="34"/>
      </w:r>
      <w:r w:rsidRPr="003131C0">
        <w:t xml:space="preserve"> The court rejected an argument that the Directive incorporated the interpretation of similar language in the previous statutes of the Benelux countries,</w:t>
      </w:r>
      <w:r w:rsidRPr="003131C0">
        <w:rPr>
          <w:vertAlign w:val="superscript"/>
        </w:rPr>
        <w:footnoteReference w:id="35"/>
      </w:r>
      <w:r w:rsidRPr="003131C0">
        <w:t xml:space="preserve"> which had been understood to use the “calling to mind” test.</w:t>
      </w:r>
      <w:r w:rsidRPr="003131C0">
        <w:rPr>
          <w:vertAlign w:val="superscript"/>
        </w:rPr>
        <w:footnoteReference w:id="36"/>
      </w:r>
    </w:p>
    <w:p w14:paraId="65131EBA" w14:textId="77777777" w:rsidR="006F142F" w:rsidRPr="003131C0" w:rsidRDefault="006F142F" w:rsidP="00D34D0E">
      <w:pPr>
        <w:pStyle w:val="text"/>
        <w:rPr>
          <w:vertAlign w:val="superscript"/>
        </w:rPr>
      </w:pPr>
      <w:r w:rsidRPr="003131C0">
        <w:t>In 1997, the ECJ</w:t>
      </w:r>
      <w:r w:rsidRPr="003131C0">
        <w:rPr>
          <w:vertAlign w:val="superscript"/>
        </w:rPr>
        <w:footnoteReference w:id="37"/>
      </w:r>
      <w:r w:rsidRPr="003131C0">
        <w:t xml:space="preserve"> was asked to interpret this same “likelihood of association” language in </w:t>
      </w:r>
      <w:r w:rsidRPr="003131C0">
        <w:rPr>
          <w:i/>
          <w:iCs/>
        </w:rPr>
        <w:t>Sabel BV v</w:t>
      </w:r>
      <w:r w:rsidRPr="003131C0">
        <w:t>.</w:t>
      </w:r>
      <w:r w:rsidRPr="003131C0">
        <w:rPr>
          <w:i/>
          <w:iCs/>
        </w:rPr>
        <w:t xml:space="preserve"> Puma AG</w:t>
      </w:r>
      <w:r w:rsidRPr="003131C0">
        <w:t>.</w:t>
      </w:r>
      <w:r w:rsidRPr="003131C0">
        <w:rPr>
          <w:vertAlign w:val="superscript"/>
        </w:rPr>
        <w:footnoteReference w:id="38"/>
      </w:r>
      <w:r w:rsidRPr="003131C0">
        <w:t xml:space="preserve"> Under the Treaty of Rome, the European Court of Justice (ECJ) is empowered to give guidance to national courts as to the interpretation of EU legislation such as the Trademark Harmonization Directive.</w:t>
      </w:r>
      <w:r w:rsidRPr="003131C0">
        <w:rPr>
          <w:vertAlign w:val="superscript"/>
        </w:rPr>
        <w:footnoteReference w:id="39"/>
      </w:r>
      <w:r w:rsidRPr="003131C0">
        <w:t xml:space="preserve"> The ECJ sided with the </w:t>
      </w:r>
      <w:r w:rsidRPr="003131C0">
        <w:rPr>
          <w:i/>
          <w:iCs/>
        </w:rPr>
        <w:t>Wagamama</w:t>
      </w:r>
      <w:r w:rsidRPr="003131C0">
        <w:t xml:space="preserve"> interpretation, determining that “likelihood of association” does not eliminate the need for confusion.</w:t>
      </w:r>
      <w:r w:rsidRPr="003131C0">
        <w:rPr>
          <w:vertAlign w:val="superscript"/>
        </w:rPr>
        <w:footnoteReference w:id="40"/>
      </w:r>
      <w:r w:rsidRPr="003131C0">
        <w:t xml:space="preserve"> The ECJ subsequently reaffirmed its stance in </w:t>
      </w:r>
      <w:r w:rsidRPr="003131C0">
        <w:rPr>
          <w:i/>
          <w:iCs/>
        </w:rPr>
        <w:t>Marca Mode CV v</w:t>
      </w:r>
      <w:r w:rsidRPr="003131C0">
        <w:t>.</w:t>
      </w:r>
      <w:r w:rsidRPr="003131C0">
        <w:rPr>
          <w:i/>
          <w:iCs/>
        </w:rPr>
        <w:t xml:space="preserve"> Adidas AG</w:t>
      </w:r>
      <w:r w:rsidRPr="003131C0">
        <w:t>.</w:t>
      </w:r>
      <w:r w:rsidRPr="003131C0">
        <w:rPr>
          <w:vertAlign w:val="superscript"/>
        </w:rPr>
        <w:footnoteReference w:id="41"/>
      </w:r>
    </w:p>
    <w:p w14:paraId="298EB657" w14:textId="77777777" w:rsidR="006F142F" w:rsidRPr="003131C0" w:rsidRDefault="006F142F" w:rsidP="00D34D0E">
      <w:pPr>
        <w:pStyle w:val="text"/>
      </w:pPr>
      <w:r w:rsidRPr="003131C0">
        <w:t>This interpretation of Article 5(1)(b) leaves Article 5(2) as the primary source of dilution protection.</w:t>
      </w:r>
      <w:r w:rsidRPr="003131C0">
        <w:rPr>
          <w:vertAlign w:val="superscript"/>
        </w:rPr>
        <w:footnoteReference w:id="42"/>
      </w:r>
      <w:r w:rsidRPr="003131C0">
        <w:t xml:space="preserve"> Article 5(2) contains five basic requirements: (1) the second use must be “in the course of trade”; (2) the second use must be “identical with or similar to the trade mark” of the registrant;</w:t>
      </w:r>
      <w:r>
        <w:rPr>
          <w:rStyle w:val="FootnoteReference"/>
        </w:rPr>
        <w:footnoteReference w:id="43"/>
      </w:r>
      <w:r w:rsidRPr="003131C0">
        <w:t xml:space="preserve"> (3) the second use must be on goods or services that are </w:t>
      </w:r>
      <w:r w:rsidRPr="003131C0">
        <w:rPr>
          <w:i/>
          <w:iCs/>
        </w:rPr>
        <w:t>not</w:t>
      </w:r>
      <w:r w:rsidRPr="003131C0">
        <w:t xml:space="preserve"> “similar to” the goods or services of the registrant;</w:t>
      </w:r>
      <w:r w:rsidRPr="003131C0">
        <w:rPr>
          <w:vertAlign w:val="superscript"/>
        </w:rPr>
        <w:footnoteReference w:id="44"/>
      </w:r>
      <w:r w:rsidRPr="003131C0">
        <w:t xml:space="preserve"> (4) the registrant’s mark must “ha[ve] a reputation in the Member state”; and (5) the second use must be “without due cause” and “take[] unfair advantage of, or [be] detrimental to, the distinctive character or the repute of the trade mark.” These requirements raise several issues, some of which have only recently been the subject of rulings by the Court of Justice.</w:t>
      </w:r>
    </w:p>
    <w:p w14:paraId="62F5E93E" w14:textId="77777777" w:rsidR="006F142F" w:rsidRPr="003131C0" w:rsidRDefault="006F142F" w:rsidP="00D34D0E">
      <w:pPr>
        <w:pStyle w:val="text"/>
      </w:pPr>
      <w:r w:rsidRPr="003131C0">
        <w:t xml:space="preserve">To complete the discussion, we consider the corresponding provision of the 2015 Directive, namely Article </w:t>
      </w:r>
      <w:r>
        <w:t>10</w:t>
      </w:r>
      <w:r w:rsidRPr="003131C0">
        <w:t>(2)(c),</w:t>
      </w:r>
      <w:r w:rsidRPr="003131C0">
        <w:rPr>
          <w:vertAlign w:val="superscript"/>
        </w:rPr>
        <w:footnoteReference w:id="45"/>
      </w:r>
      <w:r w:rsidRPr="003131C0">
        <w:t xml:space="preserve"> which provides, in pertinent part, as follows:</w:t>
      </w:r>
    </w:p>
    <w:p w14:paraId="0F01CDDD" w14:textId="77777777" w:rsidR="006F142F" w:rsidRPr="003131C0" w:rsidRDefault="006F142F" w:rsidP="00D34D0E">
      <w:pPr>
        <w:pStyle w:val="block-f-0"/>
        <w:rPr>
          <w:rFonts w:cs="Times New Roman"/>
        </w:rPr>
      </w:pPr>
      <w:r w:rsidRPr="003131C0">
        <w:rPr>
          <w:rFonts w:cs="Times New Roman"/>
        </w:rPr>
        <w:t xml:space="preserve">2. Without prejudice to the rights of proprietors acquired before the filing date or the priority date of the registered trade mark, the proprietor of that registered trade mark shall be entitled to prevent all third parties not having his consent from using in the course of trade, in relation to goods or services, any sign where: </w:t>
      </w:r>
    </w:p>
    <w:p w14:paraId="53433EB2" w14:textId="77777777" w:rsidR="006F142F" w:rsidRPr="003131C0" w:rsidRDefault="006F142F" w:rsidP="00D34D0E">
      <w:pPr>
        <w:pStyle w:val="block-f-0"/>
        <w:spacing w:before="120" w:after="120"/>
        <w:rPr>
          <w:rFonts w:cs="Times New Roman"/>
        </w:rPr>
      </w:pPr>
      <w:r w:rsidRPr="003131C0">
        <w:rPr>
          <w:rFonts w:cs="Times New Roman"/>
        </w:rPr>
        <w:t>. . .</w:t>
      </w:r>
    </w:p>
    <w:p w14:paraId="55C92155" w14:textId="77777777" w:rsidR="006F142F" w:rsidRPr="003131C0" w:rsidRDefault="006F142F" w:rsidP="00D34D0E">
      <w:pPr>
        <w:pStyle w:val="block-f"/>
        <w:spacing w:before="0"/>
        <w:rPr>
          <w:rFonts w:cs="Times New Roman"/>
        </w:rPr>
      </w:pPr>
      <w:r w:rsidRPr="003131C0">
        <w:rPr>
          <w:rFonts w:cs="Times New Roman"/>
        </w:rPr>
        <w:t xml:space="preserve">(c) the sign is identical with, or similar to, the trade mark irrespective of whether it is used in relation to goods or services which are identical with, similar to, or not similar to, those for which the trade mark is registered, where the latter has a reputation in the Member State and where use of that sign without due cause takes unfair advantage of, or is detrimental to, the distinctive character or the repute of the trade mark. </w:t>
      </w:r>
    </w:p>
    <w:p w14:paraId="20109E96" w14:textId="77777777" w:rsidR="006F142F" w:rsidRPr="00B14711" w:rsidRDefault="006F142F" w:rsidP="00B14711">
      <w:pPr>
        <w:pStyle w:val="textflush"/>
      </w:pPr>
      <w:r w:rsidRPr="003131C0">
        <w:t xml:space="preserve">The main difference between Article </w:t>
      </w:r>
      <w:r>
        <w:t>10</w:t>
      </w:r>
      <w:r w:rsidRPr="003131C0">
        <w:t>(2)(c) of the 2015 Directive and the original Article 5(2) is that the newer provision states that it applies regardless of whether the goods or services of the two marks are the same, similar, or not similar. As discussed below, that simply codifies an interpretation of the Court of Justice, which effectively wrote that into the original Directive.</w:t>
      </w:r>
      <w:r w:rsidRPr="003131C0">
        <w:rPr>
          <w:vertAlign w:val="superscript"/>
        </w:rPr>
        <w:footnoteReference w:id="46"/>
      </w:r>
      <w:r w:rsidRPr="003131C0">
        <w:t xml:space="preserve"> Also, as noted above, while the dilution provisions were not mandatory in the original Directive (Article 5(2), for example, says that member states “may” implement its provisions), they are mandatory in the 2015 Directive.</w:t>
      </w:r>
    </w:p>
    <w:p w14:paraId="38A098C4" w14:textId="77777777" w:rsidR="006F142F" w:rsidRPr="00B14711" w:rsidRDefault="006F142F" w:rsidP="00B14711">
      <w:pPr>
        <w:pStyle w:val="4thLevelHeada0"/>
        <w:rPr>
          <w:rFonts w:cs="Times New Roman"/>
        </w:rPr>
      </w:pPr>
      <w:r w:rsidRPr="00B14711">
        <w:rPr>
          <w:rFonts w:cs="Times New Roman"/>
        </w:rPr>
        <w:t>a.</w:t>
      </w:r>
      <w:r w:rsidRPr="00B14711">
        <w:rPr>
          <w:rFonts w:cs="Times New Roman"/>
        </w:rPr>
        <w:tab/>
        <w:t>Must the Goods Be Dissimilar?</w:t>
      </w:r>
    </w:p>
    <w:p w14:paraId="04115A7E" w14:textId="77777777" w:rsidR="006F142F" w:rsidRPr="00B14711" w:rsidRDefault="006F142F" w:rsidP="00B14711">
      <w:pPr>
        <w:pStyle w:val="text"/>
        <w:rPr>
          <w:spacing w:val="-4"/>
        </w:rPr>
      </w:pPr>
      <w:r w:rsidRPr="003131C0">
        <w:t>Although seemingly resolved by the language of the original Trademark Harmonization Directive in 1988, issues arose with regard to the separation of uses on “similar” goods, subject to the confusion theory under Article 5(1)(b), from uses on non-similar goods, which were subject to Article 5(2).</w:t>
      </w:r>
      <w:r>
        <w:t xml:space="preserve"> </w:t>
      </w:r>
      <w:r w:rsidRPr="00B14711">
        <w:t xml:space="preserve">However, the case law has departed radically from this apparently clear statutory language. In </w:t>
      </w:r>
      <w:r w:rsidRPr="00B14711">
        <w:rPr>
          <w:i/>
          <w:iCs/>
        </w:rPr>
        <w:t>Canon Kabushiki Kaisha v</w:t>
      </w:r>
      <w:r w:rsidRPr="00B14711">
        <w:t>.</w:t>
      </w:r>
      <w:r w:rsidRPr="00B14711">
        <w:rPr>
          <w:i/>
          <w:iCs/>
        </w:rPr>
        <w:t xml:space="preserve"> Metro-Goldwyn-Mayer, Inc</w:t>
      </w:r>
      <w:r w:rsidRPr="00B14711">
        <w:t>.,</w:t>
      </w:r>
      <w:r w:rsidRPr="00B14711">
        <w:rPr>
          <w:spacing w:val="-4"/>
          <w:vertAlign w:val="superscript"/>
        </w:rPr>
        <w:footnoteReference w:id="47"/>
      </w:r>
      <w:r w:rsidRPr="00B14711">
        <w:t xml:space="preserve"> the ECJ stated that similarity was intertwined with </w:t>
      </w:r>
      <w:r w:rsidRPr="00B14711">
        <w:softHyphen/>
        <w:t>distinctiveness—the more distinctive a mark, the less similarity need be shown to bring the infringing use within the confusion section.</w:t>
      </w:r>
      <w:r w:rsidRPr="00B14711">
        <w:rPr>
          <w:spacing w:val="-4"/>
          <w:vertAlign w:val="superscript"/>
        </w:rPr>
        <w:footnoteReference w:id="48"/>
      </w:r>
      <w:r w:rsidRPr="00B14711">
        <w:t xml:space="preserve"> Then, in </w:t>
      </w:r>
      <w:r w:rsidRPr="00B14711">
        <w:rPr>
          <w:i/>
          <w:iCs/>
        </w:rPr>
        <w:t>Davidoff &amp; Cie SA v</w:t>
      </w:r>
      <w:r w:rsidRPr="00B14711">
        <w:t>.</w:t>
      </w:r>
      <w:r w:rsidRPr="00B14711">
        <w:rPr>
          <w:i/>
          <w:iCs/>
        </w:rPr>
        <w:t xml:space="preserve"> Gofkid, Ltd</w:t>
      </w:r>
      <w:r w:rsidRPr="00B14711">
        <w:t>.,</w:t>
      </w:r>
      <w:r w:rsidRPr="00B14711">
        <w:rPr>
          <w:spacing w:val="-4"/>
          <w:vertAlign w:val="superscript"/>
        </w:rPr>
        <w:footnoteReference w:id="49"/>
      </w:r>
      <w:r w:rsidRPr="00B14711">
        <w:t xml:space="preserve"> the ECJ expanded the ability of member countries to provide dilution protection. It held that a member country may provide the protection of Article 5(2) to situations where the second use is on goods that are the same as or similar to those of the mark owner.</w:t>
      </w:r>
      <w:r w:rsidRPr="00B14711">
        <w:rPr>
          <w:spacing w:val="-4"/>
          <w:vertAlign w:val="superscript"/>
        </w:rPr>
        <w:footnoteReference w:id="50"/>
      </w:r>
      <w:r w:rsidRPr="00B14711">
        <w:t xml:space="preserve"> The court reasoned that Article 5(2) should not be interpreted to permit greater protection to covered marks—marks with a reputation—against uses on </w:t>
      </w:r>
      <w:r w:rsidRPr="00B14711">
        <w:rPr>
          <w:i/>
          <w:iCs/>
        </w:rPr>
        <w:t>non</w:t>
      </w:r>
      <w:r w:rsidRPr="00B14711">
        <w:t>-similar goods than against uses on similar goods.</w:t>
      </w:r>
      <w:r w:rsidRPr="00B14711">
        <w:rPr>
          <w:spacing w:val="-4"/>
          <w:vertAlign w:val="superscript"/>
        </w:rPr>
        <w:footnoteReference w:id="51"/>
      </w:r>
    </w:p>
    <w:p w14:paraId="28C94B99" w14:textId="77777777" w:rsidR="006F142F" w:rsidRDefault="006F142F" w:rsidP="00B14711">
      <w:pPr>
        <w:pStyle w:val="text"/>
      </w:pPr>
      <w:r w:rsidRPr="00B14711">
        <w:t xml:space="preserve">Finally, the ECJ extended this ruling in </w:t>
      </w:r>
      <w:r w:rsidRPr="00B14711">
        <w:rPr>
          <w:i/>
          <w:iCs/>
        </w:rPr>
        <w:t>adidas-Salomon AG v</w:t>
      </w:r>
      <w:r w:rsidRPr="00B14711">
        <w:t>.</w:t>
      </w:r>
      <w:r w:rsidRPr="00B14711">
        <w:rPr>
          <w:i/>
          <w:iCs/>
        </w:rPr>
        <w:t xml:space="preserve"> Fitnessworld Trading, Ltd</w:t>
      </w:r>
      <w:r w:rsidRPr="00B14711">
        <w:t>.</w:t>
      </w:r>
      <w:r w:rsidRPr="00B14711">
        <w:rPr>
          <w:spacing w:val="-4"/>
          <w:vertAlign w:val="superscript"/>
        </w:rPr>
        <w:footnoteReference w:id="52"/>
      </w:r>
      <w:r w:rsidRPr="00B14711">
        <w:t xml:space="preserve"> There, the court held that member states that implement Article 5(2) are </w:t>
      </w:r>
      <w:r w:rsidRPr="00B14711">
        <w:rPr>
          <w:i/>
          <w:iCs/>
        </w:rPr>
        <w:t>required</w:t>
      </w:r>
      <w:r w:rsidRPr="00B14711">
        <w:t xml:space="preserve"> to grant its expanded protection to uses on </w:t>
      </w:r>
      <w:r w:rsidRPr="00B14711">
        <w:rPr>
          <w:i/>
          <w:iCs/>
        </w:rPr>
        <w:t>similar</w:t>
      </w:r>
      <w:r w:rsidRPr="00B14711">
        <w:t xml:space="preserve"> goods.</w:t>
      </w:r>
      <w:r w:rsidRPr="00B14711">
        <w:rPr>
          <w:spacing w:val="-4"/>
          <w:vertAlign w:val="superscript"/>
        </w:rPr>
        <w:footnoteReference w:id="53"/>
      </w:r>
      <w:r w:rsidRPr="00B14711">
        <w:t xml:space="preserve"> Thus, notwithstanding the apparent express limitation of Article 5(2) to non-similar goods cases, the ECJ quite clearly has mandated that it not be so limited.</w:t>
      </w:r>
    </w:p>
    <w:p w14:paraId="4D65EC6C" w14:textId="77777777" w:rsidR="006F142F" w:rsidRPr="003131C0" w:rsidRDefault="006F142F" w:rsidP="00D34D0E">
      <w:pPr>
        <w:pStyle w:val="text"/>
      </w:pPr>
      <w:r w:rsidRPr="003131C0">
        <w:t>The European Parliament and the Council have now codified the CJEU’s interpretation of the original Directive in the language of the 2015 Directive. Both Article</w:t>
      </w:r>
      <w:r>
        <w:t>s</w:t>
      </w:r>
      <w:r w:rsidRPr="003131C0">
        <w:t xml:space="preserve"> 5(3)(a) and 10(2)(c) make clear that dilution applies regardless of whether the goods or services in question are similar.</w:t>
      </w:r>
      <w:r w:rsidRPr="003131C0">
        <w:rPr>
          <w:vertAlign w:val="superscript"/>
        </w:rPr>
        <w:footnoteReference w:id="54"/>
      </w:r>
    </w:p>
    <w:p w14:paraId="5A2BBBC8" w14:textId="77777777" w:rsidR="006F142F" w:rsidRPr="00B14711" w:rsidRDefault="006F142F" w:rsidP="00D34D0E">
      <w:pPr>
        <w:pStyle w:val="text"/>
      </w:pPr>
      <w:r w:rsidRPr="003131C0">
        <w:t xml:space="preserve">Interestingly, it appears that, at least in some cases, dissimilarity of goods may work against a claim of dilution. In one case interpreting Article 8(5) of the EU Trade Mark Regulation (essentially the same as Article 5(3)(a) of the Directive), the General Court reversed the </w:t>
      </w:r>
      <w:r>
        <w:t>EUIPO</w:t>
      </w:r>
      <w:r w:rsidRPr="003131C0">
        <w:t>’s Board of Appeal insofar as it found a violation of Article 8(5) where the applicant sought registration for use on furniture, while the reputation of the senior mark was limited to clothing (in the U.K).</w:t>
      </w:r>
      <w:r w:rsidRPr="003131C0">
        <w:rPr>
          <w:vertAlign w:val="superscript"/>
        </w:rPr>
        <w:footnoteReference w:id="55"/>
      </w:r>
      <w:r w:rsidRPr="003131C0">
        <w:t xml:space="preserve"> However, the General Court upheld the denial of registration with respect to clothing.</w:t>
      </w:r>
      <w:r>
        <w:t xml:space="preserve"> Moreover, the General Court has stated that Article 8(5) covers situations in which the goods are not similar.</w:t>
      </w:r>
      <w:r w:rsidRPr="00AB4919">
        <w:rPr>
          <w:rStyle w:val="FootnoteReference"/>
        </w:rPr>
        <w:footnoteReference w:id="56"/>
      </w:r>
    </w:p>
    <w:p w14:paraId="5ACFCB9C" w14:textId="77777777" w:rsidR="006F142F" w:rsidRPr="00B14711" w:rsidRDefault="006F142F" w:rsidP="00B14711">
      <w:pPr>
        <w:pStyle w:val="4thLevelHeada0"/>
        <w:rPr>
          <w:rFonts w:cs="Times New Roman"/>
        </w:rPr>
      </w:pPr>
      <w:r w:rsidRPr="00B14711">
        <w:rPr>
          <w:rFonts w:cs="Times New Roman"/>
        </w:rPr>
        <w:t>b.</w:t>
      </w:r>
      <w:r w:rsidRPr="00B14711">
        <w:rPr>
          <w:rFonts w:cs="Times New Roman"/>
        </w:rPr>
        <w:tab/>
        <w:t>Countries May Give Protection Beyond the Directive</w:t>
      </w:r>
    </w:p>
    <w:p w14:paraId="70C30559" w14:textId="77777777" w:rsidR="006F142F" w:rsidRPr="00AB4919" w:rsidRDefault="006F142F" w:rsidP="00D34D0E">
      <w:pPr>
        <w:pStyle w:val="text"/>
        <w:rPr>
          <w:vertAlign w:val="superscript"/>
        </w:rPr>
      </w:pPr>
      <w:r w:rsidRPr="00B14711">
        <w:t xml:space="preserve">In </w:t>
      </w:r>
      <w:r w:rsidRPr="00B14711">
        <w:rPr>
          <w:i/>
          <w:iCs/>
        </w:rPr>
        <w:t>Robelco NV v</w:t>
      </w:r>
      <w:r w:rsidRPr="00B14711">
        <w:t>.</w:t>
      </w:r>
      <w:r w:rsidRPr="00B14711">
        <w:rPr>
          <w:i/>
          <w:iCs/>
        </w:rPr>
        <w:t xml:space="preserve"> Robeco Groep NV</w:t>
      </w:r>
      <w:r w:rsidRPr="00B14711">
        <w:t>,</w:t>
      </w:r>
      <w:r w:rsidRPr="00B14711">
        <w:rPr>
          <w:spacing w:val="-4"/>
          <w:vertAlign w:val="superscript"/>
        </w:rPr>
        <w:footnoteReference w:id="57"/>
      </w:r>
      <w:r w:rsidRPr="00B14711">
        <w:t xml:space="preserve"> the ECJ gave member states additional discretion to provide dilution protection. Article 5(5) of the Directive authorize</w:t>
      </w:r>
      <w:r>
        <w:t>d</w:t>
      </w:r>
      <w:r w:rsidRPr="00B14711">
        <w:t xml:space="preserve"> member countries to give dilution protection</w:t>
      </w:r>
      <w:r w:rsidRPr="00B14711">
        <w:rPr>
          <w:spacing w:val="-4"/>
          <w:vertAlign w:val="superscript"/>
        </w:rPr>
        <w:footnoteReference w:id="58"/>
      </w:r>
      <w:r w:rsidRPr="00B14711">
        <w:t xml:space="preserve"> in cases where the offending use is “other than for the purposes of distinguishing goods or services.” In </w:t>
      </w:r>
      <w:r w:rsidRPr="00B14711">
        <w:rPr>
          <w:i/>
          <w:iCs/>
        </w:rPr>
        <w:t>Robelco</w:t>
      </w:r>
      <w:r w:rsidRPr="00B14711">
        <w:t xml:space="preserve">, the ECJ ruled that Article 5(5) leaves such protection, which may apply even when the offending “sign” is not identical to that of the mark owner, to the discretion of member states. Because Article 5(5) </w:t>
      </w:r>
      <w:r>
        <w:t>did</w:t>
      </w:r>
      <w:r w:rsidRPr="00B14711">
        <w:t xml:space="preserve"> not require that such protection be limited to marks “with a reputation,” it appears that even weak marks may be granted protection against non-trademark uses.</w:t>
      </w:r>
      <w:r w:rsidRPr="00B14711">
        <w:rPr>
          <w:spacing w:val="-4"/>
          <w:vertAlign w:val="superscript"/>
        </w:rPr>
        <w:footnoteReference w:id="59"/>
      </w:r>
      <w:r w:rsidRPr="00B14711">
        <w:t xml:space="preserve"> Such protection is not mandated, but the ruling grants discretion to individual countries by asserting that the Directive does not attempt to harmonize EU law on this point.</w:t>
      </w:r>
      <w:r w:rsidRPr="00B14711">
        <w:rPr>
          <w:spacing w:val="-4"/>
          <w:vertAlign w:val="superscript"/>
        </w:rPr>
        <w:footnoteReference w:id="60"/>
      </w:r>
    </w:p>
    <w:p w14:paraId="04B113D5" w14:textId="77777777" w:rsidR="006F142F" w:rsidRPr="00B14711" w:rsidRDefault="006F142F" w:rsidP="00B14711">
      <w:pPr>
        <w:pStyle w:val="4thLevelHeada0"/>
        <w:rPr>
          <w:rFonts w:cs="Times New Roman"/>
        </w:rPr>
      </w:pPr>
      <w:r w:rsidRPr="00B14711">
        <w:rPr>
          <w:rFonts w:cs="Times New Roman"/>
        </w:rPr>
        <w:t>c.</w:t>
      </w:r>
      <w:r w:rsidRPr="00B14711">
        <w:rPr>
          <w:rFonts w:cs="Times New Roman"/>
        </w:rPr>
        <w:tab/>
        <w:t>Marks “With a Reputation”</w:t>
      </w:r>
    </w:p>
    <w:p w14:paraId="18528675" w14:textId="77777777" w:rsidR="006F142F" w:rsidRDefault="006F142F" w:rsidP="00625E71">
      <w:pPr>
        <w:pStyle w:val="text"/>
      </w:pPr>
      <w:r w:rsidRPr="00B14711">
        <w:t>Another issue has arisen over what it means for a mark to have a “reputation.” In a 1999 case, the ECJ decided that a mark must “be known by a significant part of the public concerned in a substantial part of [a member country].”</w:t>
      </w:r>
      <w:r w:rsidRPr="00B14711">
        <w:rPr>
          <w:spacing w:val="-4"/>
          <w:vertAlign w:val="superscript"/>
        </w:rPr>
        <w:footnoteReference w:id="61"/>
      </w:r>
      <w:r w:rsidRPr="00B14711">
        <w:t xml:space="preserve"> The ECJ also held that the term “reputation” is not as stringent as the term “well-known” under Article 6 of the Paris Convention.</w:t>
      </w:r>
      <w:r w:rsidRPr="00B14711">
        <w:rPr>
          <w:spacing w:val="-4"/>
          <w:vertAlign w:val="superscript"/>
        </w:rPr>
        <w:footnoteReference w:id="62"/>
      </w:r>
      <w:r w:rsidRPr="00B14711">
        <w:t xml:space="preserve"> However, the greater the reputation, the more likely it is that a second use will be found to be “detrimental” to the reputation.</w:t>
      </w:r>
      <w:r w:rsidRPr="00B14711">
        <w:rPr>
          <w:spacing w:val="-4"/>
          <w:vertAlign w:val="superscript"/>
        </w:rPr>
        <w:footnoteReference w:id="63"/>
      </w:r>
      <w:r w:rsidRPr="00625E71">
        <w:t xml:space="preserve"> </w:t>
      </w:r>
    </w:p>
    <w:p w14:paraId="30FCF332" w14:textId="77777777" w:rsidR="006F142F" w:rsidRPr="003131C0" w:rsidRDefault="006F142F" w:rsidP="00625E71">
      <w:pPr>
        <w:pStyle w:val="text"/>
        <w:rPr>
          <w:vertAlign w:val="superscript"/>
        </w:rPr>
      </w:pPr>
      <w:r w:rsidRPr="003131C0">
        <w:t xml:space="preserve">The CJEU addressed an unusual issue of marks with a reputation in </w:t>
      </w:r>
      <w:r w:rsidRPr="003131C0">
        <w:rPr>
          <w:i/>
          <w:iCs/>
        </w:rPr>
        <w:t>Iron &amp; Smith, kft v. Unilever, N.V.</w:t>
      </w:r>
      <w:r w:rsidRPr="003131C0">
        <w:rPr>
          <w:vertAlign w:val="superscript"/>
        </w:rPr>
        <w:footnoteReference w:id="64"/>
      </w:r>
      <w:r w:rsidRPr="003131C0">
        <w:rPr>
          <w:i/>
          <w:iCs/>
        </w:rPr>
        <w:t xml:space="preserve"> </w:t>
      </w:r>
      <w:r w:rsidRPr="003131C0">
        <w:t>In that case, Unilever, owner of the Community Trade Mark (CTM) “Impulse,” opposed registration in Hungary of a national mark consisting of the “colour figurative sign ‘be impulsive.’”</w:t>
      </w:r>
      <w:r w:rsidRPr="003131C0">
        <w:rPr>
          <w:vertAlign w:val="superscript"/>
        </w:rPr>
        <w:footnoteReference w:id="65"/>
      </w:r>
      <w:r w:rsidRPr="003131C0">
        <w:t xml:space="preserve"> Unilever claimed that its CTM had a reputation within the EU and was therefore entitled to claim the dilution protection provided by Article 4(3) of the 2009 Directive, which had been implemented in Hungary. The CJEU noted that, under the CTM Regulation, a mark may be found to have a reputation in the EU even if its reputation is confined to a single member state.</w:t>
      </w:r>
      <w:r w:rsidRPr="003131C0">
        <w:rPr>
          <w:vertAlign w:val="superscript"/>
        </w:rPr>
        <w:footnoteReference w:id="66"/>
      </w:r>
      <w:r w:rsidRPr="003131C0">
        <w:t xml:space="preserve"> Unilever’s mark was found to have a reputation in a significant portion of the EU;</w:t>
      </w:r>
      <w:r w:rsidRPr="003131C0">
        <w:rPr>
          <w:vertAlign w:val="superscript"/>
        </w:rPr>
        <w:footnoteReference w:id="67"/>
      </w:r>
      <w:r w:rsidRPr="003131C0">
        <w:t xml:space="preserve"> however, it was not found to have a reputation in a significant portion of Hungary. Nevertheless, the CJEU ruled that, under the Directive, a CTM was not required to have a reputation in the member state where the opposition was made in order to claim dilution protection.</w:t>
      </w:r>
      <w:r w:rsidRPr="003131C0">
        <w:rPr>
          <w:vertAlign w:val="superscript"/>
        </w:rPr>
        <w:footnoteReference w:id="68"/>
      </w:r>
      <w:r w:rsidRPr="003131C0">
        <w:t xml:space="preserve"> The court further held that a lack of reputation with the relevant public in the member state did not preclude the possibility of dilution, as long as a “commercially significant” portion of the member state population recognized the opposer’s mark (although it could make it more difficult to demonstrate the necessary elements of a link and actual injury or serious risk of injury).</w:t>
      </w:r>
      <w:r w:rsidRPr="003131C0">
        <w:rPr>
          <w:vertAlign w:val="superscript"/>
        </w:rPr>
        <w:footnoteReference w:id="69"/>
      </w:r>
    </w:p>
    <w:p w14:paraId="730AA3F2" w14:textId="77777777" w:rsidR="006F142F" w:rsidRPr="005D1637" w:rsidRDefault="006F142F" w:rsidP="00625E71">
      <w:pPr>
        <w:pStyle w:val="text"/>
        <w:rPr>
          <w:vertAlign w:val="superscript"/>
        </w:rPr>
      </w:pPr>
      <w:r w:rsidRPr="003131C0">
        <w:t>The General Court upheld the determination of the European Union Intellectual Property Office (EUIPO—formerly OHIM) that the mark Pret a Manger had a reputation, noting that the EUIPO looked to third-party statements, including newspaper articles, as well as marketing surveys introduced by the opposer (the owner of the Pret a Manger mark).</w:t>
      </w:r>
      <w:r w:rsidRPr="003131C0">
        <w:rPr>
          <w:vertAlign w:val="superscript"/>
        </w:rPr>
        <w:footnoteReference w:id="70"/>
      </w:r>
      <w:r>
        <w:t xml:space="preserve">  But the General Court found evidence of a reputation lacking in </w:t>
      </w:r>
      <w:r>
        <w:rPr>
          <w:i/>
          <w:iCs/>
        </w:rPr>
        <w:t>Atomico Investment v. EUIPO—Gomes Tominaga (Atomic Fund</w:t>
      </w:r>
      <w:r>
        <w:t>.</w:t>
      </w:r>
      <w:r>
        <w:rPr>
          <w:rStyle w:val="FootnoteReference"/>
        </w:rPr>
        <w:footnoteReference w:id="71"/>
      </w:r>
      <w:r>
        <w:t xml:space="preserve">  The court upheld the EUIPO Board of Appeal’s finding that the various forms of evidence—some journal and newspaper articles, internal reports, and social media posts—were insufficient (and insufficiently supported by numbers of readers) to find that the mark had a reputation in the EU.</w:t>
      </w:r>
      <w:r>
        <w:rPr>
          <w:rStyle w:val="FootnoteReference"/>
        </w:rPr>
        <w:footnoteReference w:id="72"/>
      </w:r>
    </w:p>
    <w:p w14:paraId="7A40727F" w14:textId="77777777" w:rsidR="006F142F" w:rsidRPr="003131C0" w:rsidRDefault="006F142F" w:rsidP="00625E71">
      <w:pPr>
        <w:pStyle w:val="text"/>
      </w:pPr>
      <w:r w:rsidRPr="003131C0">
        <w:t>In another case, the General Court noted that, although a reputation is determined by looking at the market for the goods or services sold by the registrant, a mark may have a reputation that transcends the scope of those goods or services. Thus, the public may make a link between a very well-known mark and the applicant’s mark, even if the two operate in distinct markets.</w:t>
      </w:r>
      <w:r w:rsidRPr="003131C0">
        <w:rPr>
          <w:vertAlign w:val="superscript"/>
        </w:rPr>
        <w:footnoteReference w:id="73"/>
      </w:r>
    </w:p>
    <w:p w14:paraId="15756E72" w14:textId="77777777" w:rsidR="006F142F" w:rsidRPr="00B14711" w:rsidRDefault="006F142F" w:rsidP="00625E71">
      <w:pPr>
        <w:pStyle w:val="text"/>
        <w:rPr>
          <w:spacing w:val="-4"/>
        </w:rPr>
      </w:pPr>
      <w:r w:rsidRPr="003131C0">
        <w:t>The Irish Patents Office, applying the Directive, looked, among other things, to whether the mark would be considered a well-known mark under the Paris Convention.</w:t>
      </w:r>
      <w:r w:rsidRPr="003131C0">
        <w:rPr>
          <w:vertAlign w:val="superscript"/>
        </w:rPr>
        <w:footnoteReference w:id="74"/>
      </w:r>
    </w:p>
    <w:p w14:paraId="551ACC14" w14:textId="77777777" w:rsidR="006F142F" w:rsidRPr="00B14711" w:rsidRDefault="006F142F" w:rsidP="00B14711">
      <w:pPr>
        <w:pStyle w:val="4thLevelHeada0"/>
        <w:rPr>
          <w:rFonts w:cs="Times New Roman"/>
        </w:rPr>
      </w:pPr>
      <w:r w:rsidRPr="00B14711">
        <w:rPr>
          <w:rFonts w:cs="Times New Roman"/>
        </w:rPr>
        <w:t>d.</w:t>
      </w:r>
      <w:r w:rsidRPr="00B14711">
        <w:rPr>
          <w:rFonts w:cs="Times New Roman"/>
        </w:rPr>
        <w:tab/>
        <w:t>The Categories of Dilution</w:t>
      </w:r>
    </w:p>
    <w:p w14:paraId="0013EBBE" w14:textId="77777777" w:rsidR="006F142F" w:rsidRPr="00B14711" w:rsidRDefault="006F142F" w:rsidP="00B14711">
      <w:pPr>
        <w:pStyle w:val="text"/>
        <w:rPr>
          <w:spacing w:val="-4"/>
        </w:rPr>
      </w:pPr>
      <w:r w:rsidRPr="00B14711">
        <w:t xml:space="preserve">The remainder of this provision of the Directive deals with the categories of dilution protection. </w:t>
      </w:r>
      <w:r>
        <w:t xml:space="preserve">EU law recognizes three categories of dilution: (1) harm to the distinctiveness of the mark (what in the U.S. would be called blurring), (2) harm to the reputation of the mark (what in the U.S. would be called tarnishment), and (3) taking “unfair advantage” of the reputation of the mark (in essence, “free riding,” a form of dilution not recognized by U.S. law). </w:t>
      </w:r>
      <w:r w:rsidRPr="00B14711">
        <w:t>The contours of these categories have been the subject of an increasing number of court decisions.</w:t>
      </w:r>
      <w:r w:rsidRPr="00B14711">
        <w:rPr>
          <w:spacing w:val="-4"/>
          <w:vertAlign w:val="superscript"/>
        </w:rPr>
        <w:footnoteReference w:id="75"/>
      </w:r>
      <w:r w:rsidRPr="00B14711">
        <w:t xml:space="preserve"> In </w:t>
      </w:r>
      <w:r w:rsidRPr="00B14711">
        <w:rPr>
          <w:i/>
          <w:iCs/>
        </w:rPr>
        <w:t>Sigla, SA v</w:t>
      </w:r>
      <w:r w:rsidRPr="00B14711">
        <w:t>.</w:t>
      </w:r>
      <w:r w:rsidRPr="00B14711">
        <w:rPr>
          <w:i/>
          <w:iCs/>
        </w:rPr>
        <w:t xml:space="preserve"> OHIM</w:t>
      </w:r>
      <w:r w:rsidRPr="00B14711">
        <w:t>,</w:t>
      </w:r>
      <w:r w:rsidRPr="00B14711">
        <w:rPr>
          <w:spacing w:val="-4"/>
          <w:vertAlign w:val="superscript"/>
        </w:rPr>
        <w:footnoteReference w:id="76"/>
      </w:r>
      <w:r w:rsidRPr="00B14711">
        <w:t xml:space="preserve"> the Court of First Instance, applying Article 8(5) of the Community Trade Mark Regulation</w:t>
      </w:r>
      <w:r w:rsidRPr="00B14711">
        <w:rPr>
          <w:spacing w:val="-4"/>
          <w:vertAlign w:val="superscript"/>
        </w:rPr>
        <w:footnoteReference w:id="77"/>
      </w:r>
      <w:r w:rsidRPr="00B14711">
        <w:t xml:space="preserve"> (essentially the same as Article 4(4)(a) of the Directive), stated that this part of the regulation provides three grounds to refuse registration, any one of which is sufficient to sustain an opposition.</w:t>
      </w:r>
      <w:r w:rsidRPr="00B14711">
        <w:rPr>
          <w:spacing w:val="-4"/>
          <w:vertAlign w:val="superscript"/>
        </w:rPr>
        <w:footnoteReference w:id="78"/>
      </w:r>
      <w:r w:rsidRPr="00B14711">
        <w:t xml:space="preserve"> The European Court of Justice subsequently adopted the same approach.</w:t>
      </w:r>
      <w:r w:rsidRPr="00B14711">
        <w:rPr>
          <w:spacing w:val="-4"/>
          <w:vertAlign w:val="superscript"/>
        </w:rPr>
        <w:footnoteReference w:id="79"/>
      </w:r>
      <w:r w:rsidRPr="00B14711">
        <w:t xml:space="preserve"> Thus, if one shows detriment to the distinctive character of the mark (more or less dilution by blurring under U.S. law), or use detrimental to the reputation of the mark (more or less dilution by tarnishment, as defined by the TDRA), </w:t>
      </w:r>
      <w:r w:rsidRPr="00B14711">
        <w:rPr>
          <w:i/>
          <w:iCs/>
        </w:rPr>
        <w:t>or</w:t>
      </w:r>
      <w:r w:rsidRPr="00B14711">
        <w:t xml:space="preserve"> taking unfair advantage of the reputation of the mark, then one should be able to make out a claim under Article 5(2) of the Directive.</w:t>
      </w:r>
      <w:r w:rsidRPr="00B14711">
        <w:rPr>
          <w:spacing w:val="-4"/>
          <w:vertAlign w:val="superscript"/>
        </w:rPr>
        <w:footnoteReference w:id="80"/>
      </w:r>
    </w:p>
    <w:p w14:paraId="17478EA6" w14:textId="77777777" w:rsidR="006F142F" w:rsidRPr="00B14711" w:rsidRDefault="006F142F" w:rsidP="00B14711">
      <w:pPr>
        <w:pStyle w:val="text"/>
      </w:pPr>
      <w:r w:rsidRPr="00B14711">
        <w:t xml:space="preserve">More recently, the ECJ discussed Articles 4(4)(a) and 5(2) in </w:t>
      </w:r>
      <w:r w:rsidRPr="00B14711">
        <w:rPr>
          <w:i/>
          <w:iCs/>
        </w:rPr>
        <w:t>Intel Corp</w:t>
      </w:r>
      <w:r w:rsidRPr="00B14711">
        <w:t>.</w:t>
      </w:r>
      <w:r w:rsidRPr="00B14711">
        <w:rPr>
          <w:i/>
          <w:iCs/>
        </w:rPr>
        <w:t xml:space="preserve"> v</w:t>
      </w:r>
      <w:r w:rsidRPr="00B14711">
        <w:t>.</w:t>
      </w:r>
      <w:r w:rsidRPr="00B14711">
        <w:rPr>
          <w:i/>
          <w:iCs/>
        </w:rPr>
        <w:t xml:space="preserve"> CPM United Kingdom, Ltd</w:t>
      </w:r>
      <w:r w:rsidRPr="00B14711">
        <w:t>.</w:t>
      </w:r>
      <w:r w:rsidRPr="00B14711">
        <w:rPr>
          <w:vertAlign w:val="superscript"/>
        </w:rPr>
        <w:footnoteReference w:id="81"/>
      </w:r>
      <w:r w:rsidRPr="00B14711">
        <w:t xml:space="preserve"> As part of its decision, the ECJ tied the issue of a reputation to the category: Where the injury is to the distinctive character or reputation of the mark (essentially what would be called blurring or tarnishment in the United States), the “relevant public” includes those who use the goods or services for which the senior mark is registered.</w:t>
      </w:r>
      <w:r w:rsidRPr="00B14711">
        <w:rPr>
          <w:vertAlign w:val="superscript"/>
        </w:rPr>
        <w:footnoteReference w:id="82"/>
      </w:r>
      <w:r w:rsidRPr="00B14711">
        <w:t xml:space="preserve"> If the alleged infringement concerns the “taking unfair advantage” provision, then the “injury must be assessed by reference to average consumers of the goods or services for which the </w:t>
      </w:r>
      <w:r w:rsidRPr="00B14711">
        <w:rPr>
          <w:i/>
          <w:iCs/>
        </w:rPr>
        <w:t>later</w:t>
      </w:r>
      <w:r w:rsidRPr="00B14711">
        <w:t xml:space="preserve"> mark is registered.”</w:t>
      </w:r>
      <w:r w:rsidRPr="00B14711">
        <w:rPr>
          <w:vertAlign w:val="superscript"/>
        </w:rPr>
        <w:footnoteReference w:id="83"/>
      </w:r>
      <w:r w:rsidRPr="00B14711">
        <w:t xml:space="preserve"> With regard to the three bases of liability under Articles 4(4)(a) and 5(2), the ECJ had much more to say.</w:t>
      </w:r>
    </w:p>
    <w:p w14:paraId="2F3839BE" w14:textId="77777777" w:rsidR="006F142F" w:rsidRDefault="006F142F" w:rsidP="00B14711">
      <w:pPr>
        <w:pStyle w:val="text"/>
      </w:pPr>
      <w:r w:rsidRPr="00B14711">
        <w:t>First, the degree of similarity between the two marks is relevant to the establishment of the necessary “link” between the two marks.</w:t>
      </w:r>
      <w:r w:rsidRPr="00B14711">
        <w:rPr>
          <w:vertAlign w:val="superscript"/>
        </w:rPr>
        <w:footnoteReference w:id="84"/>
      </w:r>
      <w:r w:rsidRPr="00B14711">
        <w:t xml:space="preserve"> </w:t>
      </w:r>
      <w:r>
        <w:t xml:space="preserve">The finding of a link is a critical element in the dilution claim. </w:t>
      </w:r>
      <w:r w:rsidRPr="00B14711">
        <w:t xml:space="preserve">In </w:t>
      </w:r>
      <w:r w:rsidRPr="00B14711">
        <w:rPr>
          <w:i/>
          <w:iCs/>
        </w:rPr>
        <w:t>Intel</w:t>
      </w:r>
      <w:r w:rsidRPr="00B14711">
        <w:t>, the ECJ held that the similarity between the marks must be sufficient to cause a link in the mind of the relevant public between the second use and the mark, but need not be sufficient to cause confusion.</w:t>
      </w:r>
      <w:r w:rsidRPr="00B14711">
        <w:rPr>
          <w:spacing w:val="-4"/>
          <w:vertAlign w:val="superscript"/>
        </w:rPr>
        <w:footnoteReference w:id="85"/>
      </w:r>
      <w:r w:rsidRPr="00B14711">
        <w:t xml:space="preserve"> (However, one also must consider the relevant consumers of each mark’s goods or services—if they do not overlap, even identical marks may not establish a link.</w:t>
      </w:r>
      <w:r w:rsidRPr="00B14711">
        <w:rPr>
          <w:vertAlign w:val="superscript"/>
        </w:rPr>
        <w:footnoteReference w:id="86"/>
      </w:r>
      <w:r w:rsidRPr="00B14711">
        <w:t>) Similarly, the greater the reputation of the senior mark, especially if the senior mark is known even to those who do not use its owner’s goods or services, the greater the likelihood of a link.</w:t>
      </w:r>
      <w:r w:rsidRPr="00B14711">
        <w:rPr>
          <w:vertAlign w:val="superscript"/>
        </w:rPr>
        <w:footnoteReference w:id="87"/>
      </w:r>
      <w:r w:rsidRPr="00B14711">
        <w:t xml:space="preserve"> And the more distinctive the senior mark, the greater the likelihood of a link.</w:t>
      </w:r>
      <w:r w:rsidRPr="00B14711">
        <w:rPr>
          <w:vertAlign w:val="superscript"/>
        </w:rPr>
        <w:footnoteReference w:id="88"/>
      </w:r>
      <w:r w:rsidRPr="00B14711">
        <w:t xml:space="preserve"> The ECJ stated that both inherent and acquired distinctiveness are relevant to this calculation.</w:t>
      </w:r>
      <w:r w:rsidRPr="00B14711">
        <w:rPr>
          <w:vertAlign w:val="superscript"/>
        </w:rPr>
        <w:footnoteReference w:id="89"/>
      </w:r>
      <w:r w:rsidRPr="00B14711">
        <w:t xml:space="preserve"> Furthermore, the ECJ stated that where “the later mark would call the earlier mark to mind” a link is established.</w:t>
      </w:r>
      <w:r w:rsidRPr="00B14711">
        <w:rPr>
          <w:vertAlign w:val="superscript"/>
        </w:rPr>
        <w:footnoteReference w:id="90"/>
      </w:r>
      <w:r w:rsidRPr="00B14711">
        <w:t xml:space="preserve"> On the other hand, the existence of a “huge reputation” in a product niche, a </w:t>
      </w:r>
      <w:r w:rsidRPr="00B14711">
        <w:rPr>
          <w:i/>
          <w:iCs/>
        </w:rPr>
        <w:t>dis</w:t>
      </w:r>
      <w:r w:rsidRPr="00B14711">
        <w:t>similarity of goods or services, and a unique senior mark do not, per se, add up to the establishment of a link (although the first and third factors, in particular, may be highly relevant to the existence of a link).</w:t>
      </w:r>
      <w:r w:rsidRPr="00B14711">
        <w:rPr>
          <w:vertAlign w:val="superscript"/>
        </w:rPr>
        <w:footnoteReference w:id="91"/>
      </w:r>
    </w:p>
    <w:p w14:paraId="1B0C0171" w14:textId="77777777" w:rsidR="006F142F" w:rsidRDefault="006F142F" w:rsidP="00D34D0E">
      <w:r>
        <w:t xml:space="preserve">Here, it is worth noting that the “relevant public” for which the link must be established may vary depending on which form of dilution is at issue: </w:t>
      </w:r>
    </w:p>
    <w:p w14:paraId="369FFE07" w14:textId="77777777" w:rsidR="006F142F" w:rsidRDefault="006F142F" w:rsidP="00D34D0E"/>
    <w:p w14:paraId="32E1324D" w14:textId="77777777" w:rsidR="006F142F" w:rsidRPr="00B14711" w:rsidRDefault="006F142F" w:rsidP="00625E71">
      <w:pPr>
        <w:pStyle w:val="text"/>
        <w:ind w:left="720" w:firstLine="0"/>
      </w:pPr>
      <w:r>
        <w:rPr>
          <w:sz w:val="20"/>
          <w:szCs w:val="20"/>
        </w:rPr>
        <w:t>In accordance with the case-law, the public to be taken into account for the purposes of assessing whether one of the injuries referred to in Article 8(5) of Regulation No 207/2009 exists will vary according to the type of injury alleged by the proprietor of the earlier mark. Thus, the relevant public with regard to whom the assessment of whether any unfair advantage has been taken of the distinctive character or the repute of the earlier mark must be made consists of average consumers of the goods or services for which the later mark is requested, who are reasonably well informed and reasonably observant and circumspect … . By contrast, the public with regard to whom the assessment of whether there is any detriment to the distinctive character or the repute of the earlier mark must be made consists of average consumers of the goods or services for which that mark is registered, who are reasonably well informed and reasonably observant and circumspect … .</w:t>
      </w:r>
      <w:r w:rsidRPr="00005903">
        <w:rPr>
          <w:rStyle w:val="FootnoteReference"/>
          <w:szCs w:val="20"/>
        </w:rPr>
        <w:footnoteReference w:id="92"/>
      </w:r>
    </w:p>
    <w:p w14:paraId="04539310" w14:textId="77777777" w:rsidR="006F142F" w:rsidRPr="00B14711" w:rsidRDefault="006F142F" w:rsidP="00B14711">
      <w:pPr>
        <w:pStyle w:val="text"/>
      </w:pPr>
      <w:r w:rsidRPr="00B14711">
        <w:t>The establishment of a link is not necessarily sufficient to demonstrate injury (or a serious risk of injury).</w:t>
      </w:r>
      <w:r w:rsidRPr="00B14711">
        <w:rPr>
          <w:vertAlign w:val="superscript"/>
        </w:rPr>
        <w:footnoteReference w:id="93"/>
      </w:r>
      <w:r w:rsidRPr="00B14711">
        <w:t xml:space="preserve"> Therefore, the ECJ next considered how one would establish the existence of one of the three types of dilution listed in the Directive. Uniqueness, a “huge reputation,” use on dissimilar goods or services, and a “calling to mind” of the senior mark by the junior mark are not necessarily sufficient to demonstrate present or likely injury.</w:t>
      </w:r>
      <w:r w:rsidRPr="00B14711">
        <w:rPr>
          <w:vertAlign w:val="superscript"/>
        </w:rPr>
        <w:footnoteReference w:id="94"/>
      </w:r>
      <w:r w:rsidRPr="00B14711">
        <w:t xml:space="preserve"> However, uniqueness is </w:t>
      </w:r>
      <w:r w:rsidRPr="00B14711">
        <w:rPr>
          <w:i/>
          <w:iCs/>
        </w:rPr>
        <w:t>relevant</w:t>
      </w:r>
      <w:r w:rsidRPr="00B14711">
        <w:t xml:space="preserve"> to the analysis, as a unique mark is more likely to be injured than a non-unique mark. In order to show injury to the distinctiveness of the mark, one need not show that the junior user derives actual benefit from the distinctiveness of the senior mark. However, one does have to show “evidence of a change in the economic behavior” of the senior user’s customers “or a serious likelihood” of such a change.</w:t>
      </w:r>
      <w:r w:rsidRPr="00B14711">
        <w:rPr>
          <w:vertAlign w:val="superscript"/>
        </w:rPr>
        <w:footnoteReference w:id="95"/>
      </w:r>
      <w:r w:rsidRPr="00B14711">
        <w:t xml:space="preserve"> The ECJ did not elaborate on how one might demonstrate such a change, or even what kind of evidence would be relevant. Finally, even the first use of a junior mark may cause injury to the distinctiveness of a senior mark with a reputation.</w:t>
      </w:r>
      <w:r w:rsidRPr="00B14711">
        <w:rPr>
          <w:vertAlign w:val="superscript"/>
        </w:rPr>
        <w:footnoteReference w:id="96"/>
      </w:r>
    </w:p>
    <w:p w14:paraId="153D6D2F" w14:textId="77777777" w:rsidR="006F142F" w:rsidRPr="00B14711" w:rsidRDefault="006F142F" w:rsidP="00B14711">
      <w:pPr>
        <w:pStyle w:val="text"/>
      </w:pPr>
      <w:r w:rsidRPr="00B14711">
        <w:t>In sum, the ECJ held that dilution “must be assessed globally, taking into account all factors relevant to the circumstances of the case.”</w:t>
      </w:r>
      <w:r w:rsidRPr="00B14711">
        <w:rPr>
          <w:vertAlign w:val="superscript"/>
        </w:rPr>
        <w:footnoteReference w:id="97"/>
      </w:r>
      <w:r w:rsidRPr="00B14711">
        <w:t xml:space="preserve"> While </w:t>
      </w:r>
      <w:r w:rsidRPr="00B14711">
        <w:rPr>
          <w:i/>
          <w:iCs/>
        </w:rPr>
        <w:t>Intel</w:t>
      </w:r>
      <w:r w:rsidRPr="00B14711">
        <w:t xml:space="preserve"> gives some additional guidance (at least by negative implication), </w:t>
      </w:r>
      <w:r>
        <w:t>it is not necessarily</w:t>
      </w:r>
      <w:r w:rsidRPr="00B14711">
        <w:t xml:space="preserve"> simple to apply </w:t>
      </w:r>
      <w:r w:rsidRPr="00B14711">
        <w:rPr>
          <w:i/>
          <w:iCs/>
        </w:rPr>
        <w:t>Intel</w:t>
      </w:r>
      <w:r w:rsidRPr="00B14711">
        <w:t xml:space="preserve"> in individual cases.</w:t>
      </w:r>
      <w:r w:rsidRPr="00B14711">
        <w:rPr>
          <w:vertAlign w:val="superscript"/>
        </w:rPr>
        <w:footnoteReference w:id="98"/>
      </w:r>
      <w:r w:rsidRPr="00B14711">
        <w:t xml:space="preserve"> With regard to blurring, perhaps the most important conclusion is that the existence of a link is not automatically sufficient to demonstrate blurring.</w:t>
      </w:r>
      <w:r w:rsidRPr="00B14711">
        <w:rPr>
          <w:vertAlign w:val="superscript"/>
        </w:rPr>
        <w:footnoteReference w:id="99"/>
      </w:r>
      <w:r w:rsidRPr="00B14711">
        <w:t xml:space="preserve"> </w:t>
      </w:r>
      <w:r w:rsidRPr="00B14711">
        <w:rPr>
          <w:spacing w:val="-4"/>
        </w:rPr>
        <w:t>On the other hand, the court stated that “</w:t>
      </w:r>
      <w:r w:rsidRPr="00B14711">
        <w:t>evidence of a change in the economic behaviour of the average consumer of the goods or services for which the earlier mark was registered consequent on the use of the later mark, or a serious likelihood that such a change will occur” must be shown</w:t>
      </w:r>
      <w:r w:rsidRPr="00B14711">
        <w:rPr>
          <w:spacing w:val="-4"/>
        </w:rPr>
        <w:t>.</w:t>
      </w:r>
      <w:r w:rsidRPr="00B14711">
        <w:rPr>
          <w:spacing w:val="-4"/>
          <w:vertAlign w:val="superscript"/>
        </w:rPr>
        <w:footnoteReference w:id="100"/>
      </w:r>
      <w:r w:rsidRPr="00B14711">
        <w:t xml:space="preserve"> The “global” analysis required by the ECJ gives few, if any, categorical rules, leaving a great deal of analysis to the trial court.</w:t>
      </w:r>
      <w:r w:rsidRPr="00B14711">
        <w:rPr>
          <w:vertAlign w:val="superscript"/>
        </w:rPr>
        <w:footnoteReference w:id="101"/>
      </w:r>
    </w:p>
    <w:p w14:paraId="70926988" w14:textId="77777777" w:rsidR="006F142F" w:rsidRPr="00B14711" w:rsidRDefault="006F142F" w:rsidP="00B14711">
      <w:pPr>
        <w:pStyle w:val="text"/>
      </w:pPr>
      <w:r w:rsidRPr="00B14711">
        <w:t xml:space="preserve">A subsequent ECJ opinion, </w:t>
      </w:r>
      <w:r w:rsidRPr="00B14711">
        <w:rPr>
          <w:i/>
          <w:iCs/>
        </w:rPr>
        <w:t>L’Oreal SV v</w:t>
      </w:r>
      <w:r w:rsidRPr="00B14711">
        <w:t>.</w:t>
      </w:r>
      <w:r w:rsidRPr="00B14711">
        <w:rPr>
          <w:i/>
          <w:iCs/>
        </w:rPr>
        <w:t xml:space="preserve"> Bellure NV</w:t>
      </w:r>
      <w:r w:rsidRPr="00B14711">
        <w:t>,</w:t>
      </w:r>
      <w:r w:rsidRPr="00B14711">
        <w:rPr>
          <w:vertAlign w:val="superscript"/>
        </w:rPr>
        <w:footnoteReference w:id="102"/>
      </w:r>
      <w:r w:rsidRPr="00B14711">
        <w:t xml:space="preserve"> interpreted the “unfair advantage” provision of Article 5(2). </w:t>
      </w:r>
      <w:r w:rsidRPr="00B14711">
        <w:rPr>
          <w:i/>
          <w:iCs/>
        </w:rPr>
        <w:t>L’Oréal</w:t>
      </w:r>
      <w:r w:rsidRPr="00B14711">
        <w:t xml:space="preserve"> was a suit by higher-end perfume manufacturers against imitators who created similar fragrances. The imitators created a comparison list showing which of the imitations corresponded to which of the various major brands. Some of the imitators also packaged their goods somewhat similarly to the corresponding major brands (though not confusingly so).</w:t>
      </w:r>
      <w:r w:rsidRPr="00B14711">
        <w:rPr>
          <w:vertAlign w:val="superscript"/>
        </w:rPr>
        <w:footnoteReference w:id="103"/>
      </w:r>
      <w:r w:rsidRPr="00B14711">
        <w:t xml:space="preserve"> The ECJ described the “taking unfair advantage” provision as protection against “parasitism” or “free riding,”</w:t>
      </w:r>
      <w:r w:rsidRPr="00B14711">
        <w:rPr>
          <w:vertAlign w:val="superscript"/>
        </w:rPr>
        <w:footnoteReference w:id="104"/>
      </w:r>
      <w:r w:rsidRPr="00B14711">
        <w:t xml:space="preserve"> which, strictly speaking, is not a feature of U.S. dilution law. This provision allows a claim against a junior user even when there is no harm to the reputation or distinctiveness of the senior mark.</w:t>
      </w:r>
      <w:r w:rsidRPr="00B14711">
        <w:rPr>
          <w:vertAlign w:val="superscript"/>
        </w:rPr>
        <w:footnoteReference w:id="105"/>
      </w:r>
      <w:r w:rsidRPr="00B14711">
        <w:t xml:space="preserve"> The court went on to hold that a comparison list that essentially portrays the junior competitor as a substitute or imitation of the well-known brand (apparently even if it does so truthfully) takes unfair advantage—even if the well-known brand (or a similar brand name) is </w:t>
      </w:r>
      <w:r w:rsidRPr="00B14711">
        <w:rPr>
          <w:i/>
          <w:iCs/>
        </w:rPr>
        <w:t>not</w:t>
      </w:r>
      <w:r w:rsidRPr="00B14711">
        <w:t xml:space="preserve"> used as the junior user’s brand.</w:t>
      </w:r>
      <w:r w:rsidRPr="00B14711">
        <w:rPr>
          <w:vertAlign w:val="superscript"/>
        </w:rPr>
        <w:footnoteReference w:id="106"/>
      </w:r>
      <w:r w:rsidRPr="00B14711">
        <w:t xml:space="preserve"> This is clearly different from U.S. law, which would permit such a comparison as a nominative use, provided that it was neither confusing nor untruthful.</w:t>
      </w:r>
      <w:r w:rsidRPr="00B14711">
        <w:rPr>
          <w:vertAlign w:val="superscript"/>
        </w:rPr>
        <w:footnoteReference w:id="107"/>
      </w:r>
    </w:p>
    <w:p w14:paraId="3BE76EDB" w14:textId="77777777" w:rsidR="006F142F" w:rsidRDefault="006F142F" w:rsidP="00B14711">
      <w:pPr>
        <w:pStyle w:val="text"/>
      </w:pPr>
      <w:r w:rsidRPr="00B14711">
        <w:t>Finally, it is important to note that the Directive’s protection extends only to registered marks.</w:t>
      </w:r>
      <w:r w:rsidRPr="00B14711">
        <w:rPr>
          <w:spacing w:val="-4"/>
          <w:vertAlign w:val="superscript"/>
        </w:rPr>
        <w:footnoteReference w:id="108"/>
      </w:r>
    </w:p>
    <w:p w14:paraId="3894A97E" w14:textId="77777777" w:rsidR="006F142F" w:rsidRDefault="006F142F" w:rsidP="00B14711">
      <w:pPr>
        <w:pStyle w:val="text"/>
      </w:pPr>
      <w:r w:rsidRPr="003131C0">
        <w:t xml:space="preserve">In </w:t>
      </w:r>
      <w:r w:rsidRPr="003131C0">
        <w:rPr>
          <w:i/>
          <w:iCs/>
        </w:rPr>
        <w:t>Coca-Cola Co. v. EUIPO</w:t>
      </w:r>
      <w:r w:rsidRPr="003131C0">
        <w:t>,</w:t>
      </w:r>
      <w:r w:rsidRPr="003131C0">
        <w:rPr>
          <w:vertAlign w:val="superscript"/>
        </w:rPr>
        <w:footnoteReference w:id="109"/>
      </w:r>
      <w:r w:rsidRPr="003131C0">
        <w:t xml:space="preserve"> the General Court considered a question of territoriality regarding Article 8(5) of the EUTM (</w:t>
      </w:r>
      <w:r>
        <w:t xml:space="preserve">formerly </w:t>
      </w:r>
      <w:r w:rsidRPr="003131C0">
        <w:t>CTM) Regulations. The EUIPO Board of Appeal had rejected certain evidence proffered by Coca-Cola on the grounds that it did not relate to the applicant’s use within the EU. However, the General Court held that this was error; such evidence could be used to determine whether the applicant’s use within the EU was likely to take unfair advantage of the registered mark.</w:t>
      </w:r>
      <w:r w:rsidRPr="003131C0">
        <w:rPr>
          <w:vertAlign w:val="superscript"/>
        </w:rPr>
        <w:footnoteReference w:id="110"/>
      </w:r>
    </w:p>
    <w:p w14:paraId="3A3709C3" w14:textId="77777777" w:rsidR="006F142F" w:rsidRPr="003131C0" w:rsidRDefault="006F142F" w:rsidP="0078210B">
      <w:pPr>
        <w:pStyle w:val="4thlevelheadai"/>
      </w:pPr>
      <w:r>
        <w:t>e.</w:t>
      </w:r>
      <w:r>
        <w:tab/>
        <w:t>The Concept of “Due Cause”</w:t>
      </w:r>
    </w:p>
    <w:p w14:paraId="6C7E4026" w14:textId="77777777" w:rsidR="006F142F" w:rsidRPr="003131C0" w:rsidRDefault="006F142F" w:rsidP="0078210B">
      <w:pPr>
        <w:pStyle w:val="text"/>
      </w:pPr>
      <w:r w:rsidRPr="003131C0">
        <w:t>As noted above, the Directive (as well as the CTM</w:t>
      </w:r>
      <w:r>
        <w:t>/EUTM</w:t>
      </w:r>
      <w:r w:rsidRPr="003131C0">
        <w:t xml:space="preserve"> Regulations) requires that the defendant’s actions alleged to be dilutive be “without due cause.” However, the Directive does not define due cause and, until recently, the Court of Justice had scarcely addressed the concept.</w:t>
      </w:r>
      <w:r w:rsidRPr="003131C0">
        <w:rPr>
          <w:vertAlign w:val="superscript"/>
        </w:rPr>
        <w:footnoteReference w:id="111"/>
      </w:r>
      <w:r w:rsidRPr="003131C0">
        <w:t xml:space="preserve"> In </w:t>
      </w:r>
      <w:r w:rsidRPr="003131C0">
        <w:rPr>
          <w:i/>
          <w:iCs/>
        </w:rPr>
        <w:t>Leidseplein Beheer BV v. Red Bull, GmbH</w:t>
      </w:r>
      <w:r w:rsidRPr="003131C0">
        <w:t>,</w:t>
      </w:r>
      <w:r w:rsidRPr="003131C0">
        <w:rPr>
          <w:vertAlign w:val="superscript"/>
        </w:rPr>
        <w:footnoteReference w:id="112"/>
      </w:r>
      <w:r w:rsidRPr="003131C0">
        <w:t xml:space="preserve"> the Court of Justice addressed the issue in a case where one party began using the offending mark before it was registered by either party. The main question before the CJEU was whether the use of a mark before the mark with a reputation had been registered could be considered “due cause” under the Directive. Not surprisingly, the CJEU’s answer was to set forth somewhat of a balancing test:</w:t>
      </w:r>
    </w:p>
    <w:p w14:paraId="426FE87E" w14:textId="77777777" w:rsidR="006F142F" w:rsidRPr="003131C0" w:rsidRDefault="006F142F" w:rsidP="0078210B">
      <w:pPr>
        <w:pStyle w:val="block-f-0"/>
        <w:spacing w:after="120"/>
        <w:rPr>
          <w:rFonts w:cs="Times New Roman"/>
        </w:rPr>
      </w:pPr>
      <w:r w:rsidRPr="003131C0">
        <w:rPr>
          <w:rFonts w:cs="Times New Roman"/>
        </w:rPr>
        <w:t>Article 5(2) of Directive 89/104 must be interpreted as meaning that the proprietor of a trade mark with a reputation may be obliged, pursuant to the concept of ‘due cause’ within the meaning of that provision, to tolerate the use by a third party of a sign similar to that mark in relation to a product which is identical to that for which that mark was registered, if it is demonstrated that that sign was being used before that mark was filed and that the use of that sign in relation to the identical product is in good faith. In order to determine whether that is so, the national court must take account, in particular, of:</w:t>
      </w:r>
    </w:p>
    <w:p w14:paraId="5A36F8D2" w14:textId="77777777" w:rsidR="006F142F" w:rsidRPr="003131C0" w:rsidRDefault="006F142F" w:rsidP="0078210B">
      <w:pPr>
        <w:pStyle w:val="block-bl"/>
        <w:rPr>
          <w:rFonts w:cs="Times New Roman"/>
        </w:rPr>
      </w:pPr>
      <w:r w:rsidRPr="003131C0">
        <w:rPr>
          <w:rFonts w:cs="Times New Roman"/>
        </w:rPr>
        <w:t>–</w:t>
      </w:r>
      <w:r w:rsidRPr="003131C0">
        <w:rPr>
          <w:rFonts w:cs="Times New Roman"/>
        </w:rPr>
        <w:tab/>
        <w:t>how that sign has been accepted by, and what its reputation is with, the relevant public;</w:t>
      </w:r>
    </w:p>
    <w:p w14:paraId="09F48255" w14:textId="77777777" w:rsidR="006F142F" w:rsidRPr="003131C0" w:rsidRDefault="006F142F" w:rsidP="0078210B">
      <w:pPr>
        <w:pStyle w:val="block-bl"/>
        <w:rPr>
          <w:rFonts w:cs="Times New Roman"/>
        </w:rPr>
      </w:pPr>
      <w:r w:rsidRPr="003131C0">
        <w:rPr>
          <w:rFonts w:cs="Times New Roman"/>
        </w:rPr>
        <w:t>–</w:t>
      </w:r>
      <w:r w:rsidRPr="003131C0">
        <w:rPr>
          <w:rFonts w:cs="Times New Roman"/>
        </w:rPr>
        <w:tab/>
        <w:t>the degree of proximity between the goods and services for which that sign was originally used and the product for which the mark with a reputation was registered; and</w:t>
      </w:r>
    </w:p>
    <w:p w14:paraId="0438BBE4" w14:textId="77777777" w:rsidR="006F142F" w:rsidRPr="003131C0" w:rsidRDefault="006F142F" w:rsidP="0078210B">
      <w:pPr>
        <w:pStyle w:val="block-bl"/>
        <w:spacing w:after="240"/>
        <w:rPr>
          <w:rFonts w:cs="Times New Roman"/>
          <w:vertAlign w:val="superscript"/>
        </w:rPr>
      </w:pPr>
      <w:r w:rsidRPr="003131C0">
        <w:rPr>
          <w:rFonts w:cs="Times New Roman"/>
        </w:rPr>
        <w:t>–</w:t>
      </w:r>
      <w:r w:rsidRPr="003131C0">
        <w:rPr>
          <w:rFonts w:cs="Times New Roman"/>
        </w:rPr>
        <w:tab/>
        <w:t>the economic and commercial significance of the use for that product of the sign which is similar to that mark.</w:t>
      </w:r>
      <w:r w:rsidRPr="008D7F0B">
        <w:rPr>
          <w:rFonts w:cs="Times New Roman"/>
          <w:sz w:val="24"/>
          <w:vertAlign w:val="superscript"/>
        </w:rPr>
        <w:footnoteReference w:id="113"/>
      </w:r>
    </w:p>
    <w:p w14:paraId="0F8CD879" w14:textId="77777777" w:rsidR="006F142F" w:rsidRPr="003131C0" w:rsidRDefault="006F142F" w:rsidP="0078210B">
      <w:pPr>
        <w:pStyle w:val="text"/>
      </w:pPr>
      <w:r w:rsidRPr="003131C0">
        <w:t>Thus, the concept of “due cause” will include the timing of the use of the two marks, the date when the plaintiff’s mark is deemed to have acquired a reputation, and whether the offending use could reasonably be viewed as an ordinary extension of the brand from its prior use(s) to the present one. This, of course, does not rule out the possibility of other factors being deemed relevant under other circumstances.</w:t>
      </w:r>
      <w:r w:rsidRPr="008D7F0B">
        <w:rPr>
          <w:rStyle w:val="FootnoteReference"/>
        </w:rPr>
        <w:footnoteReference w:id="114"/>
      </w:r>
    </w:p>
    <w:p w14:paraId="295947BD" w14:textId="77777777" w:rsidR="006F142F" w:rsidRPr="003131C0" w:rsidRDefault="006F142F" w:rsidP="0078210B">
      <w:pPr>
        <w:pStyle w:val="text"/>
      </w:pPr>
      <w:r w:rsidRPr="003131C0">
        <w:t xml:space="preserve">The CJEU also discussed “due cause” in a keyword advertising case, </w:t>
      </w:r>
      <w:r w:rsidRPr="003131C0">
        <w:rPr>
          <w:i/>
          <w:iCs/>
        </w:rPr>
        <w:t>Interflora, Inc. v. Marks &amp; Spencer plc</w:t>
      </w:r>
      <w:r w:rsidRPr="003131C0">
        <w:t>.</w:t>
      </w:r>
      <w:r w:rsidRPr="003131C0">
        <w:rPr>
          <w:vertAlign w:val="superscript"/>
        </w:rPr>
        <w:footnoteReference w:id="115"/>
      </w:r>
      <w:r w:rsidRPr="003131C0">
        <w:t xml:space="preserve"> In that case, the Court held that an advertisement resulting from a keyword search that offers an “alternative” to the services of the owner of the mark with a reputation (not merely an “imitation” of those services), and without causing harm to the distinctiveness or reputation of the mark, the use of a keyword to trigger the advertisement would be consistent with competition and </w:t>
      </w:r>
      <w:r>
        <w:t xml:space="preserve">was </w:t>
      </w:r>
      <w:r w:rsidRPr="003131C0">
        <w:t>thus made with due cause.</w:t>
      </w:r>
      <w:r w:rsidRPr="003131C0">
        <w:rPr>
          <w:vertAlign w:val="superscript"/>
        </w:rPr>
        <w:footnoteReference w:id="116"/>
      </w:r>
      <w:r w:rsidRPr="003131C0">
        <w:t xml:space="preserve"> </w:t>
      </w:r>
    </w:p>
    <w:p w14:paraId="6121F6D3" w14:textId="77777777" w:rsidR="006F142F" w:rsidRPr="00B14711" w:rsidRDefault="006F142F" w:rsidP="0078210B">
      <w:pPr>
        <w:pStyle w:val="text"/>
        <w:rPr>
          <w:spacing w:val="-4"/>
        </w:rPr>
      </w:pPr>
      <w:r w:rsidRPr="003131C0">
        <w:t>However, use of one’s forename does not necessarily constitute due cause, according to the CJEU.</w:t>
      </w:r>
      <w:r w:rsidRPr="003131C0">
        <w:rPr>
          <w:vertAlign w:val="superscript"/>
        </w:rPr>
        <w:footnoteReference w:id="117"/>
      </w:r>
    </w:p>
    <w:p w14:paraId="6F06DC55" w14:textId="77777777" w:rsidR="006F142F" w:rsidRPr="00B14711" w:rsidRDefault="006F142F" w:rsidP="00B14711">
      <w:pPr>
        <w:pStyle w:val="3rdLevelHead1"/>
        <w:rPr>
          <w:rFonts w:cs="Times New Roman"/>
        </w:rPr>
      </w:pPr>
      <w:r w:rsidRPr="00B14711">
        <w:rPr>
          <w:rFonts w:cs="Times New Roman"/>
        </w:rPr>
        <w:t>2.</w:t>
      </w:r>
      <w:r w:rsidRPr="00B14711">
        <w:rPr>
          <w:rFonts w:cs="Times New Roman"/>
        </w:rPr>
        <w:tab/>
      </w:r>
      <w:r w:rsidRPr="003131C0">
        <w:rPr>
          <w:rFonts w:cs="Times New Roman"/>
        </w:rPr>
        <w:t xml:space="preserve">The </w:t>
      </w:r>
      <w:r>
        <w:rPr>
          <w:rFonts w:cs="Times New Roman"/>
        </w:rPr>
        <w:t xml:space="preserve">EU Trade Mark (formerly The </w:t>
      </w:r>
      <w:r w:rsidRPr="003131C0">
        <w:rPr>
          <w:rFonts w:cs="Times New Roman"/>
        </w:rPr>
        <w:t>Community Trade Mark</w:t>
      </w:r>
      <w:r>
        <w:rPr>
          <w:rFonts w:cs="Times New Roman"/>
        </w:rPr>
        <w:t>)</w:t>
      </w:r>
    </w:p>
    <w:p w14:paraId="753FA75B" w14:textId="77777777" w:rsidR="006F142F" w:rsidRDefault="006F142F" w:rsidP="00B14711">
      <w:pPr>
        <w:pStyle w:val="text"/>
      </w:pPr>
      <w:r w:rsidRPr="003131C0">
        <w:t>In addition to the Trademark Harmonization Directive, which harmonizes national trademark legislation, the EU has a centralized system of trademark registration and protection. This system was originally called the Community Trade Mark, or CTM</w:t>
      </w:r>
      <w:r>
        <w:t>,</w:t>
      </w:r>
      <w:r w:rsidRPr="003131C0">
        <w:t xml:space="preserve"> system. The CTM system was promulgated in a 1993 Regulation and implemented in 1995</w:t>
      </w:r>
      <w:r>
        <w:t xml:space="preserve"> (and replaced in 2009)</w:t>
      </w:r>
      <w:r w:rsidRPr="003131C0">
        <w:t>.</w:t>
      </w:r>
      <w:r w:rsidRPr="003131C0">
        <w:rPr>
          <w:vertAlign w:val="superscript"/>
        </w:rPr>
        <w:footnoteReference w:id="118"/>
      </w:r>
      <w:r w:rsidRPr="003131C0">
        <w:t xml:space="preserve"> The CTM Regulation was substantially amended in December 2015, which changed and added to many of the existing provisions.</w:t>
      </w:r>
      <w:r w:rsidRPr="003131C0">
        <w:rPr>
          <w:vertAlign w:val="superscript"/>
        </w:rPr>
        <w:footnoteReference w:id="119"/>
      </w:r>
      <w:r w:rsidRPr="003131C0">
        <w:t xml:space="preserve"> The 2015 Regulation changed the name of the CTM to the European Union Trade Mark</w:t>
      </w:r>
      <w:r>
        <w:t>,</w:t>
      </w:r>
      <w:r w:rsidRPr="003131C0">
        <w:t xml:space="preserve"> or EU Trade Mark</w:t>
      </w:r>
      <w:r>
        <w:t xml:space="preserve"> (EUTM)</w:t>
      </w:r>
      <w:r w:rsidRPr="003131C0">
        <w:t xml:space="preserve">. </w:t>
      </w:r>
      <w:r>
        <w:t>In 2017, the 2009 Regulation and the 2015 amendment were replaced by a new regulation, which did not change the basic attributes of dilution with respect to EU trade marks.</w:t>
      </w:r>
      <w:r w:rsidRPr="00ED2957">
        <w:rPr>
          <w:rStyle w:val="FootnoteReference"/>
        </w:rPr>
        <w:footnoteReference w:id="120"/>
      </w:r>
      <w:r>
        <w:t xml:space="preserve"> </w:t>
      </w:r>
      <w:r w:rsidRPr="003131C0">
        <w:t xml:space="preserve">For simplicity, we </w:t>
      </w:r>
      <w:r>
        <w:t>may</w:t>
      </w:r>
      <w:r w:rsidRPr="003131C0">
        <w:t xml:space="preserve"> continue to use the CTM terminology except where it would cause confusion. The CTM Regulation contains provisions setting forth the grounds for refusal of registration and rights against infringement that mirror those of the Trademark Harmonization Directive</w:t>
      </w:r>
      <w:r w:rsidRPr="003131C0">
        <w:rPr>
          <w:vertAlign w:val="superscript"/>
        </w:rPr>
        <w:footnoteReference w:id="121"/>
      </w:r>
      <w:r w:rsidRPr="003131C0">
        <w:t>—these are contained in Articles 8(5) and 9(1)(c) of the Regulation. Thus, the owner of a trademark with a reputation in the EU (or in a member state, if the opposition is based on a national trademark) may oppose another’s application for a CTM (or EU Trade Mark) if the second use is “without due cause” and “would take unfair advantage of, or be detrimental to, the distinctive character or repute of the earlier trade mark.”</w:t>
      </w:r>
      <w:r w:rsidRPr="003131C0">
        <w:rPr>
          <w:vertAlign w:val="superscript"/>
        </w:rPr>
        <w:footnoteReference w:id="122"/>
      </w:r>
      <w:r w:rsidRPr="003131C0">
        <w:t xml:space="preserve"> The 2015 Regulation</w:t>
      </w:r>
      <w:r>
        <w:t xml:space="preserve"> (and its replacement, the 2017 Regulation)</w:t>
      </w:r>
      <w:r w:rsidRPr="003131C0">
        <w:t>, mirroring the 2015 Directive, makes it clear that the dilution provisions apply regardless of whether the goods or services of the two users are similar or not.</w:t>
      </w:r>
      <w:r w:rsidRPr="003131C0">
        <w:rPr>
          <w:vertAlign w:val="superscript"/>
        </w:rPr>
        <w:footnoteReference w:id="123"/>
      </w:r>
      <w:r w:rsidRPr="003131C0">
        <w:t xml:space="preserve"> Applications for a CTM/EU Trade Mark are handled by a central office, originally known as the Office for Harmonization in the Internal Market, Trade Marks and Designs (OHIM), and, since March 23, 2016, known as the European Union Intellectual Property Office (EUIPO).</w:t>
      </w:r>
      <w:r w:rsidRPr="003131C0">
        <w:rPr>
          <w:vertAlign w:val="superscript"/>
        </w:rPr>
        <w:footnoteReference w:id="124"/>
      </w:r>
      <w:r w:rsidRPr="003131C0">
        <w:t xml:space="preserve"> </w:t>
      </w:r>
      <w:r>
        <w:t xml:space="preserve">Both the EUIPO and </w:t>
      </w:r>
      <w:r w:rsidRPr="003131C0">
        <w:t xml:space="preserve">OHIM </w:t>
      </w:r>
      <w:r>
        <w:t xml:space="preserve">have </w:t>
      </w:r>
      <w:r w:rsidRPr="003131C0">
        <w:t>followed precedent from the CJEU interpreting the Trademark Harmonization Directive when implementing the CTM Regulation.</w:t>
      </w:r>
      <w:r w:rsidRPr="003131C0">
        <w:rPr>
          <w:vertAlign w:val="superscript"/>
        </w:rPr>
        <w:footnoteReference w:id="125"/>
      </w:r>
      <w:r w:rsidRPr="003131C0">
        <w:t xml:space="preserve"> Thus, with regard to dilution, the CTM</w:t>
      </w:r>
      <w:r>
        <w:t>/EU Trade Mark</w:t>
      </w:r>
      <w:r w:rsidRPr="003131C0">
        <w:t xml:space="preserve"> Regulation should be interpreted like the Trademark Harmonization Directive.</w:t>
      </w:r>
      <w:r w:rsidRPr="003131C0">
        <w:rPr>
          <w:vertAlign w:val="superscript"/>
        </w:rPr>
        <w:footnoteReference w:id="126"/>
      </w:r>
    </w:p>
    <w:p w14:paraId="26043F47" w14:textId="77777777" w:rsidR="006F142F" w:rsidRPr="003131C0" w:rsidRDefault="006F142F" w:rsidP="0078210B">
      <w:pPr>
        <w:pStyle w:val="text"/>
      </w:pPr>
      <w:r w:rsidRPr="003131C0">
        <w:t xml:space="preserve">However, there are a few situations in which the unitary nature of the CTM/EU Trade Mark creates unique issues. One such instance is </w:t>
      </w:r>
      <w:r w:rsidRPr="003131C0">
        <w:rPr>
          <w:i/>
          <w:iCs/>
        </w:rPr>
        <w:t>Ornua Co-operative, Ltd. v. Tindale &amp; Stanton Ltd.</w:t>
      </w:r>
      <w:r w:rsidRPr="003131C0">
        <w:rPr>
          <w:vertAlign w:val="superscript"/>
        </w:rPr>
        <w:footnoteReference w:id="127"/>
      </w:r>
      <w:r w:rsidRPr="003131C0">
        <w:rPr>
          <w:i/>
          <w:iCs/>
        </w:rPr>
        <w:t xml:space="preserve"> </w:t>
      </w:r>
      <w:r w:rsidRPr="003131C0">
        <w:t xml:space="preserve">That case involved alleged infringement of the EU Trade Mark KERRYGOLD (used on </w:t>
      </w:r>
      <w:r>
        <w:t>dairy</w:t>
      </w:r>
      <w:r w:rsidRPr="003131C0">
        <w:t xml:space="preserve"> products) by use in Spain of a trademark KERRYMAID (on margarine). The unique problem arose because in the U.K. and Ireland, the KERRYMAID mark was registered nationally (i.e., not as an EUTM) and the two marks coexisted without evidence of confusion or unfair advantage. The question before the CJEU was whether the fact of this coexistence in the U.K. and Ireland precluded an infringement suit (for either confusion or dilution) in Spain. The applicant argued that the unitary nature of a CTM/EUTM meant that lack of infringement in one place implied a lack of infringement elsewhere. The CJEU disagreed, and held that such a suit was </w:t>
      </w:r>
      <w:r w:rsidRPr="003131C0">
        <w:rPr>
          <w:i/>
          <w:iCs/>
        </w:rPr>
        <w:t>not</w:t>
      </w:r>
      <w:r w:rsidRPr="003131C0">
        <w:t xml:space="preserve"> precluded. In essence, the coexistence of a national mark with a CTM/EUTM did not prevent the existence of infringement in another part of the EU.</w:t>
      </w:r>
      <w:r w:rsidRPr="003131C0">
        <w:rPr>
          <w:vertAlign w:val="superscript"/>
        </w:rPr>
        <w:footnoteReference w:id="128"/>
      </w:r>
    </w:p>
    <w:p w14:paraId="0BFC4BF5" w14:textId="77777777" w:rsidR="006F142F" w:rsidRPr="00ED2957" w:rsidRDefault="006F142F" w:rsidP="0078210B">
      <w:pPr>
        <w:pStyle w:val="text"/>
        <w:rPr>
          <w:vertAlign w:val="superscript"/>
        </w:rPr>
      </w:pPr>
      <w:r w:rsidRPr="003131C0">
        <w:t>The 2004, 2007, and 2013 expansions of the EU by the addition of a total of 13 new member countries created certain complications for the CTM system, because an application for a CTM may be refused based on problems (lack of distinctiveness or dilution, for example) that exist only in a single member country.</w:t>
      </w:r>
      <w:r w:rsidRPr="003131C0">
        <w:rPr>
          <w:vertAlign w:val="superscript"/>
        </w:rPr>
        <w:footnoteReference w:id="129"/>
      </w:r>
      <w:r w:rsidRPr="00B14711">
        <w:t xml:space="preserve"> Thus, in theory, a previously existing and valid CTM registration might have become invalid due to the enlargement of the EU. However, the EU anticipated this problem and issued transition regulations designed to ameliorate this difficulty.</w:t>
      </w:r>
      <w:r w:rsidRPr="00B14711">
        <w:rPr>
          <w:spacing w:val="-4"/>
          <w:vertAlign w:val="superscript"/>
        </w:rPr>
        <w:footnoteReference w:id="130"/>
      </w:r>
    </w:p>
    <w:p w14:paraId="68FA9C37" w14:textId="77777777" w:rsidR="006F142F" w:rsidRPr="00B14711" w:rsidRDefault="006F142F" w:rsidP="00B14711">
      <w:pPr>
        <w:pStyle w:val="2ndLevelHeadA0"/>
        <w:rPr>
          <w:rFonts w:cs="Times New Roman"/>
        </w:rPr>
      </w:pPr>
      <w:r w:rsidRPr="00B14711">
        <w:rPr>
          <w:rFonts w:cs="Times New Roman"/>
        </w:rPr>
        <w:t>B.</w:t>
      </w:r>
      <w:r w:rsidRPr="00B14711">
        <w:rPr>
          <w:rFonts w:cs="Times New Roman"/>
        </w:rPr>
        <w:tab/>
        <w:t>The Andean Community</w:t>
      </w:r>
    </w:p>
    <w:p w14:paraId="7147DC3E" w14:textId="77777777" w:rsidR="006F142F" w:rsidRPr="00B14711" w:rsidRDefault="006F142F" w:rsidP="00B14711">
      <w:pPr>
        <w:pStyle w:val="text"/>
      </w:pPr>
      <w:r w:rsidRPr="00B14711">
        <w:t>Although perhaps less well known than the European Union, several countries in South America have created a regional entity known as the Andean Community which has harmonized the trademark laws of its member countries. Begun in 1969 as the Andean Pact, the Andean Community presently consists of four countries: Bolivia, Colombia, Ecuador, and Peru.</w:t>
      </w:r>
      <w:r w:rsidRPr="00B14711">
        <w:rPr>
          <w:spacing w:val="-4"/>
          <w:vertAlign w:val="superscript"/>
        </w:rPr>
        <w:footnoteReference w:id="131"/>
      </w:r>
      <w:r w:rsidRPr="00B14711">
        <w:t xml:space="preserve"> The Andean Community’s trademark law was promulgated by the Commission of the Andean Community; the latest incarnation of that law is Decision 486.</w:t>
      </w:r>
      <w:r w:rsidRPr="00B14711">
        <w:rPr>
          <w:spacing w:val="-4"/>
          <w:vertAlign w:val="superscript"/>
        </w:rPr>
        <w:footnoteReference w:id="132"/>
      </w:r>
      <w:r w:rsidRPr="00B14711">
        <w:t xml:space="preserve"> The provisions of Decision 486 are intended to be implemented by incorporation into each member country’s law; there is no unified “Andean Community Trademark” comparable to the European Union’s Community Trade Mark.</w:t>
      </w:r>
    </w:p>
    <w:p w14:paraId="6CD936CC" w14:textId="77777777" w:rsidR="006F142F" w:rsidRPr="00B14711" w:rsidRDefault="006F142F" w:rsidP="00B14711">
      <w:pPr>
        <w:pStyle w:val="text"/>
      </w:pPr>
      <w:r w:rsidRPr="00B14711">
        <w:t>There are several provisions of the Andean Community’s trademark law that relate to dilution, particularly Articles 224–236, which govern “well-known” marks. Article 228 lists a number of criteria to be used in judging whether a mark is well known, including several that will be familiar to those who have dealt with the issue of a “famous” mark under Section 43(c) of the Lanham Act (the U.S. trademark dilution provision).</w:t>
      </w:r>
      <w:r w:rsidRPr="00B14711">
        <w:rPr>
          <w:spacing w:val="-4"/>
          <w:vertAlign w:val="superscript"/>
        </w:rPr>
        <w:footnoteReference w:id="133"/>
      </w:r>
      <w:r w:rsidRPr="00B14711">
        <w:t xml:space="preserve"> Significantly, however, the law disclaims any requirement that a mark actually be registered, or even used, within the member country before it can be considered well known.</w:t>
      </w:r>
      <w:r w:rsidRPr="00B14711">
        <w:rPr>
          <w:spacing w:val="-4"/>
          <w:vertAlign w:val="superscript"/>
        </w:rPr>
        <w:footnoteReference w:id="134"/>
      </w:r>
      <w:r w:rsidRPr="00B14711">
        <w:t xml:space="preserve"> Article 226 specifies that a well-known mark may be protected against uses on noncompeting as well as competing goods, and even against noncommercial uses of the mark, if the offending use constitutes “unjust economic or commercial injury to the owner of the sign by reason of the weakening of the distinctive force or commercial or advertising value of that sign; or, … unfair exploitation of the sign’s prestige or fame.”</w:t>
      </w:r>
    </w:p>
    <w:p w14:paraId="64182F1C" w14:textId="77777777" w:rsidR="006F142F" w:rsidRPr="00B14711" w:rsidRDefault="006F142F" w:rsidP="00B14711">
      <w:pPr>
        <w:pStyle w:val="2ndLevelHeadA0"/>
        <w:rPr>
          <w:rFonts w:cs="Times New Roman"/>
        </w:rPr>
      </w:pPr>
      <w:r w:rsidRPr="00B14711">
        <w:rPr>
          <w:rFonts w:cs="Times New Roman"/>
        </w:rPr>
        <w:t>C.</w:t>
      </w:r>
      <w:r w:rsidRPr="00B14711">
        <w:rPr>
          <w:rFonts w:cs="Times New Roman"/>
        </w:rPr>
        <w:tab/>
        <w:t>The African Intellectual Property Organization</w:t>
      </w:r>
    </w:p>
    <w:p w14:paraId="0ED440E2" w14:textId="77777777" w:rsidR="006F142F" w:rsidRPr="00B14711" w:rsidRDefault="006F142F" w:rsidP="00B14711">
      <w:pPr>
        <w:pStyle w:val="text"/>
        <w:rPr>
          <w:spacing w:val="-4"/>
        </w:rPr>
      </w:pPr>
      <w:r w:rsidRPr="00B14711">
        <w:t>Sixteen mostly French-speaking countries in Africa have joined to create an organization called the African Intellectual Property Organization, or OAPI.</w:t>
      </w:r>
      <w:r w:rsidRPr="00B14711">
        <w:rPr>
          <w:spacing w:val="-4"/>
          <w:vertAlign w:val="superscript"/>
        </w:rPr>
        <w:footnoteReference w:id="135"/>
      </w:r>
      <w:r w:rsidRPr="00B14711">
        <w:t xml:space="preserve"> OAPI has a trademark law, revised in 1999. However, this law requires a showing of confusion, even for the protection of well-known marks.</w:t>
      </w:r>
      <w:r w:rsidRPr="00B14711">
        <w:rPr>
          <w:spacing w:val="-4"/>
          <w:vertAlign w:val="superscript"/>
        </w:rPr>
        <w:footnoteReference w:id="136"/>
      </w:r>
    </w:p>
    <w:p w14:paraId="7FC9CD4E" w14:textId="77777777" w:rsidR="006F142F" w:rsidRPr="00B14711" w:rsidRDefault="006F142F" w:rsidP="00B14711">
      <w:pPr>
        <w:pStyle w:val="1stLevelHeadII"/>
        <w:rPr>
          <w:rFonts w:cs="Times New Roman"/>
        </w:rPr>
      </w:pPr>
      <w:r w:rsidRPr="00B14711">
        <w:rPr>
          <w:rFonts w:cs="Times New Roman"/>
        </w:rPr>
        <w:t>IV.</w:t>
      </w:r>
      <w:r w:rsidRPr="00B14711">
        <w:rPr>
          <w:rFonts w:cs="Times New Roman"/>
        </w:rPr>
        <w:t> </w:t>
      </w:r>
      <w:r w:rsidRPr="00B14711">
        <w:rPr>
          <w:rFonts w:cs="Times New Roman"/>
        </w:rPr>
        <w:t>Dilution in Individual Countries</w:t>
      </w:r>
    </w:p>
    <w:p w14:paraId="7BD613CE" w14:textId="77777777" w:rsidR="006F142F" w:rsidRPr="00B14711" w:rsidRDefault="006F142F" w:rsidP="00B14711">
      <w:pPr>
        <w:pStyle w:val="2ndLevel1"/>
        <w:rPr>
          <w:rFonts w:cs="Times New Roman"/>
        </w:rPr>
      </w:pPr>
      <w:r w:rsidRPr="00B14711">
        <w:rPr>
          <w:rFonts w:cs="Times New Roman"/>
        </w:rPr>
        <w:t>A.</w:t>
      </w:r>
      <w:r w:rsidRPr="00B14711">
        <w:rPr>
          <w:rFonts w:cs="Times New Roman"/>
        </w:rPr>
        <w:tab/>
        <w:t>Introduction</w:t>
      </w:r>
    </w:p>
    <w:p w14:paraId="5EC2CA62" w14:textId="77777777" w:rsidR="006F142F" w:rsidRPr="00B14711" w:rsidRDefault="006F142F" w:rsidP="00B14711">
      <w:pPr>
        <w:pStyle w:val="text"/>
      </w:pPr>
      <w:r w:rsidRPr="00B14711">
        <w:t>It is not possible in the space of this chapter to discuss, or even point to, all of the countries that have laws protecting against trademark dilution, or at least laws that appear to protect against dilution.</w:t>
      </w:r>
      <w:r w:rsidRPr="00B14711">
        <w:rPr>
          <w:spacing w:val="-4"/>
          <w:vertAlign w:val="superscript"/>
        </w:rPr>
        <w:footnoteReference w:id="137"/>
      </w:r>
      <w:r w:rsidRPr="00B14711">
        <w:t xml:space="preserve"> However, for the benefit of the reader, this section will canvass major regions, pointing to dilution laws in several countries in each region. Augmenting the brief description of dilution laws around the world there will be more detailed discussions of dilution in three major trading partners of the United States: the United Kingdom, Japan, and Canada. Both the United Kingdom and Canada have a number of useful precedents in this area and Japan, as a leading trading country in the Far East, is an important source of trademark protection law.</w:t>
      </w:r>
    </w:p>
    <w:p w14:paraId="71DAF7E0" w14:textId="77777777" w:rsidR="006F142F" w:rsidRPr="00B14711" w:rsidRDefault="006F142F" w:rsidP="00B14711">
      <w:pPr>
        <w:pStyle w:val="2ndLevelHeadA0"/>
        <w:rPr>
          <w:rFonts w:cs="Times New Roman"/>
        </w:rPr>
      </w:pPr>
      <w:r w:rsidRPr="00B14711">
        <w:rPr>
          <w:rFonts w:cs="Times New Roman"/>
        </w:rPr>
        <w:t>B.</w:t>
      </w:r>
      <w:r w:rsidRPr="00B14711">
        <w:rPr>
          <w:rFonts w:cs="Times New Roman"/>
        </w:rPr>
        <w:tab/>
        <w:t>Europe</w:t>
      </w:r>
    </w:p>
    <w:p w14:paraId="78644A40" w14:textId="77777777" w:rsidR="006F142F" w:rsidRPr="00B14711" w:rsidRDefault="006F142F" w:rsidP="00B14711">
      <w:pPr>
        <w:pStyle w:val="3rdLevel2"/>
        <w:rPr>
          <w:rFonts w:cs="Times New Roman"/>
        </w:rPr>
      </w:pPr>
      <w:r w:rsidRPr="00B14711">
        <w:rPr>
          <w:rFonts w:cs="Times New Roman"/>
        </w:rPr>
        <w:t>1.</w:t>
      </w:r>
      <w:r w:rsidRPr="00B14711">
        <w:rPr>
          <w:rFonts w:cs="Times New Roman"/>
        </w:rPr>
        <w:tab/>
        <w:t>Members of the European Union</w:t>
      </w:r>
    </w:p>
    <w:p w14:paraId="3A817F72" w14:textId="77777777" w:rsidR="006F142F" w:rsidRPr="003131C0" w:rsidRDefault="006F142F" w:rsidP="0078210B">
      <w:pPr>
        <w:pStyle w:val="text"/>
      </w:pPr>
      <w:r w:rsidRPr="00B14711">
        <w:t>As discussed in Section III.A.1</w:t>
      </w:r>
      <w:r>
        <w:t>,</w:t>
      </w:r>
      <w:r w:rsidRPr="00B14711">
        <w:t xml:space="preserve"> above, the European Union has issued a Trademark Harmonization Directive under which the member countries of the EU are obliged to bring their trademark laws into a certain measure of agreement. </w:t>
      </w:r>
      <w:r w:rsidRPr="003131C0">
        <w:t>The original Directive left the decision in several areas—including dilution—to individual member states. Thus, although the original Directive contained provisions permitting opposition to registration, as well as granting rights to registered owners, which protected marks without requiring any confusion, those provisions were not made mandatory.</w:t>
      </w:r>
      <w:r w:rsidRPr="003131C0">
        <w:rPr>
          <w:vertAlign w:val="superscript"/>
        </w:rPr>
        <w:footnoteReference w:id="138"/>
      </w:r>
      <w:r w:rsidRPr="003131C0">
        <w:t xml:space="preserve"> The 2015 Directive did not give member states a choice about including the dilution provisions.</w:t>
      </w:r>
      <w:r w:rsidRPr="003131C0">
        <w:rPr>
          <w:vertAlign w:val="superscript"/>
        </w:rPr>
        <w:footnoteReference w:id="139"/>
      </w:r>
      <w:r>
        <w:t xml:space="preserve"> </w:t>
      </w:r>
      <w:r w:rsidRPr="00B14711">
        <w:t xml:space="preserve">Virtually all of the countries that were EU members at the time of the issuance of the </w:t>
      </w:r>
      <w:r>
        <w:t xml:space="preserve">original </w:t>
      </w:r>
      <w:r w:rsidRPr="00B14711">
        <w:t>Directive</w:t>
      </w:r>
      <w:r w:rsidRPr="00B14711">
        <w:rPr>
          <w:spacing w:val="-4"/>
          <w:vertAlign w:val="superscript"/>
        </w:rPr>
        <w:footnoteReference w:id="140"/>
      </w:r>
      <w:r w:rsidRPr="00B14711">
        <w:t xml:space="preserve"> implement</w:t>
      </w:r>
      <w:r>
        <w:t>ed</w:t>
      </w:r>
      <w:r w:rsidRPr="00B14711">
        <w:t xml:space="preserve"> some version of the dilution provisions.</w:t>
      </w:r>
      <w:r w:rsidRPr="00B14711">
        <w:rPr>
          <w:spacing w:val="-4"/>
          <w:vertAlign w:val="superscript"/>
        </w:rPr>
        <w:footnoteReference w:id="141"/>
      </w:r>
      <w:r w:rsidRPr="00B14711">
        <w:t xml:space="preserve"> </w:t>
      </w:r>
    </w:p>
    <w:p w14:paraId="15031E8B" w14:textId="77777777" w:rsidR="006F142F" w:rsidRDefault="006F142F" w:rsidP="0078210B">
      <w:pPr>
        <w:pStyle w:val="text"/>
      </w:pPr>
      <w:r w:rsidRPr="003131C0">
        <w:t>Even before the 2015 Directive made their inclusion mandatory, the newer members of the EU generally had amended their statutes to include dilution provisions.</w:t>
      </w:r>
      <w:r w:rsidRPr="003131C0">
        <w:rPr>
          <w:vertAlign w:val="superscript"/>
        </w:rPr>
        <w:footnoteReference w:id="142"/>
      </w:r>
      <w:r w:rsidRPr="003131C0">
        <w:t xml:space="preserve"> This includes the EU’s newest member, Croatia, which has a dilution provision in its statute.</w:t>
      </w:r>
      <w:r w:rsidRPr="003131C0">
        <w:rPr>
          <w:vertAlign w:val="superscript"/>
        </w:rPr>
        <w:footnoteReference w:id="143"/>
      </w:r>
    </w:p>
    <w:p w14:paraId="33B78414" w14:textId="77777777" w:rsidR="006F142F" w:rsidRPr="00BF3653" w:rsidRDefault="006F142F" w:rsidP="0078210B">
      <w:pPr>
        <w:pStyle w:val="text"/>
        <w:rPr>
          <w:vertAlign w:val="superscript"/>
        </w:rPr>
      </w:pPr>
      <w:r w:rsidRPr="003131C0">
        <w:t xml:space="preserve">The Irish Patents Office applied the Court of Justice’s mandates to Ireland’s trademark law in </w:t>
      </w:r>
      <w:r w:rsidRPr="003131C0">
        <w:rPr>
          <w:i/>
          <w:iCs/>
        </w:rPr>
        <w:t>Walsh v. British Sky Broadcasting Group</w:t>
      </w:r>
      <w:r w:rsidRPr="003131C0">
        <w:t>.</w:t>
      </w:r>
      <w:r w:rsidRPr="003131C0">
        <w:rPr>
          <w:vertAlign w:val="superscript"/>
        </w:rPr>
        <w:footnoteReference w:id="144"/>
      </w:r>
      <w:r w:rsidRPr="003131C0">
        <w:t xml:space="preserve"> The Controller found that the applicant’s proposed Sky Business Centres mark and logo violated the dilution provisions of Irish law (which essentially match both the Directive and U.K. law).</w:t>
      </w:r>
      <w:r w:rsidRPr="003131C0">
        <w:rPr>
          <w:vertAlign w:val="superscript"/>
        </w:rPr>
        <w:footnoteReference w:id="145"/>
      </w:r>
      <w:r>
        <w:t xml:space="preserve">  More recently, the Italian Supreme Court apparently applied the CJEU’s guidance, ruling that defendant’s use of the character Zorro in a commercial was a violation of the dilution provision, even though defendant did not use Zorro as a trademark.</w:t>
      </w:r>
      <w:r>
        <w:rPr>
          <w:rStyle w:val="FootnoteReference"/>
        </w:rPr>
        <w:footnoteReference w:id="146"/>
      </w:r>
      <w:r>
        <w:t xml:space="preserve">  Moreover, the Athens Court of Appeal in Greece is reported to have found that a SCRATCH mark (in both Greek and English characters) was not diluted by the use of the word Scratch by a betting site.</w:t>
      </w:r>
      <w:r>
        <w:rPr>
          <w:rStyle w:val="FootnoteReference"/>
        </w:rPr>
        <w:footnoteReference w:id="147"/>
      </w:r>
    </w:p>
    <w:p w14:paraId="2252B4FB" w14:textId="77777777" w:rsidR="006F142F" w:rsidRPr="00B14711" w:rsidRDefault="006F142F" w:rsidP="00B14711">
      <w:pPr>
        <w:pStyle w:val="3rdLevelHead1"/>
        <w:rPr>
          <w:rFonts w:cs="Times New Roman"/>
        </w:rPr>
      </w:pPr>
      <w:r w:rsidRPr="00B14711">
        <w:rPr>
          <w:rFonts w:cs="Times New Roman"/>
        </w:rPr>
        <w:t>2.</w:t>
      </w:r>
      <w:r w:rsidRPr="00B14711">
        <w:rPr>
          <w:rFonts w:cs="Times New Roman"/>
        </w:rPr>
        <w:tab/>
        <w:t>Non-Members of the European Union</w:t>
      </w:r>
    </w:p>
    <w:p w14:paraId="59F5C01F" w14:textId="77777777" w:rsidR="006F142F" w:rsidRDefault="006F142F" w:rsidP="00B14711">
      <w:pPr>
        <w:pStyle w:val="text"/>
      </w:pPr>
      <w:r w:rsidRPr="00B14711">
        <w:t>Not all countries in Europe are members of the EU. Turkey, which would like to become a member of the EU, has enacted a statute that mirrors the dilution-like protection of the EU’s Trademark Harmonization Directive.</w:t>
      </w:r>
      <w:r w:rsidRPr="00B14711">
        <w:rPr>
          <w:spacing w:val="-4"/>
          <w:vertAlign w:val="superscript"/>
        </w:rPr>
        <w:footnoteReference w:id="148"/>
      </w:r>
      <w:r w:rsidRPr="00B14711">
        <w:t xml:space="preserve"> Several other non-EU European countries have implemented some form of dilution protection, including Switzerland,</w:t>
      </w:r>
      <w:r w:rsidRPr="00B14711">
        <w:rPr>
          <w:spacing w:val="-4"/>
          <w:vertAlign w:val="superscript"/>
        </w:rPr>
        <w:footnoteReference w:id="149"/>
      </w:r>
      <w:r w:rsidRPr="00B14711">
        <w:t xml:space="preserve"> Liechtenstein,</w:t>
      </w:r>
      <w:r w:rsidRPr="00B14711">
        <w:rPr>
          <w:spacing w:val="-4"/>
          <w:vertAlign w:val="superscript"/>
        </w:rPr>
        <w:footnoteReference w:id="150"/>
      </w:r>
      <w:r w:rsidRPr="00B14711">
        <w:t xml:space="preserve"> Iceland,</w:t>
      </w:r>
      <w:r w:rsidRPr="00B14711">
        <w:rPr>
          <w:spacing w:val="-4"/>
          <w:vertAlign w:val="superscript"/>
        </w:rPr>
        <w:footnoteReference w:id="151"/>
      </w:r>
      <w:r w:rsidRPr="00B14711">
        <w:t xml:space="preserve"> Norway,</w:t>
      </w:r>
      <w:r w:rsidRPr="00B14711">
        <w:rPr>
          <w:spacing w:val="-4"/>
          <w:vertAlign w:val="superscript"/>
        </w:rPr>
        <w:footnoteReference w:id="152"/>
      </w:r>
      <w:r w:rsidRPr="00B14711">
        <w:t xml:space="preserve"> and Andorra.</w:t>
      </w:r>
      <w:r w:rsidRPr="00B14711">
        <w:rPr>
          <w:spacing w:val="-4"/>
          <w:vertAlign w:val="superscript"/>
        </w:rPr>
        <w:footnoteReference w:id="153"/>
      </w:r>
    </w:p>
    <w:p w14:paraId="43D85548" w14:textId="77777777" w:rsidR="006F142F" w:rsidRPr="00760BEC" w:rsidRDefault="006F142F" w:rsidP="0078210B">
      <w:pPr>
        <w:pStyle w:val="text"/>
        <w:rPr>
          <w:vertAlign w:val="superscript"/>
        </w:rPr>
      </w:pPr>
      <w:r w:rsidRPr="003131C0">
        <w:t>Albania also has implemented a dilution provision, modeled after that of the European Union.</w:t>
      </w:r>
      <w:r w:rsidRPr="003131C0">
        <w:rPr>
          <w:vertAlign w:val="superscript"/>
        </w:rPr>
        <w:footnoteReference w:id="154"/>
      </w:r>
      <w:r w:rsidRPr="003131C0">
        <w:t xml:space="preserve"> The trademark law of the Russian Federation is somewhat muddled on the issue of dilution. For the most part, Russian law fairly clearly requires confusion. However, its provision for well-known marks (denominated “trademark[s] generally recognized in the Russian Federation”</w:t>
      </w:r>
      <w:r w:rsidRPr="003131C0">
        <w:rPr>
          <w:vertAlign w:val="superscript"/>
        </w:rPr>
        <w:footnoteReference w:id="155"/>
      </w:r>
      <w:r w:rsidRPr="003131C0">
        <w:t>) contains a provision that may be interpreted as protecting against dilution; it requires some sort of “association,” but does not expressly require confusion.</w:t>
      </w:r>
      <w:r w:rsidRPr="003131C0">
        <w:rPr>
          <w:vertAlign w:val="superscript"/>
        </w:rPr>
        <w:footnoteReference w:id="156"/>
      </w:r>
    </w:p>
    <w:p w14:paraId="5D4C73D6" w14:textId="77777777" w:rsidR="006F142F" w:rsidRPr="00B14711" w:rsidRDefault="006F142F" w:rsidP="00B14711">
      <w:pPr>
        <w:pStyle w:val="3rdLevelHead1"/>
        <w:rPr>
          <w:rFonts w:cs="Times New Roman"/>
        </w:rPr>
      </w:pPr>
      <w:r w:rsidRPr="00B14711">
        <w:rPr>
          <w:rFonts w:cs="Times New Roman"/>
        </w:rPr>
        <w:t>3.</w:t>
      </w:r>
      <w:r w:rsidRPr="00B14711">
        <w:rPr>
          <w:rFonts w:cs="Times New Roman"/>
        </w:rPr>
        <w:tab/>
        <w:t>The United Kingdom</w:t>
      </w:r>
    </w:p>
    <w:p w14:paraId="5904B9EC" w14:textId="77777777" w:rsidR="006F142F" w:rsidRPr="00B14711" w:rsidRDefault="006F142F" w:rsidP="00B14711">
      <w:pPr>
        <w:pStyle w:val="text"/>
      </w:pPr>
      <w:r w:rsidRPr="00B14711">
        <w:t>Trademark dilution law in the United Kingdom merits additional discussion for a few reasons. Like the United States, trademark law in the United Kingdom derives from common law unfair competition claims.</w:t>
      </w:r>
      <w:r>
        <w:t xml:space="preserve"> Until recently, the U.K. was a member of the European Union and had harmonized its trademark law in accordance with EU law and the Trademark Directive. However, as a result of a referendum in 2016, and the subsequent invocation of Article 50 of the EU Treaty, the U.K. withdrew from the EU.</w:t>
      </w:r>
      <w:r w:rsidRPr="00B14711">
        <w:t xml:space="preserve"> </w:t>
      </w:r>
      <w:r>
        <w:t>Pursuant to a transition agreement, the U.K. agreed to abide by EU law through December 31, 2020.</w:t>
      </w:r>
      <w:r>
        <w:rPr>
          <w:rStyle w:val="FootnoteReference"/>
        </w:rPr>
        <w:footnoteReference w:id="157"/>
      </w:r>
      <w:r>
        <w:t xml:space="preserve"> After the transition period, the degree to which the U.K. will follow EU law is uncertain. </w:t>
      </w:r>
      <w:r w:rsidRPr="00B14711">
        <w:t xml:space="preserve">Moreover, </w:t>
      </w:r>
      <w:r>
        <w:t xml:space="preserve">even prior to the U.K.’s withdrawal from the EU, </w:t>
      </w:r>
      <w:r w:rsidRPr="00B14711">
        <w:t xml:space="preserve">the viewpoint of British courts </w:t>
      </w:r>
      <w:r>
        <w:t>was</w:t>
      </w:r>
      <w:r w:rsidRPr="00B14711">
        <w:t xml:space="preserve"> often at odds with the viewpoint of their continental counterparts and the </w:t>
      </w:r>
      <w:r>
        <w:t>CJEU</w:t>
      </w:r>
      <w:r w:rsidRPr="00B14711">
        <w:t>.</w:t>
      </w:r>
      <w:r w:rsidRPr="00B14711">
        <w:rPr>
          <w:spacing w:val="-3"/>
          <w:vertAlign w:val="superscript"/>
        </w:rPr>
        <w:footnoteReference w:id="158"/>
      </w:r>
      <w:r w:rsidRPr="00B14711">
        <w:t xml:space="preserve"> Thus, the manner in which British courts implement</w:t>
      </w:r>
      <w:r>
        <w:t>ed</w:t>
      </w:r>
      <w:r w:rsidRPr="00B14711">
        <w:t xml:space="preserve"> the EU’s Directive offers an interesting insight into the differing policies and viewpoints of European dilution law.</w:t>
      </w:r>
      <w:r>
        <w:t xml:space="preserve"> The effect of Britain’s withdrawal from the EU on its trademark law is presently unclear. Now that the transition period has ended, we may begin to see deviations between U.K. law and EU law.  </w:t>
      </w:r>
      <w:r w:rsidRPr="00251F78">
        <w:t>On the other hand, given that the law was enacted to implement the Harmonization Directive, it is likely that British courts will continue to look to EU law for some guidance.</w:t>
      </w:r>
      <w:r w:rsidRPr="00251F78">
        <w:rPr>
          <w:rStyle w:val="FootnoteReference"/>
        </w:rPr>
        <w:footnoteReference w:id="159"/>
      </w:r>
      <w:r>
        <w:t xml:space="preserve">  Indeed, the Court of Appeal has indicated that the failure of Parliament to change the law after Brexit indicates that there is no intention to change the existing interpretation of the law (and, in fact, the intent was to remain harmonized).</w:t>
      </w:r>
      <w:r>
        <w:rPr>
          <w:rStyle w:val="FootnoteReference"/>
        </w:rPr>
        <w:footnoteReference w:id="160"/>
      </w:r>
      <w:r>
        <w:t xml:space="preserve">  The Court of Appeal also noted that departing from the Court of Justice’s interpretation would cause significant uncertainty in this area of law.</w:t>
      </w:r>
      <w:r>
        <w:rPr>
          <w:rStyle w:val="FootnoteReference"/>
        </w:rPr>
        <w:footnoteReference w:id="161"/>
      </w:r>
    </w:p>
    <w:p w14:paraId="255D8321" w14:textId="77777777" w:rsidR="006F142F" w:rsidRPr="00B14711" w:rsidRDefault="006F142F" w:rsidP="00B14711">
      <w:pPr>
        <w:pStyle w:val="text"/>
        <w:rPr>
          <w:spacing w:val="-3"/>
        </w:rPr>
      </w:pPr>
      <w:r w:rsidRPr="00B14711">
        <w:t>In 1994, Great Britain implemented the EU Trademark Harmonization Directive</w:t>
      </w:r>
      <w:r w:rsidRPr="00B14711">
        <w:rPr>
          <w:spacing w:val="-3"/>
          <w:vertAlign w:val="superscript"/>
        </w:rPr>
        <w:footnoteReference w:id="162"/>
      </w:r>
      <w:r w:rsidRPr="00B14711">
        <w:t xml:space="preserve"> by enacting a new trademark statute.</w:t>
      </w:r>
      <w:r w:rsidRPr="00B14711">
        <w:rPr>
          <w:vertAlign w:val="superscript"/>
        </w:rPr>
        <w:footnoteReference w:id="163"/>
      </w:r>
      <w:r w:rsidRPr="00B14711">
        <w:t xml:space="preserve"> The sections most pertinent to dilution are Sections 10(2) and 10(3), which define much of what constitutes infringement, and Sections 5(2) and 5(3), which set forth conditions for registration of marks. These sections track the relevant language of the Directive (Articles 5(1)(b) and 5(2), and Articles 4(1)(b) and 4(4)(a)), and their interpretation </w:t>
      </w:r>
      <w:r>
        <w:t>–at least while the U.K. was part of the EU—was (and, to a degree still is)</w:t>
      </w:r>
      <w:r w:rsidRPr="00B14711">
        <w:t xml:space="preserve"> subject to the guidance of the European Court of Justice.</w:t>
      </w:r>
      <w:r w:rsidRPr="00B14711">
        <w:rPr>
          <w:spacing w:val="-3"/>
          <w:vertAlign w:val="superscript"/>
        </w:rPr>
        <w:footnoteReference w:id="164"/>
      </w:r>
    </w:p>
    <w:p w14:paraId="0F7C4E26" w14:textId="77777777" w:rsidR="006F142F" w:rsidRPr="00B14711" w:rsidRDefault="006F142F" w:rsidP="00B14711">
      <w:pPr>
        <w:pStyle w:val="text"/>
      </w:pPr>
      <w:r w:rsidRPr="00B14711">
        <w:t>The ECJ has held that Articles 4(1)(b) and 5(1)(b), requiring likelihood of confusion, which includes “likelihood of association,” does not permit a finding of infringement (or a refusal of registration) merely because the second use “calls to mind” the registered mark.</w:t>
      </w:r>
      <w:r w:rsidRPr="00B14711">
        <w:rPr>
          <w:spacing w:val="-3"/>
          <w:vertAlign w:val="superscript"/>
        </w:rPr>
        <w:footnoteReference w:id="165"/>
      </w:r>
      <w:r w:rsidRPr="00B14711">
        <w:t xml:space="preserve"> These articles were implemented by Sections 5(2) and 10(2) of the British statute.</w:t>
      </w:r>
    </w:p>
    <w:p w14:paraId="2ECED462" w14:textId="77777777" w:rsidR="006F142F" w:rsidRDefault="006F142F" w:rsidP="0078210B">
      <w:pPr>
        <w:pStyle w:val="text"/>
      </w:pPr>
      <w:r w:rsidRPr="00B14711">
        <w:t xml:space="preserve">However, Sections 10(3) and 5(3) of the U.K. statute contain no express requirement of confusion. Like the Directive, these sections originally applied only where the goods of the second user were </w:t>
      </w:r>
      <w:r w:rsidRPr="00B14711">
        <w:rPr>
          <w:i/>
          <w:iCs/>
        </w:rPr>
        <w:t>not</w:t>
      </w:r>
      <w:r w:rsidRPr="00B14711">
        <w:t xml:space="preserve"> similar to the goods of the first user. </w:t>
      </w:r>
      <w:r>
        <w:t>F</w:t>
      </w:r>
      <w:r w:rsidRPr="00B14711">
        <w:t xml:space="preserve">ollowing recent decisions of the </w:t>
      </w:r>
      <w:r>
        <w:t>CJEU</w:t>
      </w:r>
      <w:r w:rsidRPr="00B14711">
        <w:t>, these provisions were amended to eliminate the limitation to dissimilar goods.</w:t>
      </w:r>
      <w:r w:rsidRPr="00B14711">
        <w:rPr>
          <w:spacing w:val="-4"/>
          <w:vertAlign w:val="superscript"/>
        </w:rPr>
        <w:footnoteReference w:id="166"/>
      </w:r>
      <w:r w:rsidRPr="00B14711">
        <w:t xml:space="preserve"> Although an early British decision held that a showing of likelihood of confusion is still required under Section 10(3),</w:t>
      </w:r>
      <w:r w:rsidRPr="00B14711">
        <w:rPr>
          <w:spacing w:val="-4"/>
          <w:vertAlign w:val="superscript"/>
        </w:rPr>
        <w:footnoteReference w:id="167"/>
      </w:r>
      <w:r w:rsidRPr="00B14711">
        <w:t xml:space="preserve"> this decision likely contravenes the Directive as it is viewed by the </w:t>
      </w:r>
      <w:r>
        <w:t>CJEU</w:t>
      </w:r>
      <w:r w:rsidRPr="00B14711">
        <w:t>,</w:t>
      </w:r>
      <w:r w:rsidRPr="00B14711">
        <w:rPr>
          <w:spacing w:val="-4"/>
          <w:vertAlign w:val="superscript"/>
        </w:rPr>
        <w:footnoteReference w:id="168"/>
      </w:r>
      <w:r w:rsidRPr="00B14711">
        <w:t xml:space="preserve"> and does not reflect the current view of U.K. courts.</w:t>
      </w:r>
      <w:r w:rsidRPr="00B14711">
        <w:rPr>
          <w:vertAlign w:val="superscript"/>
        </w:rPr>
        <w:footnoteReference w:id="169"/>
      </w:r>
      <w:r w:rsidRPr="00B14711">
        <w:t xml:space="preserve"> On the issue of what constitutes a mark “with a reputation” in Britain, the ECJ has given some guidance,</w:t>
      </w:r>
      <w:r w:rsidRPr="00B14711">
        <w:rPr>
          <w:spacing w:val="-4"/>
          <w:vertAlign w:val="superscript"/>
        </w:rPr>
        <w:footnoteReference w:id="170"/>
      </w:r>
      <w:r w:rsidRPr="00B14711">
        <w:t xml:space="preserve"> and British courts appear to </w:t>
      </w:r>
      <w:r>
        <w:t>have followed</w:t>
      </w:r>
      <w:r w:rsidRPr="00B14711">
        <w:t xml:space="preserve"> suit.</w:t>
      </w:r>
      <w:r w:rsidRPr="00B14711">
        <w:rPr>
          <w:spacing w:val="-4"/>
          <w:vertAlign w:val="superscript"/>
        </w:rPr>
        <w:footnoteReference w:id="171"/>
      </w:r>
      <w:r w:rsidRPr="00B14711">
        <w:t xml:space="preserve"> </w:t>
      </w:r>
    </w:p>
    <w:p w14:paraId="4FB67F81" w14:textId="77777777" w:rsidR="006F142F" w:rsidRPr="007F4771" w:rsidRDefault="006F142F" w:rsidP="0078210B">
      <w:pPr>
        <w:pStyle w:val="text"/>
        <w:rPr>
          <w:vertAlign w:val="superscript"/>
        </w:rPr>
      </w:pPr>
      <w:r w:rsidRPr="003131C0">
        <w:t xml:space="preserve">For example, in </w:t>
      </w:r>
      <w:r w:rsidRPr="003131C0">
        <w:rPr>
          <w:i/>
          <w:iCs/>
        </w:rPr>
        <w:t>Maier v. Asos, plc</w:t>
      </w:r>
      <w:r w:rsidRPr="003131C0">
        <w:t>,</w:t>
      </w:r>
      <w:r w:rsidRPr="003131C0">
        <w:rPr>
          <w:vertAlign w:val="superscript"/>
        </w:rPr>
        <w:footnoteReference w:id="172"/>
      </w:r>
      <w:r w:rsidRPr="003131C0">
        <w:t xml:space="preserve"> the Court of Appeal explained that the requirement that a mark have a reputation “is . . . more than simply a threshold condition. The degree to which the registered mark is known is a vital element in the assessment as to whether a relevant association can arise between it and the sign about which complaint is made and, in consequence, the registered mark may be injured</w:t>
      </w:r>
      <w:r w:rsidRPr="003131C0">
        <w:rPr>
          <w:i/>
          <w:iCs/>
        </w:rPr>
        <w:t>.</w:t>
      </w:r>
      <w:r w:rsidRPr="003131C0">
        <w:t>”</w:t>
      </w:r>
      <w:r w:rsidRPr="003131C0">
        <w:rPr>
          <w:vertAlign w:val="superscript"/>
        </w:rPr>
        <w:footnoteReference w:id="173"/>
      </w:r>
      <w:r>
        <w:t xml:space="preserve">  In </w:t>
      </w:r>
      <w:r>
        <w:rPr>
          <w:i/>
          <w:iCs/>
        </w:rPr>
        <w:t>Sky plc v. Skykick UK, Ltd.</w:t>
      </w:r>
      <w:r>
        <w:t>,</w:t>
      </w:r>
      <w:r>
        <w:rPr>
          <w:rStyle w:val="FootnoteReference"/>
        </w:rPr>
        <w:footnoteReference w:id="174"/>
      </w:r>
      <w:r>
        <w:t xml:space="preserve"> the High Court stated that “[t]his is not a particularly onerous requirement.”</w:t>
      </w:r>
      <w:r>
        <w:rPr>
          <w:rStyle w:val="FootnoteReference"/>
        </w:rPr>
        <w:footnoteReference w:id="175"/>
      </w:r>
    </w:p>
    <w:p w14:paraId="274651C7" w14:textId="77777777" w:rsidR="006F142F" w:rsidRPr="003131C0" w:rsidRDefault="006F142F" w:rsidP="0078210B">
      <w:pPr>
        <w:pStyle w:val="text"/>
      </w:pPr>
      <w:r w:rsidRPr="003131C0">
        <w:rPr>
          <w:i/>
          <w:iCs/>
        </w:rPr>
        <w:t>Jadebay Ltd. v. Clarke-Coles Ltd</w:t>
      </w:r>
      <w:r>
        <w:rPr>
          <w:i/>
          <w:iCs/>
        </w:rPr>
        <w:t>.</w:t>
      </w:r>
      <w:r w:rsidRPr="003131C0">
        <w:rPr>
          <w:vertAlign w:val="superscript"/>
        </w:rPr>
        <w:footnoteReference w:id="176"/>
      </w:r>
      <w:r w:rsidRPr="003131C0">
        <w:t xml:space="preserve"> involved two sellers of flagpoles (a very niche market). Oddly, the trademark in question, Design Elements, while belonging to the plaintiff, was only used by the defendant—as a seller on Amazon who sold identical goods to the plaintiff. In light of the facts, the court refused to find that the mark had a reputation within the U.K.</w:t>
      </w:r>
      <w:r w:rsidRPr="003131C0">
        <w:rPr>
          <w:vertAlign w:val="superscript"/>
        </w:rPr>
        <w:footnoteReference w:id="177"/>
      </w:r>
    </w:p>
    <w:p w14:paraId="4FBC17EF" w14:textId="77777777" w:rsidR="006F142F" w:rsidRDefault="006F142F" w:rsidP="0078210B">
      <w:pPr>
        <w:pStyle w:val="text"/>
      </w:pPr>
      <w:r w:rsidRPr="003131C0">
        <w:t xml:space="preserve">Although the threshold for having a reputation is fairly low, it is not infinitesimal. In </w:t>
      </w:r>
      <w:r w:rsidRPr="003131C0">
        <w:rPr>
          <w:i/>
          <w:iCs/>
        </w:rPr>
        <w:t>Burgerista Operations GmbH v. Burgista Bros Ltd.</w:t>
      </w:r>
      <w:r w:rsidRPr="003131C0">
        <w:t>,</w:t>
      </w:r>
      <w:r w:rsidRPr="003131C0">
        <w:rPr>
          <w:vertAlign w:val="superscript"/>
        </w:rPr>
        <w:footnoteReference w:id="178"/>
      </w:r>
      <w:r w:rsidRPr="003131C0">
        <w:t xml:space="preserve"> the owner of </w:t>
      </w:r>
      <w:r>
        <w:t>the</w:t>
      </w:r>
      <w:r w:rsidRPr="003131C0">
        <w:t xml:space="preserve"> registered EU trade mark BURGERISTA sued the operator of Burgista restaurants. However, the BURGERISTA mark was only used in Austria</w:t>
      </w:r>
      <w:r>
        <w:t>,</w:t>
      </w:r>
      <w:r w:rsidRPr="003131C0">
        <w:t xml:space="preserve"> and there only in Vienna and some small cities, totaling nine establishments. The court held that this was not sufficient to establish a reputation in the EU.</w:t>
      </w:r>
      <w:r>
        <w:t xml:space="preserve"> </w:t>
      </w:r>
    </w:p>
    <w:p w14:paraId="7DEF0117" w14:textId="77777777" w:rsidR="006F142F" w:rsidRPr="00354D2B" w:rsidRDefault="006F142F" w:rsidP="0078210B">
      <w:pPr>
        <w:pStyle w:val="text"/>
      </w:pPr>
      <w:r w:rsidRPr="00B14711">
        <w:t xml:space="preserve">On the issue of what constitutes a use that takes unfair advantage of or is detrimental to the distinctive character of a mark, the decision of the High Court in </w:t>
      </w:r>
      <w:r w:rsidRPr="00B14711">
        <w:rPr>
          <w:i/>
          <w:iCs/>
        </w:rPr>
        <w:t>Sihra’s Trade Mark Application</w:t>
      </w:r>
      <w:r w:rsidRPr="00B14711">
        <w:t xml:space="preserve"> is instructive.</w:t>
      </w:r>
      <w:r w:rsidRPr="00B14711">
        <w:rPr>
          <w:spacing w:val="-4"/>
          <w:vertAlign w:val="superscript"/>
        </w:rPr>
        <w:footnoteReference w:id="179"/>
      </w:r>
      <w:r w:rsidRPr="00B14711">
        <w:t xml:space="preserve"> Microprocessor maker Intel opposed registration of the mark Intel-Play for “constructional toy puzzles.” Upholding the opposition, the court nevertheless noted that not all similar or identical uses that cause an association of the use with the well-known mark violated section 5(3).</w:t>
      </w:r>
      <w:r w:rsidRPr="00B14711">
        <w:rPr>
          <w:spacing w:val="-4"/>
          <w:vertAlign w:val="superscript"/>
        </w:rPr>
        <w:footnoteReference w:id="180"/>
      </w:r>
      <w:r w:rsidRPr="00B14711">
        <w:t xml:space="preserve"> Moreover, the court stated that it was “looking for proof of real future unfair advantage or detriment and not merely a risk of such.”</w:t>
      </w:r>
      <w:r w:rsidRPr="00B14711">
        <w:rPr>
          <w:spacing w:val="-4"/>
          <w:vertAlign w:val="superscript"/>
        </w:rPr>
        <w:footnoteReference w:id="181"/>
      </w:r>
      <w:r w:rsidRPr="00B14711">
        <w:t xml:space="preserve"> That standard appears similar to that enunciated by the U.S. Supreme Court in the </w:t>
      </w:r>
      <w:r w:rsidRPr="00B14711">
        <w:rPr>
          <w:i/>
          <w:iCs/>
        </w:rPr>
        <w:t>Moseley</w:t>
      </w:r>
      <w:r w:rsidRPr="00B14711">
        <w:t xml:space="preserve"> case.</w:t>
      </w:r>
      <w:r w:rsidRPr="00B14711">
        <w:rPr>
          <w:spacing w:val="-4"/>
          <w:vertAlign w:val="superscript"/>
        </w:rPr>
        <w:footnoteReference w:id="182"/>
      </w:r>
      <w:r w:rsidRPr="00B14711">
        <w:t xml:space="preserve"> However, when applying this standard, the court did not rely on any specific evidence, beyond that showing the reputation of the Intel mark.</w:t>
      </w:r>
      <w:r w:rsidRPr="00B14711">
        <w:rPr>
          <w:spacing w:val="-4"/>
          <w:vertAlign w:val="superscript"/>
        </w:rPr>
        <w:footnoteReference w:id="183"/>
      </w:r>
      <w:r w:rsidRPr="00B14711">
        <w:t xml:space="preserve"> Moreover, on the issue of use without “due cause,” the court stated that a desire to increase sales did not amount to due cause, and no other justification had been offered.</w:t>
      </w:r>
      <w:r w:rsidRPr="00B14711">
        <w:rPr>
          <w:spacing w:val="-4"/>
          <w:vertAlign w:val="superscript"/>
        </w:rPr>
        <w:footnoteReference w:id="184"/>
      </w:r>
      <w:r w:rsidRPr="00B14711">
        <w:t xml:space="preserve"> </w:t>
      </w:r>
      <w:r w:rsidRPr="003131C0">
        <w:t>It should also be remembered that British courts, following the lead of the CJEU and the General Court (formerly the Court of First Instance), have distinguished uses that are detrimental to the mark (which are viewed as more or less equivalent to blurring and tarnishment under U.S. law) and taking unfair advantage (which appears to be a broader “free riding” concept, almost like the misappropriation concept of “reaping where one has not sown”).</w:t>
      </w:r>
      <w:r w:rsidRPr="003131C0">
        <w:rPr>
          <w:vertAlign w:val="superscript"/>
        </w:rPr>
        <w:footnoteReference w:id="185"/>
      </w:r>
    </w:p>
    <w:p w14:paraId="5509C451" w14:textId="77777777" w:rsidR="006F142F" w:rsidRPr="00B14711" w:rsidRDefault="006F142F" w:rsidP="00B14711">
      <w:pPr>
        <w:pStyle w:val="text"/>
      </w:pPr>
      <w:r w:rsidRPr="00B14711">
        <w:t xml:space="preserve">In 2007, in the case of </w:t>
      </w:r>
      <w:r w:rsidRPr="00B14711">
        <w:rPr>
          <w:i/>
          <w:iCs/>
        </w:rPr>
        <w:t>Intel Corp</w:t>
      </w:r>
      <w:r w:rsidRPr="00B14711">
        <w:t>.</w:t>
      </w:r>
      <w:r w:rsidRPr="00B14711">
        <w:rPr>
          <w:i/>
          <w:iCs/>
        </w:rPr>
        <w:t xml:space="preserve"> v</w:t>
      </w:r>
      <w:r w:rsidRPr="00B14711">
        <w:t>.</w:t>
      </w:r>
      <w:r w:rsidRPr="00B14711">
        <w:rPr>
          <w:i/>
          <w:iCs/>
        </w:rPr>
        <w:t xml:space="preserve"> CPM United Kingdom, Ltd</w:t>
      </w:r>
      <w:r w:rsidRPr="00B14711">
        <w:t>.,</w:t>
      </w:r>
      <w:r w:rsidRPr="00B14711">
        <w:rPr>
          <w:spacing w:val="-4"/>
          <w:vertAlign w:val="superscript"/>
        </w:rPr>
        <w:footnoteReference w:id="186"/>
      </w:r>
      <w:r w:rsidRPr="00B14711">
        <w:t xml:space="preserve"> the U.K. Court of Appeal referred several questions to the ECJ for guidance as to how U.K. law should be interpreted in light of the Directive. It is evident from the opinion that accompanies the reference that the judges were concerned about the possible effects of a decision giving trademark owners wide control over the use of well-known marks.</w:t>
      </w:r>
      <w:r w:rsidRPr="00B14711">
        <w:rPr>
          <w:spacing w:val="-4"/>
          <w:vertAlign w:val="superscript"/>
        </w:rPr>
        <w:footnoteReference w:id="187"/>
      </w:r>
      <w:r w:rsidRPr="00B14711">
        <w:t xml:space="preserve"> The ECJ responded with a decision listing various criteria—such as a “link” and “evidence of a change in the economic behavior” of the well-known mark’s customers—for determining dilution. (The ECJ’s </w:t>
      </w:r>
      <w:r w:rsidRPr="00B14711">
        <w:rPr>
          <w:i/>
          <w:iCs/>
        </w:rPr>
        <w:t>Intel</w:t>
      </w:r>
      <w:r w:rsidRPr="00B14711">
        <w:t xml:space="preserve"> decision</w:t>
      </w:r>
      <w:r w:rsidRPr="00B14711">
        <w:rPr>
          <w:spacing w:val="-4"/>
          <w:vertAlign w:val="superscript"/>
        </w:rPr>
        <w:footnoteReference w:id="188"/>
      </w:r>
      <w:r w:rsidRPr="00B14711">
        <w:t xml:space="preserve"> is discussed in Section III.A.1.d</w:t>
      </w:r>
      <w:r>
        <w:t>, above</w:t>
      </w:r>
      <w:r w:rsidRPr="00B14711">
        <w:t xml:space="preserve">.) However, it is not clear whether </w:t>
      </w:r>
      <w:r w:rsidRPr="00B14711">
        <w:rPr>
          <w:i/>
          <w:iCs/>
        </w:rPr>
        <w:t>Intel</w:t>
      </w:r>
      <w:r w:rsidRPr="00B14711">
        <w:t xml:space="preserve"> allayed or confirmed the fears of the Court of Appeal. The British courts also were the origins of the subsequent ECJ decision in </w:t>
      </w:r>
      <w:r w:rsidRPr="00B14711">
        <w:rPr>
          <w:i/>
          <w:iCs/>
        </w:rPr>
        <w:t>L’Oréal, S</w:t>
      </w:r>
      <w:r w:rsidRPr="00B14711">
        <w:t>.</w:t>
      </w:r>
      <w:r w:rsidRPr="00B14711">
        <w:rPr>
          <w:i/>
          <w:iCs/>
        </w:rPr>
        <w:t>A</w:t>
      </w:r>
      <w:r w:rsidRPr="00B14711">
        <w:t>.</w:t>
      </w:r>
      <w:r w:rsidRPr="00B14711">
        <w:rPr>
          <w:i/>
          <w:iCs/>
        </w:rPr>
        <w:t xml:space="preserve"> v</w:t>
      </w:r>
      <w:r w:rsidRPr="00B14711">
        <w:t>.</w:t>
      </w:r>
      <w:r w:rsidRPr="00B14711">
        <w:rPr>
          <w:i/>
          <w:iCs/>
        </w:rPr>
        <w:t xml:space="preserve"> Bellure NV</w:t>
      </w:r>
      <w:r w:rsidRPr="00B14711">
        <w:t>,</w:t>
      </w:r>
      <w:r w:rsidRPr="00B14711">
        <w:rPr>
          <w:vertAlign w:val="superscript"/>
        </w:rPr>
        <w:footnoteReference w:id="189"/>
      </w:r>
      <w:r w:rsidRPr="00B14711">
        <w:t xml:space="preserve"> which upheld the use of dilution—specifically the “unfair advantage” category—in what U.S. lawyers would regard as a comparative advertising situation.</w:t>
      </w:r>
    </w:p>
    <w:p w14:paraId="72BD4618" w14:textId="77777777" w:rsidR="006F142F" w:rsidRPr="00B14711" w:rsidRDefault="006F142F" w:rsidP="00B14711">
      <w:pPr>
        <w:pStyle w:val="text"/>
        <w:rPr>
          <w:spacing w:val="-4"/>
        </w:rPr>
      </w:pPr>
      <w:r w:rsidRPr="00B14711">
        <w:t xml:space="preserve">Cases in the Court of Appeal illustrate the struggles of the U.K. courts applying the ECJ’s dilution opinions. </w:t>
      </w:r>
      <w:r w:rsidRPr="00B14711">
        <w:rPr>
          <w:i/>
          <w:iCs/>
        </w:rPr>
        <w:t>Whirlpool Corp</w:t>
      </w:r>
      <w:r w:rsidRPr="00B14711">
        <w:t>.</w:t>
      </w:r>
      <w:r w:rsidRPr="00B14711">
        <w:rPr>
          <w:i/>
          <w:iCs/>
        </w:rPr>
        <w:t xml:space="preserve"> v</w:t>
      </w:r>
      <w:r w:rsidRPr="00B14711">
        <w:t>.</w:t>
      </w:r>
      <w:r w:rsidRPr="00B14711">
        <w:rPr>
          <w:i/>
          <w:iCs/>
        </w:rPr>
        <w:t xml:space="preserve"> Kenwood, Ltd</w:t>
      </w:r>
      <w:r w:rsidRPr="00B14711">
        <w:t>.</w:t>
      </w:r>
      <w:r w:rsidRPr="00B14711">
        <w:rPr>
          <w:spacing w:val="-4"/>
          <w:vertAlign w:val="superscript"/>
        </w:rPr>
        <w:footnoteReference w:id="190"/>
      </w:r>
      <w:r w:rsidRPr="00B14711">
        <w:t xml:space="preserve"> involved the shape of a high-end stand mixer, with Whirlpool claiming that Kenwood’s kMix model diluted Whirlpool’s KitchenAid Artisan model, for which Whirlpool had a Community Trade Mark. The High Court had denied relief, finding neither confusion nor dilution, and the Court of Appeal upheld the High Court ruling.</w:t>
      </w:r>
      <w:r w:rsidRPr="00B14711">
        <w:rPr>
          <w:spacing w:val="-4"/>
          <w:vertAlign w:val="superscript"/>
        </w:rPr>
        <w:footnoteReference w:id="191"/>
      </w:r>
      <w:r w:rsidRPr="00B14711">
        <w:t xml:space="preserve"> (However, the High Court did find that there was sufficient evidence that Whirlpool’s mark had a reputation in the European Community, relying primarily on its reputation in the United Kingdom.</w:t>
      </w:r>
      <w:r w:rsidRPr="00B14711">
        <w:rPr>
          <w:spacing w:val="-4"/>
          <w:vertAlign w:val="superscript"/>
        </w:rPr>
        <w:footnoteReference w:id="192"/>
      </w:r>
      <w:r w:rsidRPr="00B14711">
        <w:t xml:space="preserve">) Regarding dilution, the </w:t>
      </w:r>
      <w:r>
        <w:t>appellate</w:t>
      </w:r>
      <w:r w:rsidRPr="00B14711">
        <w:t xml:space="preserve"> court upheld the lower court’s ruling that there was a lack of evidence of an effect (or likely effect) on the economic behavior of consumers.</w:t>
      </w:r>
      <w:r w:rsidRPr="00B14711">
        <w:rPr>
          <w:spacing w:val="-4"/>
          <w:vertAlign w:val="superscript"/>
        </w:rPr>
        <w:footnoteReference w:id="193"/>
      </w:r>
    </w:p>
    <w:p w14:paraId="6236EB6C" w14:textId="77777777" w:rsidR="006F142F" w:rsidRDefault="006F142F" w:rsidP="00B14711">
      <w:pPr>
        <w:pStyle w:val="text"/>
      </w:pPr>
      <w:r w:rsidRPr="00B14711">
        <w:t>Specifically, although consumers might be induced to look at a Kenwood mixer, the shape would not cause them to purchase one.</w:t>
      </w:r>
      <w:r w:rsidRPr="00B14711">
        <w:rPr>
          <w:spacing w:val="-4"/>
          <w:vertAlign w:val="superscript"/>
        </w:rPr>
        <w:footnoteReference w:id="194"/>
      </w:r>
      <w:r w:rsidRPr="00B14711">
        <w:t xml:space="preserve"> The court then noted that the ECJ’s opinion in </w:t>
      </w:r>
      <w:r w:rsidRPr="00B14711">
        <w:rPr>
          <w:i/>
          <w:iCs/>
        </w:rPr>
        <w:t>Intel Corp</w:t>
      </w:r>
      <w:r w:rsidRPr="00B14711">
        <w:t>.</w:t>
      </w:r>
      <w:r w:rsidRPr="00B14711">
        <w:rPr>
          <w:i/>
          <w:iCs/>
        </w:rPr>
        <w:t xml:space="preserve"> v</w:t>
      </w:r>
      <w:r w:rsidRPr="00B14711">
        <w:t>.</w:t>
      </w:r>
      <w:r w:rsidRPr="00B14711">
        <w:rPr>
          <w:i/>
          <w:iCs/>
        </w:rPr>
        <w:t xml:space="preserve"> CPM United Kingdom, Ltd</w:t>
      </w:r>
      <w:r w:rsidRPr="00B14711">
        <w:t xml:space="preserve">. did not specifically address the problem of what constitutes “taking unfair advantage.” The court thus looked at the more recent ECJ opinion in the </w:t>
      </w:r>
      <w:r w:rsidRPr="00B14711">
        <w:rPr>
          <w:i/>
          <w:iCs/>
        </w:rPr>
        <w:t>L’Oréal</w:t>
      </w:r>
      <w:r w:rsidRPr="00B14711">
        <w:t xml:space="preserve"> case</w:t>
      </w:r>
      <w:r w:rsidRPr="00B14711">
        <w:rPr>
          <w:spacing w:val="-4"/>
          <w:vertAlign w:val="superscript"/>
        </w:rPr>
        <w:footnoteReference w:id="195"/>
      </w:r>
      <w:r w:rsidRPr="00B14711">
        <w:t xml:space="preserve"> which upheld a claim of taking unfair advantage. In the Court of Appeal’s view, </w:t>
      </w:r>
      <w:r w:rsidRPr="00B14711">
        <w:rPr>
          <w:i/>
          <w:iCs/>
        </w:rPr>
        <w:t>L’Oréal</w:t>
      </w:r>
      <w:r w:rsidRPr="00B14711">
        <w:t xml:space="preserve"> involved an </w:t>
      </w:r>
      <w:r w:rsidRPr="00B14711">
        <w:rPr>
          <w:i/>
          <w:iCs/>
        </w:rPr>
        <w:t>intent</w:t>
      </w:r>
      <w:r w:rsidRPr="00B14711">
        <w:t xml:space="preserve"> to free ride—that is, the imitators specifically attempted to capitalize on the reputation of the major perfume brands when marketing their imitations. By contrast, the court saw no such intent in this case. Indeed, it opined that imposing liability in the absence of such intent would read the word “unfair” out of the statute.</w:t>
      </w:r>
      <w:r w:rsidRPr="00B14711">
        <w:rPr>
          <w:spacing w:val="-4"/>
          <w:vertAlign w:val="superscript"/>
        </w:rPr>
        <w:footnoteReference w:id="196"/>
      </w:r>
    </w:p>
    <w:p w14:paraId="6FF26CDE" w14:textId="77777777" w:rsidR="006F142F" w:rsidRDefault="006F142F" w:rsidP="0078210B">
      <w:pPr>
        <w:pStyle w:val="text"/>
      </w:pPr>
      <w:r w:rsidRPr="003131C0">
        <w:t xml:space="preserve">Similarly, in </w:t>
      </w:r>
      <w:r w:rsidRPr="003131C0">
        <w:rPr>
          <w:i/>
          <w:iCs/>
        </w:rPr>
        <w:t>Maier v. ASOS, plc</w:t>
      </w:r>
      <w:r w:rsidRPr="003131C0">
        <w:t>,</w:t>
      </w:r>
      <w:r w:rsidRPr="003131C0">
        <w:rPr>
          <w:vertAlign w:val="superscript"/>
        </w:rPr>
        <w:footnoteReference w:id="197"/>
      </w:r>
      <w:r w:rsidRPr="003131C0">
        <w:t xml:space="preserve"> the Court applied the CTM Regulation</w:t>
      </w:r>
      <w:r>
        <w:t xml:space="preserve"> (as it was then called)</w:t>
      </w:r>
      <w:r w:rsidRPr="003131C0">
        <w:t xml:space="preserve"> on dilution, emphasizing the need to show a change in the economic behavior of consumers, </w:t>
      </w:r>
      <w:r>
        <w:t xml:space="preserve">and </w:t>
      </w:r>
      <w:r w:rsidRPr="003131C0">
        <w:t>found a lack of evidence that the mark ASOS would dilute the distinctiveness of the mark ASSOS, given the relatively specialized group of consumers for which the ASSOS mark had acquired a reputation.</w:t>
      </w:r>
      <w:r w:rsidRPr="003131C0">
        <w:rPr>
          <w:vertAlign w:val="superscript"/>
        </w:rPr>
        <w:footnoteReference w:id="198"/>
      </w:r>
      <w:r w:rsidRPr="003131C0">
        <w:t xml:space="preserve"> However, the Court ultimately found that because the ASOS mark’s repute would harm ASSOS’s ability to expand into product areas covered by its registration (but not currently used), there was a detriment to the mark’s distinctiveness and thus dilution.</w:t>
      </w:r>
      <w:r w:rsidRPr="003131C0">
        <w:rPr>
          <w:vertAlign w:val="superscript"/>
        </w:rPr>
        <w:footnoteReference w:id="199"/>
      </w:r>
    </w:p>
    <w:p w14:paraId="42476A4C" w14:textId="77777777" w:rsidR="006F142F" w:rsidRDefault="006F142F" w:rsidP="0078210B">
      <w:pPr>
        <w:pStyle w:val="text"/>
      </w:pPr>
      <w:r>
        <w:t xml:space="preserve">In </w:t>
      </w:r>
      <w:r w:rsidRPr="00251F78">
        <w:rPr>
          <w:i/>
          <w:iCs/>
        </w:rPr>
        <w:t>Equisafety, Ltd., v. Battle, Hayward, and Bower, Ltd.</w:t>
      </w:r>
      <w:r>
        <w:t>,</w:t>
      </w:r>
      <w:r>
        <w:rPr>
          <w:rStyle w:val="FootnoteReference"/>
        </w:rPr>
        <w:footnoteReference w:id="200"/>
      </w:r>
      <w:r>
        <w:t xml:space="preserve"> the court considered all three types of dilution—detriment to distinctiveness, detriment to reputation, and unfair advantage.  Although the direct evidence of economic injury was sparse, the court found injury to distinctiveness based on its evaluation of likelihood of confusion.</w:t>
      </w:r>
      <w:r>
        <w:rPr>
          <w:rStyle w:val="FootnoteReference"/>
        </w:rPr>
        <w:footnoteReference w:id="201"/>
      </w:r>
      <w:r>
        <w:t xml:space="preserve"> It also found unfair advantage, again citing the court’s determination of likely confusion, plus the reputation of the mark.</w:t>
      </w:r>
      <w:r>
        <w:rPr>
          <w:rStyle w:val="FootnoteReference"/>
        </w:rPr>
        <w:footnoteReference w:id="202"/>
      </w:r>
      <w:r>
        <w:t xml:space="preserve">  However, it found insufficient evidence to support a finding of detriment to the mark’s reputation.</w:t>
      </w:r>
      <w:r>
        <w:rPr>
          <w:rStyle w:val="FootnoteReference"/>
        </w:rPr>
        <w:footnoteReference w:id="203"/>
      </w:r>
      <w:r>
        <w:t xml:space="preserve">  </w:t>
      </w:r>
    </w:p>
    <w:p w14:paraId="48C5C3F2" w14:textId="77777777" w:rsidR="006F142F" w:rsidRPr="00B14711" w:rsidRDefault="006F142F" w:rsidP="00B14711">
      <w:pPr>
        <w:pStyle w:val="text"/>
      </w:pPr>
      <w:r w:rsidRPr="00B14711">
        <w:t xml:space="preserve">In </w:t>
      </w:r>
      <w:r w:rsidRPr="00B14711">
        <w:rPr>
          <w:i/>
          <w:iCs/>
        </w:rPr>
        <w:t>L’Oréal SA v</w:t>
      </w:r>
      <w:r w:rsidRPr="00B14711">
        <w:t>.</w:t>
      </w:r>
      <w:r w:rsidRPr="00B14711">
        <w:rPr>
          <w:i/>
          <w:iCs/>
        </w:rPr>
        <w:t xml:space="preserve"> Bellure NV</w:t>
      </w:r>
      <w:r w:rsidRPr="00B14711">
        <w:t>,</w:t>
      </w:r>
      <w:r w:rsidRPr="00B14711">
        <w:rPr>
          <w:vertAlign w:val="superscript"/>
        </w:rPr>
        <w:footnoteReference w:id="204"/>
      </w:r>
      <w:r w:rsidRPr="00B14711">
        <w:t xml:space="preserve"> the Court of Appeal implemented the ECJ’s decision in the </w:t>
      </w:r>
      <w:r w:rsidRPr="00B14711">
        <w:rPr>
          <w:i/>
          <w:iCs/>
        </w:rPr>
        <w:t>L’Oréal</w:t>
      </w:r>
      <w:r w:rsidRPr="00B14711">
        <w:t xml:space="preserve"> case.</w:t>
      </w:r>
      <w:r w:rsidRPr="00B14711">
        <w:rPr>
          <w:vertAlign w:val="superscript"/>
        </w:rPr>
        <w:footnoteReference w:id="205"/>
      </w:r>
      <w:r w:rsidRPr="00B14711">
        <w:t xml:space="preserve"> However, the Court of Appeal was demonstrably unhappy with, and highly critical of, the ECJ’s decision. The defendants in the case had created “smell-alikes” of various well-known brands of perfumes and created a list matching the different well-known brands with the appropriate imitation brand (there was no deception). The opinion by Lord Jacob stated that the ECJ had “muzzled” the defendants “from telling the truth,”</w:t>
      </w:r>
      <w:r w:rsidRPr="00B14711">
        <w:rPr>
          <w:vertAlign w:val="superscript"/>
        </w:rPr>
        <w:footnoteReference w:id="206"/>
      </w:r>
      <w:r w:rsidRPr="00B14711">
        <w:t xml:space="preserve"> hindering free speech</w:t>
      </w:r>
      <w:r w:rsidRPr="00B14711">
        <w:rPr>
          <w:vertAlign w:val="superscript"/>
        </w:rPr>
        <w:footnoteReference w:id="207"/>
      </w:r>
      <w:r w:rsidRPr="00B14711">
        <w:t xml:space="preserve"> and inhibiting free trade.</w:t>
      </w:r>
      <w:r w:rsidRPr="00B14711">
        <w:rPr>
          <w:vertAlign w:val="superscript"/>
        </w:rPr>
        <w:footnoteReference w:id="208"/>
      </w:r>
      <w:r w:rsidRPr="00B14711">
        <w:t xml:space="preserve"> Nevertheless, the court concluded that the ECJ’s opinion made clear that even a “descriptive” use of another’s mark on the same goods (here, the use of the mark to describe the comparable perfume to the defendant’s perfume) constituted an infringement where the use is contained in an advertisement. The court first found that the ECJ’s decision mandated a finding of infringement under EU Directive Article 5(1)(a), proscribing a use of the same mark on the same goods, and that the ECJ had also concluded that the European Comparative Advertising Directive did not prevent liability.</w:t>
      </w:r>
      <w:r w:rsidRPr="00B14711">
        <w:rPr>
          <w:vertAlign w:val="superscript"/>
        </w:rPr>
        <w:footnoteReference w:id="209"/>
      </w:r>
      <w:r w:rsidRPr="00B14711">
        <w:t xml:space="preserve"> Again, the Court of Appeal acted with great reluctance and critical remarks.</w:t>
      </w:r>
      <w:r w:rsidRPr="00B14711">
        <w:rPr>
          <w:vertAlign w:val="superscript"/>
        </w:rPr>
        <w:footnoteReference w:id="210"/>
      </w:r>
      <w:r w:rsidRPr="00B14711">
        <w:t xml:space="preserve"> Finally, the court stated that the ECJ’s opinion left no doubt that the defendant’s use also took “unfair advantage of the distinctive character or the repute of the mark.”</w:t>
      </w:r>
      <w:r w:rsidRPr="00B14711">
        <w:rPr>
          <w:vertAlign w:val="superscript"/>
        </w:rPr>
        <w:footnoteReference w:id="211"/>
      </w:r>
      <w:r w:rsidRPr="00B14711">
        <w:t xml:space="preserve"> As with the rest of the opinion, the court was critical of the ECJ’s reasoning, calling the result the grant of “a pointless monopoly.”</w:t>
      </w:r>
      <w:r w:rsidRPr="00B14711">
        <w:rPr>
          <w:vertAlign w:val="superscript"/>
        </w:rPr>
        <w:footnoteReference w:id="212"/>
      </w:r>
      <w:r w:rsidRPr="00B14711">
        <w:t xml:space="preserve"> The court was similarly critical of the ECJ’s characterization of the defendant’s actions as “parasitic” and “riding on the coattails” (or free riding) without any clear method of distinguishing between actions that are disapproved and those that are not.</w:t>
      </w:r>
      <w:r w:rsidRPr="00B14711">
        <w:rPr>
          <w:vertAlign w:val="superscript"/>
        </w:rPr>
        <w:footnoteReference w:id="213"/>
      </w:r>
    </w:p>
    <w:p w14:paraId="65FAE8B0" w14:textId="77777777" w:rsidR="006F142F" w:rsidRDefault="006F142F" w:rsidP="00B14711">
      <w:pPr>
        <w:pStyle w:val="text"/>
      </w:pPr>
      <w:r w:rsidRPr="00B14711">
        <w:t>Other cases in the U.K. courts indicate the difficulty of implementing the ECJ’s directions.</w:t>
      </w:r>
      <w:r w:rsidRPr="00B14711">
        <w:rPr>
          <w:vertAlign w:val="superscript"/>
        </w:rPr>
        <w:footnoteReference w:id="214"/>
      </w:r>
    </w:p>
    <w:p w14:paraId="65BD969B" w14:textId="77777777" w:rsidR="006F142F" w:rsidRPr="003131C0" w:rsidRDefault="006F142F" w:rsidP="000D7ECF">
      <w:pPr>
        <w:pStyle w:val="text"/>
        <w:rPr>
          <w:vertAlign w:val="superscript"/>
        </w:rPr>
      </w:pPr>
      <w:r w:rsidRPr="003131C0">
        <w:t xml:space="preserve">In </w:t>
      </w:r>
      <w:r w:rsidRPr="003131C0">
        <w:rPr>
          <w:i/>
          <w:iCs/>
        </w:rPr>
        <w:t>British Sky Broadcasting Group Plc v. Microsoft Corp.</w:t>
      </w:r>
      <w:r w:rsidRPr="003131C0">
        <w:t>,</w:t>
      </w:r>
      <w:r w:rsidRPr="003131C0">
        <w:rPr>
          <w:vertAlign w:val="superscript"/>
        </w:rPr>
        <w:footnoteReference w:id="215"/>
      </w:r>
      <w:r w:rsidRPr="003131C0">
        <w:t xml:space="preserve"> the High Court upheld a dilution claim by the owner of SKY broadcasting (who had registered two SKY CTMs and two U.K. trademarks) against Microsoft’s use of SkyDrive for its cloud-based storage system. The court first noted that Sky Broadcasting had a significant reputation within the U.K. and that was sufficient, even for the CTM, to satisfy the “mark with a reputation” requirement.</w:t>
      </w:r>
      <w:r w:rsidRPr="003131C0">
        <w:rPr>
          <w:vertAlign w:val="superscript"/>
        </w:rPr>
        <w:footnoteReference w:id="216"/>
      </w:r>
      <w:r w:rsidRPr="003131C0">
        <w:t xml:space="preserve"> Next, citing the CJEU’s </w:t>
      </w:r>
      <w:r w:rsidRPr="003131C0">
        <w:rPr>
          <w:i/>
          <w:iCs/>
        </w:rPr>
        <w:t>Intel</w:t>
      </w:r>
      <w:r w:rsidRPr="003131C0">
        <w:t xml:space="preserve"> decision, the court found sufficient basis to say that consumers would make a link between the Microsoft SkyDrive and Sky Broadcasting (which also is a provider of internet services in the U.K.).</w:t>
      </w:r>
      <w:r w:rsidRPr="003131C0">
        <w:rPr>
          <w:vertAlign w:val="superscript"/>
        </w:rPr>
        <w:footnoteReference w:id="217"/>
      </w:r>
      <w:r w:rsidRPr="003131C0">
        <w:t xml:space="preserve"> The court then found a likelihood of dilution, considering the relative distinctiveness of the SKY mark in the U.K. and the relative similarity of services on which the marks would be used (internet services by plaintiff and cloud drive by defendant), as well as the use of “subsidiary apps” with the SKY mark by Microsoft.</w:t>
      </w:r>
      <w:r w:rsidRPr="003131C0">
        <w:rPr>
          <w:vertAlign w:val="superscript"/>
        </w:rPr>
        <w:footnoteReference w:id="218"/>
      </w:r>
      <w:r w:rsidRPr="003131C0">
        <w:t xml:space="preserve"> Finally, the court found Microsoft’s use to be “without due cause,” especially considering that it had renamed this service before and, in the court’s view, could easily do it again.</w:t>
      </w:r>
      <w:r w:rsidRPr="003131C0">
        <w:rPr>
          <w:vertAlign w:val="superscript"/>
        </w:rPr>
        <w:footnoteReference w:id="219"/>
      </w:r>
    </w:p>
    <w:p w14:paraId="35479D03" w14:textId="77777777" w:rsidR="006F142F" w:rsidRPr="003131C0" w:rsidRDefault="006F142F" w:rsidP="000D7ECF">
      <w:pPr>
        <w:pStyle w:val="text"/>
        <w:rPr>
          <w:vertAlign w:val="superscript"/>
        </w:rPr>
      </w:pPr>
      <w:r w:rsidRPr="003131C0">
        <w:t xml:space="preserve">In </w:t>
      </w:r>
      <w:r w:rsidRPr="003131C0">
        <w:rPr>
          <w:i/>
          <w:iCs/>
        </w:rPr>
        <w:t>Thomas Pink, Ltd. v. Victoria’s Secret UK, Ltd.</w:t>
      </w:r>
      <w:r w:rsidRPr="003131C0">
        <w:t>,</w:t>
      </w:r>
      <w:r w:rsidRPr="003131C0">
        <w:rPr>
          <w:vertAlign w:val="superscript"/>
        </w:rPr>
        <w:footnoteReference w:id="220"/>
      </w:r>
      <w:r w:rsidRPr="003131C0">
        <w:t xml:space="preserve"> a British clothier sued Victoria’s Secret over the latter’s use of PINK as a trademark for clothes and a retail store, claiming both conventional infringement and dilution under both EU law (for its CTM) and U</w:t>
      </w:r>
      <w:r>
        <w:t>.</w:t>
      </w:r>
      <w:r w:rsidRPr="003131C0">
        <w:t>K</w:t>
      </w:r>
      <w:r>
        <w:t>.</w:t>
      </w:r>
      <w:r w:rsidRPr="003131C0">
        <w:t xml:space="preserve"> law. The court dismissed a claim of taking unfair advantage as not “tenable,”</w:t>
      </w:r>
      <w:r w:rsidRPr="003131C0">
        <w:rPr>
          <w:vertAlign w:val="superscript"/>
        </w:rPr>
        <w:footnoteReference w:id="221"/>
      </w:r>
      <w:r w:rsidRPr="003131C0">
        <w:t xml:space="preserve"> but considered in detail claims of harm to distinctiveness and harm to reputation. The court first found that the mark had a reputation, although not as to all clothing.</w:t>
      </w:r>
      <w:r w:rsidRPr="003131C0">
        <w:rPr>
          <w:vertAlign w:val="superscript"/>
        </w:rPr>
        <w:footnoteReference w:id="222"/>
      </w:r>
      <w:r w:rsidRPr="003131C0">
        <w:t xml:space="preserve"> The court further found that consumers would make a link between the two marks.</w:t>
      </w:r>
      <w:r w:rsidRPr="003131C0">
        <w:rPr>
          <w:vertAlign w:val="superscript"/>
        </w:rPr>
        <w:footnoteReference w:id="223"/>
      </w:r>
      <w:r w:rsidRPr="003131C0">
        <w:t xml:space="preserve"> Next, it found a lack of due cause,</w:t>
      </w:r>
      <w:r w:rsidRPr="003131C0">
        <w:rPr>
          <w:vertAlign w:val="superscript"/>
        </w:rPr>
        <w:footnoteReference w:id="224"/>
      </w:r>
      <w:r w:rsidRPr="003131C0">
        <w:t xml:space="preserve"> rejecting Victoria’s Secret’s claim that it had due cause due to its PINK retail establishments already existing in the United States. The court, however, noted that trademarks are territorial, that Victoria’s Secret had not established a use in the U.K., and that Victoria’s Secret should have investigated before using the mark in the U.K.</w:t>
      </w:r>
      <w:r w:rsidRPr="003131C0">
        <w:rPr>
          <w:vertAlign w:val="superscript"/>
        </w:rPr>
        <w:footnoteReference w:id="225"/>
      </w:r>
      <w:r w:rsidRPr="003131C0">
        <w:t xml:space="preserve"> The court then turned to detriment to the mark, noting that a “serious risk of detriment” was required.</w:t>
      </w:r>
      <w:r w:rsidRPr="003131C0">
        <w:rPr>
          <w:vertAlign w:val="superscript"/>
        </w:rPr>
        <w:footnoteReference w:id="226"/>
      </w:r>
      <w:r w:rsidRPr="003131C0">
        <w:t xml:space="preserve"> In this case, the court found both harm to reputation and harm to distinctiveness. As to reputation, the court stated that the “mass market” appeal of Victoria’s Secret, combined with its “sexy sells” aura, would result in the plaintiff’s CTM being viewed by the public as less exclusive and less “luxurious.”</w:t>
      </w:r>
      <w:r w:rsidRPr="003131C0">
        <w:rPr>
          <w:vertAlign w:val="superscript"/>
        </w:rPr>
        <w:footnoteReference w:id="227"/>
      </w:r>
      <w:r w:rsidRPr="003131C0">
        <w:t xml:space="preserve"> As to distinctiveness, the court regarded the much larger Victoria’s Secret marketing to be a serious threat to the future ability of the plaintiff to use its PINK mark as a distinctive selling vehicle, and that Victoria’s Secret could cause what in the U.S. would be called reverse confusion—that the public would associate the PINK mark primarily with Victoria’s Secret and view the plaintiff as the interloper.</w:t>
      </w:r>
      <w:r w:rsidRPr="003131C0">
        <w:rPr>
          <w:vertAlign w:val="superscript"/>
        </w:rPr>
        <w:footnoteReference w:id="228"/>
      </w:r>
    </w:p>
    <w:p w14:paraId="175F5ABA" w14:textId="77777777" w:rsidR="006F142F" w:rsidRPr="003131C0" w:rsidRDefault="006F142F" w:rsidP="000D7ECF">
      <w:pPr>
        <w:pStyle w:val="text"/>
        <w:rPr>
          <w:vertAlign w:val="superscript"/>
        </w:rPr>
      </w:pPr>
      <w:r w:rsidRPr="003131C0">
        <w:t xml:space="preserve">Another example of reverse confusion as dilution (what was called “wrong way round” confusion in the case) is </w:t>
      </w:r>
      <w:r w:rsidRPr="003131C0">
        <w:rPr>
          <w:i/>
          <w:iCs/>
        </w:rPr>
        <w:t>Comic Enterprises, Ltd. v. Twentieth Century Fox Film Corp.</w:t>
      </w:r>
      <w:r w:rsidRPr="003131C0">
        <w:t>,</w:t>
      </w:r>
      <w:r w:rsidRPr="003131C0">
        <w:rPr>
          <w:vertAlign w:val="superscript"/>
        </w:rPr>
        <w:footnoteReference w:id="229"/>
      </w:r>
      <w:r w:rsidRPr="003131C0">
        <w:t xml:space="preserve"> where the owner of several nightclubs called The Glee Club sued Twentieth Century Fox over the then-popular television series “Glee.”</w:t>
      </w:r>
      <w:r w:rsidRPr="003131C0">
        <w:rPr>
          <w:vertAlign w:val="superscript"/>
        </w:rPr>
        <w:footnoteReference w:id="230"/>
      </w:r>
      <w:r w:rsidRPr="003131C0">
        <w:t xml:space="preserve"> The Court of Appeal found that the Glee Club mark had a sufficient reputation, and that a link between the marks could be found by “wrong way round” association.</w:t>
      </w:r>
      <w:r w:rsidRPr="003131C0">
        <w:rPr>
          <w:vertAlign w:val="superscript"/>
        </w:rPr>
        <w:footnoteReference w:id="231"/>
      </w:r>
      <w:r w:rsidRPr="003131C0">
        <w:t xml:space="preserve"> Similar to the </w:t>
      </w:r>
      <w:r w:rsidRPr="003131C0">
        <w:rPr>
          <w:i/>
          <w:iCs/>
        </w:rPr>
        <w:t>Thomas Pink</w:t>
      </w:r>
      <w:r w:rsidRPr="003131C0">
        <w:t xml:space="preserve"> case above, the court found that there was sufficient evidence of harm to the distinctiveness of the plaintiff’s mark from it “being swamped by Fox’s use of its sign.”</w:t>
      </w:r>
      <w:r w:rsidRPr="003131C0">
        <w:rPr>
          <w:vertAlign w:val="superscript"/>
        </w:rPr>
        <w:footnoteReference w:id="232"/>
      </w:r>
    </w:p>
    <w:p w14:paraId="402854DB" w14:textId="77777777" w:rsidR="006F142F" w:rsidRDefault="006F142F" w:rsidP="000D7ECF">
      <w:pPr>
        <w:pStyle w:val="text"/>
      </w:pPr>
      <w:r w:rsidRPr="003131C0">
        <w:rPr>
          <w:i/>
          <w:iCs/>
        </w:rPr>
        <w:t>Jack Wills Ltd. v. House of Fraser (Stores) Ltd.</w:t>
      </w:r>
      <w:r w:rsidRPr="003131C0">
        <w:rPr>
          <w:vertAlign w:val="superscript"/>
        </w:rPr>
        <w:footnoteReference w:id="233"/>
      </w:r>
      <w:r w:rsidRPr="003131C0">
        <w:t xml:space="preserve"> shows that the “unfair advantage” branch of dilution can be a very broad form of protection. The case involved a dispute about the logos used by two clothing sellers—in particular, logos embroidered on the left breast of men’s shirts (in the manner of the Lacoste alligator or the Ralph Lauren polo player). In this case, plaintiff used a pheasant dressed in a top hat and cane, while defendant used a pigeon in a top hat and bow tie. Although the court acknowledged that case law (both in the CJEU and </w:t>
      </w:r>
      <w:r>
        <w:t xml:space="preserve">the </w:t>
      </w:r>
      <w:r w:rsidRPr="003131C0">
        <w:t>U</w:t>
      </w:r>
      <w:r>
        <w:t>.</w:t>
      </w:r>
      <w:r w:rsidRPr="003131C0">
        <w:t>K</w:t>
      </w:r>
      <w:r>
        <w:t>.</w:t>
      </w:r>
      <w:r w:rsidRPr="003131C0">
        <w:t>) stressed defendant’s intentions as part of the analysis, it concluded that it was not necessary to demonstrate that defendant intended to take advantage of plaintiff’s mark in order for plaintiff to succeed.</w:t>
      </w:r>
      <w:r w:rsidRPr="003131C0">
        <w:rPr>
          <w:vertAlign w:val="superscript"/>
        </w:rPr>
        <w:footnoteReference w:id="234"/>
      </w:r>
      <w:r w:rsidRPr="003131C0">
        <w:t xml:space="preserve"> Moreover, it was not deemed necessary to proffer evidence of a change in the economic behavior of defendant’s customers.</w:t>
      </w:r>
      <w:r w:rsidRPr="003131C0">
        <w:rPr>
          <w:vertAlign w:val="superscript"/>
        </w:rPr>
        <w:footnoteReference w:id="235"/>
      </w:r>
      <w:r w:rsidRPr="003131C0">
        <w:t xml:space="preserve"> The court then concluded that defendant’s logo t</w:t>
      </w:r>
      <w:r>
        <w:t>ook</w:t>
      </w:r>
      <w:r w:rsidRPr="003131C0">
        <w:t xml:space="preserve"> unfair advantage without due cause, even in the absence of any evidence of harm to the plaintiff’s reputation or distinctiveness, and even in the absence of any evidence of an intention on defendant’s part to take such advantage.</w:t>
      </w:r>
      <w:r w:rsidRPr="003131C0">
        <w:rPr>
          <w:vertAlign w:val="superscript"/>
        </w:rPr>
        <w:footnoteReference w:id="236"/>
      </w:r>
      <w:r w:rsidRPr="003131C0">
        <w:t xml:space="preserve"> The court reasoned that defendant’s purpose in using the logo was to influence customers and that there would be “a subtle but insidious transfer of image from the Trade Marks to the Pigeon Logo (and hence from Jack Wills’ goods to House of Fraser’s goods) in the minds of some consumers, whether that was House of Fraser’s intention or not.”</w:t>
      </w:r>
      <w:r w:rsidRPr="003131C0">
        <w:rPr>
          <w:vertAlign w:val="superscript"/>
        </w:rPr>
        <w:footnoteReference w:id="237"/>
      </w:r>
    </w:p>
    <w:p w14:paraId="664C33BE" w14:textId="77777777" w:rsidR="006F142F" w:rsidRDefault="006F142F" w:rsidP="00974FD4">
      <w:pPr>
        <w:pStyle w:val="text"/>
      </w:pPr>
      <w:r>
        <w:t xml:space="preserve">Similarly, in </w:t>
      </w:r>
      <w:r>
        <w:rPr>
          <w:i/>
          <w:iCs/>
        </w:rPr>
        <w:t>Lidl Great Britain, Ltd. v. Tesco Stores Ltd.</w:t>
      </w:r>
      <w:r>
        <w:t>,</w:t>
      </w:r>
      <w:r>
        <w:rPr>
          <w:rStyle w:val="FootnoteReference"/>
        </w:rPr>
        <w:footnoteReference w:id="238"/>
      </w:r>
      <w:r>
        <w:t xml:space="preserve"> the Court of Appeal upheld the trial judge’s finding of unfair advantage.  In this case, Lidl was found to have a mark with a reputation consisting of a yellow circle (with a read border) in a blue square, with text in the circle.  Tesco began advertising its club card prices using a yellow circle in a blue square, with text in the circle indicating the club price.  The court upheld the finding that this could cause customers to think that Tesco was trying to link its club card prices to Lidl’s low prices (Lidl had a reputation for low prices).  Moreover, although the lead opinion allowed a separate discussion of whether there was due cause for the use, the entire court expressed some doubt about whether showing due cause was even possible in an unfair advantage case.</w:t>
      </w:r>
      <w:r>
        <w:rPr>
          <w:rStyle w:val="FootnoteReference"/>
        </w:rPr>
        <w:footnoteReference w:id="239"/>
      </w:r>
    </w:p>
    <w:p w14:paraId="1469E63B" w14:textId="77777777" w:rsidR="006F142F" w:rsidRPr="00193B9B" w:rsidRDefault="006F142F" w:rsidP="00974FD4">
      <w:pPr>
        <w:pStyle w:val="text"/>
      </w:pPr>
      <w:r>
        <w:t xml:space="preserve">And in </w:t>
      </w:r>
      <w:r w:rsidRPr="00FC6FAE">
        <w:rPr>
          <w:i/>
          <w:iCs/>
        </w:rPr>
        <w:t>Thatchers Cider Company Ltd. v. Aldi Stores Ltd.</w:t>
      </w:r>
      <w:r>
        <w:t>,</w:t>
      </w:r>
      <w:r>
        <w:rPr>
          <w:rStyle w:val="FootnoteReference"/>
        </w:rPr>
        <w:footnoteReference w:id="240"/>
      </w:r>
      <w:r>
        <w:t xml:space="preserve"> the Court of Appeal reversed the lower court, which had dismissed claims of unfair advantage.  The Court of Appeal stated that this was a case, like </w:t>
      </w:r>
      <w:r>
        <w:rPr>
          <w:i/>
          <w:iCs/>
        </w:rPr>
        <w:t>L’Oreal v. Bellure</w:t>
      </w:r>
      <w:r>
        <w:t xml:space="preserve"> in the Court of Justice, where Aldi used graphics on its products to convey the message that Aldi’s product was like Thatchers’ product, only cheaper.</w:t>
      </w:r>
      <w:r>
        <w:rPr>
          <w:rStyle w:val="FootnoteReference"/>
        </w:rPr>
        <w:footnoteReference w:id="241"/>
      </w:r>
      <w:r>
        <w:t xml:space="preserve">  This was an unfair advantage because it enabled Aldi to promote its product’s attributes without making the usual investment in advertising as to price and quality.</w:t>
      </w:r>
      <w:r>
        <w:rPr>
          <w:rStyle w:val="FootnoteReference"/>
        </w:rPr>
        <w:footnoteReference w:id="242"/>
      </w:r>
      <w:r>
        <w:t xml:space="preserve">  The court went on to say that the lower court correctly determined that another form of dilution—that Aldi’s use would harm the reputation of the Thatchers mark—did not exist in this case.  The fact that consumers would not be confused as to the origin of the product, plus the fact that the labels of the products clearly indicated the differences between the two (the Aldi’s product was not made from actual lemons, while Thatchers was) meant that consumers would not harbor ill feelings about the Thatchers brand product.</w:t>
      </w:r>
      <w:r>
        <w:rPr>
          <w:rStyle w:val="FootnoteReference"/>
        </w:rPr>
        <w:footnoteReference w:id="243"/>
      </w:r>
    </w:p>
    <w:p w14:paraId="3DB20F9E" w14:textId="77777777" w:rsidR="006F142F" w:rsidRPr="0000614A" w:rsidRDefault="006F142F" w:rsidP="00974FD4">
      <w:pPr>
        <w:pStyle w:val="text"/>
      </w:pPr>
      <w:r>
        <w:t xml:space="preserve">However, in </w:t>
      </w:r>
      <w:r w:rsidRPr="00FC6FAE">
        <w:rPr>
          <w:i/>
          <w:iCs/>
        </w:rPr>
        <w:t>Thom Browne Inc. v. adidas AG</w:t>
      </w:r>
      <w:r>
        <w:t>,</w:t>
      </w:r>
      <w:r>
        <w:rPr>
          <w:rStyle w:val="FootnoteReference"/>
        </w:rPr>
        <w:footnoteReference w:id="244"/>
      </w:r>
      <w:r>
        <w:t xml:space="preserve"> a lower court found against a claim by adidas that its three-stripe mark either would suffer a detriment to its reputation or had been taken unfair advantage of by Thom Browne’s (“TB’s”) four stripe adornment (both of clothing).  First, the court found insufficient evidence that consumers would make a link to the adidas mark when purchasing online from TB’s website or in a TB store.</w:t>
      </w:r>
      <w:r>
        <w:rPr>
          <w:rStyle w:val="FootnoteReference"/>
        </w:rPr>
        <w:footnoteReference w:id="245"/>
      </w:r>
      <w:r>
        <w:t xml:space="preserve">  Second, even assuming the existence of a link, the court found no detriment to the adidas mark—not only was there no actual evidence of a change in consumer behavior, but adidas’ premise was based on the possibility of TB expanding its line of sportswear which, on the evidence presented (TB did not sell much of this line) the court found overly speculative.</w:t>
      </w:r>
      <w:r>
        <w:rPr>
          <w:rStyle w:val="FootnoteReference"/>
        </w:rPr>
        <w:footnoteReference w:id="246"/>
      </w:r>
      <w:r>
        <w:t xml:space="preserve">  Third, the court found against adidas on the claim of unfair advantage, noting that the TB line had not been particularly successful, indicating a lack of advantage.</w:t>
      </w:r>
      <w:r>
        <w:rPr>
          <w:rStyle w:val="FootnoteReference"/>
        </w:rPr>
        <w:footnoteReference w:id="247"/>
      </w:r>
    </w:p>
    <w:p w14:paraId="730E045A" w14:textId="77777777" w:rsidR="006F142F" w:rsidRPr="00B14711" w:rsidRDefault="006F142F" w:rsidP="000D7ECF">
      <w:pPr>
        <w:pStyle w:val="text"/>
      </w:pPr>
      <w:r>
        <w:t xml:space="preserve">In addition, in </w:t>
      </w:r>
      <w:r>
        <w:rPr>
          <w:i/>
          <w:iCs/>
        </w:rPr>
        <w:t>Beauty Bay Limited v. Benefit Cosmetics Limited</w:t>
      </w:r>
      <w:r>
        <w:t>,</w:t>
      </w:r>
      <w:r w:rsidRPr="007F44DF">
        <w:rPr>
          <w:rStyle w:val="FootnoteReference"/>
        </w:rPr>
        <w:footnoteReference w:id="248"/>
      </w:r>
      <w:r>
        <w:t xml:space="preserve"> the court did not find dilution or unfair advantage in a dispute between the registrant of the trademarks Beauty Bay and BeautyBay and a defendant who sold cosmetic products using the name Beauty &amp; The Bay (apparently part of a celebration of the city of San Francisco—which is by the bay—and part of a larger collection of plays on titles as names for the products).</w:t>
      </w:r>
      <w:r w:rsidRPr="007F44DF">
        <w:rPr>
          <w:rStyle w:val="FootnoteReference"/>
        </w:rPr>
        <w:footnoteReference w:id="249"/>
      </w:r>
      <w:r>
        <w:t xml:space="preserve"> The court found a lack of a link between the marks as well as a lack of evidence of risk of consumers changing their economic behavior. As for the unfair advantage aspect of dilution, the court found no evidence of free riding, although it did admit that had there been such evidence, the use would have been without due cause.</w:t>
      </w:r>
    </w:p>
    <w:p w14:paraId="7BC9D65F" w14:textId="77777777" w:rsidR="006F142F" w:rsidRPr="00B14711" w:rsidRDefault="006F142F" w:rsidP="00B14711">
      <w:pPr>
        <w:pStyle w:val="text"/>
      </w:pPr>
      <w:r w:rsidRPr="00B14711">
        <w:t xml:space="preserve">However reluctant the Court of Appeal may have been in the </w:t>
      </w:r>
      <w:r w:rsidRPr="00B14711">
        <w:rPr>
          <w:i/>
          <w:iCs/>
        </w:rPr>
        <w:t>L’Oreal</w:t>
      </w:r>
      <w:r w:rsidRPr="00B14711">
        <w:t xml:space="preserve"> remand, it is evident </w:t>
      </w:r>
      <w:r>
        <w:t xml:space="preserve">from subsequent cases </w:t>
      </w:r>
      <w:r w:rsidRPr="00B14711">
        <w:t xml:space="preserve">that the </w:t>
      </w:r>
      <w:r w:rsidRPr="00B14711">
        <w:rPr>
          <w:i/>
          <w:iCs/>
        </w:rPr>
        <w:t>L’Oréal</w:t>
      </w:r>
      <w:r w:rsidRPr="00B14711">
        <w:t xml:space="preserve"> decision means that using another’s mark to inform consumers that your product is functionally the same (or similar) may be regarded as dilution.</w:t>
      </w:r>
      <w:r w:rsidRPr="00B14711">
        <w:rPr>
          <w:vertAlign w:val="superscript"/>
        </w:rPr>
        <w:footnoteReference w:id="250"/>
      </w:r>
      <w:r w:rsidRPr="00B14711">
        <w:t xml:space="preserve"> This is far broader than the protection provided by the law in the United States. </w:t>
      </w:r>
    </w:p>
    <w:p w14:paraId="0931E716" w14:textId="77777777" w:rsidR="006F142F" w:rsidRDefault="006F142F" w:rsidP="00B14711">
      <w:pPr>
        <w:pStyle w:val="text"/>
      </w:pPr>
      <w:r w:rsidRPr="00B14711">
        <w:t>However, in any case, the protections of Section 10(3) are only afforded to registered marks. Britain also recognizes a common-law claim for passing off, which can be used to protect unregistered marks. Although passing off traditionally requires a showing of likelihood of confusion,</w:t>
      </w:r>
      <w:r w:rsidRPr="00B14711">
        <w:rPr>
          <w:spacing w:val="-3"/>
          <w:vertAlign w:val="superscript"/>
        </w:rPr>
        <w:footnoteReference w:id="251"/>
      </w:r>
      <w:r w:rsidRPr="00B14711">
        <w:t xml:space="preserve"> some passing-off cases in Britain contain language that more closely resembles a claim for dilution than one for confusion.</w:t>
      </w:r>
      <w:r w:rsidRPr="00B14711">
        <w:rPr>
          <w:spacing w:val="-3"/>
          <w:vertAlign w:val="superscript"/>
        </w:rPr>
        <w:footnoteReference w:id="252"/>
      </w:r>
    </w:p>
    <w:p w14:paraId="5A7AF21C" w14:textId="77777777" w:rsidR="006F142F" w:rsidRPr="00B14711" w:rsidRDefault="006F142F" w:rsidP="00FC6FAE">
      <w:pPr>
        <w:pStyle w:val="text"/>
        <w:ind w:firstLine="0"/>
        <w:rPr>
          <w:spacing w:val="-3"/>
        </w:rPr>
      </w:pPr>
    </w:p>
    <w:p w14:paraId="39A70213" w14:textId="77777777" w:rsidR="006F142F" w:rsidRPr="00B14711" w:rsidRDefault="006F142F" w:rsidP="00B14711">
      <w:pPr>
        <w:pStyle w:val="2ndLevelHeadA0"/>
        <w:rPr>
          <w:rFonts w:cs="Times New Roman"/>
        </w:rPr>
      </w:pPr>
      <w:r w:rsidRPr="00B14711">
        <w:rPr>
          <w:rFonts w:cs="Times New Roman"/>
        </w:rPr>
        <w:t>C.</w:t>
      </w:r>
      <w:r w:rsidRPr="00B14711">
        <w:rPr>
          <w:rFonts w:cs="Times New Roman"/>
        </w:rPr>
        <w:tab/>
        <w:t>Mexico, Central America, and the Caribbean</w:t>
      </w:r>
    </w:p>
    <w:p w14:paraId="57076DF0" w14:textId="77777777" w:rsidR="006F142F" w:rsidRPr="00B14711" w:rsidRDefault="006F142F" w:rsidP="00B14711">
      <w:pPr>
        <w:pStyle w:val="text"/>
        <w:rPr>
          <w:spacing w:val="-4"/>
        </w:rPr>
      </w:pPr>
      <w:r w:rsidRPr="00B14711">
        <w:t>One of the most prominent Latin American economies is that of Mexico, which also shares a large border with the United States. Until 2005, Mexico’s laws did not contain any provision for dilution protection. However, amendments to the Mexican trademark law adopted in April 2005 provide protection for “well-known” and “famous” marks by precluding registration of potentially diluting marks.</w:t>
      </w:r>
      <w:r w:rsidRPr="00B14711">
        <w:rPr>
          <w:spacing w:val="-4"/>
          <w:vertAlign w:val="superscript"/>
        </w:rPr>
        <w:footnoteReference w:id="253"/>
      </w:r>
      <w:r w:rsidRPr="00B14711">
        <w:t xml:space="preserve"> The Mexican law distinguishes between uses that cause dilution and uses that depreciate the goodwill of the mark.</w:t>
      </w:r>
      <w:r w:rsidRPr="00B14711">
        <w:rPr>
          <w:spacing w:val="-4"/>
          <w:vertAlign w:val="superscript"/>
        </w:rPr>
        <w:footnoteReference w:id="254"/>
      </w:r>
    </w:p>
    <w:p w14:paraId="531184A0" w14:textId="77777777" w:rsidR="006F142F" w:rsidRPr="00B14711" w:rsidRDefault="006F142F" w:rsidP="00B14711">
      <w:pPr>
        <w:pStyle w:val="text"/>
        <w:rPr>
          <w:spacing w:val="-4"/>
        </w:rPr>
      </w:pPr>
      <w:r w:rsidRPr="00B14711">
        <w:t>Other countries in Central America and the Caribbean also protect marks from dilution. In Panama, for example, the trademark law protects a “famous or renowned trademark” from being registered on any other goods or services, similar or not, apparently without regard to confusion. In the same section, “known or well known” marks are protected against other registrations on the same or similar goods, again apparently without regard to confusion.</w:t>
      </w:r>
      <w:r w:rsidRPr="00B14711">
        <w:rPr>
          <w:spacing w:val="-4"/>
          <w:vertAlign w:val="superscript"/>
        </w:rPr>
        <w:footnoteReference w:id="255"/>
      </w:r>
      <w:r w:rsidRPr="00B14711">
        <w:t xml:space="preserve"> Another section specifically protects registered marks from dilution.</w:t>
      </w:r>
      <w:r w:rsidRPr="00B14711">
        <w:rPr>
          <w:spacing w:val="-4"/>
          <w:vertAlign w:val="superscript"/>
        </w:rPr>
        <w:footnoteReference w:id="256"/>
      </w:r>
      <w:r w:rsidRPr="00B14711">
        <w:t xml:space="preserve"> The Jamaican trademark law protects marks in a manner essentially the same as that of the European Union Trademark Directive: for marks “with a reputation” in Jamaica, if a use takes unfair advantage of the reputation or harms the distinctive character of the mark, then it is an infringement.</w:t>
      </w:r>
      <w:r w:rsidRPr="00B14711">
        <w:rPr>
          <w:spacing w:val="-4"/>
          <w:vertAlign w:val="superscript"/>
        </w:rPr>
        <w:footnoteReference w:id="257"/>
      </w:r>
      <w:r w:rsidRPr="00B14711">
        <w:t xml:space="preserve"> Guatemala also protects well-known marks (even those not registered in the country) against registrations that would take unfair advantage of or injure the distinctiveness of the well-known mark.</w:t>
      </w:r>
      <w:r w:rsidRPr="00B14711">
        <w:rPr>
          <w:spacing w:val="-4"/>
          <w:vertAlign w:val="superscript"/>
        </w:rPr>
        <w:footnoteReference w:id="258"/>
      </w:r>
    </w:p>
    <w:p w14:paraId="6219D24D" w14:textId="77777777" w:rsidR="006F142F" w:rsidRPr="00B14711" w:rsidRDefault="006F142F" w:rsidP="00B14711">
      <w:pPr>
        <w:pStyle w:val="2ndLevelHeadA0"/>
        <w:rPr>
          <w:rFonts w:cs="Times New Roman"/>
        </w:rPr>
      </w:pPr>
      <w:r w:rsidRPr="00B14711">
        <w:rPr>
          <w:rFonts w:cs="Times New Roman"/>
        </w:rPr>
        <w:t>D.</w:t>
      </w:r>
      <w:r w:rsidRPr="00B14711">
        <w:rPr>
          <w:rFonts w:cs="Times New Roman"/>
        </w:rPr>
        <w:tab/>
        <w:t>South America</w:t>
      </w:r>
    </w:p>
    <w:p w14:paraId="13A5CE8F" w14:textId="77777777" w:rsidR="006F142F" w:rsidRPr="00B14711" w:rsidRDefault="006F142F" w:rsidP="00B14711">
      <w:pPr>
        <w:pStyle w:val="text"/>
      </w:pPr>
      <w:r w:rsidRPr="00B14711">
        <w:t>As noted in Section §III.B</w:t>
      </w:r>
      <w:r>
        <w:t>,</w:t>
      </w:r>
      <w:r w:rsidRPr="00B14711">
        <w:t xml:space="preserve"> above, the members of the Andean Community, pursuant to Decision 486, have included a dilution provision in their laws. Outside of the four Andean Community countries, dilution protection is not consistently provided. For example, Paraguay includes such protection,</w:t>
      </w:r>
      <w:r w:rsidRPr="00B14711">
        <w:rPr>
          <w:spacing w:val="-4"/>
          <w:vertAlign w:val="superscript"/>
        </w:rPr>
        <w:footnoteReference w:id="259"/>
      </w:r>
      <w:r w:rsidRPr="00B14711">
        <w:t xml:space="preserve"> but Chile does not.</w:t>
      </w:r>
      <w:r w:rsidRPr="00B14711">
        <w:rPr>
          <w:spacing w:val="-4"/>
          <w:vertAlign w:val="superscript"/>
        </w:rPr>
        <w:footnoteReference w:id="260"/>
      </w:r>
      <w:r w:rsidRPr="00B14711">
        <w:t xml:space="preserve"> Brazil’s law contains no express provision protecting marks against dilution. However, it does contain two provisions that arguably provide some dilution protection.</w:t>
      </w:r>
      <w:r w:rsidRPr="00B14711">
        <w:rPr>
          <w:vertAlign w:val="superscript"/>
        </w:rPr>
        <w:footnoteReference w:id="261"/>
      </w:r>
      <w:r w:rsidRPr="00B14711">
        <w:t xml:space="preserve"> Uruguay has a similar provision in its law.</w:t>
      </w:r>
      <w:r w:rsidRPr="00B14711">
        <w:rPr>
          <w:vertAlign w:val="superscript"/>
        </w:rPr>
        <w:footnoteReference w:id="262"/>
      </w:r>
      <w:r w:rsidRPr="00B14711">
        <w:t xml:space="preserve"> Argentina’s law appears not to protect against dilution.</w:t>
      </w:r>
      <w:r w:rsidRPr="00B14711">
        <w:rPr>
          <w:vertAlign w:val="superscript"/>
        </w:rPr>
        <w:footnoteReference w:id="263"/>
      </w:r>
    </w:p>
    <w:p w14:paraId="5AF1FDB8" w14:textId="77777777" w:rsidR="006F142F" w:rsidRPr="00B14711" w:rsidRDefault="006F142F" w:rsidP="00B14711">
      <w:pPr>
        <w:pStyle w:val="2ndLevelHeadA0"/>
        <w:rPr>
          <w:rFonts w:cs="Times New Roman"/>
        </w:rPr>
      </w:pPr>
      <w:r w:rsidRPr="00B14711">
        <w:rPr>
          <w:rFonts w:cs="Times New Roman"/>
        </w:rPr>
        <w:t>E.</w:t>
      </w:r>
      <w:r w:rsidRPr="00B14711">
        <w:rPr>
          <w:rFonts w:cs="Times New Roman"/>
        </w:rPr>
        <w:tab/>
        <w:t>Africa</w:t>
      </w:r>
    </w:p>
    <w:p w14:paraId="109F5769" w14:textId="77777777" w:rsidR="006F142F" w:rsidRPr="00B14711" w:rsidRDefault="006F142F" w:rsidP="00B14711">
      <w:pPr>
        <w:pStyle w:val="text"/>
      </w:pPr>
      <w:r w:rsidRPr="00B14711">
        <w:t>One of the most notable African countries to implement dilution protection is South Africa, where a dilution provision became effective May 1, 1995.</w:t>
      </w:r>
      <w:r w:rsidRPr="00B14711">
        <w:rPr>
          <w:spacing w:val="-4"/>
          <w:vertAlign w:val="superscript"/>
        </w:rPr>
        <w:footnoteReference w:id="264"/>
      </w:r>
      <w:r w:rsidRPr="00B14711">
        <w:t xml:space="preserve"> The Supreme Court of Appeal of South Africa has discussed the kinds of uses that would be considered diluting under its statute. In </w:t>
      </w:r>
      <w:r w:rsidRPr="00B14711">
        <w:rPr>
          <w:i/>
          <w:iCs/>
        </w:rPr>
        <w:t>Verimark (Pty), Ltd</w:t>
      </w:r>
      <w:r w:rsidRPr="00B14711">
        <w:t>.</w:t>
      </w:r>
      <w:r w:rsidRPr="00B14711">
        <w:rPr>
          <w:i/>
          <w:iCs/>
        </w:rPr>
        <w:t xml:space="preserve"> v</w:t>
      </w:r>
      <w:r w:rsidRPr="00B14711">
        <w:t>.</w:t>
      </w:r>
      <w:r w:rsidRPr="00B14711">
        <w:rPr>
          <w:i/>
          <w:iCs/>
        </w:rPr>
        <w:t xml:space="preserve"> BMW AG</w:t>
      </w:r>
      <w:r w:rsidRPr="00B14711">
        <w:t>,</w:t>
      </w:r>
      <w:r w:rsidRPr="00B14711">
        <w:rPr>
          <w:vertAlign w:val="superscript"/>
        </w:rPr>
        <w:footnoteReference w:id="265"/>
      </w:r>
      <w:r w:rsidRPr="00B14711">
        <w:t xml:space="preserve"> car maker BMW claimed that an advertisement for car polish which featured BMWs in different contexts violated its trademark rights.</w:t>
      </w:r>
      <w:r w:rsidRPr="00B14711">
        <w:rPr>
          <w:vertAlign w:val="superscript"/>
        </w:rPr>
        <w:footnoteReference w:id="266"/>
      </w:r>
      <w:r w:rsidRPr="00B14711">
        <w:t xml:space="preserve"> The court disagreed, finding that the broad nature of the protection, which is greater than that governing the source function because it protects the selling and advertising function, meant that a trademark use was not required.</w:t>
      </w:r>
      <w:r w:rsidRPr="00B14711">
        <w:rPr>
          <w:vertAlign w:val="superscript"/>
        </w:rPr>
        <w:footnoteReference w:id="267"/>
      </w:r>
      <w:r w:rsidRPr="00B14711">
        <w:t xml:space="preserve"> Nevertheless, the court found that this use was not a dilution. The court first noted that</w:t>
      </w:r>
    </w:p>
    <w:p w14:paraId="4BE90945" w14:textId="77777777" w:rsidR="006F142F" w:rsidRPr="00B14711" w:rsidRDefault="006F142F" w:rsidP="00B14711">
      <w:pPr>
        <w:pStyle w:val="Blockquoteflush"/>
      </w:pPr>
      <w:r w:rsidRPr="00B14711">
        <w:t>the fact that the mark has been used in a non trade mark sense is [not] irrelevant; to the contrary it may be very relevant to determine whether unfair advantage has been taken of or whether the use was detrimental to the mark.</w:t>
      </w:r>
      <w:r w:rsidRPr="00B441E3">
        <w:rPr>
          <w:sz w:val="24"/>
          <w:vertAlign w:val="superscript"/>
        </w:rPr>
        <w:footnoteReference w:id="268"/>
      </w:r>
    </w:p>
    <w:p w14:paraId="461589C3" w14:textId="77777777" w:rsidR="006F142F" w:rsidRPr="00B14711" w:rsidRDefault="006F142F" w:rsidP="00B14711">
      <w:pPr>
        <w:pStyle w:val="textflush"/>
      </w:pPr>
      <w:r w:rsidRPr="00B14711">
        <w:t>The court then determined that the dilution provision “is not intended to enable the proprietor of a well-known registered mark to object as a matter of course to the use of a sign which may remind people of his mark.”</w:t>
      </w:r>
      <w:r w:rsidRPr="00B14711">
        <w:rPr>
          <w:vertAlign w:val="superscript"/>
        </w:rPr>
        <w:footnoteReference w:id="269"/>
      </w:r>
      <w:r w:rsidRPr="00B14711">
        <w:t xml:space="preserve"> Finally, the court found that there must be “evidence of actual detriment or of unfair advantage.”</w:t>
      </w:r>
      <w:r w:rsidRPr="00B14711">
        <w:rPr>
          <w:vertAlign w:val="superscript"/>
        </w:rPr>
        <w:footnoteReference w:id="270"/>
      </w:r>
      <w:r w:rsidRPr="00B14711">
        <w:t xml:space="preserve"> On these facts, the court found that the use was not unfair; consumers would see the choice of car as incidental. The fact that it would “call to mind” the BMW was not controlling.</w:t>
      </w:r>
      <w:r w:rsidRPr="00B14711">
        <w:rPr>
          <w:vertAlign w:val="superscript"/>
        </w:rPr>
        <w:footnoteReference w:id="271"/>
      </w:r>
    </w:p>
    <w:p w14:paraId="4352D4AF" w14:textId="77777777" w:rsidR="006F142F" w:rsidRPr="00B14711" w:rsidRDefault="006F142F" w:rsidP="00B14711">
      <w:pPr>
        <w:pStyle w:val="text"/>
        <w:tabs>
          <w:tab w:val="left" w:pos="360"/>
        </w:tabs>
      </w:pPr>
      <w:r w:rsidRPr="00B14711">
        <w:t>In Northern Africa, Morocco appears to have a provision protecting certain marks without a showing of confusion,</w:t>
      </w:r>
      <w:r w:rsidRPr="00B14711">
        <w:rPr>
          <w:spacing w:val="-4"/>
          <w:vertAlign w:val="superscript"/>
        </w:rPr>
        <w:footnoteReference w:id="272"/>
      </w:r>
      <w:r w:rsidRPr="00B14711">
        <w:t xml:space="preserve"> as does Tunisia.</w:t>
      </w:r>
      <w:r w:rsidRPr="00B14711">
        <w:rPr>
          <w:spacing w:val="-4"/>
          <w:vertAlign w:val="superscript"/>
        </w:rPr>
        <w:footnoteReference w:id="273"/>
      </w:r>
      <w:r w:rsidRPr="00B14711">
        <w:t xml:space="preserve"> As discussed in Section III.C</w:t>
      </w:r>
      <w:r>
        <w:t>,</w:t>
      </w:r>
      <w:r w:rsidRPr="00B14711">
        <w:t xml:space="preserve"> above, the members of the African Intellectual Property Organization (OAPI) adhere to a law that requires a showing of confusion.</w:t>
      </w:r>
    </w:p>
    <w:p w14:paraId="5BB6050E" w14:textId="77777777" w:rsidR="006F142F" w:rsidRPr="00B14711" w:rsidRDefault="006F142F" w:rsidP="00B14711">
      <w:pPr>
        <w:pStyle w:val="2ndLevelHeadA0"/>
        <w:rPr>
          <w:rFonts w:cs="Times New Roman"/>
        </w:rPr>
      </w:pPr>
      <w:r w:rsidRPr="00B14711">
        <w:rPr>
          <w:rFonts w:cs="Times New Roman"/>
        </w:rPr>
        <w:t>F.</w:t>
      </w:r>
      <w:r w:rsidRPr="00B14711">
        <w:rPr>
          <w:rFonts w:cs="Times New Roman"/>
        </w:rPr>
        <w:tab/>
        <w:t>The Middle East</w:t>
      </w:r>
    </w:p>
    <w:p w14:paraId="70ECCEDD" w14:textId="77777777" w:rsidR="006F142F" w:rsidRDefault="006F142F" w:rsidP="00B14711">
      <w:pPr>
        <w:pStyle w:val="text"/>
        <w:tabs>
          <w:tab w:val="left" w:pos="360"/>
        </w:tabs>
      </w:pPr>
      <w:r w:rsidRPr="00B14711">
        <w:t>Israel’s trademark law contains some special protection for well-known marks (even unregistered ones), but does not appear to protect against non-confusing uses.</w:t>
      </w:r>
      <w:r w:rsidRPr="00B14711">
        <w:rPr>
          <w:spacing w:val="-4"/>
          <w:vertAlign w:val="superscript"/>
        </w:rPr>
        <w:footnoteReference w:id="274"/>
      </w:r>
      <w:r w:rsidRPr="00B14711">
        <w:t xml:space="preserve"> However, Israeli cases have asserted that dilution protection exists under Israeli law.</w:t>
      </w:r>
      <w:r w:rsidRPr="00B14711">
        <w:rPr>
          <w:spacing w:val="-4"/>
          <w:vertAlign w:val="superscript"/>
        </w:rPr>
        <w:footnoteReference w:id="275"/>
      </w:r>
      <w:r w:rsidRPr="00B14711">
        <w:t xml:space="preserve"> </w:t>
      </w:r>
      <w:r>
        <w:t>In a 2019 suit by Nespresso against a company that ran an advertisement parodying Nespresso commercials and using a double of actor George Clooney, the court dismissed a dilution claim on the grounds that using a double did not constitute “use” of the mark under Israeli law.</w:t>
      </w:r>
      <w:r>
        <w:rPr>
          <w:rStyle w:val="FootnoteReference"/>
        </w:rPr>
        <w:footnoteReference w:id="276"/>
      </w:r>
      <w:r>
        <w:t xml:space="preserve"> </w:t>
      </w:r>
      <w:r w:rsidRPr="00B14711">
        <w:t>Egypt also appears to require some element of deception or confusion, even for well-known marks.</w:t>
      </w:r>
      <w:r w:rsidRPr="00B14711">
        <w:rPr>
          <w:spacing w:val="-4"/>
          <w:vertAlign w:val="superscript"/>
        </w:rPr>
        <w:footnoteReference w:id="277"/>
      </w:r>
    </w:p>
    <w:p w14:paraId="47C8D9E3" w14:textId="77777777" w:rsidR="006F142F" w:rsidRPr="00B14711" w:rsidRDefault="006F142F" w:rsidP="00B441E3">
      <w:pPr>
        <w:pStyle w:val="text"/>
        <w:rPr>
          <w:spacing w:val="-4"/>
        </w:rPr>
      </w:pPr>
      <w:r w:rsidRPr="003131C0">
        <w:t>Several other Middle Eastern countries have trademark laws that appear to require confusion, but which have provisions for well-known marks that might be interpreted to permit a finding of infringement without confusion.</w:t>
      </w:r>
      <w:r w:rsidRPr="003131C0">
        <w:rPr>
          <w:vertAlign w:val="superscript"/>
        </w:rPr>
        <w:footnoteReference w:id="278"/>
      </w:r>
    </w:p>
    <w:p w14:paraId="7F5BBEFD" w14:textId="77777777" w:rsidR="006F142F" w:rsidRPr="00B14711" w:rsidRDefault="006F142F" w:rsidP="00B14711">
      <w:pPr>
        <w:pStyle w:val="2ndLevelHeadA0"/>
        <w:rPr>
          <w:rFonts w:cs="Times New Roman"/>
        </w:rPr>
      </w:pPr>
      <w:r w:rsidRPr="00B14711">
        <w:rPr>
          <w:rFonts w:cs="Times New Roman"/>
        </w:rPr>
        <w:t>G.</w:t>
      </w:r>
      <w:r w:rsidRPr="00B14711">
        <w:rPr>
          <w:rFonts w:cs="Times New Roman"/>
        </w:rPr>
        <w:tab/>
        <w:t>Asia and the Pacific Rim</w:t>
      </w:r>
    </w:p>
    <w:p w14:paraId="7DBAF4D4" w14:textId="77777777" w:rsidR="006F142F" w:rsidRPr="00B14711" w:rsidRDefault="006F142F" w:rsidP="00B14711">
      <w:pPr>
        <w:pStyle w:val="3rdLevel2"/>
        <w:rPr>
          <w:rFonts w:cs="Times New Roman"/>
        </w:rPr>
      </w:pPr>
      <w:r w:rsidRPr="00B14711">
        <w:rPr>
          <w:rFonts w:cs="Times New Roman"/>
        </w:rPr>
        <w:t>1.</w:t>
      </w:r>
      <w:r w:rsidRPr="00B14711">
        <w:rPr>
          <w:rFonts w:cs="Times New Roman"/>
        </w:rPr>
        <w:tab/>
        <w:t>The Far East (Excluding Japan)</w:t>
      </w:r>
    </w:p>
    <w:p w14:paraId="084F7237" w14:textId="77777777" w:rsidR="006F142F" w:rsidRPr="003131C0" w:rsidRDefault="006F142F" w:rsidP="000D7ECF">
      <w:pPr>
        <w:pStyle w:val="text"/>
      </w:pPr>
      <w:r w:rsidRPr="00B14711">
        <w:t>Partly as a result of the implementation of the world trade agreements, including TRIPS, several Asian countries recently have added dilution protection to their trademark laws. Taiwan’s law is among the more recent additions.</w:t>
      </w:r>
      <w:r w:rsidRPr="00B14711">
        <w:rPr>
          <w:spacing w:val="-4"/>
          <w:vertAlign w:val="superscript"/>
        </w:rPr>
        <w:footnoteReference w:id="279"/>
      </w:r>
      <w:r w:rsidRPr="00B14711">
        <w:t xml:space="preserve"> Hong Kong’s law contains provisions similar to those of the EU’s Trademark Harmonization Directive.</w:t>
      </w:r>
      <w:r w:rsidRPr="00B14711">
        <w:rPr>
          <w:spacing w:val="-4"/>
          <w:vertAlign w:val="superscript"/>
        </w:rPr>
        <w:footnoteReference w:id="280"/>
      </w:r>
      <w:r w:rsidRPr="00B14711">
        <w:t xml:space="preserve"> </w:t>
      </w:r>
      <w:r w:rsidRPr="003131C0">
        <w:t>However, in 2016, Hong Kong’s Court of Final Appeal held that the common law of passing off does not include what would be called dilution in the United States</w:t>
      </w:r>
      <w:r w:rsidRPr="003131C0">
        <w:rPr>
          <w:vertAlign w:val="superscript"/>
        </w:rPr>
        <w:footnoteReference w:id="281"/>
      </w:r>
      <w:r w:rsidRPr="003131C0">
        <w:t>—the dilution remedy appears limited to the statute.</w:t>
      </w:r>
    </w:p>
    <w:p w14:paraId="6ADD4B92" w14:textId="77777777" w:rsidR="006F142F" w:rsidRPr="003131C0" w:rsidRDefault="006F142F" w:rsidP="000D7ECF">
      <w:pPr>
        <w:pStyle w:val="text"/>
      </w:pPr>
      <w:r w:rsidRPr="003131C0">
        <w:t>Singapore’s Trade Marks Act, in a manner similar to the European Union’s trademark laws, protects well-known marks from registrations and uses that “would cause dilution in an unfair manner of the distinctive character of the earlier trade mark</w:t>
      </w:r>
      <w:r>
        <w:t>,</w:t>
      </w:r>
      <w:r w:rsidRPr="003131C0">
        <w:t>” or “would take unfair advantage of the distinctive character of the earlier trade mark.”</w:t>
      </w:r>
      <w:r w:rsidRPr="003131C0">
        <w:rPr>
          <w:vertAlign w:val="superscript"/>
        </w:rPr>
        <w:footnoteReference w:id="282"/>
      </w:r>
      <w:r w:rsidRPr="003131C0">
        <w:t xml:space="preserve"> Interestingly, these particular provisions only protect marks “well known to the public at large in Singapore,” which is more restrictive than simply “well known in Singapore,”</w:t>
      </w:r>
      <w:r w:rsidRPr="003131C0">
        <w:rPr>
          <w:vertAlign w:val="superscript"/>
        </w:rPr>
        <w:footnoteReference w:id="283"/>
      </w:r>
      <w:r w:rsidRPr="003131C0">
        <w:t xml:space="preserve"> and looks more like the definition of a famous mark in the United States. Furthermore, with regard to infringement actions for dilution, another provision </w:t>
      </w:r>
      <w:r>
        <w:t>reads</w:t>
      </w:r>
      <w:r w:rsidRPr="003131C0">
        <w:t xml:space="preserve"> as follows:</w:t>
      </w:r>
    </w:p>
    <w:p w14:paraId="46A90498" w14:textId="77777777" w:rsidR="006F142F" w:rsidRPr="003131C0" w:rsidRDefault="006F142F" w:rsidP="00FC4A9E">
      <w:pPr>
        <w:pStyle w:val="block-p-2"/>
        <w:ind w:firstLine="0"/>
        <w:rPr>
          <w:rFonts w:cs="Times New Roman"/>
        </w:rPr>
      </w:pPr>
      <w:r w:rsidRPr="003131C0">
        <w:rPr>
          <w:rFonts w:cs="Times New Roman"/>
        </w:rPr>
        <w:t>Notwithstanding section 55 [which protects well known marks from dilution], the proprietor of a well known trade mark shall not be entitled to restrain by injunction the use in Singapore of the trade mark if such use —</w:t>
      </w:r>
    </w:p>
    <w:p w14:paraId="5D220C11" w14:textId="77777777" w:rsidR="006F142F" w:rsidRPr="003131C0" w:rsidRDefault="006F142F" w:rsidP="000D7ECF">
      <w:pPr>
        <w:pStyle w:val="block-p--0"/>
        <w:rPr>
          <w:rFonts w:cs="Times New Roman"/>
        </w:rPr>
      </w:pPr>
      <w:r w:rsidRPr="003131C0">
        <w:rPr>
          <w:rFonts w:cs="Times New Roman"/>
        </w:rPr>
        <w:t>(</w:t>
      </w:r>
      <w:r w:rsidRPr="003131C0">
        <w:rPr>
          <w:rFonts w:cs="Times New Roman"/>
          <w:i/>
          <w:iCs/>
        </w:rPr>
        <w:t>a</w:t>
      </w:r>
      <w:r w:rsidRPr="003131C0">
        <w:rPr>
          <w:rFonts w:cs="Times New Roman"/>
        </w:rPr>
        <w:t>) constitutes fair use in comparative commercial advertising or promotion;</w:t>
      </w:r>
    </w:p>
    <w:p w14:paraId="7E35C1A3" w14:textId="77777777" w:rsidR="006F142F" w:rsidRPr="003131C0" w:rsidRDefault="006F142F" w:rsidP="000D7ECF">
      <w:pPr>
        <w:pStyle w:val="block-p--0"/>
        <w:rPr>
          <w:rFonts w:cs="Times New Roman"/>
        </w:rPr>
      </w:pPr>
      <w:r w:rsidRPr="003131C0">
        <w:rPr>
          <w:rFonts w:cs="Times New Roman"/>
        </w:rPr>
        <w:t>(</w:t>
      </w:r>
      <w:r w:rsidRPr="003131C0">
        <w:rPr>
          <w:rFonts w:cs="Times New Roman"/>
          <w:i/>
          <w:iCs/>
        </w:rPr>
        <w:t>b</w:t>
      </w:r>
      <w:r w:rsidRPr="003131C0">
        <w:rPr>
          <w:rFonts w:cs="Times New Roman"/>
        </w:rPr>
        <w:t>) is for a non-commercial purpose; or</w:t>
      </w:r>
    </w:p>
    <w:p w14:paraId="6F5285C5" w14:textId="77777777" w:rsidR="006F142F" w:rsidRPr="003131C0" w:rsidRDefault="006F142F" w:rsidP="000D7ECF">
      <w:pPr>
        <w:pStyle w:val="block-p-1"/>
        <w:rPr>
          <w:rFonts w:cs="Times New Roman"/>
          <w:vertAlign w:val="superscript"/>
        </w:rPr>
      </w:pPr>
      <w:r w:rsidRPr="003131C0">
        <w:rPr>
          <w:rFonts w:cs="Times New Roman"/>
        </w:rPr>
        <w:t>(</w:t>
      </w:r>
      <w:r w:rsidRPr="003131C0">
        <w:rPr>
          <w:rFonts w:cs="Times New Roman"/>
          <w:i/>
          <w:iCs/>
        </w:rPr>
        <w:t>c</w:t>
      </w:r>
      <w:r w:rsidRPr="003131C0">
        <w:rPr>
          <w:rFonts w:cs="Times New Roman"/>
        </w:rPr>
        <w:t>) is for the purpose of news reporting or news commentary.</w:t>
      </w:r>
      <w:r w:rsidRPr="00FC4A9E">
        <w:rPr>
          <w:rFonts w:cs="Times New Roman"/>
          <w:sz w:val="24"/>
          <w:vertAlign w:val="superscript"/>
        </w:rPr>
        <w:footnoteReference w:id="284"/>
      </w:r>
    </w:p>
    <w:p w14:paraId="4BE2C4A3" w14:textId="77777777" w:rsidR="006F142F" w:rsidRDefault="006F142F" w:rsidP="00FC4A9E">
      <w:pPr>
        <w:pStyle w:val="text"/>
        <w:ind w:firstLine="0"/>
      </w:pPr>
      <w:r w:rsidRPr="003131C0">
        <w:t>These defenses or exclusions mirror those contained in the original dilution statute in the United States; there is no comparable provision in European law.</w:t>
      </w:r>
    </w:p>
    <w:p w14:paraId="559E749C" w14:textId="77777777" w:rsidR="006F142F" w:rsidRDefault="006F142F" w:rsidP="000D7ECF">
      <w:pPr>
        <w:pStyle w:val="text"/>
      </w:pPr>
      <w:r w:rsidRPr="00B14711">
        <w:t>In the Republic of Korea (South Korea), it has been asserted that although the trademark statute contains no dilution provision, dilution protection can be obtained under the Korean Unfair Competition Protection Act (UCPA).</w:t>
      </w:r>
      <w:r w:rsidRPr="00B14711">
        <w:rPr>
          <w:spacing w:val="-4"/>
          <w:vertAlign w:val="superscript"/>
        </w:rPr>
        <w:footnoteReference w:id="285"/>
      </w:r>
      <w:r w:rsidRPr="00B14711">
        <w:t xml:space="preserve"> </w:t>
      </w:r>
      <w:r>
        <w:t>However, it appears that the Korean trademark statute has since been amended to include dilution protection.</w:t>
      </w:r>
      <w:r>
        <w:rPr>
          <w:rStyle w:val="FootnoteReference"/>
        </w:rPr>
        <w:footnoteReference w:id="286"/>
      </w:r>
    </w:p>
    <w:p w14:paraId="3AEC64E1" w14:textId="77777777" w:rsidR="006F142F" w:rsidRPr="003131C0" w:rsidRDefault="006F142F" w:rsidP="000D7ECF">
      <w:pPr>
        <w:pStyle w:val="text"/>
        <w:rPr>
          <w:vertAlign w:val="superscript"/>
        </w:rPr>
      </w:pPr>
      <w:r w:rsidRPr="003131C0">
        <w:t xml:space="preserve">The People’s Republic of China has special protection for “well known” trademarks, particularly </w:t>
      </w:r>
      <w:r w:rsidRPr="003131C0">
        <w:rPr>
          <w:i/>
          <w:iCs/>
        </w:rPr>
        <w:t>registered</w:t>
      </w:r>
      <w:r w:rsidRPr="003131C0">
        <w:t xml:space="preserve"> well-known marks. It has been asserted that, although Chinese law does not expressly protect against dilution, it has been interpreted to do so, but it is unclear whether that protection is truly dilution protection, as it appears to require a kind of confusion of association.</w:t>
      </w:r>
      <w:r w:rsidRPr="003131C0">
        <w:rPr>
          <w:vertAlign w:val="superscript"/>
        </w:rPr>
        <w:footnoteReference w:id="287"/>
      </w:r>
    </w:p>
    <w:p w14:paraId="19E6EE46" w14:textId="77777777" w:rsidR="006F142F" w:rsidRPr="00B14711" w:rsidRDefault="006F142F" w:rsidP="000D7ECF">
      <w:pPr>
        <w:pStyle w:val="text"/>
        <w:tabs>
          <w:tab w:val="left" w:pos="360"/>
        </w:tabs>
      </w:pPr>
    </w:p>
    <w:p w14:paraId="4B4FA16F" w14:textId="77777777" w:rsidR="006F142F" w:rsidRPr="00B14711" w:rsidRDefault="006F142F" w:rsidP="00B14711">
      <w:pPr>
        <w:pStyle w:val="3rdLevelHead1"/>
        <w:rPr>
          <w:rFonts w:cs="Times New Roman"/>
        </w:rPr>
      </w:pPr>
      <w:r w:rsidRPr="00B14711">
        <w:rPr>
          <w:rFonts w:cs="Times New Roman"/>
        </w:rPr>
        <w:t>2.</w:t>
      </w:r>
      <w:r w:rsidRPr="00B14711">
        <w:rPr>
          <w:rFonts w:cs="Times New Roman"/>
        </w:rPr>
        <w:tab/>
        <w:t>Japan</w:t>
      </w:r>
    </w:p>
    <w:p w14:paraId="48F10D65" w14:textId="77777777" w:rsidR="006F142F" w:rsidRPr="00B14711" w:rsidRDefault="006F142F" w:rsidP="00B14711">
      <w:pPr>
        <w:pStyle w:val="text"/>
        <w:rPr>
          <w:spacing w:val="-3"/>
        </w:rPr>
      </w:pPr>
      <w:r w:rsidRPr="00B14711">
        <w:t>In 1993, Japan amended its unfair competition law to provide protection for well-known marks against a use by another of the same or a similar mark.</w:t>
      </w:r>
      <w:r w:rsidRPr="00B14711">
        <w:rPr>
          <w:spacing w:val="-3"/>
          <w:vertAlign w:val="superscript"/>
        </w:rPr>
        <w:footnoteReference w:id="288"/>
      </w:r>
      <w:r w:rsidRPr="00B14711">
        <w:t xml:space="preserve"> This amended statute provides dilution protection to those marks.</w:t>
      </w:r>
      <w:r w:rsidRPr="00B14711">
        <w:rPr>
          <w:spacing w:val="-3"/>
          <w:vertAlign w:val="superscript"/>
        </w:rPr>
        <w:footnoteReference w:id="289"/>
      </w:r>
      <w:r w:rsidRPr="00B14711">
        <w:t xml:space="preserve"> A famous mark need not be registered to claim protection under this law.</w:t>
      </w:r>
      <w:r w:rsidRPr="00B14711">
        <w:rPr>
          <w:spacing w:val="-3"/>
          <w:vertAlign w:val="superscript"/>
        </w:rPr>
        <w:footnoteReference w:id="290"/>
      </w:r>
      <w:r w:rsidRPr="00B14711">
        <w:t xml:space="preserve"> Such protection, however, does appear to be limited to marks with national recognition.</w:t>
      </w:r>
      <w:r w:rsidRPr="00B14711">
        <w:rPr>
          <w:spacing w:val="-3"/>
          <w:vertAlign w:val="superscript"/>
        </w:rPr>
        <w:footnoteReference w:id="291"/>
      </w:r>
      <w:r w:rsidRPr="00B14711">
        <w:t xml:space="preserve"> A 1996 amendment to the Japanese trademark statute provides protection to owners of well-known marks against registration of similar marks.</w:t>
      </w:r>
      <w:r w:rsidRPr="00B14711">
        <w:rPr>
          <w:spacing w:val="-3"/>
          <w:vertAlign w:val="superscript"/>
        </w:rPr>
        <w:footnoteReference w:id="292"/>
      </w:r>
      <w:r w:rsidRPr="00B14711">
        <w:t xml:space="preserve"> This amendment was not retroactive.</w:t>
      </w:r>
      <w:r w:rsidRPr="00B14711">
        <w:rPr>
          <w:spacing w:val="-3"/>
          <w:vertAlign w:val="superscript"/>
        </w:rPr>
        <w:footnoteReference w:id="293"/>
      </w:r>
    </w:p>
    <w:p w14:paraId="629BAF03" w14:textId="77777777" w:rsidR="006F142F" w:rsidRPr="00B14711" w:rsidRDefault="006F142F" w:rsidP="00B14711">
      <w:pPr>
        <w:pStyle w:val="text"/>
        <w:tabs>
          <w:tab w:val="left" w:pos="360"/>
        </w:tabs>
        <w:rPr>
          <w:spacing w:val="-3"/>
        </w:rPr>
      </w:pPr>
      <w:r w:rsidRPr="00B14711">
        <w:t>Even before the amendment to the unfair competition law, individual cases sometimes provided protection from what appears to be dilution. In one such case, Sony prevailed against a small clothing store that used the word Walkman on its bags, price tags, receipts, and some signage.</w:t>
      </w:r>
      <w:r w:rsidRPr="00B14711">
        <w:rPr>
          <w:spacing w:val="-3"/>
          <w:vertAlign w:val="superscript"/>
        </w:rPr>
        <w:footnoteReference w:id="294"/>
      </w:r>
      <w:r w:rsidRPr="00B14711">
        <w:t xml:space="preserve"> The court found trademark infringement by an interference with Sony’s mark, though the court cited no confusion in this respect.</w:t>
      </w:r>
      <w:r w:rsidRPr="00B14711">
        <w:rPr>
          <w:spacing w:val="-3"/>
          <w:vertAlign w:val="superscript"/>
        </w:rPr>
        <w:footnoteReference w:id="295"/>
      </w:r>
      <w:r w:rsidRPr="00B14711">
        <w:t xml:space="preserve"> It granted an injunction and awarded damages, the latter based on a licensing royalty measurement.</w:t>
      </w:r>
      <w:r w:rsidRPr="00B14711">
        <w:rPr>
          <w:spacing w:val="-3"/>
          <w:vertAlign w:val="superscript"/>
        </w:rPr>
        <w:footnoteReference w:id="296"/>
      </w:r>
      <w:r w:rsidRPr="00B14711">
        <w:t xml:space="preserve"> The court also found unfair competition under the old law, despite a lack of direct competition, but did cite possible confusion of sponsorship on the part of consumers.</w:t>
      </w:r>
      <w:r w:rsidRPr="00B14711">
        <w:rPr>
          <w:spacing w:val="-3"/>
          <w:vertAlign w:val="superscript"/>
        </w:rPr>
        <w:footnoteReference w:id="297"/>
      </w:r>
    </w:p>
    <w:p w14:paraId="0995DF55" w14:textId="77777777" w:rsidR="006F142F" w:rsidRPr="00B14711" w:rsidRDefault="006F142F" w:rsidP="00B14711">
      <w:pPr>
        <w:pStyle w:val="3rdLevelHead1"/>
        <w:rPr>
          <w:rFonts w:cs="Times New Roman"/>
        </w:rPr>
      </w:pPr>
      <w:r w:rsidRPr="00B14711">
        <w:rPr>
          <w:rFonts w:cs="Times New Roman"/>
        </w:rPr>
        <w:t>3.</w:t>
      </w:r>
      <w:r w:rsidRPr="00B14711">
        <w:rPr>
          <w:rFonts w:cs="Times New Roman"/>
        </w:rPr>
        <w:tab/>
        <w:t>Other Pacific Rim Countries</w:t>
      </w:r>
    </w:p>
    <w:p w14:paraId="55A5802B" w14:textId="77777777" w:rsidR="006F142F" w:rsidRPr="00B14711" w:rsidRDefault="006F142F" w:rsidP="00B14711">
      <w:pPr>
        <w:pStyle w:val="text"/>
        <w:tabs>
          <w:tab w:val="left" w:pos="360"/>
        </w:tabs>
      </w:pPr>
      <w:r w:rsidRPr="00B14711">
        <w:t>Australia and New Zealand, which often take similar directions in trademark law, have taken different approaches to dilution. Australia has not (as of May 2012) enacted any general dilution protection.</w:t>
      </w:r>
      <w:r w:rsidRPr="00B14711">
        <w:rPr>
          <w:spacing w:val="-4"/>
          <w:vertAlign w:val="superscript"/>
        </w:rPr>
        <w:footnoteReference w:id="298"/>
      </w:r>
      <w:r w:rsidRPr="00B14711">
        <w:t xml:space="preserve"> New Zealand, on the other hand, has enacted protections for well-known marks that allow both infringement claims and opposition to registration without a showing of confusion.</w:t>
      </w:r>
      <w:r w:rsidRPr="00B14711">
        <w:rPr>
          <w:spacing w:val="-4"/>
          <w:vertAlign w:val="superscript"/>
        </w:rPr>
        <w:footnoteReference w:id="299"/>
      </w:r>
      <w:r w:rsidRPr="00B14711">
        <w:t xml:space="preserve"> Malaysia and the Philippines, like Australia, also require some form of confusion, even for the protection of well-known marks.</w:t>
      </w:r>
      <w:r w:rsidRPr="00B14711">
        <w:rPr>
          <w:vertAlign w:val="superscript"/>
        </w:rPr>
        <w:footnoteReference w:id="300"/>
      </w:r>
    </w:p>
    <w:p w14:paraId="4932C59E" w14:textId="77777777" w:rsidR="006F142F" w:rsidRPr="00B14711" w:rsidRDefault="006F142F" w:rsidP="00B14711">
      <w:pPr>
        <w:pStyle w:val="3rdLevelHead1"/>
        <w:rPr>
          <w:rFonts w:cs="Times New Roman"/>
        </w:rPr>
      </w:pPr>
      <w:r w:rsidRPr="00B14711">
        <w:rPr>
          <w:rFonts w:cs="Times New Roman"/>
        </w:rPr>
        <w:t>4.</w:t>
      </w:r>
      <w:r w:rsidRPr="00B14711">
        <w:rPr>
          <w:rFonts w:cs="Times New Roman"/>
        </w:rPr>
        <w:tab/>
        <w:t>Southeast Asia</w:t>
      </w:r>
    </w:p>
    <w:p w14:paraId="3BD409A1" w14:textId="77777777" w:rsidR="006F142F" w:rsidRPr="000C5F9D" w:rsidRDefault="006F142F" w:rsidP="00690FE6">
      <w:pPr>
        <w:pStyle w:val="text"/>
        <w:rPr>
          <w:vertAlign w:val="superscript"/>
        </w:rPr>
      </w:pPr>
      <w:r w:rsidRPr="003131C0">
        <w:t>In India, the Trade Marks Act of 1999 appears to give dilution protection similar to that in the European Union.</w:t>
      </w:r>
      <w:r w:rsidRPr="003131C0">
        <w:rPr>
          <w:vertAlign w:val="superscript"/>
        </w:rPr>
        <w:footnoteReference w:id="301"/>
      </w:r>
      <w:r w:rsidRPr="003131C0">
        <w:t xml:space="preserve"> Before then, it had been observed that the analysis in some cases resembled dilution, despite the lack of any apparent dilution provision in the statute.</w:t>
      </w:r>
      <w:r w:rsidRPr="003131C0">
        <w:rPr>
          <w:vertAlign w:val="superscript"/>
        </w:rPr>
        <w:footnoteReference w:id="302"/>
      </w:r>
      <w:r>
        <w:rPr>
          <w:vertAlign w:val="superscript"/>
        </w:rPr>
        <w:t xml:space="preserve">  </w:t>
      </w:r>
      <w:r>
        <w:t xml:space="preserve">It has been held that, because the dilution provision only applies to uses on goods that are </w:t>
      </w:r>
      <w:r w:rsidRPr="00251F78">
        <w:t>not</w:t>
      </w:r>
      <w:r>
        <w:t xml:space="preserve"> identical or similar to those used by the registrant, a court should not attempt to apply the statute when the goods involved are the same or similar.</w:t>
      </w:r>
      <w:r>
        <w:rPr>
          <w:rStyle w:val="FootnoteReference"/>
        </w:rPr>
        <w:footnoteReference w:id="303"/>
      </w:r>
      <w:r>
        <w:t xml:space="preserve">  </w:t>
      </w:r>
      <w:r w:rsidRPr="00102C08">
        <w:t>However</w:t>
      </w:r>
      <w:r w:rsidRPr="00B14711">
        <w:t>, it appears that there is a reluctance to protect marks not actually used in India.</w:t>
      </w:r>
      <w:r w:rsidRPr="00B14711">
        <w:rPr>
          <w:vertAlign w:val="superscript"/>
        </w:rPr>
        <w:footnoteReference w:id="304"/>
      </w:r>
      <w:r w:rsidRPr="00B14711">
        <w:t xml:space="preserve"> Pakistan has enacted a trademark law that includes provisions very much like the provisions of the EU Trademark Harmonization Directive that protect marks with a reputation against uses that take unfair advantage or lessen the distinctive character of the mark. Pakistan’s law also includes express provisions protecting trademarks against “dilution.”</w:t>
      </w:r>
      <w:r w:rsidRPr="00B14711">
        <w:rPr>
          <w:spacing w:val="-4"/>
          <w:vertAlign w:val="superscript"/>
        </w:rPr>
        <w:footnoteReference w:id="305"/>
      </w:r>
      <w:r w:rsidRPr="00B14711">
        <w:t xml:space="preserve"> In Thailand, it appears that some form of confusion is required, even for the protection of well-known marks.</w:t>
      </w:r>
      <w:r w:rsidRPr="00B14711">
        <w:rPr>
          <w:spacing w:val="-4"/>
          <w:vertAlign w:val="superscript"/>
        </w:rPr>
        <w:footnoteReference w:id="306"/>
      </w:r>
    </w:p>
    <w:p w14:paraId="5082270D" w14:textId="77777777" w:rsidR="006F142F" w:rsidRPr="00B14711" w:rsidRDefault="006F142F" w:rsidP="00B14711">
      <w:pPr>
        <w:pStyle w:val="2ndLevelHeadA0"/>
        <w:rPr>
          <w:rFonts w:cs="Times New Roman"/>
        </w:rPr>
      </w:pPr>
      <w:r w:rsidRPr="00B14711">
        <w:rPr>
          <w:rFonts w:cs="Times New Roman"/>
        </w:rPr>
        <w:t>H.</w:t>
      </w:r>
      <w:r w:rsidRPr="00B14711">
        <w:rPr>
          <w:rFonts w:cs="Times New Roman"/>
        </w:rPr>
        <w:tab/>
        <w:t>Canada</w:t>
      </w:r>
    </w:p>
    <w:p w14:paraId="2C20F517" w14:textId="77777777" w:rsidR="006F142F" w:rsidRPr="00B14711" w:rsidRDefault="006F142F" w:rsidP="00B14711">
      <w:pPr>
        <w:pStyle w:val="text"/>
      </w:pPr>
      <w:r w:rsidRPr="00B14711">
        <w:t>Dilution protection in Canada,</w:t>
      </w:r>
      <w:r w:rsidRPr="00B14711">
        <w:rPr>
          <w:spacing w:val="-3"/>
          <w:vertAlign w:val="superscript"/>
        </w:rPr>
        <w:footnoteReference w:id="307"/>
      </w:r>
      <w:r w:rsidRPr="00B14711">
        <w:t xml:space="preserve"> at least in theory, has a relatively long history. Section 22 of the 1953 Trade Marks Act protects marks against a depreciation of their goodwill (which a U.S. practitioner would recognize as dilution)</w:t>
      </w:r>
      <w:r>
        <w:rPr>
          <w:rStyle w:val="FootnoteReference"/>
        </w:rPr>
        <w:footnoteReference w:id="308"/>
      </w:r>
      <w:r w:rsidRPr="00B14711">
        <w:t>:</w:t>
      </w:r>
    </w:p>
    <w:p w14:paraId="07674542" w14:textId="77777777" w:rsidR="006F142F" w:rsidRPr="00B14711" w:rsidRDefault="006F142F" w:rsidP="00B14711">
      <w:pPr>
        <w:pStyle w:val="Blockquoteflush"/>
        <w:spacing w:after="0"/>
      </w:pPr>
      <w:r w:rsidRPr="00B14711">
        <w:t>Depreciation of goodwill</w:t>
      </w:r>
    </w:p>
    <w:p w14:paraId="1FD8968C" w14:textId="77777777" w:rsidR="006F142F" w:rsidRPr="00B14711" w:rsidRDefault="006F142F" w:rsidP="00B14711">
      <w:pPr>
        <w:pStyle w:val="block-p-0"/>
        <w:spacing w:before="120" w:after="0"/>
      </w:pPr>
      <w:r w:rsidRPr="00B14711">
        <w:t>22. (1) No person shall use a trade-mark registered by another person in a manner that is likely to have the effect of depreciating the value of the goodwill attaching thereto.</w:t>
      </w:r>
    </w:p>
    <w:p w14:paraId="53143AB8" w14:textId="77777777" w:rsidR="006F142F" w:rsidRPr="00B14711" w:rsidRDefault="006F142F" w:rsidP="00B14711">
      <w:pPr>
        <w:pStyle w:val="block-p-0"/>
        <w:spacing w:before="120" w:after="0"/>
      </w:pPr>
      <w:r w:rsidRPr="00B14711">
        <w:t>Action in respect thereof</w:t>
      </w:r>
    </w:p>
    <w:p w14:paraId="4A1D9815" w14:textId="77777777" w:rsidR="006F142F" w:rsidRPr="00B14711" w:rsidRDefault="006F142F" w:rsidP="00B14711">
      <w:pPr>
        <w:pStyle w:val="block-p-0"/>
        <w:spacing w:before="120"/>
        <w:rPr>
          <w:spacing w:val="-2"/>
        </w:rPr>
      </w:pPr>
      <w:r w:rsidRPr="00B14711">
        <w:t>(2) In any action in respect of a use of a trade-mark contrary to subsection (1), the court may decline to order the recovery of damages or profits and may permit the defendant to continue to sell wares marked with the trade-mark that were in his possession or under his control at the time notice was given to him that the owner of the registered trade-mark complained of the use of the trade-mark.</w:t>
      </w:r>
      <w:r w:rsidRPr="0073540A">
        <w:rPr>
          <w:spacing w:val="-2"/>
          <w:sz w:val="24"/>
          <w:vertAlign w:val="superscript"/>
        </w:rPr>
        <w:footnoteReference w:id="309"/>
      </w:r>
    </w:p>
    <w:p w14:paraId="6C604567" w14:textId="77777777" w:rsidR="006F142F" w:rsidRDefault="006F142F" w:rsidP="00343270">
      <w:pPr>
        <w:pStyle w:val="textinsert-0"/>
      </w:pPr>
      <w:r w:rsidRPr="00B14711">
        <w:t xml:space="preserve">Section 22 </w:t>
      </w:r>
      <w:r>
        <w:t>was not</w:t>
      </w:r>
      <w:r w:rsidRPr="00B14711">
        <w:t xml:space="preserve"> the subject of </w:t>
      </w:r>
      <w:r>
        <w:t>many</w:t>
      </w:r>
      <w:r w:rsidRPr="00B14711">
        <w:t xml:space="preserve"> judicial opinions</w:t>
      </w:r>
      <w:r>
        <w:t>, prior to an interpretation of the statute by the Supreme Court of Canada in 2006</w:t>
      </w:r>
      <w:r w:rsidRPr="00B14711">
        <w:t>. The leading case was a claim against a comparative advertisement.</w:t>
      </w:r>
      <w:r w:rsidRPr="00B14711">
        <w:rPr>
          <w:spacing w:val="-3"/>
          <w:vertAlign w:val="superscript"/>
        </w:rPr>
        <w:footnoteReference w:id="310"/>
      </w:r>
      <w:r w:rsidRPr="00B14711">
        <w:t xml:space="preserve"> The court found that even truthful comparative uses could be actionable under Section 22 because they attempt to wean buyers away from the other brand.</w:t>
      </w:r>
      <w:r w:rsidRPr="00B14711">
        <w:rPr>
          <w:spacing w:val="-3"/>
          <w:vertAlign w:val="superscript"/>
        </w:rPr>
        <w:footnoteReference w:id="311"/>
      </w:r>
      <w:r w:rsidRPr="00B14711">
        <w:t xml:space="preserve"> However, the court defined an offending “use” rather narrowly—as applying to a chart on a box of the defendant’s goods but not on brochures for the offending product.</w:t>
      </w:r>
      <w:r w:rsidRPr="00B14711">
        <w:rPr>
          <w:spacing w:val="-3"/>
          <w:vertAlign w:val="superscript"/>
        </w:rPr>
        <w:footnoteReference w:id="312"/>
      </w:r>
      <w:r w:rsidRPr="00B14711">
        <w:t xml:space="preserve"> This interpretation of “use” has limited the applicability of the statute.</w:t>
      </w:r>
      <w:r w:rsidRPr="00B14711">
        <w:rPr>
          <w:spacing w:val="-3"/>
          <w:vertAlign w:val="superscript"/>
        </w:rPr>
        <w:footnoteReference w:id="313"/>
      </w:r>
    </w:p>
    <w:p w14:paraId="44537036" w14:textId="77777777" w:rsidR="006F142F" w:rsidRDefault="006F142F" w:rsidP="007331B8">
      <w:pPr>
        <w:pStyle w:val="textinsert-0"/>
      </w:pPr>
      <w:r w:rsidRPr="003131C0">
        <w:t>The Federal Court has also dismissed a Section 22 claim where the defendant did not use the plaintiff’s mark as a trademark</w:t>
      </w:r>
      <w:r>
        <w:t>,</w:t>
      </w:r>
      <w:r w:rsidRPr="003131C0">
        <w:rPr>
          <w:vertAlign w:val="superscript"/>
        </w:rPr>
        <w:footnoteReference w:id="314"/>
      </w:r>
      <w:r>
        <w:t xml:space="preserve"> a holding that was subsequently affirmed on appeal.</w:t>
      </w:r>
      <w:r w:rsidRPr="009F7919">
        <w:rPr>
          <w:rStyle w:val="FootnoteReference"/>
          <w:rFonts w:cs="Times New Roman"/>
        </w:rPr>
        <w:footnoteReference w:id="315"/>
      </w:r>
      <w:r>
        <w:t xml:space="preserve"> The Court of Appeal noted that it was not necessary that the use be identical to the mark as registered, but that, in this case, the defendant’s use of “Member Perks” (very similar to plaintiff’s mark) was not as a trademark, but, essentially, as a description.</w:t>
      </w:r>
      <w:r w:rsidRPr="009F7919">
        <w:rPr>
          <w:rStyle w:val="FootnoteReference"/>
          <w:rFonts w:cs="Times New Roman"/>
        </w:rPr>
        <w:footnoteReference w:id="316"/>
      </w:r>
      <w:r>
        <w:t xml:space="preserve"> In a later case, the Federal Court, citing the </w:t>
      </w:r>
      <w:r>
        <w:rPr>
          <w:i/>
          <w:iCs/>
        </w:rPr>
        <w:t>Venngo</w:t>
      </w:r>
      <w:r>
        <w:t xml:space="preserve"> case, held that the use by Duracell of “the bunny brand” constituted a “use” within the meaning of Section 22, despite the fact that Energizer, which registered a logo mark featuring the so-called Energizer Bunny, did not have a registration for the word mark “Energizer Bunny.”</w:t>
      </w:r>
      <w:r w:rsidRPr="009F7919">
        <w:rPr>
          <w:rStyle w:val="FootnoteReference"/>
          <w:rFonts w:cs="Times New Roman"/>
        </w:rPr>
        <w:footnoteReference w:id="317"/>
      </w:r>
      <w:r>
        <w:t xml:space="preserve"> On the other hand, the Federal Court found that the use of “the next leading brand” did not use the Energizer trademark, even though it was intended to refer to Energizer, largely on the grounds that it was unclear how a consumer would understand the term.</w:t>
      </w:r>
      <w:r w:rsidRPr="009F7919">
        <w:rPr>
          <w:rStyle w:val="FootnoteReference"/>
          <w:rFonts w:cs="Times New Roman"/>
        </w:rPr>
        <w:footnoteReference w:id="318"/>
      </w:r>
      <w:r>
        <w:t xml:space="preserve"> </w:t>
      </w:r>
    </w:p>
    <w:p w14:paraId="5004A1C1" w14:textId="77777777" w:rsidR="006F142F" w:rsidRDefault="006F142F" w:rsidP="007331B8">
      <w:pPr>
        <w:pStyle w:val="text"/>
      </w:pPr>
      <w:r w:rsidRPr="00814DA4">
        <w:t xml:space="preserve">In </w:t>
      </w:r>
      <w:r w:rsidRPr="00814DA4">
        <w:rPr>
          <w:i/>
          <w:iCs/>
        </w:rPr>
        <w:t>Novartis AG v. Biogen</w:t>
      </w:r>
      <w:r w:rsidRPr="007D5C45">
        <w:rPr>
          <w:i/>
          <w:iCs/>
        </w:rPr>
        <w:t>, Inc.</w:t>
      </w:r>
      <w:r w:rsidRPr="007D5C45">
        <w:t>,</w:t>
      </w:r>
      <w:r>
        <w:rPr>
          <w:rStyle w:val="FootnoteReference"/>
        </w:rPr>
        <w:footnoteReference w:id="319"/>
      </w:r>
      <w:r w:rsidRPr="007D5C45">
        <w:t xml:space="preserve"> the Federal Court </w:t>
      </w:r>
      <w:r>
        <w:t>found no violation of Section 22, even though it did find infringement by likelihood of confusion.  The court also focused on the requirement of “use” of plaintiff’s mark, stating that “the test is different from confusing similarity.”</w:t>
      </w:r>
      <w:r>
        <w:rPr>
          <w:rStyle w:val="FootnoteReference"/>
        </w:rPr>
        <w:footnoteReference w:id="320"/>
      </w:r>
      <w:r>
        <w:t xml:space="preserve">  The court stated that the standard was “the use of the registered trademark ‘or something so closely akin to it so as to be understood as the other party’s mark.’”</w:t>
      </w:r>
      <w:r>
        <w:rPr>
          <w:rStyle w:val="FootnoteReference"/>
        </w:rPr>
        <w:footnoteReference w:id="321"/>
      </w:r>
      <w:r>
        <w:t xml:space="preserve">  Using that standard, the court found that the plaintiff “has not established that the casual observer would recognize the [defendant’s] BYOOVIZ trademark as the [plaintiff’s] BEOVU trademark or make the necessary link, connection, or mental association to the registered BEOVU trademark.”</w:t>
      </w:r>
      <w:r>
        <w:rPr>
          <w:rStyle w:val="FootnoteReference"/>
        </w:rPr>
        <w:footnoteReference w:id="322"/>
      </w:r>
    </w:p>
    <w:p w14:paraId="5CBE56A8" w14:textId="77777777" w:rsidR="006F142F" w:rsidRDefault="006F142F" w:rsidP="00FC6FAE">
      <w:pPr>
        <w:pStyle w:val="text"/>
      </w:pPr>
      <w:r>
        <w:t xml:space="preserve">In </w:t>
      </w:r>
      <w:r>
        <w:rPr>
          <w:i/>
          <w:iCs/>
        </w:rPr>
        <w:t>Venngo</w:t>
      </w:r>
      <w:r>
        <w:t xml:space="preserve">, </w:t>
      </w:r>
      <w:r>
        <w:rPr>
          <w:i/>
          <w:iCs/>
        </w:rPr>
        <w:t>Energizer</w:t>
      </w:r>
      <w:r>
        <w:t xml:space="preserve">, and </w:t>
      </w:r>
      <w:r>
        <w:rPr>
          <w:i/>
          <w:iCs/>
        </w:rPr>
        <w:t>Novartis</w:t>
      </w:r>
      <w:r>
        <w:t xml:space="preserve"> the courts interpreted the Canada Supreme Court’s decision in </w:t>
      </w:r>
      <w:r>
        <w:rPr>
          <w:i/>
          <w:iCs/>
        </w:rPr>
        <w:t>Veuve Clicquot Ponsardin, Maison Fondée en 1772 v. Boutiques Cliquot Ltée</w:t>
      </w:r>
      <w:r w:rsidRPr="009F7919">
        <w:rPr>
          <w:rStyle w:val="FootnoteReference"/>
        </w:rPr>
        <w:footnoteReference w:id="323"/>
      </w:r>
      <w:r>
        <w:t xml:space="preserve"> (discussed below) as broadening the interpretation of use under Section 22 beyond the use of an identical mark, although the degree to which a non-identical mark will be a “use” is not entirely clear. </w:t>
      </w:r>
    </w:p>
    <w:p w14:paraId="0D0F5A4E" w14:textId="77777777" w:rsidR="006F142F" w:rsidRPr="00FC6FAE" w:rsidRDefault="006F142F" w:rsidP="00FC6FAE">
      <w:pPr>
        <w:pStyle w:val="text"/>
        <w:ind w:firstLine="0"/>
        <w:rPr>
          <w:strike/>
        </w:rPr>
      </w:pPr>
      <w:r>
        <w:tab/>
      </w:r>
      <w:r w:rsidRPr="00FC6FAE">
        <w:t>Another limitation is the requirement that the protected mark be registered.</w:t>
      </w:r>
      <w:r w:rsidRPr="00FC6FAE">
        <w:rPr>
          <w:spacing w:val="-4"/>
          <w:vertAlign w:val="superscript"/>
        </w:rPr>
        <w:footnoteReference w:id="324"/>
      </w:r>
      <w:r w:rsidRPr="00FC6FAE">
        <w:t xml:space="preserve"> And, in the wake of more recent amendments to Canadian trademark law, the statute was amended to prevent suits for dilution (or infringement) within the first three years of registration, unless use in Canada is demonstrated.</w:t>
      </w:r>
      <w:r w:rsidRPr="00FC6FAE">
        <w:rPr>
          <w:rStyle w:val="FootnoteReference"/>
        </w:rPr>
        <w:footnoteReference w:id="325"/>
      </w:r>
      <w:r w:rsidRPr="00FC6FAE">
        <w:t xml:space="preserve"> </w:t>
      </w:r>
    </w:p>
    <w:p w14:paraId="21080BB3" w14:textId="77777777" w:rsidR="006F142F" w:rsidRPr="00B14711" w:rsidRDefault="006F142F" w:rsidP="00B14711">
      <w:pPr>
        <w:pStyle w:val="text"/>
        <w:rPr>
          <w:spacing w:val="-4"/>
        </w:rPr>
      </w:pPr>
      <w:r w:rsidRPr="00B14711">
        <w:t>In other ways, the scope of Section 22 has appeared to be very broad. A parody of a Perrier label was found to violate Section 22 by depreciating the goodwill of the mark.</w:t>
      </w:r>
      <w:r w:rsidRPr="00B14711">
        <w:rPr>
          <w:spacing w:val="-3"/>
          <w:vertAlign w:val="superscript"/>
        </w:rPr>
        <w:footnoteReference w:id="326"/>
      </w:r>
      <w:r w:rsidRPr="00B14711">
        <w:t xml:space="preserve"> In another case, a large company’s use of the plaintiff’s mark was enjoined on dual grounds: that it might render the mark either generic or less distinctive of the </w:t>
      </w:r>
      <w:r w:rsidRPr="00B14711">
        <w:rPr>
          <w:i/>
          <w:iCs/>
        </w:rPr>
        <w:t>plaintiff’s</w:t>
      </w:r>
      <w:r w:rsidRPr="00B14711">
        <w:t xml:space="preserve"> goods and services.</w:t>
      </w:r>
      <w:r w:rsidRPr="00B14711">
        <w:rPr>
          <w:spacing w:val="-3"/>
          <w:vertAlign w:val="superscript"/>
        </w:rPr>
        <w:footnoteReference w:id="327"/>
      </w:r>
      <w:r w:rsidRPr="00B14711">
        <w:t xml:space="preserve"> In other cases, where parties have asserted claims under Section 22, the results have been mixed.</w:t>
      </w:r>
      <w:r w:rsidRPr="00B14711">
        <w:rPr>
          <w:spacing w:val="-4"/>
          <w:vertAlign w:val="superscript"/>
        </w:rPr>
        <w:footnoteReference w:id="328"/>
      </w:r>
      <w:r w:rsidRPr="00B14711">
        <w:t xml:space="preserve"> It appears that some recent cases assert that “depreciation of goodwill” means something akin to a showing of tarnishment.</w:t>
      </w:r>
      <w:r w:rsidRPr="00B14711">
        <w:rPr>
          <w:spacing w:val="-4"/>
          <w:vertAlign w:val="superscript"/>
        </w:rPr>
        <w:footnoteReference w:id="329"/>
      </w:r>
    </w:p>
    <w:p w14:paraId="4CB58FB1" w14:textId="77777777" w:rsidR="006F142F" w:rsidRPr="00B14711" w:rsidRDefault="006F142F" w:rsidP="00B14711">
      <w:pPr>
        <w:pStyle w:val="text"/>
        <w:rPr>
          <w:spacing w:val="-4"/>
        </w:rPr>
      </w:pPr>
      <w:r w:rsidRPr="00B14711">
        <w:t xml:space="preserve">The Canadian Supreme Court issued its first interpretation of Section 22 in </w:t>
      </w:r>
      <w:r w:rsidRPr="00B14711">
        <w:rPr>
          <w:i/>
          <w:iCs/>
        </w:rPr>
        <w:t>Veuve Clicquot Ponsardin, Maison Findée en 1772 v</w:t>
      </w:r>
      <w:r w:rsidRPr="00B14711">
        <w:t>.</w:t>
      </w:r>
      <w:r w:rsidRPr="00B14711">
        <w:rPr>
          <w:i/>
          <w:iCs/>
        </w:rPr>
        <w:t xml:space="preserve"> Boutiques Cliquot Ltée</w:t>
      </w:r>
      <w:r w:rsidRPr="00B14711">
        <w:t>.</w:t>
      </w:r>
      <w:r w:rsidRPr="00B14711">
        <w:rPr>
          <w:spacing w:val="-4"/>
          <w:vertAlign w:val="superscript"/>
        </w:rPr>
        <w:footnoteReference w:id="330"/>
      </w:r>
      <w:r w:rsidRPr="00B14711">
        <w:t xml:space="preserve"> The owner of the well-known Veuve Clicquot mark for champagne sued the proprietor of a small chain of women’s clothing stores operating under the name Cliquot.</w:t>
      </w:r>
      <w:r w:rsidRPr="00B14711">
        <w:rPr>
          <w:spacing w:val="-4"/>
          <w:vertAlign w:val="superscript"/>
        </w:rPr>
        <w:footnoteReference w:id="331"/>
      </w:r>
      <w:r w:rsidRPr="00B14711">
        <w:t xml:space="preserve"> After affirming the lower court’s finding that no likelihood of confusion existed between the two businesses,</w:t>
      </w:r>
      <w:r w:rsidRPr="00B14711">
        <w:rPr>
          <w:spacing w:val="-4"/>
          <w:vertAlign w:val="superscript"/>
        </w:rPr>
        <w:footnoteReference w:id="332"/>
      </w:r>
      <w:r w:rsidRPr="00B14711">
        <w:t xml:space="preserve"> the Canadian Supreme Court took up the plaintiff’s claim under Section 22. It took note of the analogous provision of U.S. law, as well as the admonishment of the </w:t>
      </w:r>
      <w:r w:rsidRPr="00B14711">
        <w:rPr>
          <w:i/>
          <w:iCs/>
        </w:rPr>
        <w:t>Restatement (Third) of Unfair Competition</w:t>
      </w:r>
      <w:r w:rsidRPr="00B14711">
        <w:t xml:space="preserve"> in the United States that dilution remedies should be limited “‘to cases in which the protectable interest is clear and the threat of interference is substantial.’”</w:t>
      </w:r>
      <w:r w:rsidRPr="00B14711">
        <w:rPr>
          <w:spacing w:val="-4"/>
          <w:vertAlign w:val="superscript"/>
        </w:rPr>
        <w:footnoteReference w:id="333"/>
      </w:r>
    </w:p>
    <w:p w14:paraId="6C5665F2" w14:textId="77777777" w:rsidR="006F142F" w:rsidRPr="00B14711" w:rsidRDefault="006F142F" w:rsidP="00B14711">
      <w:pPr>
        <w:pStyle w:val="text"/>
        <w:rPr>
          <w:spacing w:val="-4"/>
        </w:rPr>
      </w:pPr>
      <w:r w:rsidRPr="00B14711">
        <w:t>The Canadian Supreme Court then set out four elements of a claim under Section 22: (1) use by the defendant “in connection with wares or services,” even if not in competition with those of the plaintiff;</w:t>
      </w:r>
      <w:r w:rsidRPr="00B14711">
        <w:rPr>
          <w:spacing w:val="-4"/>
          <w:vertAlign w:val="superscript"/>
        </w:rPr>
        <w:footnoteReference w:id="334"/>
      </w:r>
      <w:r w:rsidRPr="00B14711">
        <w:t xml:space="preserve"> (2) the plaintiff’s mark must be “sufficiently well known to have significant goodwill”;</w:t>
      </w:r>
      <w:r w:rsidRPr="00B14711">
        <w:rPr>
          <w:spacing w:val="-4"/>
          <w:vertAlign w:val="superscript"/>
        </w:rPr>
        <w:footnoteReference w:id="335"/>
      </w:r>
      <w:r w:rsidRPr="00B14711">
        <w:t xml:space="preserve"> (3) the second use must be “</w:t>
      </w:r>
      <w:r w:rsidRPr="00B14711">
        <w:rPr>
          <w:i/>
          <w:iCs/>
        </w:rPr>
        <w:t>likely</w:t>
      </w:r>
      <w:r w:rsidRPr="00B14711">
        <w:t xml:space="preserve"> to have an effect on that goodwill (i.e., linkage)”;</w:t>
      </w:r>
      <w:r w:rsidRPr="00B14711">
        <w:rPr>
          <w:spacing w:val="-4"/>
          <w:vertAlign w:val="superscript"/>
        </w:rPr>
        <w:footnoteReference w:id="336"/>
      </w:r>
      <w:r w:rsidRPr="00B14711">
        <w:t xml:space="preserve"> and (4) “the likely effect would be to depreciate the value of [the mark’s] goodwill.”</w:t>
      </w:r>
      <w:r w:rsidRPr="00B14711">
        <w:rPr>
          <w:spacing w:val="-4"/>
          <w:vertAlign w:val="superscript"/>
        </w:rPr>
        <w:footnoteReference w:id="337"/>
      </w:r>
    </w:p>
    <w:p w14:paraId="4991DD4A" w14:textId="77777777" w:rsidR="006F142F" w:rsidRPr="00B14711" w:rsidRDefault="006F142F" w:rsidP="00B14711">
      <w:pPr>
        <w:pStyle w:val="text"/>
      </w:pPr>
      <w:r w:rsidRPr="00B14711">
        <w:t>Moving on to the notion of goodwill, the Canadian Supreme Court held that although a mark need not be famous to have goodwill, it was useful to consider factors showing that the mark would be viewed as source-identifying even outside of its usual domain of goods or services.</w:t>
      </w:r>
      <w:r w:rsidRPr="00B14711">
        <w:rPr>
          <w:spacing w:val="-4"/>
          <w:vertAlign w:val="superscript"/>
        </w:rPr>
        <w:footnoteReference w:id="338"/>
      </w:r>
      <w:r w:rsidRPr="00B14711">
        <w:t xml:space="preserve"> The factors identified by the Canadian Supreme Court appear very similar to the factors listed in the U.S. dilution statute to determine whether a mark is famous.</w:t>
      </w:r>
      <w:r w:rsidRPr="00B14711">
        <w:rPr>
          <w:spacing w:val="-4"/>
          <w:vertAlign w:val="superscript"/>
        </w:rPr>
        <w:footnoteReference w:id="339"/>
      </w:r>
      <w:r w:rsidRPr="00B14711">
        <w:t xml:space="preserve"> The Veuve Clicquot mark satisfied those criteria.</w:t>
      </w:r>
    </w:p>
    <w:p w14:paraId="7BE33AC4" w14:textId="77777777" w:rsidR="006F142F" w:rsidRPr="00B14711" w:rsidRDefault="006F142F" w:rsidP="00B14711">
      <w:pPr>
        <w:pStyle w:val="text"/>
        <w:rPr>
          <w:spacing w:val="-4"/>
        </w:rPr>
      </w:pPr>
      <w:r w:rsidRPr="00B14711">
        <w:t xml:space="preserve">The Canadian Supreme Court accepted that “Clicquot” was the dominant aspect of the Veuve Clicquot mark, but that was not sufficient to demonstrate a violation. The trial court found that consumers seeing the defendant’s Cliquot mark on a women’s clothing store would </w:t>
      </w:r>
      <w:r w:rsidRPr="00B14711">
        <w:rPr>
          <w:i/>
          <w:iCs/>
        </w:rPr>
        <w:t>not</w:t>
      </w:r>
      <w:r w:rsidRPr="00B14711">
        <w:t xml:space="preserve"> make a connection to the plaintiff’s mark.</w:t>
      </w:r>
      <w:r w:rsidRPr="00B14711">
        <w:rPr>
          <w:spacing w:val="-4"/>
          <w:vertAlign w:val="superscript"/>
        </w:rPr>
        <w:footnoteReference w:id="340"/>
      </w:r>
      <w:r w:rsidRPr="00B14711">
        <w:t xml:space="preserve"> This finding was accepted by the Canadian Supreme Court, eliminating the possibility of satisfying the element of “linkage.” The Canadian Supreme Court specifically refused to </w:t>
      </w:r>
      <w:r w:rsidRPr="00B14711">
        <w:rPr>
          <w:i/>
          <w:iCs/>
        </w:rPr>
        <w:t>assume</w:t>
      </w:r>
      <w:r w:rsidRPr="00B14711">
        <w:t xml:space="preserve"> linkage from the existence of substantial goodwill, instead requiring the plaintiff to submit evidence of linkage.</w:t>
      </w:r>
      <w:r w:rsidRPr="00B14711">
        <w:rPr>
          <w:spacing w:val="-4"/>
          <w:vertAlign w:val="superscript"/>
        </w:rPr>
        <w:footnoteReference w:id="341"/>
      </w:r>
    </w:p>
    <w:p w14:paraId="57527E11" w14:textId="77777777" w:rsidR="006F142F" w:rsidRPr="00B14711" w:rsidRDefault="006F142F" w:rsidP="00B14711">
      <w:pPr>
        <w:pStyle w:val="text"/>
      </w:pPr>
      <w:r w:rsidRPr="00B14711">
        <w:t xml:space="preserve">Finally, the Canadian Supreme Court asserted that a plaintiff must </w:t>
      </w:r>
      <w:r w:rsidRPr="00B14711">
        <w:rPr>
          <w:i/>
          <w:iCs/>
        </w:rPr>
        <w:t>show</w:t>
      </w:r>
      <w:r w:rsidRPr="00B14711">
        <w:t xml:space="preserve"> that depreciation of goodwill is </w:t>
      </w:r>
      <w:r w:rsidRPr="00B14711">
        <w:rPr>
          <w:i/>
          <w:iCs/>
        </w:rPr>
        <w:t>likely</w:t>
      </w:r>
      <w:r w:rsidRPr="00B14711">
        <w:t xml:space="preserve"> to occur. Finding nothing in the record to indicate such likelihood in this case, the Court upheld the trial court’s finding of no likely depreciation.</w:t>
      </w:r>
      <w:r w:rsidRPr="00B14711">
        <w:rPr>
          <w:spacing w:val="-4"/>
          <w:vertAlign w:val="superscript"/>
        </w:rPr>
        <w:footnoteReference w:id="342"/>
      </w:r>
      <w:r w:rsidRPr="00B14711">
        <w:t xml:space="preserve"> (The required level of evidence is not specified, nor is there any indication of what type of evidence might satisfy this requirement.)</w:t>
      </w:r>
    </w:p>
    <w:p w14:paraId="12BB3E9A" w14:textId="77777777" w:rsidR="006F142F" w:rsidRDefault="006F142F" w:rsidP="000D7ECF">
      <w:pPr>
        <w:pStyle w:val="text"/>
      </w:pPr>
      <w:r w:rsidRPr="00B14711">
        <w:t>It appears that the Canadian Supreme Court was charting a careful course in this area. Although some aspects of its analysis leave room for further development, it is evident that the Canadian Supreme Court was not encouraging aggressive uses of Section 22 by the lower courts.</w:t>
      </w:r>
      <w:r w:rsidRPr="00B14711">
        <w:rPr>
          <w:spacing w:val="-4"/>
          <w:vertAlign w:val="superscript"/>
        </w:rPr>
        <w:footnoteReference w:id="343"/>
      </w:r>
      <w:r w:rsidRPr="000D7ECF">
        <w:t xml:space="preserve"> </w:t>
      </w:r>
    </w:p>
    <w:p w14:paraId="345D470E" w14:textId="77777777" w:rsidR="006F142F" w:rsidRDefault="006F142F" w:rsidP="00217895">
      <w:pPr>
        <w:pStyle w:val="text"/>
      </w:pPr>
      <w:r>
        <w:t>In a case involving comparative advertising, the Court of Appeal of Quebec rejected a claim under section 22, stating that “[a] trade mark can be used in comparative advertising, without being considered an infringement of the mark.”</w:t>
      </w:r>
      <w:r>
        <w:rPr>
          <w:rStyle w:val="FootnoteReference"/>
        </w:rPr>
        <w:footnoteReference w:id="344"/>
      </w:r>
      <w:r>
        <w:t xml:space="preserve">  The court stated that the mere fact of comparison did not result in any depreciation of plaintiff’s goodwill.</w:t>
      </w:r>
      <w:r>
        <w:rPr>
          <w:rStyle w:val="FootnoteReference"/>
        </w:rPr>
        <w:footnoteReference w:id="345"/>
      </w:r>
    </w:p>
    <w:p w14:paraId="797BA4E5" w14:textId="77777777" w:rsidR="006F142F" w:rsidRDefault="006F142F" w:rsidP="000D7ECF">
      <w:pPr>
        <w:pStyle w:val="text"/>
      </w:pPr>
      <w:r w:rsidRPr="003131C0">
        <w:t xml:space="preserve">In an interesting and fairly lengthy decision, the Federal Court found no violation of Section 22 as alleged by a company selling Screaming Eagle and Screamin’ Eagle clothing against the far better known Harley-Davidson (H-D), which also uses Screaming Eagle and Screamin’ Eagle </w:t>
      </w:r>
      <w:r>
        <w:t>m</w:t>
      </w:r>
      <w:r w:rsidRPr="003131C0">
        <w:t>arks.</w:t>
      </w:r>
      <w:r w:rsidRPr="003131C0">
        <w:rPr>
          <w:vertAlign w:val="superscript"/>
        </w:rPr>
        <w:footnoteReference w:id="346"/>
      </w:r>
      <w:r w:rsidRPr="003131C0">
        <w:t xml:space="preserve"> Although H-D had used the mark in the United States for a long time, it apparently was not the senior user in Canada, where the defendant had registered the marks, only to later have them expunged for non-renewal.</w:t>
      </w:r>
      <w:r w:rsidRPr="003131C0">
        <w:rPr>
          <w:vertAlign w:val="superscript"/>
        </w:rPr>
        <w:footnoteReference w:id="347"/>
      </w:r>
      <w:r w:rsidRPr="003131C0">
        <w:t xml:space="preserve"> The court carefully applied the analytical structure set forth by the Supreme Court in </w:t>
      </w:r>
      <w:r w:rsidRPr="003131C0">
        <w:rPr>
          <w:i/>
          <w:iCs/>
        </w:rPr>
        <w:t>Veuve Clicquot</w:t>
      </w:r>
      <w:r w:rsidRPr="003131C0">
        <w:t>. Although it found that the smaller company had some goodwill in the mark,</w:t>
      </w:r>
      <w:r w:rsidRPr="003131C0">
        <w:rPr>
          <w:vertAlign w:val="superscript"/>
        </w:rPr>
        <w:footnoteReference w:id="348"/>
      </w:r>
      <w:r w:rsidRPr="003131C0">
        <w:t xml:space="preserve"> the court found that the kind of association (or “linkage”) needed for dilution was not present; upon seeing H-D’s merchandise, customers were unlikely to associate it also with the smaller company, which is a necessary predicate to the depreciation of that company’s goodwill.</w:t>
      </w:r>
      <w:r w:rsidRPr="003131C0">
        <w:rPr>
          <w:vertAlign w:val="superscript"/>
        </w:rPr>
        <w:footnoteReference w:id="349"/>
      </w:r>
      <w:r w:rsidRPr="003131C0">
        <w:t xml:space="preserve"> Moreover, the court found no evidence of any depreciation of the smaller company’s goodwill.</w:t>
      </w:r>
      <w:r w:rsidRPr="003131C0">
        <w:rPr>
          <w:vertAlign w:val="superscript"/>
        </w:rPr>
        <w:footnoteReference w:id="350"/>
      </w:r>
      <w:r w:rsidRPr="003131C0">
        <w:t xml:space="preserve"> Significantly, the court emphasized the need to show a </w:t>
      </w:r>
      <w:r w:rsidRPr="003131C0">
        <w:rPr>
          <w:i/>
          <w:iCs/>
        </w:rPr>
        <w:t>likelihood</w:t>
      </w:r>
      <w:r w:rsidRPr="003131C0">
        <w:t xml:space="preserve"> of harm, not just a </w:t>
      </w:r>
      <w:r w:rsidRPr="003131C0">
        <w:rPr>
          <w:i/>
          <w:iCs/>
        </w:rPr>
        <w:t>possibility</w:t>
      </w:r>
      <w:r w:rsidRPr="003131C0">
        <w:t xml:space="preserve"> of harm.</w:t>
      </w:r>
      <w:r w:rsidRPr="003131C0">
        <w:rPr>
          <w:vertAlign w:val="superscript"/>
        </w:rPr>
        <w:footnoteReference w:id="351"/>
      </w:r>
      <w:r w:rsidRPr="003131C0">
        <w:t xml:space="preserve"> Thus, the court concluded that no violation of Section 22 had been shown.</w:t>
      </w:r>
    </w:p>
    <w:p w14:paraId="1771E9F8" w14:textId="77777777" w:rsidR="006F142F" w:rsidRDefault="006F142F" w:rsidP="000D7ECF">
      <w:pPr>
        <w:pStyle w:val="text"/>
      </w:pPr>
      <w:r w:rsidRPr="003131C0">
        <w:t>By contrast, in another opinion</w:t>
      </w:r>
      <w:r>
        <w:t>,</w:t>
      </w:r>
      <w:r w:rsidRPr="003131C0">
        <w:t xml:space="preserve"> the Federal Court found a violation of Section 22 in </w:t>
      </w:r>
      <w:r w:rsidRPr="003131C0">
        <w:rPr>
          <w:i/>
          <w:iCs/>
        </w:rPr>
        <w:t>United Airlines, Inc. v. Cooperstock</w:t>
      </w:r>
      <w:r w:rsidRPr="003131C0">
        <w:t>.</w:t>
      </w:r>
      <w:r w:rsidRPr="003131C0">
        <w:rPr>
          <w:vertAlign w:val="superscript"/>
        </w:rPr>
        <w:footnoteReference w:id="352"/>
      </w:r>
      <w:r w:rsidRPr="003131C0">
        <w:t xml:space="preserve"> There, defendant created a </w:t>
      </w:r>
      <w:r>
        <w:t>w</w:t>
      </w:r>
      <w:r w:rsidRPr="003131C0">
        <w:t xml:space="preserve">ebsite, untied.com (a deliberate play on the UNITED mark and united.com, which is the airline’s </w:t>
      </w:r>
      <w:r>
        <w:t>w</w:t>
      </w:r>
      <w:r w:rsidRPr="003131C0">
        <w:t xml:space="preserve">ebsite) in order to express displeasure at the airline’s service. The </w:t>
      </w:r>
      <w:r>
        <w:t>w</w:t>
      </w:r>
      <w:r w:rsidRPr="003131C0">
        <w:t xml:space="preserve">ebsite featured symbols that were very similar to those used by the airline—including a frowning globe design similar to the globe design used by the airline (and which prompted a copyright infringement claim as well as a trademark infringement claim). The court first found the necessary “use” by defendant, even though the defendant did not sell any goods or services; the court found that by providing information, defendant provided a service, and that defendant’s parody logos were used to identify defendant’s services on the </w:t>
      </w:r>
      <w:r>
        <w:t>w</w:t>
      </w:r>
      <w:r w:rsidRPr="003131C0">
        <w:t>ebsite.</w:t>
      </w:r>
      <w:r w:rsidRPr="003131C0">
        <w:rPr>
          <w:vertAlign w:val="superscript"/>
        </w:rPr>
        <w:footnoteReference w:id="353"/>
      </w:r>
      <w:r w:rsidRPr="003131C0">
        <w:t xml:space="preserve"> The court found the necessary linkage in large part by relying on evidence of consumer confusion (while noting that confusion is not an element of a claim under Section 22).</w:t>
      </w:r>
      <w:r w:rsidRPr="003131C0">
        <w:rPr>
          <w:vertAlign w:val="superscript"/>
        </w:rPr>
        <w:footnoteReference w:id="354"/>
      </w:r>
      <w:r w:rsidRPr="003131C0">
        <w:t xml:space="preserve"> It then found that the use disparaged the airline’s goodwill in part due to the obviously disparaging nature of the logos (a globe with a frown, for example), plus the confusion that the court found was caused by defendant’s </w:t>
      </w:r>
      <w:r>
        <w:t>w</w:t>
      </w:r>
      <w:r w:rsidRPr="003131C0">
        <w:t>ebsite.</w:t>
      </w:r>
      <w:r w:rsidRPr="003131C0">
        <w:rPr>
          <w:vertAlign w:val="superscript"/>
        </w:rPr>
        <w:footnoteReference w:id="355"/>
      </w:r>
      <w:r w:rsidRPr="003131C0">
        <w:t xml:space="preserve"> Given the context, it is worth noting that the court held that “parody and satire are not defences to trademark infringement.”</w:t>
      </w:r>
      <w:r w:rsidRPr="003131C0">
        <w:rPr>
          <w:vertAlign w:val="superscript"/>
        </w:rPr>
        <w:footnoteReference w:id="356"/>
      </w:r>
    </w:p>
    <w:p w14:paraId="08297D7A" w14:textId="77777777" w:rsidR="006F142F" w:rsidRPr="0065672A" w:rsidRDefault="006F142F" w:rsidP="000D7ECF">
      <w:pPr>
        <w:pStyle w:val="text"/>
      </w:pPr>
      <w:r>
        <w:t xml:space="preserve">The Federal Court also found a violation of Section 22 in </w:t>
      </w:r>
      <w:r>
        <w:rPr>
          <w:i/>
          <w:iCs/>
        </w:rPr>
        <w:t>Telugu Association of North America v. Telugu Association of North America</w:t>
      </w:r>
      <w:r>
        <w:t>,</w:t>
      </w:r>
      <w:r>
        <w:rPr>
          <w:rStyle w:val="FootnoteReference"/>
        </w:rPr>
        <w:footnoteReference w:id="357"/>
      </w:r>
      <w:r>
        <w:t xml:space="preserve"> where both parties used TANA (with some accompanying graphical material that was not registered) as a mark.  The court found a link based on the fact that the two marks were considered identical.</w:t>
      </w:r>
      <w:r>
        <w:rPr>
          <w:rStyle w:val="FootnoteReference"/>
        </w:rPr>
        <w:footnoteReference w:id="358"/>
      </w:r>
      <w:r>
        <w:t xml:space="preserve">  It found depreciation of goodwill from the loss of control over the mark, and evidence that the respondent had used the mark in a partisan manner that would not have been permitted by the applicant.</w:t>
      </w:r>
      <w:r>
        <w:rPr>
          <w:rStyle w:val="FootnoteReference"/>
        </w:rPr>
        <w:footnoteReference w:id="359"/>
      </w:r>
    </w:p>
    <w:p w14:paraId="3ABF7581" w14:textId="77777777" w:rsidR="006F142F" w:rsidRPr="00B14711" w:rsidRDefault="006F142F" w:rsidP="000D7ECF">
      <w:pPr>
        <w:pStyle w:val="text"/>
        <w:rPr>
          <w:spacing w:val="-4"/>
        </w:rPr>
      </w:pPr>
      <w:r w:rsidRPr="003131C0">
        <w:t>In yet another opinion, the Federal Court found a violation of Section 22 in the use of a composite mark—the words ADMIRAL NELSON together with a picture of Nelson—in a suit brought by Diageo, the owner of the CAPTAIN MORGAN mark (used on a label together with a picture of Morgan).</w:t>
      </w:r>
      <w:r w:rsidRPr="003131C0">
        <w:rPr>
          <w:vertAlign w:val="superscript"/>
        </w:rPr>
        <w:footnoteReference w:id="360"/>
      </w:r>
      <w:r w:rsidRPr="003131C0">
        <w:t xml:space="preserve"> Both parties sold spiced rum in Canada.</w:t>
      </w:r>
    </w:p>
    <w:p w14:paraId="5E0BBAF1" w14:textId="77777777" w:rsidR="006F142F" w:rsidRPr="00B14711" w:rsidRDefault="006F142F" w:rsidP="00B14711">
      <w:pPr>
        <w:pStyle w:val="text"/>
      </w:pPr>
      <w:r w:rsidRPr="00B14711">
        <w:t>In the wake of the Supreme Court’s decision, Canadian courts have allowed parties to use Section 22 to oppose applications to register trademarks.</w:t>
      </w:r>
      <w:r w:rsidRPr="00B14711">
        <w:rPr>
          <w:vertAlign w:val="superscript"/>
        </w:rPr>
        <w:footnoteReference w:id="361"/>
      </w:r>
    </w:p>
    <w:p w14:paraId="030F8AAB" w14:textId="77777777" w:rsidR="006F142F" w:rsidRPr="00B14711" w:rsidRDefault="006F142F" w:rsidP="00B14711">
      <w:pPr>
        <w:pStyle w:val="text"/>
        <w:rPr>
          <w:spacing w:val="-4"/>
        </w:rPr>
      </w:pPr>
      <w:r w:rsidRPr="00B14711">
        <w:t>But the use of Section 22 is also limited by the relatively stringent view of Canadian courts toward</w:t>
      </w:r>
      <w:r>
        <w:t>s</w:t>
      </w:r>
      <w:r w:rsidRPr="00B14711">
        <w:t xml:space="preserve"> the requirement of irreparable harm for preliminary injunctive relief.</w:t>
      </w:r>
      <w:r w:rsidRPr="00B14711">
        <w:rPr>
          <w:spacing w:val="-3"/>
          <w:vertAlign w:val="superscript"/>
        </w:rPr>
        <w:footnoteReference w:id="362"/>
      </w:r>
      <w:r w:rsidRPr="00B14711">
        <w:t xml:space="preserve"> In some cases, relief has been granted on normal infringement grounds, but under circumstances that might better be described as dilution.</w:t>
      </w:r>
      <w:r w:rsidRPr="00B14711">
        <w:rPr>
          <w:spacing w:val="-4"/>
          <w:vertAlign w:val="superscript"/>
        </w:rPr>
        <w:footnoteReference w:id="363"/>
      </w:r>
      <w:r w:rsidRPr="00B14711">
        <w:t xml:space="preserve"> However, Canadian courts have not consistently granted relief, even to well-known marks.</w:t>
      </w:r>
      <w:r w:rsidRPr="00B14711">
        <w:rPr>
          <w:spacing w:val="-4"/>
          <w:vertAlign w:val="superscript"/>
        </w:rPr>
        <w:footnoteReference w:id="364"/>
      </w:r>
      <w:r w:rsidRPr="00B14711">
        <w:t xml:space="preserve"> The Supreme Court of Canada clarified this aspect of trademark law in </w:t>
      </w:r>
      <w:r w:rsidRPr="00B14711">
        <w:rPr>
          <w:i/>
          <w:iCs/>
        </w:rPr>
        <w:t>Mattel, Inc</w:t>
      </w:r>
      <w:r w:rsidRPr="00B14711">
        <w:t>.</w:t>
      </w:r>
      <w:r w:rsidRPr="00B14711">
        <w:rPr>
          <w:i/>
          <w:iCs/>
        </w:rPr>
        <w:t xml:space="preserve"> v</w:t>
      </w:r>
      <w:r w:rsidRPr="00B14711">
        <w:t>.</w:t>
      </w:r>
      <w:r w:rsidRPr="00B14711">
        <w:rPr>
          <w:i/>
          <w:iCs/>
        </w:rPr>
        <w:t xml:space="preserve"> 3894207 Canada, Inc</w:t>
      </w:r>
      <w:r w:rsidRPr="00B14711">
        <w:t>.</w:t>
      </w:r>
      <w:r w:rsidRPr="00B14711">
        <w:rPr>
          <w:spacing w:val="-4"/>
          <w:vertAlign w:val="superscript"/>
        </w:rPr>
        <w:footnoteReference w:id="365"/>
      </w:r>
      <w:r w:rsidRPr="00B14711">
        <w:t xml:space="preserve"> The Canadian Supreme Court disagreed with earlier lower court decisions to the extent that they required a showing of “some resemblance or linkage to the wares” of the well-known mark owner for confusion to occur.</w:t>
      </w:r>
      <w:r w:rsidRPr="00B14711">
        <w:rPr>
          <w:spacing w:val="-4"/>
          <w:vertAlign w:val="superscript"/>
        </w:rPr>
        <w:footnoteReference w:id="366"/>
      </w:r>
      <w:r w:rsidRPr="00B14711">
        <w:t xml:space="preserve"> Nevertheless, it emphasized that even a strong mark will not ineluctably lead to confusion where the second user’s services are in a completely different market from that of the well-known mark owner. An absence of evidence of confusion in this regard is relevant to demonstrating lack of likelihood of confusion.</w:t>
      </w:r>
      <w:r w:rsidRPr="00B14711">
        <w:rPr>
          <w:spacing w:val="-4"/>
          <w:vertAlign w:val="superscript"/>
        </w:rPr>
        <w:footnoteReference w:id="367"/>
      </w:r>
      <w:r w:rsidRPr="00B14711">
        <w:t xml:space="preserve"> Thus, the Canadian Supreme Court upheld the decision of the Trade-marks Opposition Board of the Canadian Intellectual Property Office to allow registration of the mark Barbie’s for restaurant services.</w:t>
      </w:r>
      <w:r w:rsidRPr="00B14711">
        <w:rPr>
          <w:spacing w:val="-4"/>
          <w:vertAlign w:val="superscript"/>
        </w:rPr>
        <w:footnoteReference w:id="368"/>
      </w:r>
    </w:p>
    <w:p w14:paraId="064770CE" w14:textId="77777777" w:rsidR="006F142F" w:rsidRPr="00B14711" w:rsidRDefault="006F142F" w:rsidP="00726678">
      <w:pPr>
        <w:widowControl w:val="0"/>
      </w:pPr>
    </w:p>
    <w:p w14:paraId="7DBF4888" w14:textId="77777777"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0F267F87" w14:textId="77777777" w:rsidR="006F142F" w:rsidRDefault="006F142F" w:rsidP="00FC6FAE">
      <w:pPr>
        <w:pStyle w:val="CommentText"/>
      </w:pPr>
      <w:r>
        <w:rPr>
          <w:rStyle w:val="CommentReference"/>
        </w:rPr>
        <w:annotationRef/>
      </w:r>
      <w:r>
        <w:t>Begin summary here.</w:t>
      </w:r>
    </w:p>
  </w:comment>
  <w:comment w:id="2" w:author="Author" w:initials="A">
    <w:p w14:paraId="52F71B55" w14:textId="77777777" w:rsidR="006F142F" w:rsidRDefault="006F142F" w:rsidP="00FC6FAE">
      <w:pPr>
        <w:pStyle w:val="CommentText"/>
      </w:pPr>
      <w:r>
        <w:rPr>
          <w:rStyle w:val="CommentReference"/>
        </w:rPr>
        <w:annotationRef/>
      </w:r>
      <w:r>
        <w:t>End summary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267F87" w15:done="0"/>
  <w15:commentEx w15:paraId="52F71B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267F87" w16cid:durableId="0B2645C4"/>
  <w16cid:commentId w16cid:paraId="52F71B55" w16cid:durableId="000BF3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0558" w14:textId="77777777" w:rsidR="00DB6620" w:rsidRDefault="00DB6620" w:rsidP="002A47A4">
      <w:r>
        <w:separator/>
      </w:r>
    </w:p>
    <w:p w14:paraId="5F4FF40F" w14:textId="77777777" w:rsidR="00DB6620" w:rsidRDefault="00DB6620"/>
    <w:p w14:paraId="1952BD4A" w14:textId="77777777" w:rsidR="00DB6620" w:rsidRDefault="00DB6620"/>
  </w:endnote>
  <w:endnote w:type="continuationSeparator" w:id="0">
    <w:p w14:paraId="79C0CDF9" w14:textId="77777777" w:rsidR="00DB6620" w:rsidRDefault="00DB6620" w:rsidP="002A47A4">
      <w:r>
        <w:continuationSeparator/>
      </w:r>
    </w:p>
    <w:p w14:paraId="74AABE0B" w14:textId="77777777" w:rsidR="00DB6620" w:rsidRDefault="00DB6620"/>
    <w:p w14:paraId="55499E1C" w14:textId="77777777" w:rsidR="00DB6620" w:rsidRDefault="00DB6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AEF9" w14:textId="77777777" w:rsidR="00DB6620" w:rsidRDefault="00DB6620" w:rsidP="002A47A4">
      <w:r>
        <w:separator/>
      </w:r>
    </w:p>
    <w:p w14:paraId="575C85C2" w14:textId="77777777" w:rsidR="00DB6620" w:rsidRDefault="00DB6620"/>
    <w:p w14:paraId="138454B2" w14:textId="77777777" w:rsidR="00DB6620" w:rsidRDefault="00DB6620"/>
  </w:footnote>
  <w:footnote w:type="continuationSeparator" w:id="0">
    <w:p w14:paraId="042D8C5D" w14:textId="77777777" w:rsidR="00DB6620" w:rsidRDefault="00DB6620" w:rsidP="002A47A4">
      <w:r>
        <w:continuationSeparator/>
      </w:r>
    </w:p>
    <w:p w14:paraId="626E7572" w14:textId="77777777" w:rsidR="00DB6620" w:rsidRDefault="00DB6620"/>
    <w:p w14:paraId="429C6FF4" w14:textId="77777777" w:rsidR="00DB6620" w:rsidRDefault="00DB6620"/>
  </w:footnote>
  <w:footnote w:id="1">
    <w:p w14:paraId="6369F45D" w14:textId="77777777" w:rsidR="006F142F" w:rsidRPr="000D523D" w:rsidRDefault="006F142F" w:rsidP="00C9593D">
      <w:pPr>
        <w:autoSpaceDE w:val="0"/>
        <w:autoSpaceDN w:val="0"/>
        <w:adjustRightInd w:val="0"/>
        <w:spacing w:line="240" w:lineRule="atLeast"/>
        <w:ind w:firstLine="440"/>
        <w:textAlignment w:val="center"/>
        <w:rPr>
          <w:color w:val="000000"/>
          <w:sz w:val="20"/>
          <w:szCs w:val="20"/>
        </w:rPr>
      </w:pPr>
      <w:r>
        <w:rPr>
          <w:rStyle w:val="FootnoteReference"/>
        </w:rPr>
        <w:footnoteRef/>
      </w:r>
      <w:r w:rsidRPr="000D523D">
        <w:rPr>
          <w:color w:val="000000"/>
          <w:sz w:val="20"/>
          <w:szCs w:val="20"/>
        </w:rPr>
        <w:t xml:space="preserve">David Welkowitz is a Professor of Law Emeritus at Whittier Law School in Costa Mesa, California. He </w:t>
      </w:r>
      <w:r>
        <w:rPr>
          <w:color w:val="000000"/>
          <w:sz w:val="20"/>
          <w:szCs w:val="20"/>
        </w:rPr>
        <w:t>has taught</w:t>
      </w:r>
      <w:r w:rsidRPr="000D523D">
        <w:rPr>
          <w:color w:val="000000"/>
          <w:sz w:val="20"/>
          <w:szCs w:val="20"/>
        </w:rPr>
        <w:t xml:space="preserve"> trademark law, international intellectual property law courses, and civil procedure, among other subjects. He was a member of the Whittier faculty from 1983 to 2018. </w:t>
      </w:r>
      <w:r>
        <w:rPr>
          <w:color w:val="000000"/>
          <w:sz w:val="20"/>
          <w:szCs w:val="20"/>
        </w:rPr>
        <w:t>From 2019 to 2024, he served</w:t>
      </w:r>
      <w:r w:rsidRPr="000D523D">
        <w:rPr>
          <w:color w:val="000000"/>
          <w:sz w:val="20"/>
          <w:szCs w:val="20"/>
        </w:rPr>
        <w:t xml:space="preserve"> as an </w:t>
      </w:r>
      <w:r>
        <w:rPr>
          <w:color w:val="000000"/>
          <w:sz w:val="20"/>
          <w:szCs w:val="20"/>
        </w:rPr>
        <w:t>attorney</w:t>
      </w:r>
      <w:r w:rsidRPr="000D523D">
        <w:rPr>
          <w:color w:val="000000"/>
          <w:sz w:val="20"/>
          <w:szCs w:val="20"/>
        </w:rPr>
        <w:t xml:space="preserve"> with the U.S. Copyright Office in Washington, D.C.</w:t>
      </w:r>
      <w:r>
        <w:rPr>
          <w:color w:val="000000"/>
          <w:sz w:val="20"/>
          <w:szCs w:val="20"/>
        </w:rPr>
        <w:t xml:space="preserve"> </w:t>
      </w:r>
      <w:r w:rsidRPr="000D523D">
        <w:rPr>
          <w:color w:val="000000"/>
          <w:sz w:val="20"/>
          <w:szCs w:val="20"/>
        </w:rPr>
        <w:t xml:space="preserve">Prior to that time, he practiced law in New York City. </w:t>
      </w:r>
    </w:p>
    <w:p w14:paraId="72D0902A" w14:textId="77777777" w:rsidR="006F142F" w:rsidRDefault="006F142F" w:rsidP="00C9593D">
      <w:pPr>
        <w:pStyle w:val="FootnoteText"/>
        <w:ind w:firstLine="440"/>
      </w:pPr>
      <w:r w:rsidRPr="000D523D">
        <w:rPr>
          <w:color w:val="000000"/>
        </w:rPr>
        <w:t>Mr. Welkowitz is the author of numerous articles on trademark law and other topics, and he is the co-author of a casebook on celebrity rights. He has also written several lessons in computer-assisted learning, which are used by law students in the areas of civil procedure and trademark law. Professor Welkowitz received his J.D. degree in 1978 from New York University Law School, where he was a member of the Law Review. He received an A.B. degree in 1975 from Princeton University. He is a member of the New York and District of Columbia bars, and is admitted to practice before the federal courts in the Southern and Eastern Districts of New York and the Court of Appeals for the Second Circuit.</w:t>
      </w:r>
    </w:p>
  </w:footnote>
  <w:footnote w:id="2">
    <w:p w14:paraId="4637892D" w14:textId="77777777" w:rsidR="006F142F" w:rsidRPr="00B14711" w:rsidRDefault="006F142F" w:rsidP="0052698D">
      <w:pPr>
        <w:pStyle w:val="footnote"/>
      </w:pPr>
      <w:r w:rsidRPr="00B14711">
        <w:rPr>
          <w:vertAlign w:val="superscript"/>
        </w:rPr>
        <w:footnoteRef/>
      </w:r>
      <w:r w:rsidRPr="00B14711">
        <w:rPr>
          <w:smallCaps/>
        </w:rPr>
        <w:t>H.R. Rep. No.</w:t>
      </w:r>
      <w:r w:rsidRPr="00B14711">
        <w:t xml:space="preserve"> 104-374, at 4, 104th Cong., 1st Sess. (Nov. 30, 1995), </w:t>
      </w:r>
      <w:r w:rsidRPr="00B14711">
        <w:rPr>
          <w:i/>
          <w:iCs/>
        </w:rPr>
        <w:t>reprinted in</w:t>
      </w:r>
      <w:r w:rsidRPr="00B14711">
        <w:t xml:space="preserve"> 1995 U.S.C.C.A.N. 1029, 1031; 141 </w:t>
      </w:r>
      <w:r w:rsidRPr="00B14711">
        <w:rPr>
          <w:smallCaps/>
        </w:rPr>
        <w:t>Cong. Rec.</w:t>
      </w:r>
      <w:r w:rsidRPr="00B14711">
        <w:t xml:space="preserve"> S19,312 (Dec. 29, 1995) (remarks of Sen. Leahy).</w:t>
      </w:r>
    </w:p>
  </w:footnote>
  <w:footnote w:id="3">
    <w:p w14:paraId="5B966F2B" w14:textId="77777777" w:rsidR="006F142F" w:rsidRPr="00B14711" w:rsidRDefault="006F142F" w:rsidP="0052698D">
      <w:pPr>
        <w:pStyle w:val="footnote"/>
      </w:pPr>
      <w:r w:rsidRPr="00B14711">
        <w:rPr>
          <w:vertAlign w:val="superscript"/>
        </w:rPr>
        <w:footnoteRef/>
      </w:r>
      <w:r w:rsidRPr="00B14711">
        <w:rPr>
          <w:i/>
          <w:iCs/>
        </w:rPr>
        <w:t>See</w:t>
      </w:r>
      <w:r w:rsidRPr="00B14711">
        <w:t xml:space="preserve"> Agreement on Trade-Related Aspects of Intellectual Property Rights</w:t>
      </w:r>
      <w:r>
        <w:t xml:space="preserve"> </w:t>
      </w:r>
      <w:r w:rsidRPr="00B14711">
        <w:t>(hereinafter TRIPS or the TRIPS Agreement). The TRIPS Agreement was implemented in the United States by Pub. L. No. 103-465</w:t>
      </w:r>
      <w:r>
        <w:t>,</w:t>
      </w:r>
      <w:r w:rsidRPr="00B14711">
        <w:t xml:space="preserve"> §§501–534, 108 Stat. 4809, 4973–90.</w:t>
      </w:r>
    </w:p>
  </w:footnote>
  <w:footnote w:id="4">
    <w:p w14:paraId="3533AD12" w14:textId="77777777" w:rsidR="006F142F" w:rsidRPr="00B14711" w:rsidRDefault="006F142F" w:rsidP="0052698D">
      <w:pPr>
        <w:pStyle w:val="footnote"/>
      </w:pPr>
      <w:r w:rsidRPr="00B14711">
        <w:rPr>
          <w:vertAlign w:val="superscript"/>
        </w:rPr>
        <w:footnoteRef/>
      </w:r>
      <w:r w:rsidRPr="00B14711">
        <w:rPr>
          <w:i/>
          <w:iCs/>
        </w:rPr>
        <w:t>See, e</w:t>
      </w:r>
      <w:r w:rsidRPr="00B14711">
        <w:t>.</w:t>
      </w:r>
      <w:r w:rsidRPr="00B14711">
        <w:rPr>
          <w:i/>
          <w:iCs/>
        </w:rPr>
        <w:t>g</w:t>
      </w:r>
      <w:r w:rsidRPr="00B14711">
        <w:t>., Person’s Co. v. Christman, 900 F.2d 1565, 14 USPQ2d 1477 (Fed. Cir. 1990) (holding that first user in United States is entitled to priority, even when he knows of prior user in Japan); Athlete’s Foot Mktg. Ass’n Inc. v. Cobra Sports Ltd.</w:t>
      </w:r>
      <w:r>
        <w:t>,</w:t>
      </w:r>
      <w:r w:rsidRPr="00B14711">
        <w:t xml:space="preserve"> [1980] R.P.C. 343, 350 (Ch. 1979). </w:t>
      </w:r>
      <w:r w:rsidRPr="00B14711">
        <w:rPr>
          <w:i/>
          <w:iCs/>
        </w:rPr>
        <w:t>See also</w:t>
      </w:r>
      <w:r w:rsidRPr="00B14711">
        <w:t xml:space="preserve"> Marshall A. Leaffer, </w:t>
      </w:r>
      <w:r w:rsidRPr="00B14711">
        <w:rPr>
          <w:i/>
          <w:iCs/>
        </w:rPr>
        <w:t>The New World of International Trademark Law</w:t>
      </w:r>
      <w:r w:rsidRPr="00B14711">
        <w:t xml:space="preserve">, 2 </w:t>
      </w:r>
      <w:r w:rsidRPr="00B14711">
        <w:rPr>
          <w:smallCaps/>
        </w:rPr>
        <w:t>Marq. Intell. Prop. L. Rev.</w:t>
      </w:r>
      <w:r w:rsidRPr="00B14711">
        <w:t xml:space="preserve"> 1, 7–9 (1998) (predicting a decline in territoriality).</w:t>
      </w:r>
    </w:p>
  </w:footnote>
  <w:footnote w:id="5">
    <w:p w14:paraId="1A836D53" w14:textId="77777777" w:rsidR="006F142F" w:rsidRPr="00B14711" w:rsidRDefault="006F142F" w:rsidP="0052698D">
      <w:pPr>
        <w:pStyle w:val="footnote"/>
      </w:pPr>
      <w:r w:rsidRPr="00B14711">
        <w:rPr>
          <w:vertAlign w:val="superscript"/>
        </w:rPr>
        <w:footnoteRef/>
      </w:r>
      <w:r w:rsidRPr="00B14711">
        <w:t xml:space="preserve">Frank I. Schechter, </w:t>
      </w:r>
      <w:r w:rsidRPr="00B14711">
        <w:rPr>
          <w:i/>
          <w:iCs/>
        </w:rPr>
        <w:t>The Rational Basis of Trademark Protection</w:t>
      </w:r>
      <w:r w:rsidRPr="00B14711">
        <w:t xml:space="preserve">, 40 </w:t>
      </w:r>
      <w:r w:rsidRPr="00B14711">
        <w:rPr>
          <w:smallCaps/>
        </w:rPr>
        <w:t>Harv. L. Rev.</w:t>
      </w:r>
      <w:r w:rsidRPr="00B14711">
        <w:t xml:space="preserve"> 813, 831–32 (1927).</w:t>
      </w:r>
    </w:p>
  </w:footnote>
  <w:footnote w:id="6">
    <w:p w14:paraId="3F05BE34" w14:textId="77777777" w:rsidR="006F142F" w:rsidRPr="00B14711" w:rsidRDefault="006F142F" w:rsidP="0052698D">
      <w:pPr>
        <w:pStyle w:val="footnote"/>
      </w:pPr>
      <w:r w:rsidRPr="00B14711">
        <w:rPr>
          <w:vertAlign w:val="superscript"/>
        </w:rPr>
        <w:footnoteRef/>
      </w:r>
      <w:r w:rsidRPr="00B14711">
        <w:rPr>
          <w:i/>
          <w:iCs/>
        </w:rPr>
        <w:t>See</w:t>
      </w:r>
      <w:r w:rsidRPr="00B14711">
        <w:t xml:space="preserve"> TRIPS Agreement, Art. 23(1) (protecting geographical designations for wines and spirits even where indicator truthfully indicates that its spirits only imitate those of a particular region); First Council Directive 89/104/EEC, 1989 OJ (L40) 1, of 21 December 1988 to Approximate the Laws of the Member States relating to Trade Marks (the “Trademark Harmonization Directive” or the “Directive”), repealed and replaced in 2008 by Directive 2008/95/EC of the European Parliament and of the Council of 22 October 2008 to Approximate the Laws of the Member States relating to Trade Marks.</w:t>
      </w:r>
    </w:p>
  </w:footnote>
  <w:footnote w:id="7">
    <w:p w14:paraId="5A5E9B71" w14:textId="77777777" w:rsidR="006F142F" w:rsidRPr="00B14711" w:rsidRDefault="006F142F" w:rsidP="0052698D">
      <w:pPr>
        <w:pStyle w:val="footnote"/>
      </w:pPr>
      <w:r w:rsidRPr="00B14711">
        <w:rPr>
          <w:vertAlign w:val="superscript"/>
        </w:rPr>
        <w:footnoteRef/>
      </w:r>
      <w:r w:rsidRPr="00B14711">
        <w:t xml:space="preserve">The Paris Convention was revised on December 14, 1900; June 2, 1911; November 6, 1925; June 2, 1934; October 31, 1958; and July 14, 1967. It was amended on October 2, 1979. </w:t>
      </w:r>
      <w:r w:rsidRPr="00B14711">
        <w:rPr>
          <w:i/>
          <w:iCs/>
        </w:rPr>
        <w:t>See</w:t>
      </w:r>
      <w:r w:rsidRPr="00B14711">
        <w:t xml:space="preserve"> </w:t>
      </w:r>
      <w:r w:rsidRPr="00B14711">
        <w:rPr>
          <w:smallCaps/>
        </w:rPr>
        <w:t>Selected Intellectual Property and Unfair Competition Statutes</w:t>
      </w:r>
      <w:r w:rsidRPr="00B14711">
        <w:t xml:space="preserve"> 950 (Foundation Press 2001).</w:t>
      </w:r>
    </w:p>
  </w:footnote>
  <w:footnote w:id="8">
    <w:p w14:paraId="7A7E33FC" w14:textId="77777777" w:rsidR="006F142F" w:rsidRPr="00B14711" w:rsidRDefault="006F142F" w:rsidP="0052698D">
      <w:pPr>
        <w:pStyle w:val="footnote"/>
      </w:pPr>
      <w:r w:rsidRPr="00B14711">
        <w:rPr>
          <w:vertAlign w:val="superscript"/>
        </w:rPr>
        <w:footnoteRef/>
      </w:r>
      <w:r w:rsidRPr="00B14711">
        <w:t>Under Article 6</w:t>
      </w:r>
      <w:r w:rsidRPr="00B14711">
        <w:rPr>
          <w:i/>
          <w:iCs/>
        </w:rPr>
        <w:t>bis</w:t>
      </w:r>
      <w:r w:rsidRPr="00B14711">
        <w:t>, such protection only extends to “use[s] for identical or similar goods.”</w:t>
      </w:r>
    </w:p>
  </w:footnote>
  <w:footnote w:id="9">
    <w:p w14:paraId="569D4700" w14:textId="77777777" w:rsidR="006F142F" w:rsidRDefault="006F142F">
      <w:pPr>
        <w:pStyle w:val="FootnoteText"/>
      </w:pPr>
      <w:r>
        <w:rPr>
          <w:rStyle w:val="FootnoteReference"/>
          <w:rFonts w:eastAsiaTheme="majorEastAsia"/>
        </w:rPr>
        <w:footnoteRef/>
      </w:r>
      <w:r w:rsidRPr="003131C0">
        <w:t xml:space="preserve">The Paris Convention is not self-executing; therefore, even to the extent that it provides dilution protection, parties cannot invoke it directly. It can only be invoked to the extent that Congress has implemented it through legislation. </w:t>
      </w:r>
      <w:r w:rsidRPr="003131C0">
        <w:rPr>
          <w:i/>
          <w:iCs/>
        </w:rPr>
        <w:t>See</w:t>
      </w:r>
      <w:r w:rsidRPr="003131C0">
        <w:t>,</w:t>
      </w:r>
      <w:r w:rsidRPr="003131C0">
        <w:rPr>
          <w:i/>
          <w:iCs/>
        </w:rPr>
        <w:t xml:space="preserve"> e.g.</w:t>
      </w:r>
      <w:r w:rsidRPr="003131C0">
        <w:t xml:space="preserve">, Belmora, LLC v. Bayer Consumer Care A.G., 84 F. Supp. 3d 490, 496, 507–12, 115 USPQ2d 1032 (E.D. Va. 2015), </w:t>
      </w:r>
      <w:r w:rsidRPr="003131C0">
        <w:rPr>
          <w:i/>
          <w:iCs/>
        </w:rPr>
        <w:t>vacated and remanded on other grounds</w:t>
      </w:r>
      <w:r w:rsidRPr="003131C0">
        <w:t>, 819 F.3d 697, 705 n.3 (4th Cir. 2016) (noting that Bayer had abandoned its claims under the treaty).</w:t>
      </w:r>
    </w:p>
  </w:footnote>
  <w:footnote w:id="10">
    <w:p w14:paraId="6AB9BFF6" w14:textId="77777777" w:rsidR="006F142F" w:rsidRPr="00B14711" w:rsidRDefault="006F142F" w:rsidP="0052698D">
      <w:pPr>
        <w:pStyle w:val="footnote"/>
      </w:pPr>
      <w:r w:rsidRPr="00B14711">
        <w:rPr>
          <w:vertAlign w:val="superscript"/>
        </w:rPr>
        <w:footnoteRef/>
      </w:r>
      <w:r w:rsidRPr="00B14711">
        <w:rPr>
          <w:i/>
          <w:iCs/>
        </w:rPr>
        <w:t>E</w:t>
      </w:r>
      <w:r w:rsidRPr="00B14711">
        <w:t>.</w:t>
      </w:r>
      <w:r w:rsidRPr="00B14711">
        <w:rPr>
          <w:i/>
          <w:iCs/>
        </w:rPr>
        <w:t>g</w:t>
      </w:r>
      <w:r w:rsidRPr="00B14711">
        <w:t>., Boston Athletic Ass’n v. Sullivan, 867 F.2d 22, 28–29, 9 USPQ2d 1690 (1st Cir. 1989); National Football League v. Governor of Del., 435 F. Supp. 1372, 1380–81, 195 USPQ 803 (D. Del. 1977).</w:t>
      </w:r>
    </w:p>
  </w:footnote>
  <w:footnote w:id="11">
    <w:p w14:paraId="73062EF5" w14:textId="77777777" w:rsidR="006F142F" w:rsidRPr="00B14711" w:rsidRDefault="006F142F" w:rsidP="0052698D">
      <w:pPr>
        <w:pStyle w:val="footnote"/>
      </w:pPr>
      <w:r w:rsidRPr="00B14711">
        <w:rPr>
          <w:vertAlign w:val="superscript"/>
        </w:rPr>
        <w:footnoteRef/>
      </w:r>
      <w:r w:rsidRPr="00982238">
        <w:t>See</w:t>
      </w:r>
      <w:r w:rsidRPr="00B14711">
        <w:t xml:space="preserve"> Frederick W. Mostert, </w:t>
      </w:r>
      <w:r w:rsidRPr="00982238">
        <w:t>Well-Known and Famous Marks: Is Harmony Possible in the Global Village?</w:t>
      </w:r>
      <w:r w:rsidRPr="00B14711">
        <w:t xml:space="preserve">, 86 </w:t>
      </w:r>
      <w:r w:rsidRPr="00B14711">
        <w:rPr>
          <w:smallCaps/>
        </w:rPr>
        <w:t>Trademark Rep.</w:t>
      </w:r>
      <w:r w:rsidRPr="00B14711">
        <w:t xml:space="preserve"> 103, 108–21 (1996).</w:t>
      </w:r>
    </w:p>
  </w:footnote>
  <w:footnote w:id="12">
    <w:p w14:paraId="4F44711A" w14:textId="77777777" w:rsidR="006F142F" w:rsidRPr="00B14711" w:rsidRDefault="006F142F" w:rsidP="0052698D">
      <w:pPr>
        <w:pStyle w:val="footnote"/>
      </w:pPr>
      <w:r w:rsidRPr="00B14711">
        <w:rPr>
          <w:vertAlign w:val="superscript"/>
        </w:rPr>
        <w:footnoteRef/>
      </w:r>
      <w:r w:rsidRPr="00982238">
        <w:rPr>
          <w:i/>
        </w:rPr>
        <w:t>See</w:t>
      </w:r>
      <w:r w:rsidRPr="00B14711">
        <w:t xml:space="preserve"> §§II.A, II.B</w:t>
      </w:r>
      <w:r>
        <w:t>,</w:t>
      </w:r>
      <w:r w:rsidRPr="00B14711">
        <w:t xml:space="preserve"> above.</w:t>
      </w:r>
    </w:p>
  </w:footnote>
  <w:footnote w:id="13">
    <w:p w14:paraId="0FB3D547" w14:textId="77777777" w:rsidR="006F142F" w:rsidRPr="00B14711" w:rsidRDefault="006F142F" w:rsidP="0052698D">
      <w:pPr>
        <w:pStyle w:val="footnote"/>
      </w:pPr>
      <w:r w:rsidRPr="00B14711">
        <w:rPr>
          <w:vertAlign w:val="superscript"/>
        </w:rPr>
        <w:footnoteRef/>
      </w:r>
      <w:r w:rsidRPr="00B14711">
        <w:t>Joint Resolution Concerning Provisions on the Protection of Well-Known Marks, adopted by the Assembly of the Paris Union for the Protection of Industrial Property and the General Assembly of the World Intellectual Property Organization (WIPO) at the Thirty-Fourth Series of Meetings of the Assemblies of the Members States of WIPO, September 20 to 29, 1999 (WIPO 2000) (WIPO Resolution).</w:t>
      </w:r>
    </w:p>
  </w:footnote>
  <w:footnote w:id="14">
    <w:p w14:paraId="0109CEAD" w14:textId="77777777" w:rsidR="006F142F" w:rsidRPr="00B14711" w:rsidRDefault="006F142F" w:rsidP="0052698D">
      <w:pPr>
        <w:pStyle w:val="footnote"/>
      </w:pPr>
      <w:r w:rsidRPr="00B14711">
        <w:rPr>
          <w:vertAlign w:val="superscript"/>
        </w:rPr>
        <w:footnoteRef/>
      </w:r>
      <w:r w:rsidRPr="00B14711">
        <w:t>WIPO Resolution, Art. 2.</w:t>
      </w:r>
    </w:p>
  </w:footnote>
  <w:footnote w:id="15">
    <w:p w14:paraId="704A7A11" w14:textId="77777777" w:rsidR="006F142F" w:rsidRPr="00B14711" w:rsidRDefault="006F142F" w:rsidP="0052698D">
      <w:pPr>
        <w:pStyle w:val="footnote"/>
      </w:pPr>
      <w:r w:rsidRPr="00B14711">
        <w:rPr>
          <w:vertAlign w:val="superscript"/>
        </w:rPr>
        <w:footnoteRef/>
      </w:r>
      <w:r w:rsidRPr="00B14711">
        <w:rPr>
          <w:i/>
          <w:iCs/>
        </w:rPr>
        <w:t>Id</w:t>
      </w:r>
      <w:r w:rsidRPr="00B14711">
        <w:t>. Art. 2(1)(b)1.–4. For a discussion of the TDRA factors, see generally Chapter 8. The TDRA also contains a definition of a famous mark. Lanham Act §43(c)(2)(A), 15 U.S.C. §1125(c)(2)(A).</w:t>
      </w:r>
    </w:p>
  </w:footnote>
  <w:footnote w:id="16">
    <w:p w14:paraId="7439D95B" w14:textId="77777777" w:rsidR="006F142F" w:rsidRPr="00B14711" w:rsidRDefault="006F142F" w:rsidP="0052698D">
      <w:pPr>
        <w:pStyle w:val="footnote"/>
      </w:pPr>
      <w:r w:rsidRPr="00B14711">
        <w:rPr>
          <w:vertAlign w:val="superscript"/>
        </w:rPr>
        <w:footnoteRef/>
      </w:r>
      <w:r w:rsidRPr="00B14711">
        <w:t>WIPO Resolution, Art. 2(1)(b)5.–6.</w:t>
      </w:r>
    </w:p>
  </w:footnote>
  <w:footnote w:id="17">
    <w:p w14:paraId="6A54751D" w14:textId="77777777" w:rsidR="006F142F" w:rsidRPr="00B14711" w:rsidRDefault="006F142F" w:rsidP="0052698D">
      <w:pPr>
        <w:pStyle w:val="footnote"/>
      </w:pPr>
      <w:r w:rsidRPr="00B14711">
        <w:rPr>
          <w:vertAlign w:val="superscript"/>
        </w:rPr>
        <w:footnoteRef/>
      </w:r>
      <w:r w:rsidRPr="00B14711">
        <w:rPr>
          <w:i/>
          <w:iCs/>
        </w:rPr>
        <w:t>Id</w:t>
      </w:r>
      <w:r w:rsidRPr="00B14711">
        <w:t>. Art. 2(3)(a).</w:t>
      </w:r>
    </w:p>
  </w:footnote>
  <w:footnote w:id="18">
    <w:p w14:paraId="451DB985" w14:textId="77777777" w:rsidR="006F142F" w:rsidRPr="00B14711" w:rsidRDefault="006F142F" w:rsidP="0052698D">
      <w:pPr>
        <w:pStyle w:val="footnote"/>
      </w:pPr>
      <w:r w:rsidRPr="00B14711">
        <w:rPr>
          <w:vertAlign w:val="superscript"/>
        </w:rPr>
        <w:footnoteRef/>
      </w:r>
      <w:r w:rsidRPr="00B14711">
        <w:rPr>
          <w:i/>
          <w:iCs/>
        </w:rPr>
        <w:t>Id</w:t>
      </w:r>
      <w:r w:rsidRPr="00B14711">
        <w:t>. Art. 2(3)(a)(iii). By contrast, under the TDRA, a famous mark must be “widely recognized . . . by the general consuming public of the United States.” Lanham Act §43(c)(2)(A), 15 U.S.C. §1125(c)(2)(A).</w:t>
      </w:r>
    </w:p>
  </w:footnote>
  <w:footnote w:id="19">
    <w:p w14:paraId="2062F0F2" w14:textId="77777777" w:rsidR="006F142F" w:rsidRPr="00B14711" w:rsidRDefault="006F142F" w:rsidP="0052698D">
      <w:pPr>
        <w:pStyle w:val="footnote"/>
      </w:pPr>
      <w:r w:rsidRPr="00B14711">
        <w:rPr>
          <w:vertAlign w:val="superscript"/>
        </w:rPr>
        <w:footnoteRef/>
      </w:r>
      <w:r w:rsidRPr="00B14711">
        <w:t>WIPO Resolution Art. 3(1).</w:t>
      </w:r>
    </w:p>
  </w:footnote>
  <w:footnote w:id="20">
    <w:p w14:paraId="0EC22E49" w14:textId="77777777" w:rsidR="006F142F" w:rsidRPr="00B14711" w:rsidRDefault="006F142F" w:rsidP="0052698D">
      <w:pPr>
        <w:pStyle w:val="footnote"/>
      </w:pPr>
      <w:r w:rsidRPr="00B14711">
        <w:rPr>
          <w:vertAlign w:val="superscript"/>
        </w:rPr>
        <w:footnoteRef/>
      </w:r>
      <w:r w:rsidRPr="00B14711">
        <w:rPr>
          <w:i/>
          <w:iCs/>
        </w:rPr>
        <w:t>Id</w:t>
      </w:r>
      <w:r w:rsidRPr="00B14711">
        <w:t>. Art. 4(1)(b)(ii), (iii).</w:t>
      </w:r>
    </w:p>
  </w:footnote>
  <w:footnote w:id="21">
    <w:p w14:paraId="4A766D1A" w14:textId="77777777" w:rsidR="006F142F" w:rsidRPr="00B14711" w:rsidRDefault="006F142F" w:rsidP="0052698D">
      <w:pPr>
        <w:pStyle w:val="footnote"/>
      </w:pPr>
      <w:r w:rsidRPr="00B14711">
        <w:rPr>
          <w:vertAlign w:val="superscript"/>
        </w:rPr>
        <w:footnoteRef/>
      </w:r>
      <w:r w:rsidRPr="00B14711">
        <w:t xml:space="preserve">Lanham Act §43(c)(3), 15 U.S.C. §1125(c)(3) (excluding fair uses, uses in news reporting and commentary, and noncommercial uses from liability under the TDRA); L.L. Bean, Inc. v. Drake Publishers, Inc., 811 F.2d 26, 1 USPQ2d 1753 (1st Cir.), </w:t>
      </w:r>
      <w:r w:rsidRPr="00B14711">
        <w:rPr>
          <w:i/>
          <w:iCs/>
        </w:rPr>
        <w:t>cert</w:t>
      </w:r>
      <w:r w:rsidRPr="00B14711">
        <w:t>.</w:t>
      </w:r>
      <w:r w:rsidRPr="00B14711">
        <w:rPr>
          <w:i/>
          <w:iCs/>
        </w:rPr>
        <w:t xml:space="preserve"> denied</w:t>
      </w:r>
      <w:r w:rsidRPr="00B14711">
        <w:t>, 483 U.S. 1013 (1987) (parody of L.L. Bean catalog held protected by First Amendment against dilution claim under Maine law).</w:t>
      </w:r>
    </w:p>
  </w:footnote>
  <w:footnote w:id="22">
    <w:p w14:paraId="3C445C55" w14:textId="77777777" w:rsidR="006F142F" w:rsidRPr="00B14711" w:rsidRDefault="006F142F" w:rsidP="0052698D">
      <w:pPr>
        <w:pStyle w:val="footnote"/>
      </w:pPr>
      <w:r w:rsidRPr="00B14711">
        <w:rPr>
          <w:vertAlign w:val="superscript"/>
        </w:rPr>
        <w:footnoteRef/>
      </w:r>
      <w:r w:rsidRPr="00B14711">
        <w:t>WIPO Resolution Art. 4(1)(c).</w:t>
      </w:r>
    </w:p>
  </w:footnote>
  <w:footnote w:id="23">
    <w:p w14:paraId="2596F336" w14:textId="77777777" w:rsidR="006F142F" w:rsidRPr="00B14711" w:rsidRDefault="006F142F" w:rsidP="0052698D">
      <w:pPr>
        <w:pStyle w:val="footnote"/>
      </w:pPr>
      <w:r w:rsidRPr="00B14711">
        <w:rPr>
          <w:vertAlign w:val="superscript"/>
        </w:rPr>
        <w:footnoteRef/>
      </w:r>
      <w:r w:rsidRPr="00B14711">
        <w:t>First Council Directive 89/104/EEC, 1989 OJ (L40) 1, of 21 December 1988 to Approximate the Laws of the Member States Relating to Trade Marks. The Directive was repealed and replaced in 2008,</w:t>
      </w:r>
      <w:r>
        <w:t xml:space="preserve"> incorporating and</w:t>
      </w:r>
      <w:r w:rsidRPr="00B14711">
        <w:t xml:space="preserve"> recodifying the various intervening updates. The dilution provisions were not materially affected by the replacement. </w:t>
      </w:r>
      <w:r w:rsidRPr="00B14711">
        <w:rPr>
          <w:i/>
          <w:iCs/>
        </w:rPr>
        <w:t>See</w:t>
      </w:r>
      <w:r w:rsidRPr="00B14711">
        <w:t xml:space="preserve"> Directive 2008/95/EC of the European Parliament and of the Council of 22 October 2008 to Approximate the Laws of the Member States Relating to Trade Marks.</w:t>
      </w:r>
    </w:p>
  </w:footnote>
  <w:footnote w:id="24">
    <w:p w14:paraId="2AFD194A" w14:textId="77777777" w:rsidR="006F142F" w:rsidRDefault="006F142F" w:rsidP="0052698D">
      <w:pPr>
        <w:pStyle w:val="footnote"/>
      </w:pPr>
      <w:r>
        <w:rPr>
          <w:vertAlign w:val="superscript"/>
        </w:rPr>
        <w:footnoteRef/>
      </w:r>
      <w:r>
        <w:t xml:space="preserve">First Council Directive 89/104/EEC, 1989 OJ (L40) 1, of 21 December 1988 to Approximate the Laws of the Member States Relating to Trade Marks. The Directive was repealed and replaced in 2008, incorporating and recodifying the various intervening updates. The dilution provisions were not materially affected by the replacement, although a new provision, Art. 4(3), was added to protect Community trade marks from dilution. </w:t>
      </w:r>
      <w:r>
        <w:rPr>
          <w:i/>
          <w:iCs/>
        </w:rPr>
        <w:t>See</w:t>
      </w:r>
      <w:r>
        <w:t xml:space="preserve"> Directive 2008/95/EC of the European Parliament and of the Council of 22 October 2008 to Approximate the Laws of the Member States Relating to Trade Marks (“2008 Directive”). </w:t>
      </w:r>
    </w:p>
  </w:footnote>
  <w:footnote w:id="25">
    <w:p w14:paraId="4ABFE7FA" w14:textId="77777777" w:rsidR="006F142F" w:rsidRDefault="006F142F" w:rsidP="0052698D">
      <w:pPr>
        <w:pStyle w:val="footnote"/>
      </w:pPr>
      <w:r>
        <w:rPr>
          <w:vertAlign w:val="superscript"/>
        </w:rPr>
        <w:footnoteRef/>
      </w:r>
      <w:r>
        <w:t xml:space="preserve">Directive (EU) 2015/2436 of the European Parliament and Of The Council of 16 December 2015 to Approximate the Laws of the Member States Relating to Trade Marks (“2015 Directive”). </w:t>
      </w:r>
    </w:p>
  </w:footnote>
  <w:footnote w:id="26">
    <w:p w14:paraId="3F332F39" w14:textId="77777777" w:rsidR="006F142F" w:rsidRDefault="006F142F" w:rsidP="0052698D">
      <w:pPr>
        <w:pStyle w:val="footnote"/>
      </w:pPr>
      <w:r>
        <w:rPr>
          <w:vertAlign w:val="superscript"/>
        </w:rPr>
        <w:footnoteRef/>
      </w:r>
      <w:r>
        <w:t xml:space="preserve">Regulation (EU) 2015/2424 of the European Parliament and of the Council of 16 December 2015 amending Council Regulation (EC) No 207/2009 on the Community trade mark and Commission Regulation (EC) No 2868/95 implementing Council Regulation (EC) No 40/94 on the Community trade mark, and repealing Commission Regulation (EC) No 2869/95 on the fees payable to the Office for Harmonization in the Internal Market (Trade Marks and Designs). The Community Trade Mark Regulation is discussed </w:t>
      </w:r>
      <w:r>
        <w:rPr>
          <w:iCs/>
        </w:rPr>
        <w:t>in</w:t>
      </w:r>
      <w:r>
        <w:t xml:space="preserve"> §III.A.2, below. </w:t>
      </w:r>
    </w:p>
  </w:footnote>
  <w:footnote w:id="27">
    <w:p w14:paraId="29A76989" w14:textId="77777777" w:rsidR="006F142F" w:rsidRDefault="006F142F" w:rsidP="0052698D">
      <w:pPr>
        <w:pStyle w:val="footnote"/>
      </w:pPr>
      <w:r>
        <w:rPr>
          <w:vertAlign w:val="superscript"/>
        </w:rPr>
        <w:footnoteRef/>
      </w:r>
      <w:r>
        <w:t xml:space="preserve">The 2008 Directive added a mandatory dilution provision, Art. 4(3), protecting Community trade marks from dilution by the registration of a national mark. </w:t>
      </w:r>
    </w:p>
  </w:footnote>
  <w:footnote w:id="28">
    <w:p w14:paraId="16887FB8" w14:textId="77777777" w:rsidR="006F142F" w:rsidRDefault="006F142F" w:rsidP="0052698D">
      <w:pPr>
        <w:pStyle w:val="footnote"/>
      </w:pPr>
      <w:r>
        <w:rPr>
          <w:vertAlign w:val="superscript"/>
        </w:rPr>
        <w:footnoteRef/>
      </w:r>
      <w:r>
        <w:t xml:space="preserve">2015 Directive preamble (45). </w:t>
      </w:r>
    </w:p>
  </w:footnote>
  <w:footnote w:id="29">
    <w:p w14:paraId="0D986C3F" w14:textId="77777777" w:rsidR="006F142F" w:rsidRDefault="006F142F" w:rsidP="0052698D">
      <w:pPr>
        <w:pStyle w:val="footnote"/>
      </w:pPr>
      <w:r>
        <w:rPr>
          <w:vertAlign w:val="superscript"/>
        </w:rPr>
        <w:footnoteRef/>
      </w:r>
      <w:r>
        <w:t xml:space="preserve">2015 Directive Art. 55. Article 56 states that the new Directive enters into force 20 days after its publication in the Official Journal. </w:t>
      </w:r>
    </w:p>
  </w:footnote>
  <w:footnote w:id="30">
    <w:p w14:paraId="2B7D5B6B" w14:textId="77777777" w:rsidR="006F142F" w:rsidRDefault="006F142F" w:rsidP="0052698D">
      <w:pPr>
        <w:pStyle w:val="footnote"/>
      </w:pPr>
      <w:r>
        <w:rPr>
          <w:vertAlign w:val="superscript"/>
        </w:rPr>
        <w:footnoteRef/>
      </w:r>
      <w:r>
        <w:t xml:space="preserve">As discussed in §III.A.1.d, below, the European Court of Justice (ECJ), now known as the Court of Justice of the European Union (CJEU), has interpreted the “taking unfair advantage” language in a manner that gives broader protection than U.S. law. </w:t>
      </w:r>
    </w:p>
  </w:footnote>
  <w:footnote w:id="31">
    <w:p w14:paraId="0328E9FF" w14:textId="77777777" w:rsidR="006F142F" w:rsidRDefault="006F142F" w:rsidP="0052698D">
      <w:pPr>
        <w:pStyle w:val="footnote"/>
      </w:pPr>
      <w:r>
        <w:rPr>
          <w:vertAlign w:val="superscript"/>
        </w:rPr>
        <w:footnoteRef/>
      </w:r>
      <w:r w:rsidRPr="009E0A66">
        <w:t>Almost all of the EU countries</w:t>
      </w:r>
      <w:r>
        <w:t xml:space="preserve"> at the time</w:t>
      </w:r>
      <w:r w:rsidRPr="009E0A66">
        <w:t xml:space="preserve"> implemented this provision.</w:t>
      </w:r>
      <w:r>
        <w:t xml:space="preserve"> </w:t>
      </w:r>
      <w:r>
        <w:rPr>
          <w:i/>
          <w:iCs/>
        </w:rPr>
        <w:t>See</w:t>
      </w:r>
      <w:r>
        <w:t xml:space="preserve"> §IV.B.1, below. </w:t>
      </w:r>
    </w:p>
  </w:footnote>
  <w:footnote w:id="32">
    <w:p w14:paraId="53A5921C" w14:textId="77777777" w:rsidR="006F142F" w:rsidRDefault="006F142F" w:rsidP="0052698D">
      <w:pPr>
        <w:pStyle w:val="footnote"/>
      </w:pPr>
      <w:r>
        <w:rPr>
          <w:vertAlign w:val="superscript"/>
        </w:rPr>
        <w:footnoteRef/>
      </w:r>
      <w:r>
        <w:t xml:space="preserve">[1995] F.S.R. 713 (Ch. Div.). </w:t>
      </w:r>
    </w:p>
  </w:footnote>
  <w:footnote w:id="33">
    <w:p w14:paraId="11E3180A" w14:textId="77777777" w:rsidR="006F142F" w:rsidRDefault="006F142F" w:rsidP="0052698D">
      <w:pPr>
        <w:pStyle w:val="footnote"/>
      </w:pPr>
      <w:r>
        <w:rPr>
          <w:vertAlign w:val="superscript"/>
        </w:rPr>
        <w:footnoteRef/>
      </w:r>
      <w:r>
        <w:rPr>
          <w:i/>
          <w:iCs/>
        </w:rPr>
        <w:t>Id</w:t>
      </w:r>
      <w:r>
        <w:t xml:space="preserve">. at 730. </w:t>
      </w:r>
    </w:p>
  </w:footnote>
  <w:footnote w:id="34">
    <w:p w14:paraId="501DF646" w14:textId="77777777" w:rsidR="006F142F" w:rsidRDefault="006F142F" w:rsidP="0052698D">
      <w:pPr>
        <w:pStyle w:val="footnote"/>
      </w:pPr>
      <w:r>
        <w:rPr>
          <w:vertAlign w:val="superscript"/>
        </w:rPr>
        <w:footnoteRef/>
      </w:r>
      <w:r>
        <w:rPr>
          <w:i/>
          <w:iCs/>
        </w:rPr>
        <w:t>Id</w:t>
      </w:r>
      <w:r>
        <w:t xml:space="preserve">. at 730–31. </w:t>
      </w:r>
    </w:p>
  </w:footnote>
  <w:footnote w:id="35">
    <w:p w14:paraId="287DAF93" w14:textId="77777777" w:rsidR="006F142F" w:rsidRDefault="006F142F" w:rsidP="0052698D">
      <w:pPr>
        <w:pStyle w:val="footnote"/>
      </w:pPr>
      <w:r>
        <w:rPr>
          <w:vertAlign w:val="superscript"/>
        </w:rPr>
        <w:footnoteRef/>
      </w:r>
      <w:r>
        <w:t xml:space="preserve">Belgium, the Netherlands, and Luxembourg. </w:t>
      </w:r>
    </w:p>
  </w:footnote>
  <w:footnote w:id="36">
    <w:p w14:paraId="78C57390" w14:textId="77777777" w:rsidR="006F142F" w:rsidRDefault="006F142F" w:rsidP="0052698D">
      <w:pPr>
        <w:pStyle w:val="footnote"/>
      </w:pPr>
      <w:r>
        <w:rPr>
          <w:vertAlign w:val="superscript"/>
        </w:rPr>
        <w:footnoteRef/>
      </w:r>
      <w:r>
        <w:t xml:space="preserve">[1995] F.S.R. at 726. </w:t>
      </w:r>
    </w:p>
  </w:footnote>
  <w:footnote w:id="37">
    <w:p w14:paraId="49EF615C" w14:textId="77777777" w:rsidR="006F142F" w:rsidRDefault="006F142F" w:rsidP="0052698D">
      <w:pPr>
        <w:pStyle w:val="footnote"/>
      </w:pPr>
      <w:r>
        <w:rPr>
          <w:vertAlign w:val="superscript"/>
        </w:rPr>
        <w:footnoteRef/>
      </w:r>
      <w:r>
        <w:t xml:space="preserve">The European Court of Justice was for many years abbreviated ECJ; it is now known as the Court of Justice of the European Union, and commonly abbreviated CJEU. </w:t>
      </w:r>
    </w:p>
  </w:footnote>
  <w:footnote w:id="38">
    <w:p w14:paraId="7F76DE9C" w14:textId="77777777" w:rsidR="006F142F" w:rsidRDefault="006F142F" w:rsidP="0052698D">
      <w:pPr>
        <w:pStyle w:val="footnote"/>
      </w:pPr>
      <w:r>
        <w:rPr>
          <w:vertAlign w:val="superscript"/>
        </w:rPr>
        <w:footnoteRef/>
      </w:r>
      <w:r>
        <w:t xml:space="preserve">Case C-251/95, 1997 E.C.R. I-6191, [1998] 1 C.M.L.R. 445 (ECJ 1997). Technically, </w:t>
      </w:r>
      <w:r>
        <w:rPr>
          <w:i/>
          <w:iCs/>
        </w:rPr>
        <w:t>Sabel</w:t>
      </w:r>
      <w:r>
        <w:t xml:space="preserve"> involved Article 4(1)(b) of the Directive, which sets parameters for the registration of marks, rather than Article 5(1)(b). However, the operative language of the two provisions is identical. </w:t>
      </w:r>
    </w:p>
  </w:footnote>
  <w:footnote w:id="39">
    <w:p w14:paraId="0E46FEDC" w14:textId="77777777" w:rsidR="006F142F" w:rsidRDefault="006F142F" w:rsidP="0052698D">
      <w:pPr>
        <w:pStyle w:val="footnote"/>
      </w:pPr>
      <w:r>
        <w:rPr>
          <w:vertAlign w:val="superscript"/>
        </w:rPr>
        <w:footnoteRef/>
      </w:r>
      <w:r>
        <w:t xml:space="preserve">EU Treaty Art. 177 (this article has since been renumbered Art. 234). </w:t>
      </w:r>
    </w:p>
  </w:footnote>
  <w:footnote w:id="40">
    <w:p w14:paraId="54ABFEE2" w14:textId="77777777" w:rsidR="006F142F" w:rsidRDefault="006F142F" w:rsidP="0052698D">
      <w:pPr>
        <w:pStyle w:val="footnote"/>
      </w:pPr>
      <w:r>
        <w:rPr>
          <w:vertAlign w:val="superscript"/>
        </w:rPr>
        <w:footnoteRef/>
      </w:r>
      <w:r>
        <w:t xml:space="preserve">[1998] 1 C.M.L.R. at 470, ¶¶18, 26. On the other hand, the ECJ did indicate that the concept of confusion itself might be broadly interpreted. It said that the concept “must … be appreciated globally, taking into account all factors relevant to the circumstances of the case.” </w:t>
      </w:r>
      <w:r>
        <w:rPr>
          <w:i/>
          <w:iCs/>
        </w:rPr>
        <w:t>Id</w:t>
      </w:r>
      <w:r>
        <w:t xml:space="preserve">. ¶22. In particular, the more distinctive the mark, the more likely it is that confusion could result. </w:t>
      </w:r>
      <w:r>
        <w:rPr>
          <w:i/>
          <w:iCs/>
        </w:rPr>
        <w:t>Id</w:t>
      </w:r>
      <w:r>
        <w:t xml:space="preserve">. ¶24. </w:t>
      </w:r>
      <w:r>
        <w:rPr>
          <w:i/>
          <w:iCs/>
        </w:rPr>
        <w:t>See</w:t>
      </w:r>
      <w:r>
        <w:t xml:space="preserve"> John A. Tessensohn, </w:t>
      </w:r>
      <w:r>
        <w:rPr>
          <w:i/>
          <w:iCs/>
        </w:rPr>
        <w:t>May You Live in Interesting Times—European Trademark Law in the Wake of</w:t>
      </w:r>
      <w:r>
        <w:t xml:space="preserve"> Sabel BV v. Puma AG, 6 </w:t>
      </w:r>
      <w:r>
        <w:rPr>
          <w:smallCaps/>
        </w:rPr>
        <w:t>J. Intell. Prop. L.</w:t>
      </w:r>
      <w:r>
        <w:t xml:space="preserve"> 217 (1999). </w:t>
      </w:r>
    </w:p>
  </w:footnote>
  <w:footnote w:id="41">
    <w:p w14:paraId="655E1072" w14:textId="77777777" w:rsidR="006F142F" w:rsidRDefault="006F142F" w:rsidP="0052698D">
      <w:pPr>
        <w:pStyle w:val="footnote"/>
      </w:pPr>
      <w:r>
        <w:rPr>
          <w:vertAlign w:val="superscript"/>
        </w:rPr>
        <w:footnoteRef/>
      </w:r>
      <w:r>
        <w:t xml:space="preserve">Case C-425/98, 2000 OJ (C302) 3, 2000 E.C.R. I-4861 (ECJ 2000). </w:t>
      </w:r>
    </w:p>
  </w:footnote>
  <w:footnote w:id="42">
    <w:p w14:paraId="64A9D847" w14:textId="77777777" w:rsidR="006F142F" w:rsidRDefault="006F142F" w:rsidP="0052698D">
      <w:pPr>
        <w:pStyle w:val="footnote"/>
      </w:pPr>
      <w:r>
        <w:rPr>
          <w:vertAlign w:val="superscript"/>
        </w:rPr>
        <w:footnoteRef/>
      </w:r>
      <w:r>
        <w:t xml:space="preserve">Article 4, which sets forth conditions for refusal of registration, contains language in subsection 4(4)(a) identical to the operative language of Article 5(2). In addition, the 2008 Directive added Article 4(3), which requires member states to prevent the registration of national marks that dilute Community trade marks, using essentially the same language as Article 4(4)(a). (Article 4(3) is mandatory, unlike Articles 4(4)(a) and 5(2).) The ECJ has stated that the interpretation of one applies to the other. Intel Corp. v. CPM United Kingdom Ltd., Case C-252/07, ¶¶24–25 (ECJ 2008). It should be noted that Article 5(1)(a) could be interpreted as a kind of dilution provision. Article 5(1)(a) requires protection when the second use is on the </w:t>
      </w:r>
      <w:r>
        <w:rPr>
          <w:i/>
          <w:iCs/>
        </w:rPr>
        <w:t>identical</w:t>
      </w:r>
      <w:r>
        <w:t xml:space="preserve"> goods using the </w:t>
      </w:r>
      <w:r>
        <w:rPr>
          <w:i/>
          <w:iCs/>
        </w:rPr>
        <w:t>identical</w:t>
      </w:r>
      <w:r>
        <w:t xml:space="preserve"> mark. Although it could be said that Article 5(1)(a) effectively presumes confusion in such situations, the presumption, if such exists, is not rebuttable. And the provision does not require any showing of confusion. The ECJ has said that Article 5(1)(a) is implicated even in cases where a U.S. observer might not infer a </w:t>
      </w:r>
      <w:r>
        <w:rPr>
          <w:i/>
          <w:iCs/>
        </w:rPr>
        <w:t>trademark</w:t>
      </w:r>
      <w:r>
        <w:t xml:space="preserve"> use, such as in merchandising. </w:t>
      </w:r>
      <w:r>
        <w:rPr>
          <w:i/>
          <w:iCs/>
        </w:rPr>
        <w:t>See</w:t>
      </w:r>
      <w:r>
        <w:t>,</w:t>
      </w:r>
      <w:r>
        <w:rPr>
          <w:i/>
          <w:iCs/>
        </w:rPr>
        <w:t xml:space="preserve"> e</w:t>
      </w:r>
      <w:r>
        <w:t>.</w:t>
      </w:r>
      <w:r>
        <w:rPr>
          <w:i/>
          <w:iCs/>
        </w:rPr>
        <w:t>g</w:t>
      </w:r>
      <w:r>
        <w:t xml:space="preserve">., Adam Opel, AG v. Autec, AG, Case C-48/05 (ECJ 2007) (scale models of cars using the actual trademark); Case C-206/01, </w:t>
      </w:r>
      <w:r>
        <w:rPr>
          <w:i/>
          <w:iCs/>
        </w:rPr>
        <w:t>Arsenal Football Club,</w:t>
      </w:r>
      <w:r>
        <w:t xml:space="preserve"> [2002] ECR I-10273. However, the second use must affect the trademark function on goods for which the mark is registered. </w:t>
      </w:r>
      <w:r>
        <w:rPr>
          <w:i/>
          <w:iCs/>
        </w:rPr>
        <w:t>Adam Opel</w:t>
      </w:r>
      <w:r>
        <w:t xml:space="preserve">, ¶37 (where second use is on toy replicas, Article 5(1)(a) implicated to the extent that the second use “affects or is liable to affect the functions of the trade mark as a trade mark registered for toys”). The </w:t>
      </w:r>
      <w:r>
        <w:rPr>
          <w:i/>
          <w:iCs/>
        </w:rPr>
        <w:t>Adam Opel</w:t>
      </w:r>
      <w:r>
        <w:t xml:space="preserve"> case is also interesting because the ECJ, on its own, raised the possibility that Article 5(2) could be a basis for liability. </w:t>
      </w:r>
      <w:r>
        <w:rPr>
          <w:i/>
          <w:iCs/>
        </w:rPr>
        <w:t>Id</w:t>
      </w:r>
      <w:r>
        <w:t xml:space="preserve">. ¶¶31–36. </w:t>
      </w:r>
      <w:r>
        <w:rPr>
          <w:i/>
          <w:iCs/>
        </w:rPr>
        <w:t>See also</w:t>
      </w:r>
      <w:r>
        <w:t xml:space="preserve"> L’Oréal, S.A. v. Bellure, N.V., [2008] E.T.M.R. 1 (Ct. App. 2007) (referring question of Article 5(1)(a) to ECJ). The ECJ’s response, L’Oréal SV v. Bellure NV, Case C-487/07 (ECJ 2009), is discussed in §III.A.1.d, below. </w:t>
      </w:r>
    </w:p>
  </w:footnote>
  <w:footnote w:id="43">
    <w:p w14:paraId="62DB0717" w14:textId="77777777" w:rsidR="006F142F" w:rsidRPr="004830A2" w:rsidRDefault="006F142F">
      <w:pPr>
        <w:pStyle w:val="FootnoteText"/>
      </w:pPr>
      <w:r>
        <w:rPr>
          <w:rStyle w:val="FootnoteReference"/>
          <w:rFonts w:eastAsiaTheme="majorEastAsia"/>
        </w:rPr>
        <w:footnoteRef/>
      </w:r>
      <w:r>
        <w:t xml:space="preserve">On the issue of similarity of marks and the need to compare the dominant aspects of the marks, </w:t>
      </w:r>
      <w:r>
        <w:rPr>
          <w:i/>
          <w:iCs/>
        </w:rPr>
        <w:t>see</w:t>
      </w:r>
      <w:r>
        <w:t xml:space="preserve"> Puma v. EUIPO—Li Puma (Lazzaro by Li Puma), Case T-11/24, [2025] E.T.M.R. 7, ¶20–37 (Gen. Ct. 2025) (noting that the “by Li Puma” part of applicant’s mark was almost unnoticeable in the mark).</w:t>
      </w:r>
    </w:p>
  </w:footnote>
  <w:footnote w:id="44">
    <w:p w14:paraId="07ABDB65" w14:textId="77777777" w:rsidR="006F142F" w:rsidRDefault="006F142F" w:rsidP="0052698D">
      <w:pPr>
        <w:pStyle w:val="footnote"/>
      </w:pPr>
      <w:r>
        <w:rPr>
          <w:vertAlign w:val="superscript"/>
        </w:rPr>
        <w:footnoteRef/>
      </w:r>
      <w:r>
        <w:t xml:space="preserve">The Directive refers to the goods or services “for which the trade mark is registered.” There is an interesting disjunction between Article 5(2) and Article 5(1)(b). Article 5(2) applied only to dissimilar goods situations, while Article 5(1)(b) applied only where the goods were similar. However, the apparent oddity was resolved by the ECJ, and was eliminated in the 2015 Directive. </w:t>
      </w:r>
      <w:r>
        <w:rPr>
          <w:i/>
          <w:iCs/>
        </w:rPr>
        <w:t>See</w:t>
      </w:r>
      <w:r>
        <w:t xml:space="preserve"> §III.A.1.a, below. </w:t>
      </w:r>
    </w:p>
  </w:footnote>
  <w:footnote w:id="45">
    <w:p w14:paraId="670C6397" w14:textId="77777777" w:rsidR="006F142F" w:rsidRDefault="006F142F" w:rsidP="0052698D">
      <w:pPr>
        <w:pStyle w:val="footnote"/>
      </w:pPr>
      <w:r>
        <w:rPr>
          <w:vertAlign w:val="superscript"/>
        </w:rPr>
        <w:footnoteRef/>
      </w:r>
      <w:r>
        <w:t xml:space="preserve">The dilution provisions relating to opposing registration are contained in Article 5(3) of the 2015 Directive. </w:t>
      </w:r>
    </w:p>
  </w:footnote>
  <w:footnote w:id="46">
    <w:p w14:paraId="61559702" w14:textId="77777777" w:rsidR="006F142F" w:rsidRDefault="006F142F" w:rsidP="0052698D">
      <w:pPr>
        <w:pStyle w:val="footnote"/>
      </w:pPr>
      <w:r>
        <w:rPr>
          <w:vertAlign w:val="superscript"/>
        </w:rPr>
        <w:footnoteRef/>
      </w:r>
      <w:r>
        <w:rPr>
          <w:i/>
          <w:iCs/>
        </w:rPr>
        <w:t>See</w:t>
      </w:r>
      <w:r>
        <w:t xml:space="preserve"> §III.A.1.a, below. </w:t>
      </w:r>
    </w:p>
  </w:footnote>
  <w:footnote w:id="47">
    <w:p w14:paraId="2B8F0AEF" w14:textId="77777777" w:rsidR="006F142F" w:rsidRPr="00B14711" w:rsidRDefault="006F142F" w:rsidP="0052698D">
      <w:pPr>
        <w:pStyle w:val="footnote"/>
      </w:pPr>
      <w:r w:rsidRPr="00B14711">
        <w:rPr>
          <w:vertAlign w:val="superscript"/>
        </w:rPr>
        <w:footnoteRef/>
      </w:r>
      <w:r w:rsidRPr="00B14711">
        <w:t>Case C-39/97, 1998 E.C.R. I-5507 (ECJ 1998).</w:t>
      </w:r>
    </w:p>
  </w:footnote>
  <w:footnote w:id="48">
    <w:p w14:paraId="29A3392F" w14:textId="77777777" w:rsidR="006F142F" w:rsidRPr="00B14711" w:rsidRDefault="006F142F" w:rsidP="0052698D">
      <w:pPr>
        <w:pStyle w:val="footnote"/>
      </w:pPr>
      <w:r w:rsidRPr="00B14711">
        <w:rPr>
          <w:vertAlign w:val="superscript"/>
        </w:rPr>
        <w:footnoteRef/>
      </w:r>
      <w:r w:rsidRPr="00B14711">
        <w:rPr>
          <w:i/>
          <w:iCs/>
        </w:rPr>
        <w:t>See id</w:t>
      </w:r>
      <w:r w:rsidRPr="00B14711">
        <w:t xml:space="preserve">. ¶¶19, 24. The ECJ did state that </w:t>
      </w:r>
      <w:r w:rsidRPr="00B14711">
        <w:rPr>
          <w:i/>
          <w:iCs/>
        </w:rPr>
        <w:t>some</w:t>
      </w:r>
      <w:r w:rsidRPr="00B14711">
        <w:t xml:space="preserve"> level of similarity of goods must always be shown, regardless of the level of distinctiveness of the mark. </w:t>
      </w:r>
      <w:r w:rsidRPr="00B14711">
        <w:rPr>
          <w:i/>
          <w:iCs/>
        </w:rPr>
        <w:t>Id</w:t>
      </w:r>
      <w:r w:rsidRPr="00B14711">
        <w:t>. ¶22.</w:t>
      </w:r>
    </w:p>
  </w:footnote>
  <w:footnote w:id="49">
    <w:p w14:paraId="75D5890D" w14:textId="77777777" w:rsidR="006F142F" w:rsidRPr="00B14711" w:rsidRDefault="006F142F" w:rsidP="0052698D">
      <w:pPr>
        <w:pStyle w:val="footnote"/>
      </w:pPr>
      <w:r w:rsidRPr="00B14711">
        <w:rPr>
          <w:vertAlign w:val="superscript"/>
        </w:rPr>
        <w:footnoteRef/>
      </w:r>
      <w:r w:rsidRPr="00B14711">
        <w:t>Case C-292/00, 2003 OJ (C7) (ECJ 2003).</w:t>
      </w:r>
    </w:p>
  </w:footnote>
  <w:footnote w:id="50">
    <w:p w14:paraId="1BF7B4C8" w14:textId="77777777" w:rsidR="006F142F" w:rsidRPr="00B14711" w:rsidRDefault="006F142F" w:rsidP="0052698D">
      <w:pPr>
        <w:pStyle w:val="footnote"/>
      </w:pPr>
      <w:r w:rsidRPr="00B14711">
        <w:rPr>
          <w:vertAlign w:val="superscript"/>
        </w:rPr>
        <w:footnoteRef/>
      </w:r>
      <w:r w:rsidRPr="00B14711">
        <w:t>The ruling applies equally to Art. 4(4)(a) of the Directive, which cover</w:t>
      </w:r>
      <w:r>
        <w:t>ed</w:t>
      </w:r>
      <w:r w:rsidRPr="00B14711">
        <w:t xml:space="preserve"> situations where marks are deemed not registrable. </w:t>
      </w:r>
      <w:r w:rsidRPr="00B14711">
        <w:rPr>
          <w:i/>
          <w:iCs/>
        </w:rPr>
        <w:t>See id</w:t>
      </w:r>
      <w:r w:rsidRPr="00B14711">
        <w:t>. ¶30.</w:t>
      </w:r>
    </w:p>
  </w:footnote>
  <w:footnote w:id="51">
    <w:p w14:paraId="08DF1648" w14:textId="77777777" w:rsidR="006F142F" w:rsidRPr="00B14711" w:rsidRDefault="006F142F" w:rsidP="0052698D">
      <w:pPr>
        <w:pStyle w:val="footnote"/>
      </w:pPr>
      <w:r w:rsidRPr="00B14711">
        <w:rPr>
          <w:vertAlign w:val="superscript"/>
        </w:rPr>
        <w:footnoteRef/>
      </w:r>
      <w:r w:rsidRPr="00B14711">
        <w:rPr>
          <w:i/>
          <w:iCs/>
        </w:rPr>
        <w:t>Id</w:t>
      </w:r>
      <w:r w:rsidRPr="00B14711">
        <w:t>. ¶25.</w:t>
      </w:r>
    </w:p>
  </w:footnote>
  <w:footnote w:id="52">
    <w:p w14:paraId="71666F6A" w14:textId="77777777" w:rsidR="006F142F" w:rsidRPr="00B14711" w:rsidRDefault="006F142F" w:rsidP="0052698D">
      <w:pPr>
        <w:pStyle w:val="footnote"/>
      </w:pPr>
      <w:r w:rsidRPr="00B14711">
        <w:rPr>
          <w:vertAlign w:val="superscript"/>
        </w:rPr>
        <w:footnoteRef/>
      </w:r>
      <w:r w:rsidRPr="00B14711">
        <w:t>Case C-408/01 (ECJ 2003).</w:t>
      </w:r>
    </w:p>
  </w:footnote>
  <w:footnote w:id="53">
    <w:p w14:paraId="01CD3C9C" w14:textId="77777777" w:rsidR="006F142F" w:rsidRPr="00B14711" w:rsidRDefault="006F142F" w:rsidP="0052698D">
      <w:pPr>
        <w:pStyle w:val="footnote"/>
      </w:pPr>
      <w:r w:rsidRPr="00B14711">
        <w:rPr>
          <w:vertAlign w:val="superscript"/>
        </w:rPr>
        <w:footnoteRef/>
      </w:r>
      <w:r w:rsidRPr="00B14711">
        <w:rPr>
          <w:i/>
          <w:iCs/>
        </w:rPr>
        <w:t>Id</w:t>
      </w:r>
      <w:r w:rsidRPr="00B14711">
        <w:t xml:space="preserve">. ¶20. In the </w:t>
      </w:r>
      <w:r w:rsidRPr="00B14711">
        <w:rPr>
          <w:i/>
          <w:iCs/>
        </w:rPr>
        <w:t>adidas</w:t>
      </w:r>
      <w:r w:rsidRPr="00B14711">
        <w:t xml:space="preserve"> case, the plaintiff used three parallel stripes in contrasting colors down the side of clothing; the defendant used two stripes. </w:t>
      </w:r>
      <w:r w:rsidRPr="00B14711">
        <w:rPr>
          <w:i/>
          <w:iCs/>
        </w:rPr>
        <w:t>Id</w:t>
      </w:r>
      <w:r w:rsidRPr="00B14711">
        <w:t>. ¶¶5, 7.</w:t>
      </w:r>
    </w:p>
  </w:footnote>
  <w:footnote w:id="54">
    <w:p w14:paraId="399ACCF7" w14:textId="77777777" w:rsidR="006F142F" w:rsidRDefault="006F142F" w:rsidP="0052698D">
      <w:pPr>
        <w:pStyle w:val="footnote"/>
      </w:pPr>
      <w:r>
        <w:rPr>
          <w:vertAlign w:val="superscript"/>
        </w:rPr>
        <w:footnoteRef/>
      </w:r>
      <w:r>
        <w:t xml:space="preserve">This applies as well to the EU Trade Mark Regulation. </w:t>
      </w:r>
      <w:r>
        <w:rPr>
          <w:i/>
          <w:iCs/>
        </w:rPr>
        <w:t>See</w:t>
      </w:r>
      <w:r>
        <w:t xml:space="preserve"> Starbucks Corp. v. EUIPO, [2018] E.T.M.R. 17, *459–60 (Gen. Ct. Jan. 16, 2018) (reversing the EUIPO and denying registration based in part on Art. 8(5) in a contest between two coffee merchants). </w:t>
      </w:r>
    </w:p>
  </w:footnote>
  <w:footnote w:id="55">
    <w:p w14:paraId="02B60497" w14:textId="77777777" w:rsidR="006F142F" w:rsidRDefault="006F142F" w:rsidP="0052698D">
      <w:pPr>
        <w:pStyle w:val="footnote"/>
      </w:pPr>
      <w:r>
        <w:rPr>
          <w:vertAlign w:val="superscript"/>
        </w:rPr>
        <w:footnoteRef/>
      </w:r>
      <w:r>
        <w:t xml:space="preserve">PP Gappol Marzena Porczynska v. EUIPO, Case T-411/15, judgment ¶1 (Gen. Ct. Oct. 4, 2017). </w:t>
      </w:r>
    </w:p>
  </w:footnote>
  <w:footnote w:id="56">
    <w:p w14:paraId="1BDACBB5" w14:textId="77777777" w:rsidR="006F142F" w:rsidRDefault="006F142F" w:rsidP="00D34D0E">
      <w:pPr>
        <w:pStyle w:val="FootnoteText"/>
      </w:pPr>
      <w:r>
        <w:rPr>
          <w:rStyle w:val="FootnoteReference"/>
          <w:rFonts w:eastAsiaTheme="majorEastAsia"/>
        </w:rPr>
        <w:footnoteRef/>
      </w:r>
      <w:r w:rsidRPr="00251F78">
        <w:rPr>
          <w:lang w:val="es-US"/>
        </w:rPr>
        <w:t xml:space="preserve">Puma SE v. EUIPO, 62016TJ0062, ¶¶98–99 (Gen. Ct. </w:t>
      </w:r>
      <w:r>
        <w:t>Sept. 26, 2018).</w:t>
      </w:r>
    </w:p>
  </w:footnote>
  <w:footnote w:id="57">
    <w:p w14:paraId="33C590BC" w14:textId="77777777" w:rsidR="006F142F" w:rsidRPr="00B14711" w:rsidRDefault="006F142F" w:rsidP="0052698D">
      <w:pPr>
        <w:pStyle w:val="footnote"/>
      </w:pPr>
      <w:r w:rsidRPr="00B14711">
        <w:rPr>
          <w:vertAlign w:val="superscript"/>
        </w:rPr>
        <w:footnoteRef/>
      </w:r>
      <w:r w:rsidRPr="00B14711">
        <w:t>Case C-23/01, 2003 OJ (C44) (ECJ 2002).</w:t>
      </w:r>
    </w:p>
  </w:footnote>
  <w:footnote w:id="58">
    <w:p w14:paraId="3D4E4CB2" w14:textId="77777777" w:rsidR="006F142F" w:rsidRPr="00B14711" w:rsidRDefault="006F142F" w:rsidP="0052698D">
      <w:pPr>
        <w:pStyle w:val="footnote"/>
      </w:pPr>
      <w:r w:rsidRPr="00B14711">
        <w:rPr>
          <w:vertAlign w:val="superscript"/>
        </w:rPr>
        <w:footnoteRef/>
      </w:r>
      <w:r w:rsidRPr="00B14711">
        <w:t>“Dilution protection” here means the kind of protection provided by Art. 5(2), against “taking unfair advantage,” etc.</w:t>
      </w:r>
    </w:p>
  </w:footnote>
  <w:footnote w:id="59">
    <w:p w14:paraId="7FE11EAE" w14:textId="77777777" w:rsidR="006F142F" w:rsidRPr="00B14711" w:rsidRDefault="006F142F" w:rsidP="0052698D">
      <w:pPr>
        <w:pStyle w:val="footnote"/>
      </w:pPr>
      <w:r w:rsidRPr="00B14711">
        <w:rPr>
          <w:vertAlign w:val="superscript"/>
        </w:rPr>
        <w:footnoteRef/>
      </w:r>
      <w:r w:rsidRPr="00B14711">
        <w:t xml:space="preserve">In </w:t>
      </w:r>
      <w:r w:rsidRPr="00B14711">
        <w:rPr>
          <w:i/>
          <w:iCs/>
        </w:rPr>
        <w:t>Robelco</w:t>
      </w:r>
      <w:r w:rsidRPr="00B14711">
        <w:t xml:space="preserve">, the offending use was as a trade </w:t>
      </w:r>
      <w:r w:rsidRPr="00B14711">
        <w:rPr>
          <w:i/>
          <w:iCs/>
        </w:rPr>
        <w:t>name</w:t>
      </w:r>
      <w:r w:rsidRPr="00B14711">
        <w:t xml:space="preserve">, rather than as a mark. </w:t>
      </w:r>
      <w:r w:rsidRPr="00B14711">
        <w:rPr>
          <w:i/>
          <w:iCs/>
        </w:rPr>
        <w:t>See id</w:t>
      </w:r>
      <w:r w:rsidRPr="00B14711">
        <w:t>. ¶13 (describing the scope of the national court’s ruling).</w:t>
      </w:r>
    </w:p>
  </w:footnote>
  <w:footnote w:id="60">
    <w:p w14:paraId="7A62E721" w14:textId="77777777" w:rsidR="006F142F" w:rsidRPr="00B14711" w:rsidRDefault="006F142F" w:rsidP="0052698D">
      <w:pPr>
        <w:pStyle w:val="footnote"/>
      </w:pPr>
      <w:r w:rsidRPr="00B14711">
        <w:rPr>
          <w:vertAlign w:val="superscript"/>
        </w:rPr>
        <w:footnoteRef/>
      </w:r>
      <w:r w:rsidRPr="00B14711">
        <w:rPr>
          <w:i/>
          <w:iCs/>
        </w:rPr>
        <w:t>Id</w:t>
      </w:r>
      <w:r w:rsidRPr="00B14711">
        <w:t xml:space="preserve">. ¶¶30, 32, 35. In </w:t>
      </w:r>
      <w:r w:rsidRPr="00B14711">
        <w:rPr>
          <w:i/>
          <w:iCs/>
        </w:rPr>
        <w:t>Robelco</w:t>
      </w:r>
      <w:r w:rsidRPr="00B14711">
        <w:t xml:space="preserve">, the Benelux trademark law had implemented such protection. </w:t>
      </w:r>
      <w:r w:rsidRPr="00B14711">
        <w:rPr>
          <w:i/>
          <w:iCs/>
        </w:rPr>
        <w:t>See id</w:t>
      </w:r>
      <w:r w:rsidRPr="00B14711">
        <w:t>. ¶9 (quoting art. 13A(1) of the Uniform Benelux Law on Trade Marks).</w:t>
      </w:r>
    </w:p>
  </w:footnote>
  <w:footnote w:id="61">
    <w:p w14:paraId="3F49C8CF" w14:textId="77777777" w:rsidR="006F142F" w:rsidRPr="00B14711" w:rsidRDefault="006F142F" w:rsidP="0052698D">
      <w:pPr>
        <w:pStyle w:val="footnote"/>
      </w:pPr>
      <w:r w:rsidRPr="00B14711">
        <w:rPr>
          <w:vertAlign w:val="superscript"/>
        </w:rPr>
        <w:footnoteRef/>
      </w:r>
      <w:r w:rsidRPr="00B14711">
        <w:t xml:space="preserve">General Motors Corp. v. Yplon S.A., Case C-375/97, [1999] E.C.R. I-542, ¶31. The court focused on the mark’s reputation among those familiar with the </w:t>
      </w:r>
      <w:r w:rsidRPr="00B14711">
        <w:rPr>
          <w:i/>
          <w:iCs/>
        </w:rPr>
        <w:t>first</w:t>
      </w:r>
      <w:r w:rsidRPr="00B14711">
        <w:t xml:space="preserve"> user’s goods, not those of the second user. </w:t>
      </w:r>
      <w:r w:rsidRPr="00B14711">
        <w:rPr>
          <w:i/>
          <w:iCs/>
        </w:rPr>
        <w:t>See id</w:t>
      </w:r>
      <w:r w:rsidRPr="00B14711">
        <w:t>. ¶¶24, 26.</w:t>
      </w:r>
    </w:p>
  </w:footnote>
  <w:footnote w:id="62">
    <w:p w14:paraId="0CA995BA" w14:textId="77777777" w:rsidR="006F142F" w:rsidRPr="00B14711" w:rsidRDefault="006F142F" w:rsidP="0052698D">
      <w:pPr>
        <w:pStyle w:val="footnote"/>
      </w:pPr>
      <w:r w:rsidRPr="00B14711">
        <w:rPr>
          <w:vertAlign w:val="superscript"/>
        </w:rPr>
        <w:footnoteRef/>
      </w:r>
      <w:r w:rsidRPr="00B14711">
        <w:rPr>
          <w:i/>
          <w:iCs/>
        </w:rPr>
        <w:t>Id</w:t>
      </w:r>
      <w:r w:rsidRPr="00B14711">
        <w:t>. ¶13.</w:t>
      </w:r>
    </w:p>
  </w:footnote>
  <w:footnote w:id="63">
    <w:p w14:paraId="60E1C2F5" w14:textId="77777777" w:rsidR="006F142F" w:rsidRPr="00B14711" w:rsidRDefault="006F142F" w:rsidP="0052698D">
      <w:pPr>
        <w:pStyle w:val="footnote"/>
      </w:pPr>
      <w:r w:rsidRPr="00B14711">
        <w:rPr>
          <w:vertAlign w:val="superscript"/>
        </w:rPr>
        <w:footnoteRef/>
      </w:r>
      <w:r w:rsidRPr="00B14711">
        <w:rPr>
          <w:i/>
          <w:iCs/>
        </w:rPr>
        <w:t>See id</w:t>
      </w:r>
      <w:r w:rsidRPr="00B14711">
        <w:t>. ¶30 (dictum).</w:t>
      </w:r>
    </w:p>
  </w:footnote>
  <w:footnote w:id="64">
    <w:p w14:paraId="5001084B" w14:textId="77777777" w:rsidR="006F142F" w:rsidRDefault="006F142F" w:rsidP="0052698D">
      <w:pPr>
        <w:pStyle w:val="footnote"/>
      </w:pPr>
      <w:r>
        <w:rPr>
          <w:vertAlign w:val="superscript"/>
        </w:rPr>
        <w:footnoteRef/>
      </w:r>
      <w:r>
        <w:t>Case C</w:t>
      </w:r>
      <w:r>
        <w:noBreakHyphen/>
        <w:t xml:space="preserve">125/14 (CJEU 2015). </w:t>
      </w:r>
    </w:p>
  </w:footnote>
  <w:footnote w:id="65">
    <w:p w14:paraId="52A81689" w14:textId="77777777" w:rsidR="006F142F" w:rsidRDefault="006F142F" w:rsidP="0052698D">
      <w:pPr>
        <w:pStyle w:val="footnote"/>
      </w:pPr>
      <w:r>
        <w:rPr>
          <w:vertAlign w:val="superscript"/>
        </w:rPr>
        <w:footnoteRef/>
      </w:r>
      <w:r>
        <w:rPr>
          <w:i/>
          <w:iCs/>
        </w:rPr>
        <w:t>Id</w:t>
      </w:r>
      <w:r>
        <w:t xml:space="preserve">. ¶10. </w:t>
      </w:r>
    </w:p>
  </w:footnote>
  <w:footnote w:id="66">
    <w:p w14:paraId="15757830" w14:textId="77777777" w:rsidR="006F142F" w:rsidRDefault="006F142F" w:rsidP="0052698D">
      <w:pPr>
        <w:pStyle w:val="footnote"/>
      </w:pPr>
      <w:r>
        <w:rPr>
          <w:vertAlign w:val="superscript"/>
        </w:rPr>
        <w:footnoteRef/>
      </w:r>
      <w:r>
        <w:rPr>
          <w:i/>
          <w:iCs/>
        </w:rPr>
        <w:t>Id</w:t>
      </w:r>
      <w:r>
        <w:t xml:space="preserve">. ¶20. </w:t>
      </w:r>
      <w:r>
        <w:rPr>
          <w:i/>
          <w:iCs/>
        </w:rPr>
        <w:t>See</w:t>
      </w:r>
      <w:r>
        <w:t xml:space="preserve"> PP Gappol Marzena Porczynska v. EUIPO, Case T-411/15, ¶173 (Gen. Ct. Oct. 4, 2017). </w:t>
      </w:r>
    </w:p>
  </w:footnote>
  <w:footnote w:id="67">
    <w:p w14:paraId="56908AEC" w14:textId="77777777" w:rsidR="006F142F" w:rsidRDefault="006F142F" w:rsidP="0052698D">
      <w:pPr>
        <w:pStyle w:val="footnote"/>
      </w:pPr>
      <w:r>
        <w:rPr>
          <w:vertAlign w:val="superscript"/>
        </w:rPr>
        <w:footnoteRef/>
      </w:r>
      <w:r>
        <w:rPr>
          <w:i/>
          <w:iCs/>
        </w:rPr>
        <w:t>See Iron &amp; Smith,</w:t>
      </w:r>
      <w:r>
        <w:t xml:space="preserve"> ¶11. The factual basis for the finding of a reputation within a significant portion of the EU was rather slim: products with the Unilever mark were found to have 5 percent of the market in the U.K., and 0.2 percent of the market in Italy. </w:t>
      </w:r>
      <w:r>
        <w:rPr>
          <w:i/>
          <w:iCs/>
        </w:rPr>
        <w:t>Id</w:t>
      </w:r>
      <w:r>
        <w:t xml:space="preserve">. ¶12. </w:t>
      </w:r>
    </w:p>
  </w:footnote>
  <w:footnote w:id="68">
    <w:p w14:paraId="022E7680" w14:textId="77777777" w:rsidR="006F142F" w:rsidRPr="0048358F" w:rsidRDefault="006F142F" w:rsidP="0052698D">
      <w:pPr>
        <w:pStyle w:val="footnote"/>
        <w:rPr>
          <w:lang w:val="nl-NL"/>
        </w:rPr>
      </w:pPr>
      <w:r>
        <w:rPr>
          <w:vertAlign w:val="superscript"/>
        </w:rPr>
        <w:footnoteRef/>
      </w:r>
      <w:r>
        <w:rPr>
          <w:i/>
          <w:iCs/>
        </w:rPr>
        <w:t>Id</w:t>
      </w:r>
      <w:r>
        <w:t xml:space="preserve">. ¶20. The court also held that the requirement of “genuine use” was separate from the requirement of a reputation in the EU. </w:t>
      </w:r>
      <w:r>
        <w:rPr>
          <w:i/>
          <w:iCs/>
        </w:rPr>
        <w:t>Id.</w:t>
      </w:r>
      <w:r>
        <w:t xml:space="preserve"> </w:t>
      </w:r>
      <w:r w:rsidRPr="0048358F">
        <w:rPr>
          <w:lang w:val="nl-NL"/>
        </w:rPr>
        <w:t xml:space="preserve">¶21. </w:t>
      </w:r>
    </w:p>
  </w:footnote>
  <w:footnote w:id="69">
    <w:p w14:paraId="4B84BC27" w14:textId="77777777" w:rsidR="006F142F" w:rsidRPr="0048358F" w:rsidRDefault="006F142F" w:rsidP="0052698D">
      <w:pPr>
        <w:pStyle w:val="footnote"/>
        <w:rPr>
          <w:lang w:val="nl-NL"/>
        </w:rPr>
      </w:pPr>
      <w:r>
        <w:rPr>
          <w:vertAlign w:val="superscript"/>
        </w:rPr>
        <w:footnoteRef/>
      </w:r>
      <w:r w:rsidRPr="0048358F">
        <w:rPr>
          <w:i/>
          <w:iCs/>
          <w:lang w:val="nl-NL"/>
        </w:rPr>
        <w:t>Id</w:t>
      </w:r>
      <w:r w:rsidRPr="0048358F">
        <w:rPr>
          <w:lang w:val="nl-NL"/>
        </w:rPr>
        <w:t xml:space="preserve">. ¶¶30, 34. </w:t>
      </w:r>
    </w:p>
  </w:footnote>
  <w:footnote w:id="70">
    <w:p w14:paraId="3E331217" w14:textId="77777777" w:rsidR="006F142F" w:rsidRDefault="006F142F" w:rsidP="0052698D">
      <w:pPr>
        <w:pStyle w:val="footnote"/>
      </w:pPr>
      <w:r>
        <w:rPr>
          <w:vertAlign w:val="superscript"/>
        </w:rPr>
        <w:footnoteRef/>
      </w:r>
      <w:r w:rsidRPr="0048358F">
        <w:rPr>
          <w:lang w:val="nl-NL"/>
        </w:rPr>
        <w:t xml:space="preserve">K&amp;K Grp. v. EUIPO, Case T–2/16, ¶¶68–73 (Gen. Ct. 2016). </w:t>
      </w:r>
      <w:r>
        <w:t xml:space="preserve">In language echoing that of U.S. cases, the General Court found that Pret a Manger could be termed a “household name.” </w:t>
      </w:r>
      <w:r>
        <w:rPr>
          <w:i/>
          <w:iCs/>
        </w:rPr>
        <w:t>Id.</w:t>
      </w:r>
      <w:r>
        <w:t xml:space="preserve"> ¶67. </w:t>
      </w:r>
      <w:r>
        <w:rPr>
          <w:i/>
          <w:iCs/>
        </w:rPr>
        <w:t>Cf.</w:t>
      </w:r>
      <w:r>
        <w:t xml:space="preserve"> Tecom Master v. EUIPO—Michael Kors, Case T-1053/23, [2025] E.T.M.R. 16, ¶¶76</w:t>
      </w:r>
      <w:r w:rsidRPr="00FC6FAE">
        <w:t>–</w:t>
      </w:r>
      <w:r>
        <w:t xml:space="preserve">82 (Gen. Ct. 2025) (upholding finding that “MK” mark had a reputation among the relevant consuming public); Alma-The Soul of Italian Wine LLLP v. EUIPO, Case T–637/15, ¶¶44–48 (Gen. Ct. 2017) (upholding a finding that Viña Sol had a reputation among wine consumers—the general public—based largely on third-party statements and sales volumes). </w:t>
      </w:r>
    </w:p>
  </w:footnote>
  <w:footnote w:id="71">
    <w:p w14:paraId="4849D8BE" w14:textId="77777777" w:rsidR="006F142F" w:rsidRPr="00644EC4" w:rsidRDefault="006F142F">
      <w:pPr>
        <w:pStyle w:val="FootnoteText"/>
      </w:pPr>
      <w:r>
        <w:rPr>
          <w:rStyle w:val="FootnoteReference"/>
          <w:rFonts w:eastAsiaTheme="majorEastAsia"/>
        </w:rPr>
        <w:footnoteRef/>
      </w:r>
      <w:r w:rsidRPr="00644EC4">
        <w:t>Case T-</w:t>
      </w:r>
      <w:r w:rsidRPr="00FC6FAE">
        <w:t>98/23</w:t>
      </w:r>
      <w:r w:rsidRPr="00644EC4">
        <w:t>, [2024] E.T.M.R. 24 (Gen</w:t>
      </w:r>
      <w:r w:rsidRPr="00FC6FAE">
        <w:t>. Ct. 2024).</w:t>
      </w:r>
    </w:p>
  </w:footnote>
  <w:footnote w:id="72">
    <w:p w14:paraId="540CC970" w14:textId="77777777" w:rsidR="006F142F" w:rsidRPr="00644EC4" w:rsidRDefault="006F142F">
      <w:pPr>
        <w:pStyle w:val="FootnoteText"/>
      </w:pPr>
      <w:r>
        <w:rPr>
          <w:rStyle w:val="FootnoteReference"/>
          <w:rFonts w:eastAsiaTheme="majorEastAsia"/>
        </w:rPr>
        <w:footnoteRef/>
      </w:r>
      <w:r>
        <w:rPr>
          <w:i/>
          <w:iCs/>
        </w:rPr>
        <w:t>Id</w:t>
      </w:r>
      <w:r>
        <w:t>. ¶¶40</w:t>
      </w:r>
      <w:r w:rsidRPr="00FC6FAE">
        <w:t>–</w:t>
      </w:r>
      <w:r>
        <w:t>75.</w:t>
      </w:r>
    </w:p>
  </w:footnote>
  <w:footnote w:id="73">
    <w:p w14:paraId="0998B46B" w14:textId="77777777" w:rsidR="006F142F" w:rsidRPr="00FB5728" w:rsidRDefault="006F142F" w:rsidP="0052698D">
      <w:pPr>
        <w:pStyle w:val="footnote"/>
      </w:pPr>
      <w:r>
        <w:rPr>
          <w:vertAlign w:val="superscript"/>
        </w:rPr>
        <w:footnoteRef/>
      </w:r>
      <w:r>
        <w:t xml:space="preserve">Gall Pharma GmbH v. EUIPO, Case T-662/16, ¶45 (Gen. Ct. 2018) (comparing VIAGRA, a pharmaceutical product, with STYRIAGRA, used for pumpkin seeds). </w:t>
      </w:r>
      <w:r>
        <w:rPr>
          <w:i/>
          <w:iCs/>
        </w:rPr>
        <w:t>See</w:t>
      </w:r>
      <w:r>
        <w:t xml:space="preserve"> Bimbo, S.A. v. EUIPO, Case T509/22, ¶30 (Gen. Ct. 2023).</w:t>
      </w:r>
    </w:p>
  </w:footnote>
  <w:footnote w:id="74">
    <w:p w14:paraId="424E2179" w14:textId="77777777" w:rsidR="006F142F" w:rsidRDefault="006F142F" w:rsidP="0052698D">
      <w:pPr>
        <w:pStyle w:val="footnote"/>
      </w:pPr>
      <w:r>
        <w:rPr>
          <w:vertAlign w:val="superscript"/>
        </w:rPr>
        <w:footnoteRef/>
      </w:r>
      <w:r>
        <w:t xml:space="preserve">Walsh v. British Sky Broad. Grp., [2013] E.T.M.R. 27, ¶82 (Irish Patents Office 2013) (“Such a reputation would be expected to extend beyond the Ltd [sic] class of consumers of the Opponent’s goods and to penetrate the consciousness of the wider public such that a substantial number of people would know and recognise the mark even if they had never used the Opponent’s goods.”). </w:t>
      </w:r>
    </w:p>
  </w:footnote>
  <w:footnote w:id="75">
    <w:p w14:paraId="4A66E610" w14:textId="77777777" w:rsidR="006F142F" w:rsidRPr="00B14711" w:rsidRDefault="006F142F" w:rsidP="0052698D">
      <w:pPr>
        <w:pStyle w:val="footnote"/>
      </w:pPr>
      <w:r w:rsidRPr="00B14711">
        <w:rPr>
          <w:vertAlign w:val="superscript"/>
        </w:rPr>
        <w:footnoteRef/>
      </w:r>
      <w:r w:rsidRPr="00B14711">
        <w:t xml:space="preserve">For a discussion of this issue, and others relating to what U.S. law would call nominative use, in European dilution cases, </w:t>
      </w:r>
      <w:r w:rsidRPr="00005903">
        <w:rPr>
          <w:iCs/>
        </w:rPr>
        <w:t>see</w:t>
      </w:r>
      <w:r w:rsidRPr="00B14711">
        <w:t xml:space="preserve"> Ilanah Simon, </w:t>
      </w:r>
      <w:r w:rsidRPr="00B14711">
        <w:rPr>
          <w:i/>
          <w:iCs/>
        </w:rPr>
        <w:t>Nominative Use and Honest Practices in Industrial and Commercial Matters—A Very European History</w:t>
      </w:r>
      <w:r w:rsidRPr="00B14711">
        <w:t>, I.P.Q. 2007, 2, 117–47.</w:t>
      </w:r>
    </w:p>
  </w:footnote>
  <w:footnote w:id="76">
    <w:p w14:paraId="6894DC1C" w14:textId="77777777" w:rsidR="006F142F" w:rsidRPr="00B14711" w:rsidRDefault="006F142F" w:rsidP="0052698D">
      <w:pPr>
        <w:pStyle w:val="footnote"/>
      </w:pPr>
      <w:r w:rsidRPr="00B14711">
        <w:rPr>
          <w:vertAlign w:val="superscript"/>
        </w:rPr>
        <w:footnoteRef/>
      </w:r>
      <w:r w:rsidRPr="00B14711">
        <w:t>Case T-215/03 (Ct. First. Inst. 2007).</w:t>
      </w:r>
    </w:p>
  </w:footnote>
  <w:footnote w:id="77">
    <w:p w14:paraId="31CD1862" w14:textId="77777777" w:rsidR="006F142F" w:rsidRPr="00B14711" w:rsidRDefault="006F142F" w:rsidP="0052698D">
      <w:pPr>
        <w:pStyle w:val="footnote"/>
      </w:pPr>
      <w:r w:rsidRPr="00B14711">
        <w:rPr>
          <w:vertAlign w:val="superscript"/>
        </w:rPr>
        <w:footnoteRef/>
      </w:r>
      <w:r w:rsidRPr="00B14711">
        <w:t>The relevant dilution language of the Community Trade Mark Regulations is the same as that of the Harmonization Directive. For a discussion of the Community Trade Mark Regulation, see §III.A.2</w:t>
      </w:r>
      <w:r>
        <w:t>,</w:t>
      </w:r>
      <w:r w:rsidRPr="00B14711">
        <w:t xml:space="preserve"> below.</w:t>
      </w:r>
    </w:p>
  </w:footnote>
  <w:footnote w:id="78">
    <w:p w14:paraId="242D24E5" w14:textId="77777777" w:rsidR="006F142F" w:rsidRPr="00B14711" w:rsidRDefault="006F142F" w:rsidP="0052698D">
      <w:pPr>
        <w:pStyle w:val="footnote"/>
      </w:pPr>
      <w:r w:rsidRPr="00B14711">
        <w:rPr>
          <w:vertAlign w:val="superscript"/>
        </w:rPr>
        <w:footnoteRef/>
      </w:r>
      <w:r w:rsidRPr="00B14711">
        <w:rPr>
          <w:i/>
          <w:iCs/>
        </w:rPr>
        <w:t>Sigla</w:t>
      </w:r>
      <w:r w:rsidRPr="00B14711">
        <w:t>, Case T-215/03</w:t>
      </w:r>
      <w:r>
        <w:t>,</w:t>
      </w:r>
      <w:r w:rsidRPr="00B14711">
        <w:t xml:space="preserve"> ¶36.</w:t>
      </w:r>
    </w:p>
  </w:footnote>
  <w:footnote w:id="79">
    <w:p w14:paraId="72ED2EFE" w14:textId="77777777" w:rsidR="006F142F" w:rsidRPr="00B14711" w:rsidRDefault="006F142F" w:rsidP="0052698D">
      <w:pPr>
        <w:pStyle w:val="footnote"/>
      </w:pPr>
      <w:r w:rsidRPr="00B14711">
        <w:rPr>
          <w:vertAlign w:val="superscript"/>
        </w:rPr>
        <w:footnoteRef/>
      </w:r>
      <w:r w:rsidRPr="00B14711">
        <w:t>Intel Corp. v. CPM United Kingdom Ltd., Case C-252/07 (ECJ 2008).</w:t>
      </w:r>
    </w:p>
  </w:footnote>
  <w:footnote w:id="80">
    <w:p w14:paraId="1030C342" w14:textId="77777777" w:rsidR="006F142F" w:rsidRPr="00B14711" w:rsidRDefault="006F142F" w:rsidP="0052698D">
      <w:pPr>
        <w:pStyle w:val="footnote"/>
      </w:pPr>
      <w:r w:rsidRPr="00B14711">
        <w:rPr>
          <w:vertAlign w:val="superscript"/>
        </w:rPr>
        <w:footnoteRef/>
      </w:r>
      <w:r w:rsidRPr="00B14711">
        <w:t>The same goes for Article 4(4)(a) and for the like-worded articles in the Community Trade Mark Regulation (Articles 8(5) for registration and Article 9(1)(c) for infringement).</w:t>
      </w:r>
    </w:p>
  </w:footnote>
  <w:footnote w:id="81">
    <w:p w14:paraId="39BF6D8E" w14:textId="77777777" w:rsidR="006F142F" w:rsidRPr="00B14711" w:rsidRDefault="006F142F" w:rsidP="0052698D">
      <w:pPr>
        <w:pStyle w:val="footnote"/>
      </w:pPr>
      <w:r w:rsidRPr="00B14711">
        <w:rPr>
          <w:vertAlign w:val="superscript"/>
        </w:rPr>
        <w:footnoteRef/>
      </w:r>
      <w:r w:rsidRPr="00B14711">
        <w:t>Case C-252/07 (ECJ 2008).</w:t>
      </w:r>
    </w:p>
  </w:footnote>
  <w:footnote w:id="82">
    <w:p w14:paraId="7FDAAB5C" w14:textId="77777777" w:rsidR="006F142F" w:rsidRPr="00B14711" w:rsidRDefault="006F142F" w:rsidP="0052698D">
      <w:pPr>
        <w:pStyle w:val="footnote"/>
      </w:pPr>
      <w:r w:rsidRPr="00B14711">
        <w:rPr>
          <w:vertAlign w:val="superscript"/>
        </w:rPr>
        <w:footnoteRef/>
      </w:r>
      <w:r w:rsidRPr="00B14711">
        <w:rPr>
          <w:i/>
          <w:iCs/>
        </w:rPr>
        <w:t>Id</w:t>
      </w:r>
      <w:r w:rsidRPr="00B14711">
        <w:t>. ¶35. Thus, the European dilution provision protects marks with only a “niche” reputation, contrary to the current state of the law under the U.S. statute. See Chapter 8, §V, for a discussion of this issue under U.S. law.</w:t>
      </w:r>
    </w:p>
  </w:footnote>
  <w:footnote w:id="83">
    <w:p w14:paraId="02ECF345" w14:textId="77777777" w:rsidR="006F142F" w:rsidRPr="00B14711" w:rsidRDefault="006F142F" w:rsidP="0052698D">
      <w:pPr>
        <w:pStyle w:val="footnote"/>
      </w:pPr>
      <w:r w:rsidRPr="00B14711">
        <w:rPr>
          <w:vertAlign w:val="superscript"/>
        </w:rPr>
        <w:footnoteRef/>
      </w:r>
      <w:r w:rsidRPr="00B14711">
        <w:rPr>
          <w:i/>
          <w:iCs/>
        </w:rPr>
        <w:t>Id</w:t>
      </w:r>
      <w:r w:rsidRPr="00B14711">
        <w:t>. ¶36 (emphasis added). It should be noted that the word “registered” may be a bit presumptuous. The Directive requires that the protected mark be registered; it says nothing about the registration status of the infringing mark.</w:t>
      </w:r>
    </w:p>
  </w:footnote>
  <w:footnote w:id="84">
    <w:p w14:paraId="573D4182" w14:textId="77777777" w:rsidR="006F142F" w:rsidRPr="00B14711" w:rsidRDefault="006F142F" w:rsidP="0052698D">
      <w:pPr>
        <w:pStyle w:val="footnote"/>
      </w:pPr>
      <w:r w:rsidRPr="00B14711">
        <w:rPr>
          <w:vertAlign w:val="superscript"/>
        </w:rPr>
        <w:footnoteRef/>
      </w:r>
      <w:r w:rsidRPr="00B14711">
        <w:rPr>
          <w:i/>
          <w:iCs/>
        </w:rPr>
        <w:t>Id</w:t>
      </w:r>
      <w:r w:rsidRPr="00B14711">
        <w:t>. ¶44.</w:t>
      </w:r>
      <w:r>
        <w:t xml:space="preserve">  For an example of a finding that two marks were completely dissimilar, thus eliminating the possibility of dilution without need for further analysis, </w:t>
      </w:r>
      <w:r w:rsidRPr="00251F78">
        <w:rPr>
          <w:i/>
          <w:iCs/>
        </w:rPr>
        <w:t>see</w:t>
      </w:r>
      <w:r>
        <w:t xml:space="preserve"> Multiópticas S. Coop. v. EUIPO, Case T-487/22 ¶¶60-65 (Gen. Ct. July 12, 2023).</w:t>
      </w:r>
    </w:p>
  </w:footnote>
  <w:footnote w:id="85">
    <w:p w14:paraId="6406EED8" w14:textId="77777777" w:rsidR="006F142F" w:rsidRPr="00A94EB5" w:rsidRDefault="006F142F" w:rsidP="0052698D">
      <w:pPr>
        <w:pStyle w:val="footnote"/>
      </w:pPr>
      <w:r w:rsidRPr="00B14711">
        <w:rPr>
          <w:vertAlign w:val="superscript"/>
        </w:rPr>
        <w:footnoteRef/>
      </w:r>
      <w:r w:rsidRPr="00B14711">
        <w:rPr>
          <w:i/>
          <w:iCs/>
        </w:rPr>
        <w:t>Id</w:t>
      </w:r>
      <w:r w:rsidRPr="00B14711">
        <w:t xml:space="preserve">. ¶31. The court also held that where the second sign is seen merely as an embellishment, Article 5(2) can be applied, but that such a view of the second use also could prevent the necessary link in the mind of the public. </w:t>
      </w:r>
      <w:r w:rsidRPr="00B14711">
        <w:rPr>
          <w:i/>
          <w:iCs/>
        </w:rPr>
        <w:t>Id</w:t>
      </w:r>
      <w:r w:rsidRPr="00B14711">
        <w:t xml:space="preserve">. ¶38. The ECJ left it to the national courts to decide, as a matter of fact, whether such a link is established in those cases. </w:t>
      </w:r>
      <w:r w:rsidRPr="00B14711">
        <w:rPr>
          <w:i/>
          <w:iCs/>
        </w:rPr>
        <w:t>Id</w:t>
      </w:r>
      <w:r w:rsidRPr="00B14711">
        <w:t>. ¶39.</w:t>
      </w:r>
      <w:r>
        <w:t xml:space="preserve"> The General Court has stated that the degree of similarity necessary to create a link may be less than the degree of similarity necessary to establish confusion. McDreams Hotel GmbH v. EUIPO, [2020] E.T.M.R. 4, *60,</w:t>
      </w:r>
      <w:r w:rsidDel="000C4C12">
        <w:t xml:space="preserve"> </w:t>
      </w:r>
      <w:r>
        <w:t xml:space="preserve"> (Gen. Ct. Oct.10, 2019). </w:t>
      </w:r>
      <w:r>
        <w:rPr>
          <w:i/>
          <w:iCs/>
        </w:rPr>
        <w:t>See also id.</w:t>
      </w:r>
      <w:r>
        <w:t xml:space="preserve"> *62-64 (discussion of the elements of similarity).</w:t>
      </w:r>
    </w:p>
  </w:footnote>
  <w:footnote w:id="86">
    <w:p w14:paraId="7905C469" w14:textId="77777777" w:rsidR="006F142F" w:rsidRPr="004830A2" w:rsidRDefault="006F142F" w:rsidP="0052698D">
      <w:pPr>
        <w:pStyle w:val="footnote"/>
      </w:pPr>
      <w:r w:rsidRPr="00B14711">
        <w:rPr>
          <w:vertAlign w:val="superscript"/>
        </w:rPr>
        <w:footnoteRef/>
      </w:r>
      <w:r w:rsidRPr="00B14711">
        <w:t>I</w:t>
      </w:r>
      <w:r>
        <w:t>ntel Corp v. CPM United</w:t>
      </w:r>
      <w:r w:rsidRPr="00B14711">
        <w:t xml:space="preserve">. </w:t>
      </w:r>
      <w:r w:rsidRPr="005140A4">
        <w:t xml:space="preserve">¶¶45–46.  </w:t>
      </w:r>
      <w:r w:rsidRPr="004830A2">
        <w:rPr>
          <w:i/>
          <w:iCs/>
        </w:rPr>
        <w:t>See</w:t>
      </w:r>
      <w:r w:rsidRPr="004830A2">
        <w:t xml:space="preserve"> Puma v. EUIPO—Li Pu</w:t>
      </w:r>
      <w:r w:rsidRPr="00FC6FAE">
        <w:t>ma (Lassaro by Li Puma), Case T-11/24, [2025] E.T.M.R. 7</w:t>
      </w:r>
      <w:r>
        <w:t>, ¶¶47</w:t>
      </w:r>
      <w:r w:rsidRPr="00FC6FAE">
        <w:t>–</w:t>
      </w:r>
      <w:r>
        <w:t>48, 57</w:t>
      </w:r>
      <w:r w:rsidRPr="00FC6FAE">
        <w:t>–</w:t>
      </w:r>
      <w:r>
        <w:t>60, 61</w:t>
      </w:r>
      <w:r w:rsidRPr="00FC6FAE">
        <w:t>–</w:t>
      </w:r>
      <w:r>
        <w:t>64</w:t>
      </w:r>
      <w:r w:rsidRPr="00FC6FAE">
        <w:t xml:space="preserve"> (Gen. Ct. 2025) (upholding finding of no link due to very different channels of trade</w:t>
      </w:r>
      <w:r w:rsidRPr="004830A2">
        <w:t>: clothing vs. recycling ser</w:t>
      </w:r>
      <w:r w:rsidRPr="00FC6FAE">
        <w:t>vices</w:t>
      </w:r>
      <w:r>
        <w:t>, and the dissimilarity of the marks).</w:t>
      </w:r>
    </w:p>
  </w:footnote>
  <w:footnote w:id="87">
    <w:p w14:paraId="6D4CD838" w14:textId="77777777" w:rsidR="006F142F" w:rsidRPr="00A94EB5" w:rsidRDefault="006F142F" w:rsidP="0052698D">
      <w:pPr>
        <w:pStyle w:val="footnote"/>
        <w:rPr>
          <w:i/>
          <w:iCs/>
        </w:rPr>
      </w:pPr>
      <w:r w:rsidRPr="00B14711">
        <w:rPr>
          <w:vertAlign w:val="superscript"/>
        </w:rPr>
        <w:footnoteRef/>
      </w:r>
      <w:r w:rsidRPr="00B14711">
        <w:rPr>
          <w:i/>
          <w:iCs/>
        </w:rPr>
        <w:t>Id</w:t>
      </w:r>
      <w:r w:rsidRPr="00B14711">
        <w:t>. ¶¶51–54.</w:t>
      </w:r>
      <w:r>
        <w:t xml:space="preserve"> </w:t>
      </w:r>
      <w:r>
        <w:rPr>
          <w:i/>
          <w:iCs/>
        </w:rPr>
        <w:t xml:space="preserve">See </w:t>
      </w:r>
      <w:r>
        <w:t>McDreams Hotel GmbH v. EUIPO, [2020] E.T.M.R. 4, *66 (Gen. Ct. Oct.10, 2019) (noting the “exceptional” level of reputation of McDonald’s).</w:t>
      </w:r>
    </w:p>
  </w:footnote>
  <w:footnote w:id="88">
    <w:p w14:paraId="380FC1B9" w14:textId="77777777" w:rsidR="006F142F" w:rsidRPr="00B14711" w:rsidRDefault="006F142F" w:rsidP="0052698D">
      <w:pPr>
        <w:pStyle w:val="footnote"/>
        <w:rPr>
          <w:szCs w:val="20"/>
        </w:rPr>
      </w:pPr>
      <w:r w:rsidRPr="00B14711">
        <w:rPr>
          <w:szCs w:val="20"/>
          <w:vertAlign w:val="superscript"/>
        </w:rPr>
        <w:footnoteRef/>
      </w:r>
      <w:r w:rsidRPr="00A94EB5">
        <w:rPr>
          <w:i/>
          <w:iCs/>
          <w:szCs w:val="20"/>
        </w:rPr>
        <w:t>Intel Corp. v. CPM United</w:t>
      </w:r>
      <w:r>
        <w:rPr>
          <w:szCs w:val="20"/>
        </w:rPr>
        <w:t>,</w:t>
      </w:r>
      <w:r w:rsidRPr="00B14711">
        <w:rPr>
          <w:szCs w:val="20"/>
        </w:rPr>
        <w:t xml:space="preserve"> ¶¶54–55.</w:t>
      </w:r>
      <w:r w:rsidRPr="00D34D0E">
        <w:rPr>
          <w:iCs/>
        </w:rPr>
        <w:t xml:space="preserve"> </w:t>
      </w:r>
      <w:r w:rsidRPr="00D83918">
        <w:rPr>
          <w:iCs/>
        </w:rPr>
        <w:t xml:space="preserve">In </w:t>
      </w:r>
      <w:r w:rsidRPr="003131C0">
        <w:rPr>
          <w:i/>
          <w:iCs/>
        </w:rPr>
        <w:t xml:space="preserve">K&amp;K Group v. EUIPO, </w:t>
      </w:r>
      <w:r w:rsidRPr="003131C0">
        <w:t>Case T–2/16, ¶¶78–98 (Gen</w:t>
      </w:r>
      <w:r>
        <w:t>.</w:t>
      </w:r>
      <w:r w:rsidRPr="003131C0">
        <w:t xml:space="preserve"> Ct. 2016), the General Court found that Pret a Manger and Pret a Diner were sufficiently similar, given the reputation of the Pret a Manger mark.</w:t>
      </w:r>
      <w:r>
        <w:t xml:space="preserve"> Similarly, in McDreams Hotel GmbH v. EUIPO, [2020] E.T.M.R. 4, *60 (Gen. Ct. Oct.10, 2019), the General Court found McDreams to be sufficiently similar to McDonald’s (in this case, noting both the family of marks of McDonald’s and the fact that both marks began with a “d” after the “mc” and ended in an “s”).</w:t>
      </w:r>
      <w:r w:rsidRPr="003131C0">
        <w:t xml:space="preserve"> And in </w:t>
      </w:r>
      <w:r w:rsidRPr="003131C0">
        <w:rPr>
          <w:i/>
          <w:iCs/>
        </w:rPr>
        <w:t>Starbucks Corp. v. EUIPO</w:t>
      </w:r>
      <w:r w:rsidRPr="003131C0">
        <w:t>, [2018] E.T.M.R. 17, *459</w:t>
      </w:r>
      <w:r>
        <w:t>–</w:t>
      </w:r>
      <w:r w:rsidRPr="003131C0">
        <w:t>60 (Gen. Ct. Jan. 16, 2018)</w:t>
      </w:r>
      <w:r>
        <w:t>,</w:t>
      </w:r>
      <w:r w:rsidRPr="003131C0">
        <w:t xml:space="preserve"> the General Court found a circular symbol used by the applicant (as part of an application to register Coffee Rocks in the logo form) was sufficiently similar to the Starbucks circular logo mark. By contrast, in</w:t>
      </w:r>
      <w:r w:rsidRPr="003131C0">
        <w:rPr>
          <w:i/>
          <w:iCs/>
        </w:rPr>
        <w:t xml:space="preserve"> Alma-The Soul of Italian Wine LLLP v. EUIPO, </w:t>
      </w:r>
      <w:r w:rsidRPr="003131C0">
        <w:t>Case T–637/15 (Gen</w:t>
      </w:r>
      <w:r>
        <w:t>.</w:t>
      </w:r>
      <w:r w:rsidRPr="003131C0">
        <w:t xml:space="preserve"> Ct. 2017), the General Court, reversing the EUIPO’s Board of Appeal, found insufficient similarity between Viña Sol and Sotto il Sole Italiano to support a finding of a link. </w:t>
      </w:r>
      <w:r w:rsidRPr="003131C0">
        <w:rPr>
          <w:i/>
          <w:iCs/>
        </w:rPr>
        <w:t>Id.</w:t>
      </w:r>
      <w:r w:rsidRPr="003131C0">
        <w:t xml:space="preserve"> ¶80.</w:t>
      </w:r>
      <w:r w:rsidRPr="003131C0">
        <w:rPr>
          <w:i/>
          <w:iCs/>
        </w:rPr>
        <w:t xml:space="preserve"> </w:t>
      </w:r>
      <w:r w:rsidRPr="003131C0">
        <w:t xml:space="preserve">It is noteworthy that the CJEU, in </w:t>
      </w:r>
      <w:r w:rsidRPr="003131C0">
        <w:rPr>
          <w:i/>
          <w:iCs/>
        </w:rPr>
        <w:t>Intra-Presse SAS v. OHIM</w:t>
      </w:r>
      <w:r w:rsidRPr="003131C0">
        <w:t xml:space="preserve">, Case C–581/13, ¶¶73–77 (CJEU 2014), held that the General Court must make a full assessment of possible dilution under Article 8(5) even if the similarity between the two marks is very small. Thus, one assumes that the General Court’s conclusion in the </w:t>
      </w:r>
      <w:r w:rsidRPr="003131C0">
        <w:rPr>
          <w:i/>
          <w:iCs/>
        </w:rPr>
        <w:t>Alma</w:t>
      </w:r>
      <w:r w:rsidRPr="003131C0">
        <w:t xml:space="preserve"> case that there is no link is the result of the global assessment mandated by the CJEU, taking into account the earlier mark’s reputation and the similarity between the marks.</w:t>
      </w:r>
    </w:p>
  </w:footnote>
  <w:footnote w:id="89">
    <w:p w14:paraId="4F87A6E7" w14:textId="77777777" w:rsidR="006F142F" w:rsidRPr="00B14711" w:rsidRDefault="006F142F" w:rsidP="0052698D">
      <w:pPr>
        <w:pStyle w:val="footnote"/>
      </w:pPr>
      <w:r w:rsidRPr="00B14711">
        <w:rPr>
          <w:vertAlign w:val="superscript"/>
        </w:rPr>
        <w:footnoteRef/>
      </w:r>
      <w:r w:rsidRPr="00B14711">
        <w:rPr>
          <w:i/>
          <w:iCs/>
        </w:rPr>
        <w:t>Id</w:t>
      </w:r>
      <w:r w:rsidRPr="00B14711">
        <w:t>. ¶54. Although not stated by the ECJ, it would seem that acquired distinctiveness is likely to track the mark’s reputation, while inherent distinctiveness is less tied to the mark’s reputation and, thus, would seem more relevant to independently establishing a link.</w:t>
      </w:r>
    </w:p>
  </w:footnote>
  <w:footnote w:id="90">
    <w:p w14:paraId="221ADDD0" w14:textId="77777777" w:rsidR="006F142F" w:rsidRPr="00B14711" w:rsidRDefault="006F142F" w:rsidP="0052698D">
      <w:pPr>
        <w:pStyle w:val="footnote"/>
      </w:pPr>
      <w:r w:rsidRPr="00B14711">
        <w:rPr>
          <w:vertAlign w:val="superscript"/>
        </w:rPr>
        <w:footnoteRef/>
      </w:r>
      <w:r w:rsidRPr="00B14711">
        <w:rPr>
          <w:i/>
          <w:iCs/>
        </w:rPr>
        <w:t>Id</w:t>
      </w:r>
      <w:r w:rsidRPr="00B14711">
        <w:t>. ¶60.</w:t>
      </w:r>
    </w:p>
  </w:footnote>
  <w:footnote w:id="91">
    <w:p w14:paraId="7BBC2BA2" w14:textId="77777777" w:rsidR="006F142F" w:rsidRPr="00251F78" w:rsidRDefault="006F142F" w:rsidP="0052698D">
      <w:pPr>
        <w:pStyle w:val="footnote"/>
        <w:rPr>
          <w:shd w:val="pct15" w:color="auto" w:fill="FFFFFF"/>
        </w:rPr>
      </w:pPr>
      <w:r w:rsidRPr="00B14711">
        <w:rPr>
          <w:vertAlign w:val="superscript"/>
        </w:rPr>
        <w:footnoteRef/>
      </w:r>
      <w:r w:rsidRPr="00B14711">
        <w:rPr>
          <w:i/>
          <w:iCs/>
        </w:rPr>
        <w:t>Id</w:t>
      </w:r>
      <w:r w:rsidRPr="00B14711">
        <w:t xml:space="preserve">. ¶¶61, 64. The ECJ also held that likelihood of confusion is sufficient to establish a link. </w:t>
      </w:r>
      <w:r w:rsidRPr="00B14711">
        <w:rPr>
          <w:i/>
          <w:iCs/>
        </w:rPr>
        <w:t>Id</w:t>
      </w:r>
      <w:r w:rsidRPr="00B14711">
        <w:t xml:space="preserve">. ¶57. One might imagine that confusion should not be pertinent to a dilution claim, which operates in the absence of confusion. However, the Directive expressly applies confusion analysis only to uses on similar goods, leaving dissimilar goods to Articles 4(4)(a) and 5(2). </w:t>
      </w:r>
      <w:r w:rsidRPr="00B14711">
        <w:rPr>
          <w:i/>
          <w:iCs/>
        </w:rPr>
        <w:t>See</w:t>
      </w:r>
      <w:r w:rsidRPr="00B14711">
        <w:t xml:space="preserve"> Articles 4(1)(b), 5(1)(b). Thus, using the dilution provisions to attack confusion as to dissimilar goods may make sense in the European trademark scheme. On the other hand, the ECJ already obliterated the similar/dissimilar distinction in connection with dilution claims in </w:t>
      </w:r>
      <w:r w:rsidRPr="00B14711">
        <w:rPr>
          <w:i/>
          <w:iCs/>
        </w:rPr>
        <w:t>Davidoff &amp; Cie SA v</w:t>
      </w:r>
      <w:r w:rsidRPr="00B14711">
        <w:t>.</w:t>
      </w:r>
      <w:r w:rsidRPr="00B14711">
        <w:rPr>
          <w:i/>
          <w:iCs/>
        </w:rPr>
        <w:t xml:space="preserve"> Gofkid, Ltd</w:t>
      </w:r>
      <w:r w:rsidRPr="00B14711">
        <w:t>., Case C-292/00, 2003 OJ (C7) (ECJ 2003).</w:t>
      </w:r>
      <w:r>
        <w:t xml:space="preserve">  </w:t>
      </w:r>
      <w:r w:rsidRPr="00633F2A">
        <w:t xml:space="preserve">In </w:t>
      </w:r>
      <w:r w:rsidRPr="00633F2A">
        <w:rPr>
          <w:i/>
          <w:iCs/>
        </w:rPr>
        <w:t>Bimbo, S.A.</w:t>
      </w:r>
      <w:r w:rsidRPr="00251F78">
        <w:rPr>
          <w:i/>
          <w:iCs/>
        </w:rPr>
        <w:t xml:space="preserve"> v. EUIPO</w:t>
      </w:r>
      <w:r w:rsidRPr="00251F78">
        <w:t xml:space="preserve">, Case T509/22 (Gen. Ct. 2023), the </w:t>
      </w:r>
      <w:r>
        <w:t xml:space="preserve">General Court noted that where the mark’s reputation—even if a very strong one—is confined to the goods for which it is registered, then the public may not make a link between the reputational mark and the second mark. </w:t>
      </w:r>
      <w:r>
        <w:rPr>
          <w:i/>
          <w:iCs/>
        </w:rPr>
        <w:t>Id</w:t>
      </w:r>
      <w:r>
        <w:t xml:space="preserve">. ¶51.  The court then refused to overturn the EUIPO’s finding that no link had been made. </w:t>
      </w:r>
      <w:r>
        <w:rPr>
          <w:i/>
          <w:iCs/>
        </w:rPr>
        <w:t>Id</w:t>
      </w:r>
      <w:r>
        <w:t xml:space="preserve">. ¶¶53, 55.  </w:t>
      </w:r>
      <w:r w:rsidRPr="003379B7">
        <w:t xml:space="preserve">In </w:t>
      </w:r>
      <w:r w:rsidRPr="00427A01">
        <w:rPr>
          <w:i/>
          <w:iCs/>
        </w:rPr>
        <w:t>Societe du Tour de France v. EUIPO—Tour de X</w:t>
      </w:r>
      <w:r w:rsidRPr="003379B7">
        <w:t xml:space="preserve">, Case T-604/22, [2024] E.T.M.R. </w:t>
      </w:r>
      <w:r w:rsidRPr="00FC6FAE">
        <w:t xml:space="preserve">35 </w:t>
      </w:r>
      <w:r w:rsidRPr="003379B7">
        <w:t xml:space="preserve">(Gen. Ct. </w:t>
      </w:r>
      <w:r w:rsidRPr="00FC6FAE">
        <w:t xml:space="preserve">2024), the General Court upheld the </w:t>
      </w:r>
      <w:r>
        <w:t xml:space="preserve">EUIPO’s finding of no link, despite the reputation of the Tour de France, noting that “Tour de” is used to describe many cycling races. </w:t>
      </w:r>
      <w:r>
        <w:rPr>
          <w:i/>
          <w:iCs/>
        </w:rPr>
        <w:t>Id</w:t>
      </w:r>
      <w:r>
        <w:t>. ¶¶34</w:t>
      </w:r>
      <w:r w:rsidRPr="0048358F">
        <w:rPr>
          <w:lang w:val="nl-NL"/>
        </w:rPr>
        <w:t>–</w:t>
      </w:r>
      <w:r>
        <w:t>37, 81.</w:t>
      </w:r>
      <w:r w:rsidRPr="003379B7">
        <w:t xml:space="preserve"> </w:t>
      </w:r>
      <w:r>
        <w:rPr>
          <w:i/>
          <w:iCs/>
        </w:rPr>
        <w:t>See also</w:t>
      </w:r>
      <w:r>
        <w:t xml:space="preserve"> Portal Golf Gestión v. EUIPO, Case T-677/22 ¶ (Gen. Ct. 2023) (“</w:t>
      </w:r>
      <w:r w:rsidRPr="009D3F47">
        <w:rPr>
          <w:color w:val="212121"/>
          <w:szCs w:val="20"/>
        </w:rPr>
        <w:t>the existence of a link between the conflicting marks, on which the abusive conduct envisaged by Article 8(5) of Regulation No 2017/1001 is based, assumes that the sections of the public concerned by the goods and services for which the marks are registered is the same or ‘overlaps’ to a certain extent”)</w:t>
      </w:r>
      <w:r w:rsidRPr="006C7D04">
        <w:rPr>
          <w:color w:val="212121"/>
          <w:szCs w:val="20"/>
          <w:shd w:val="pct15" w:color="auto" w:fill="FFFFFF"/>
        </w:rPr>
        <w:t>.</w:t>
      </w:r>
    </w:p>
  </w:footnote>
  <w:footnote w:id="92">
    <w:p w14:paraId="7CE2D318" w14:textId="77777777" w:rsidR="006F142F" w:rsidRDefault="006F142F" w:rsidP="00D34D0E">
      <w:pPr>
        <w:pStyle w:val="FootnoteText"/>
      </w:pPr>
      <w:r>
        <w:rPr>
          <w:rStyle w:val="FootnoteReference"/>
          <w:rFonts w:eastAsiaTheme="majorEastAsia"/>
        </w:rPr>
        <w:footnoteRef/>
      </w:r>
      <w:r w:rsidRPr="00251F78">
        <w:rPr>
          <w:lang w:val="es-US"/>
        </w:rPr>
        <w:t xml:space="preserve">Puma SE v. EUIPO, 62016TJ0062, ¶32 (Gen. Ct. </w:t>
      </w:r>
      <w:r>
        <w:t>Sept. 26, 2018).</w:t>
      </w:r>
    </w:p>
  </w:footnote>
  <w:footnote w:id="93">
    <w:p w14:paraId="24C939A1" w14:textId="77777777" w:rsidR="006F142F" w:rsidRPr="00B14711" w:rsidRDefault="006F142F" w:rsidP="0052698D">
      <w:pPr>
        <w:pStyle w:val="footnote"/>
      </w:pPr>
      <w:r w:rsidRPr="00B14711">
        <w:rPr>
          <w:vertAlign w:val="superscript"/>
        </w:rPr>
        <w:footnoteRef/>
      </w:r>
      <w:r w:rsidRPr="00B14711">
        <w:rPr>
          <w:i/>
          <w:iCs/>
        </w:rPr>
        <w:t>Intel Corp</w:t>
      </w:r>
      <w:r w:rsidRPr="00B14711">
        <w:t>., C-252/07</w:t>
      </w:r>
      <w:r>
        <w:t>,</w:t>
      </w:r>
      <w:r w:rsidRPr="00B14711">
        <w:t xml:space="preserve"> ¶¶68, 71.</w:t>
      </w:r>
    </w:p>
  </w:footnote>
  <w:footnote w:id="94">
    <w:p w14:paraId="56B49D58" w14:textId="77777777" w:rsidR="006F142F" w:rsidRPr="00B14711" w:rsidRDefault="006F142F" w:rsidP="0052698D">
      <w:pPr>
        <w:pStyle w:val="footnote"/>
      </w:pPr>
      <w:r w:rsidRPr="00B14711">
        <w:rPr>
          <w:vertAlign w:val="superscript"/>
        </w:rPr>
        <w:footnoteRef/>
      </w:r>
      <w:r w:rsidRPr="00B14711">
        <w:rPr>
          <w:i/>
          <w:iCs/>
        </w:rPr>
        <w:t>Id</w:t>
      </w:r>
      <w:r w:rsidRPr="00B14711">
        <w:t>. ¶70.</w:t>
      </w:r>
    </w:p>
  </w:footnote>
  <w:footnote w:id="95">
    <w:p w14:paraId="6A051A39" w14:textId="77777777" w:rsidR="006F142F" w:rsidRPr="00B14711" w:rsidRDefault="006F142F" w:rsidP="0052698D">
      <w:pPr>
        <w:pStyle w:val="footnote"/>
      </w:pPr>
      <w:r w:rsidRPr="00B14711">
        <w:rPr>
          <w:vertAlign w:val="superscript"/>
        </w:rPr>
        <w:footnoteRef/>
      </w:r>
      <w:r w:rsidRPr="00B14711">
        <w:rPr>
          <w:i/>
          <w:iCs/>
        </w:rPr>
        <w:t>Id</w:t>
      </w:r>
      <w:r w:rsidRPr="00B14711">
        <w:t>. ¶77.</w:t>
      </w:r>
    </w:p>
  </w:footnote>
  <w:footnote w:id="96">
    <w:p w14:paraId="60CBF411" w14:textId="77777777" w:rsidR="006F142F" w:rsidRPr="00B14711" w:rsidRDefault="006F142F" w:rsidP="0052698D">
      <w:pPr>
        <w:pStyle w:val="footnote"/>
      </w:pPr>
      <w:r w:rsidRPr="00B14711">
        <w:rPr>
          <w:vertAlign w:val="superscript"/>
        </w:rPr>
        <w:footnoteRef/>
      </w:r>
      <w:r w:rsidRPr="00B14711">
        <w:rPr>
          <w:i/>
          <w:iCs/>
        </w:rPr>
        <w:t>Id</w:t>
      </w:r>
      <w:r w:rsidRPr="00B14711">
        <w:t>. ¶81.</w:t>
      </w:r>
    </w:p>
  </w:footnote>
  <w:footnote w:id="97">
    <w:p w14:paraId="0B5F1795" w14:textId="77777777" w:rsidR="006F142F" w:rsidRPr="00B14711" w:rsidRDefault="006F142F" w:rsidP="0052698D">
      <w:pPr>
        <w:pStyle w:val="footnote"/>
      </w:pPr>
      <w:r w:rsidRPr="00B14711">
        <w:rPr>
          <w:vertAlign w:val="superscript"/>
        </w:rPr>
        <w:footnoteRef/>
      </w:r>
      <w:r w:rsidRPr="00B14711">
        <w:rPr>
          <w:i/>
          <w:iCs/>
        </w:rPr>
        <w:t>Id</w:t>
      </w:r>
      <w:r w:rsidRPr="00B14711">
        <w:t>., Ruling ¶4.</w:t>
      </w:r>
    </w:p>
  </w:footnote>
  <w:footnote w:id="98">
    <w:p w14:paraId="5A1855B7" w14:textId="77777777" w:rsidR="006F142F" w:rsidRPr="00B14711" w:rsidRDefault="006F142F" w:rsidP="0052698D">
      <w:pPr>
        <w:pStyle w:val="footnote"/>
      </w:pPr>
      <w:r w:rsidRPr="00B14711">
        <w:rPr>
          <w:vertAlign w:val="superscript"/>
        </w:rPr>
        <w:footnoteRef/>
      </w:r>
      <w:r w:rsidRPr="00B14711">
        <w:t xml:space="preserve">For an example of a court applying </w:t>
      </w:r>
      <w:r w:rsidRPr="00B14711">
        <w:rPr>
          <w:i/>
          <w:iCs/>
        </w:rPr>
        <w:t>Intel</w:t>
      </w:r>
      <w:r w:rsidRPr="00B14711">
        <w:t xml:space="preserve">, </w:t>
      </w:r>
      <w:r w:rsidRPr="00FC6FAE">
        <w:rPr>
          <w:i/>
          <w:iCs/>
        </w:rPr>
        <w:t>see</w:t>
      </w:r>
      <w:r w:rsidRPr="00B14711">
        <w:t xml:space="preserve"> Whirlpool Corp. v. Kenwood, Ltd., [2009] EWCA Civ. 753 (UK Ct. App. 2009).</w:t>
      </w:r>
    </w:p>
  </w:footnote>
  <w:footnote w:id="99">
    <w:p w14:paraId="729D3C39" w14:textId="77777777" w:rsidR="006F142F" w:rsidRPr="00867397" w:rsidRDefault="006F142F" w:rsidP="0052698D">
      <w:pPr>
        <w:pStyle w:val="footnote"/>
      </w:pPr>
      <w:r w:rsidRPr="00B14711">
        <w:rPr>
          <w:vertAlign w:val="superscript"/>
        </w:rPr>
        <w:footnoteRef/>
      </w:r>
      <w:r w:rsidRPr="00B14711">
        <w:rPr>
          <w:i/>
          <w:iCs/>
        </w:rPr>
        <w:t>Intel Corp</w:t>
      </w:r>
      <w:r w:rsidRPr="00B14711">
        <w:t>., C-252/07</w:t>
      </w:r>
      <w:r>
        <w:t>,</w:t>
      </w:r>
      <w:r w:rsidRPr="00B14711">
        <w:t xml:space="preserve"> ¶32.</w:t>
      </w:r>
      <w:r>
        <w:t xml:space="preserve">  </w:t>
      </w:r>
      <w:r>
        <w:rPr>
          <w:i/>
          <w:iCs/>
        </w:rPr>
        <w:t>See</w:t>
      </w:r>
      <w:r>
        <w:t xml:space="preserve"> Rolex, SA v. EUIPO, Case T-726/21, ¶¶50-53 (Gen. Ct. 2023) (finding that Rolex relied on the existence of a reputation and similarity and had not shown a risk of harm).</w:t>
      </w:r>
    </w:p>
  </w:footnote>
  <w:footnote w:id="100">
    <w:p w14:paraId="151C4262" w14:textId="77777777" w:rsidR="006F142F" w:rsidRPr="00B14711" w:rsidRDefault="006F142F" w:rsidP="0052698D">
      <w:pPr>
        <w:pStyle w:val="footnote"/>
        <w:rPr>
          <w:szCs w:val="20"/>
        </w:rPr>
      </w:pPr>
      <w:r w:rsidRPr="00B14711">
        <w:rPr>
          <w:szCs w:val="20"/>
          <w:vertAlign w:val="superscript"/>
        </w:rPr>
        <w:footnoteRef/>
      </w:r>
      <w:r w:rsidRPr="00B14711">
        <w:rPr>
          <w:i/>
          <w:iCs/>
          <w:szCs w:val="20"/>
        </w:rPr>
        <w:t>Id</w:t>
      </w:r>
      <w:r w:rsidRPr="00B14711">
        <w:rPr>
          <w:szCs w:val="20"/>
        </w:rPr>
        <w:t>. ¶81.</w:t>
      </w:r>
      <w:r>
        <w:rPr>
          <w:szCs w:val="20"/>
        </w:rPr>
        <w:t xml:space="preserve"> </w:t>
      </w:r>
      <w:r w:rsidRPr="003131C0">
        <w:t>The Court of Justice reiterated the need for more than speculation about consumer behavior in</w:t>
      </w:r>
      <w:r w:rsidRPr="003131C0">
        <w:rPr>
          <w:i/>
          <w:iCs/>
        </w:rPr>
        <w:t xml:space="preserve"> Environmental M</w:t>
      </w:r>
      <w:r>
        <w:rPr>
          <w:i/>
          <w:iCs/>
        </w:rPr>
        <w:t>anu</w:t>
      </w:r>
      <w:r w:rsidRPr="003131C0">
        <w:rPr>
          <w:i/>
          <w:iCs/>
        </w:rPr>
        <w:t>f</w:t>
      </w:r>
      <w:r>
        <w:rPr>
          <w:i/>
          <w:iCs/>
        </w:rPr>
        <w:t>acturin</w:t>
      </w:r>
      <w:r w:rsidRPr="003131C0">
        <w:rPr>
          <w:i/>
          <w:iCs/>
        </w:rPr>
        <w:t>g LLP v. OHIM</w:t>
      </w:r>
      <w:r w:rsidRPr="003131C0">
        <w:t>,</w:t>
      </w:r>
      <w:r w:rsidRPr="003131C0">
        <w:rPr>
          <w:i/>
          <w:iCs/>
        </w:rPr>
        <w:t xml:space="preserve"> </w:t>
      </w:r>
      <w:r w:rsidRPr="003131C0">
        <w:t>Case C-383/12, ¶43 (CJEU 2013) (“such deductions must not be the result of mere suppositions”).</w:t>
      </w:r>
      <w:r w:rsidRPr="003131C0">
        <w:rPr>
          <w:i/>
          <w:iCs/>
        </w:rPr>
        <w:t xml:space="preserve"> See </w:t>
      </w:r>
      <w:r>
        <w:t>Rolex, SA v. EUIPO, Case T-726/21, ¶43 (Gen. Ct. 2023) (the record must show a “serious risk” of harm or taking unfair advantage);</w:t>
      </w:r>
      <w:r>
        <w:rPr>
          <w:i/>
          <w:iCs/>
        </w:rPr>
        <w:t xml:space="preserve"> </w:t>
      </w:r>
      <w:r w:rsidRPr="003131C0">
        <w:t>Enterprise Holdings Inc. v. Europcar Grp</w:t>
      </w:r>
      <w:r>
        <w:t>.</w:t>
      </w:r>
      <w:r w:rsidRPr="003131C0">
        <w:t xml:space="preserve"> UK Ltd.,</w:t>
      </w:r>
      <w:r w:rsidRPr="003131C0">
        <w:rPr>
          <w:i/>
          <w:iCs/>
        </w:rPr>
        <w:t xml:space="preserve"> </w:t>
      </w:r>
      <w:r w:rsidRPr="003131C0">
        <w:t>[2015] EWHC 17, ¶¶221–22 (Ch. 2015) (finding no indication of a change in consumer economic behavior).</w:t>
      </w:r>
    </w:p>
  </w:footnote>
  <w:footnote w:id="101">
    <w:p w14:paraId="782B5DD3" w14:textId="77777777" w:rsidR="006F142F" w:rsidRPr="00B14711" w:rsidRDefault="006F142F" w:rsidP="0052698D">
      <w:pPr>
        <w:pStyle w:val="footnote"/>
      </w:pPr>
      <w:r w:rsidRPr="00B14711">
        <w:rPr>
          <w:vertAlign w:val="superscript"/>
        </w:rPr>
        <w:footnoteRef/>
      </w:r>
      <w:r w:rsidRPr="00B14711">
        <w:t>The ECJ did not give very much additional guidance as to the “taking unfair advantage” provision. The Advocate General’s opinion, issued prior to the ECJ’s opinion, did contain some discussion of that issue. As to free-riding (“unfair advantage”), the Advocate General’s opinion stated that the existence of a mark with a “huge reputation,” a clear dissimilarity of goods between the parties, the fact that the mark with a reputation is unique (i.e., it is not used on other goods or services), and the fact that consumers would think of the earlier mark when confronted with the later one, would not support, by itself, a claim of unfair advantage. Case C-252/07 (June 26, 2008) (opinion of Advocate General Sharpston)</w:t>
      </w:r>
      <w:r>
        <w:t>,</w:t>
      </w:r>
      <w:r w:rsidRPr="00B14711">
        <w:t xml:space="preserve"> ¶63. The use, said the Advocate General, “must be such as to enhance the performance of the later mark.” </w:t>
      </w:r>
      <w:r w:rsidRPr="00B14711">
        <w:rPr>
          <w:i/>
          <w:iCs/>
        </w:rPr>
        <w:t>Id</w:t>
      </w:r>
      <w:r w:rsidRPr="00B14711">
        <w:t>. ¶66.</w:t>
      </w:r>
      <w:r w:rsidRPr="00D34D0E">
        <w:t xml:space="preserve"> </w:t>
      </w:r>
      <w:r w:rsidRPr="003131C0">
        <w:t xml:space="preserve">In </w:t>
      </w:r>
      <w:r w:rsidRPr="003131C0">
        <w:rPr>
          <w:i/>
          <w:iCs/>
        </w:rPr>
        <w:t>K&amp;K Group v. EUIPO</w:t>
      </w:r>
      <w:r w:rsidRPr="003131C0">
        <w:t>, Case T–2/16 (Gen</w:t>
      </w:r>
      <w:r>
        <w:t>.</w:t>
      </w:r>
      <w:r w:rsidRPr="003131C0">
        <w:t xml:space="preserve"> Ct. 2016), the General Court upheld the EUIPO’s determination that the applicant’s Pret a Diner mark would take unfair advantage (by free riding) of the existing Pret a Manger mark. </w:t>
      </w:r>
      <w:r w:rsidRPr="003131C0">
        <w:rPr>
          <w:i/>
          <w:iCs/>
        </w:rPr>
        <w:t>Id.</w:t>
      </w:r>
      <w:r w:rsidRPr="003131C0">
        <w:t xml:space="preserve"> ¶¶110–13. Similarly, in </w:t>
      </w:r>
      <w:r w:rsidRPr="003131C0">
        <w:rPr>
          <w:i/>
          <w:iCs/>
        </w:rPr>
        <w:t>Gall Pharma GmbH v. EUIPO</w:t>
      </w:r>
      <w:r w:rsidRPr="003131C0">
        <w:t>, Case T-662/16 (Gen. Ct. 2018), the General Court upheld the EUIPO’s determination that STYRIAG</w:t>
      </w:r>
      <w:r>
        <w:t>R</w:t>
      </w:r>
      <w:r w:rsidRPr="003131C0">
        <w:t>A used on pumpkin seeds would take unfair advantage of the EUTM VIAGRA, a pharmaceutical for erectile d</w:t>
      </w:r>
      <w:r>
        <w:t>y</w:t>
      </w:r>
      <w:r w:rsidRPr="003131C0">
        <w:t xml:space="preserve">sfunction. </w:t>
      </w:r>
      <w:r w:rsidRPr="003131C0">
        <w:rPr>
          <w:i/>
          <w:iCs/>
        </w:rPr>
        <w:t>Id</w:t>
      </w:r>
      <w:r w:rsidRPr="003131C0">
        <w:t xml:space="preserve">. ¶¶70–80. </w:t>
      </w:r>
      <w:r>
        <w:t>T</w:t>
      </w:r>
      <w:r w:rsidRPr="003131C0">
        <w:t xml:space="preserve">he same result was reached in </w:t>
      </w:r>
      <w:r w:rsidRPr="003131C0">
        <w:rPr>
          <w:i/>
          <w:iCs/>
        </w:rPr>
        <w:t>Shoe Branding Europe BVBA v. EUIPO</w:t>
      </w:r>
      <w:r w:rsidRPr="003131C0">
        <w:t>, Case T-85/16 (Gen. Ct. 2018), where adidas challenged the application for registration of a figurative two-stripe mark on “safety footwear.”</w:t>
      </w:r>
      <w:r>
        <w:t xml:space="preserve"> In </w:t>
      </w:r>
      <w:r w:rsidRPr="00E3379F">
        <w:rPr>
          <w:i/>
          <w:iCs/>
        </w:rPr>
        <w:t>McDreams Hotel GmbH v. EUIPO</w:t>
      </w:r>
      <w:r>
        <w:t>, [2020] E.T.M.R. 4 (Gen. Ct. Oct.10, 2019), the General Court affirmed the Board of Appeal holding that McDreams for hotel services took unfair advantage of McDonald’s. It appears that McDonalds’s very large reputation in the EU was critical to this holding.  The same result was reached in Portal Golf Gestión v. EUIPO, Case T677/22 ¶¶125-33 (Gen. Ct. Nov. 15, 2023) (“imasters” found to take unfair advantage of MASTERS for services related to golf).</w:t>
      </w:r>
      <w:r w:rsidRPr="003131C0">
        <w:t xml:space="preserve"> In </w:t>
      </w:r>
      <w:r w:rsidRPr="003131C0">
        <w:rPr>
          <w:i/>
          <w:iCs/>
        </w:rPr>
        <w:t>Walsh v. British Sky Broadcasting Group</w:t>
      </w:r>
      <w:r w:rsidRPr="003131C0">
        <w:t xml:space="preserve">, [2013] E.T.M.R. 27 (Irish Patents Office 2013), the Irish Patents Office found that applicant’s Sky Business Centres mark would both dilute and take unfair advantage of the opponent’s various Sky marks. </w:t>
      </w:r>
      <w:r w:rsidRPr="003131C0">
        <w:rPr>
          <w:i/>
          <w:iCs/>
        </w:rPr>
        <w:t>Id</w:t>
      </w:r>
      <w:r w:rsidRPr="003131C0">
        <w:t>. ¶¶85–86. The decision does not contain extensive analysis and reveals the difficulty of attempting an analytical approach, as opposed to a holistic approach, to dilution under the Directive.</w:t>
      </w:r>
    </w:p>
  </w:footnote>
  <w:footnote w:id="102">
    <w:p w14:paraId="32BB58A5" w14:textId="77777777" w:rsidR="006F142F" w:rsidRPr="00B14711" w:rsidRDefault="006F142F" w:rsidP="0052698D">
      <w:pPr>
        <w:pStyle w:val="footnote"/>
      </w:pPr>
      <w:r w:rsidRPr="00B14711">
        <w:rPr>
          <w:vertAlign w:val="superscript"/>
        </w:rPr>
        <w:footnoteRef/>
      </w:r>
      <w:r w:rsidRPr="00B14711">
        <w:t>Case C-487/07 (ECJ 2009).</w:t>
      </w:r>
    </w:p>
  </w:footnote>
  <w:footnote w:id="103">
    <w:p w14:paraId="5844887C" w14:textId="77777777" w:rsidR="006F142F" w:rsidRPr="00B14711" w:rsidRDefault="006F142F" w:rsidP="0052698D">
      <w:pPr>
        <w:pStyle w:val="footnote"/>
      </w:pPr>
      <w:r w:rsidRPr="00B14711">
        <w:rPr>
          <w:vertAlign w:val="superscript"/>
        </w:rPr>
        <w:footnoteRef/>
      </w:r>
      <w:r w:rsidRPr="00B14711">
        <w:rPr>
          <w:i/>
          <w:iCs/>
        </w:rPr>
        <w:t>Id</w:t>
      </w:r>
      <w:r w:rsidRPr="00B14711">
        <w:t xml:space="preserve">. ¶¶14, 17–21, 23. The facts of </w:t>
      </w:r>
      <w:r w:rsidRPr="00B14711">
        <w:rPr>
          <w:i/>
          <w:iCs/>
        </w:rPr>
        <w:t>L’Oréal</w:t>
      </w:r>
      <w:r w:rsidRPr="00B14711">
        <w:t xml:space="preserve"> are strikingly similar to the U.S. case of </w:t>
      </w:r>
      <w:r w:rsidRPr="00B14711">
        <w:rPr>
          <w:i/>
          <w:iCs/>
        </w:rPr>
        <w:t>Smith v</w:t>
      </w:r>
      <w:r w:rsidRPr="00B14711">
        <w:t>.</w:t>
      </w:r>
      <w:r w:rsidRPr="00B14711">
        <w:rPr>
          <w:i/>
          <w:iCs/>
        </w:rPr>
        <w:t xml:space="preserve"> Chanel, Inc</w:t>
      </w:r>
      <w:r w:rsidRPr="00B14711">
        <w:t>., 402 F.2d 562 (9th Cir. 1968).</w:t>
      </w:r>
    </w:p>
  </w:footnote>
  <w:footnote w:id="104">
    <w:p w14:paraId="5834CF04" w14:textId="77777777" w:rsidR="006F142F" w:rsidRPr="00B14711" w:rsidRDefault="006F142F" w:rsidP="0052698D">
      <w:pPr>
        <w:pStyle w:val="footnote"/>
      </w:pPr>
      <w:r w:rsidRPr="00B14711">
        <w:rPr>
          <w:vertAlign w:val="superscript"/>
        </w:rPr>
        <w:footnoteRef/>
      </w:r>
      <w:r w:rsidRPr="00B14711">
        <w:rPr>
          <w:i/>
          <w:iCs/>
        </w:rPr>
        <w:t>L’Oréal</w:t>
      </w:r>
      <w:r w:rsidRPr="00B14711">
        <w:t>, C-487/07</w:t>
      </w:r>
      <w:r>
        <w:t>,</w:t>
      </w:r>
      <w:r w:rsidRPr="00B14711">
        <w:t xml:space="preserve"> ¶41.</w:t>
      </w:r>
    </w:p>
  </w:footnote>
  <w:footnote w:id="105">
    <w:p w14:paraId="7CF6C1B6" w14:textId="77777777" w:rsidR="006F142F" w:rsidRPr="00B14711" w:rsidRDefault="006F142F" w:rsidP="0052698D">
      <w:pPr>
        <w:pStyle w:val="footnote"/>
      </w:pPr>
      <w:r w:rsidRPr="00B14711">
        <w:rPr>
          <w:vertAlign w:val="superscript"/>
        </w:rPr>
        <w:footnoteRef/>
      </w:r>
      <w:r w:rsidRPr="00B14711">
        <w:rPr>
          <w:i/>
          <w:iCs/>
        </w:rPr>
        <w:t>Id</w:t>
      </w:r>
      <w:r w:rsidRPr="00B14711">
        <w:t>. ¶43.</w:t>
      </w:r>
    </w:p>
  </w:footnote>
  <w:footnote w:id="106">
    <w:p w14:paraId="21726D96" w14:textId="77777777" w:rsidR="006F142F" w:rsidRPr="00B14711" w:rsidRDefault="006F142F" w:rsidP="0052698D">
      <w:pPr>
        <w:pStyle w:val="footnote"/>
      </w:pPr>
      <w:r w:rsidRPr="00B14711">
        <w:rPr>
          <w:vertAlign w:val="superscript"/>
        </w:rPr>
        <w:footnoteRef/>
      </w:r>
      <w:r w:rsidRPr="00B14711">
        <w:rPr>
          <w:i/>
          <w:iCs/>
        </w:rPr>
        <w:t>Id</w:t>
      </w:r>
      <w:r w:rsidRPr="00B14711">
        <w:t>. ¶¶79–80.</w:t>
      </w:r>
    </w:p>
  </w:footnote>
  <w:footnote w:id="107">
    <w:p w14:paraId="3DE2E0BE" w14:textId="77777777" w:rsidR="006F142F" w:rsidRPr="00B14711" w:rsidRDefault="006F142F" w:rsidP="0052698D">
      <w:pPr>
        <w:pStyle w:val="footnote"/>
      </w:pPr>
      <w:r w:rsidRPr="00B14711">
        <w:rPr>
          <w:vertAlign w:val="superscript"/>
        </w:rPr>
        <w:footnoteRef/>
      </w:r>
      <w:r w:rsidRPr="00B14711">
        <w:rPr>
          <w:i/>
          <w:iCs/>
        </w:rPr>
        <w:t>Chanel</w:t>
      </w:r>
      <w:r w:rsidRPr="00B14711">
        <w:t xml:space="preserve">, 402 F.2d at 563. The </w:t>
      </w:r>
      <w:r w:rsidRPr="00B14711">
        <w:rPr>
          <w:i/>
          <w:iCs/>
        </w:rPr>
        <w:t>Smith v</w:t>
      </w:r>
      <w:r w:rsidRPr="00B14711">
        <w:t>.</w:t>
      </w:r>
      <w:r w:rsidRPr="00B14711">
        <w:rPr>
          <w:i/>
          <w:iCs/>
        </w:rPr>
        <w:t xml:space="preserve"> Chanel</w:t>
      </w:r>
      <w:r w:rsidRPr="00B14711">
        <w:t xml:space="preserve"> court specifically rejected the type of free-riding argument accepted by </w:t>
      </w:r>
      <w:r w:rsidRPr="00B14711">
        <w:rPr>
          <w:i/>
          <w:iCs/>
        </w:rPr>
        <w:t>L’Oréal</w:t>
      </w:r>
      <w:r w:rsidRPr="00B14711">
        <w:t xml:space="preserve">. </w:t>
      </w:r>
      <w:r w:rsidRPr="00B14711">
        <w:rPr>
          <w:i/>
          <w:iCs/>
        </w:rPr>
        <w:t>Id</w:t>
      </w:r>
      <w:r w:rsidRPr="00B14711">
        <w:t xml:space="preserve">. at 568–69. The </w:t>
      </w:r>
      <w:r w:rsidRPr="00B14711">
        <w:rPr>
          <w:i/>
          <w:iCs/>
        </w:rPr>
        <w:t>L’Oréal</w:t>
      </w:r>
      <w:r w:rsidRPr="00B14711">
        <w:t xml:space="preserve"> case returned to the U.K. Court of Appeal, which was highly critical of the ECJ’s decision. </w:t>
      </w:r>
      <w:r w:rsidRPr="00251F78">
        <w:rPr>
          <w:lang w:val="fr-FR"/>
        </w:rPr>
        <w:t xml:space="preserve">L’Oréal SA v. Bellure N V, [2010] EWCA Civ. 535 (Ct. App. 2010). </w:t>
      </w:r>
      <w:r w:rsidRPr="00B14711">
        <w:t xml:space="preserve">However, the U.K. court felt bound by the ECJ’s decision and implemented it, with obvious reluctance. </w:t>
      </w:r>
      <w:r w:rsidRPr="008D7F0B">
        <w:rPr>
          <w:i/>
        </w:rPr>
        <w:t>See</w:t>
      </w:r>
      <w:r w:rsidRPr="00B14711">
        <w:t xml:space="preserve"> §IV.B.3</w:t>
      </w:r>
      <w:r>
        <w:t>,</w:t>
      </w:r>
      <w:r w:rsidRPr="00B14711">
        <w:t xml:space="preserve"> below.</w:t>
      </w:r>
    </w:p>
  </w:footnote>
  <w:footnote w:id="108">
    <w:p w14:paraId="43D4BD47" w14:textId="77777777" w:rsidR="006F142F" w:rsidRPr="00B14711" w:rsidRDefault="006F142F" w:rsidP="0052698D">
      <w:pPr>
        <w:pStyle w:val="footnote"/>
      </w:pPr>
      <w:r w:rsidRPr="00B14711">
        <w:rPr>
          <w:vertAlign w:val="superscript"/>
        </w:rPr>
        <w:footnoteRef/>
      </w:r>
      <w:r>
        <w:rPr>
          <w:i/>
          <w:iCs/>
        </w:rPr>
        <w:t xml:space="preserve">See, e.g., </w:t>
      </w:r>
      <w:r>
        <w:t>Tecom Master v. EUIPO—Michael Kors, Case T-1053/23, [2025] E.T.M.R. 16, ¶65 (Gen. Ct. 2025);</w:t>
      </w:r>
      <w:r>
        <w:rPr>
          <w:i/>
          <w:iCs/>
        </w:rPr>
        <w:t xml:space="preserve"> </w:t>
      </w:r>
      <w:r>
        <w:t xml:space="preserve">McDreams Hotel GmbH v EUIPO, [2020] E.T.M.R. 4, *59 (Gen. Ct. Oct. 10, 2019). </w:t>
      </w:r>
      <w:r w:rsidRPr="00B14711">
        <w:t>By contrast, the TDRA</w:t>
      </w:r>
      <w:r>
        <w:t xml:space="preserve"> in the United States</w:t>
      </w:r>
      <w:r w:rsidRPr="00B14711">
        <w:t xml:space="preserve"> protects both registered and unregistered marks.</w:t>
      </w:r>
    </w:p>
  </w:footnote>
  <w:footnote w:id="109">
    <w:p w14:paraId="536E27FB" w14:textId="77777777" w:rsidR="006F142F" w:rsidRDefault="006F142F" w:rsidP="0052698D">
      <w:pPr>
        <w:pStyle w:val="footnote"/>
      </w:pPr>
      <w:r>
        <w:rPr>
          <w:vertAlign w:val="superscript"/>
        </w:rPr>
        <w:footnoteRef/>
      </w:r>
      <w:r>
        <w:t xml:space="preserve">Case T-61/16, [2018] E.T.M.R. 12 (Gen. Ct. 2017). </w:t>
      </w:r>
    </w:p>
  </w:footnote>
  <w:footnote w:id="110">
    <w:p w14:paraId="4400A432" w14:textId="77777777" w:rsidR="006F142F" w:rsidRDefault="006F142F" w:rsidP="0052698D">
      <w:pPr>
        <w:pStyle w:val="footnote"/>
      </w:pPr>
      <w:r>
        <w:rPr>
          <w:vertAlign w:val="superscript"/>
        </w:rPr>
        <w:footnoteRef/>
      </w:r>
      <w:r>
        <w:rPr>
          <w:i/>
          <w:iCs/>
        </w:rPr>
        <w:t>Id</w:t>
      </w:r>
      <w:r>
        <w:t xml:space="preserve">. at *331–33. </w:t>
      </w:r>
    </w:p>
  </w:footnote>
  <w:footnote w:id="111">
    <w:p w14:paraId="67A7EE19" w14:textId="77777777" w:rsidR="006F142F" w:rsidRDefault="006F142F" w:rsidP="0052698D">
      <w:pPr>
        <w:pStyle w:val="footnote"/>
      </w:pPr>
      <w:r>
        <w:rPr>
          <w:vertAlign w:val="superscript"/>
        </w:rPr>
        <w:footnoteRef/>
      </w:r>
      <w:r>
        <w:t xml:space="preserve">See generally Vincenzo Di Cataldo, The Trade Mark With a Reputation in EU Law: Some Remarks on the Negative Condition “Without Due Cause,” 42 IIC 833 (2011). </w:t>
      </w:r>
    </w:p>
  </w:footnote>
  <w:footnote w:id="112">
    <w:p w14:paraId="3066306A" w14:textId="77777777" w:rsidR="006F142F" w:rsidRDefault="006F142F" w:rsidP="0052698D">
      <w:pPr>
        <w:pStyle w:val="footnote"/>
      </w:pPr>
      <w:r>
        <w:rPr>
          <w:vertAlign w:val="superscript"/>
        </w:rPr>
        <w:footnoteRef/>
      </w:r>
      <w:r>
        <w:t xml:space="preserve">Case C–65/12 (CJEU 2014). </w:t>
      </w:r>
    </w:p>
  </w:footnote>
  <w:footnote w:id="113">
    <w:p w14:paraId="5B5C2B99" w14:textId="77777777" w:rsidR="006F142F" w:rsidRDefault="006F142F" w:rsidP="0052698D">
      <w:pPr>
        <w:pStyle w:val="footnote"/>
      </w:pPr>
      <w:r>
        <w:rPr>
          <w:vertAlign w:val="superscript"/>
        </w:rPr>
        <w:footnoteRef/>
      </w:r>
      <w:r>
        <w:rPr>
          <w:i/>
          <w:iCs/>
        </w:rPr>
        <w:t>Id</w:t>
      </w:r>
      <w:r>
        <w:t xml:space="preserve">. ¶60. </w:t>
      </w:r>
    </w:p>
  </w:footnote>
  <w:footnote w:id="114">
    <w:p w14:paraId="7A01654B" w14:textId="77777777" w:rsidR="006F142F" w:rsidRPr="007D76A8" w:rsidRDefault="006F142F" w:rsidP="0078210B">
      <w:pPr>
        <w:pStyle w:val="FootnoteText"/>
      </w:pPr>
      <w:r>
        <w:rPr>
          <w:rStyle w:val="FootnoteReference"/>
          <w:rFonts w:eastAsiaTheme="majorEastAsia"/>
        </w:rPr>
        <w:footnoteRef/>
      </w:r>
      <w:r>
        <w:rPr>
          <w:i/>
          <w:iCs/>
        </w:rPr>
        <w:t>See also</w:t>
      </w:r>
      <w:r>
        <w:t xml:space="preserve"> Devin AD v. EUIPO, 62017TJ0122, ¶¶86–88 (Gen. Ct. Oct. 25, 2018) (discussing due cause).</w:t>
      </w:r>
    </w:p>
  </w:footnote>
  <w:footnote w:id="115">
    <w:p w14:paraId="2297F0D9" w14:textId="77777777" w:rsidR="006F142F" w:rsidRDefault="006F142F" w:rsidP="0052698D">
      <w:pPr>
        <w:pStyle w:val="footnote"/>
      </w:pPr>
      <w:r>
        <w:rPr>
          <w:vertAlign w:val="superscript"/>
        </w:rPr>
        <w:footnoteRef/>
      </w:r>
      <w:r>
        <w:t xml:space="preserve">Case C–323/09 (CJEU 2011). </w:t>
      </w:r>
    </w:p>
  </w:footnote>
  <w:footnote w:id="116">
    <w:p w14:paraId="39FF7F63" w14:textId="77777777" w:rsidR="006F142F" w:rsidRDefault="006F142F" w:rsidP="0052698D">
      <w:pPr>
        <w:pStyle w:val="footnote"/>
      </w:pPr>
      <w:r>
        <w:rPr>
          <w:vertAlign w:val="superscript"/>
        </w:rPr>
        <w:footnoteRef/>
      </w:r>
      <w:r>
        <w:rPr>
          <w:i/>
          <w:iCs/>
        </w:rPr>
        <w:t>Id</w:t>
      </w:r>
      <w:r>
        <w:t xml:space="preserve">. ¶91. </w:t>
      </w:r>
    </w:p>
  </w:footnote>
  <w:footnote w:id="117">
    <w:p w14:paraId="19C6C88B" w14:textId="77777777" w:rsidR="006F142F" w:rsidRDefault="006F142F" w:rsidP="0052698D">
      <w:pPr>
        <w:pStyle w:val="footnote"/>
      </w:pPr>
      <w:r>
        <w:rPr>
          <w:vertAlign w:val="superscript"/>
        </w:rPr>
        <w:footnoteRef/>
      </w:r>
      <w:r>
        <w:t xml:space="preserve">Tsujimoto v. EUIPO, Cases C-85/16 P and C-86/16 P, ¶94 (CJEU 2018). </w:t>
      </w:r>
    </w:p>
  </w:footnote>
  <w:footnote w:id="118">
    <w:p w14:paraId="7A082C39" w14:textId="77777777" w:rsidR="006F142F" w:rsidRDefault="006F142F" w:rsidP="0052698D">
      <w:pPr>
        <w:pStyle w:val="footnote"/>
      </w:pPr>
      <w:r>
        <w:rPr>
          <w:vertAlign w:val="superscript"/>
        </w:rPr>
        <w:footnoteRef/>
      </w:r>
      <w:r>
        <w:t xml:space="preserve">Council Regulation No 40/94, 1994 OJ (L11) 1, of 20 December 1993 on the Community trade mark [the CTM Regulation]; Commission Regulation (EC) No 2868/95 of 13 December 1995 implementing Council Regulation (EC) No 40/94 on the Community trade mark. The EU issued new CTM regulations, replacing the existing ones, in early 2009. However, the new regulations did not affect either the numbering or the wording of the dilution provisions. Council Regulation (EC) No 207/2009 of 26 February 2009 on the Community Trade Mark. </w:t>
      </w:r>
    </w:p>
  </w:footnote>
  <w:footnote w:id="119">
    <w:p w14:paraId="26957B99" w14:textId="77777777" w:rsidR="006F142F" w:rsidRDefault="006F142F" w:rsidP="0052698D">
      <w:pPr>
        <w:pStyle w:val="footnote"/>
      </w:pPr>
      <w:r>
        <w:rPr>
          <w:vertAlign w:val="superscript"/>
        </w:rPr>
        <w:footnoteRef/>
      </w:r>
      <w:r>
        <w:t xml:space="preserve">Regulation (EU) 2015/2424 of the European Parliament and of the Council of 16 December 2015 amending Council Regulation (EC) No 207/2009 on the Community trade mark and Commission Regulation (EC) No 2868/95 implementing Council Regulation (EC) No 40/94 on the Community trade mark, and repealing Commission Regulation (EC) No 2869/95 on the fees payable to the Office for Harmonization in the Internal Market (Trade Marks and Designs) (the “2015 Regulation”). The 2015 Regulation did not renumber the dilution provisions. </w:t>
      </w:r>
    </w:p>
  </w:footnote>
  <w:footnote w:id="120">
    <w:p w14:paraId="4FB35DD8" w14:textId="77777777" w:rsidR="006F142F" w:rsidRDefault="006F142F" w:rsidP="0078210B">
      <w:pPr>
        <w:pStyle w:val="FootnoteText"/>
      </w:pPr>
      <w:r>
        <w:rPr>
          <w:rStyle w:val="FootnoteReference"/>
          <w:rFonts w:eastAsiaTheme="majorEastAsia"/>
        </w:rPr>
        <w:footnoteRef/>
      </w:r>
      <w:r>
        <w:t>Regulation (EU) 2017/1001 of the European Parliament and of the Council of 14 June 2017 on the European Union Trade Mark.</w:t>
      </w:r>
    </w:p>
  </w:footnote>
  <w:footnote w:id="121">
    <w:p w14:paraId="2F240954" w14:textId="77777777" w:rsidR="006F142F" w:rsidRDefault="006F142F" w:rsidP="0052698D">
      <w:pPr>
        <w:pStyle w:val="footnote"/>
      </w:pPr>
      <w:r>
        <w:rPr>
          <w:vertAlign w:val="superscript"/>
        </w:rPr>
        <w:footnoteRef/>
      </w:r>
      <w:r>
        <w:t xml:space="preserve">In the 2008 revision of the Trademark Harmonization Directive, special protection was provided to CTMs against dilution. Article 4(3) of the Directive—which was made mandatory on the member states—required member states to refuse registration of a national mark if it would dilute a CTM with a reputation. In the 2015 Directive, Article 5(3) protects both CTMs—now known as EU trade marks or EUTMs—and registered national marks against the registration of a diluting national mark. </w:t>
      </w:r>
    </w:p>
  </w:footnote>
  <w:footnote w:id="122">
    <w:p w14:paraId="14869789" w14:textId="77777777" w:rsidR="006F142F" w:rsidRDefault="006F142F" w:rsidP="0052698D">
      <w:pPr>
        <w:pStyle w:val="footnote"/>
      </w:pPr>
      <w:r>
        <w:rPr>
          <w:vertAlign w:val="superscript"/>
        </w:rPr>
        <w:footnoteRef/>
      </w:r>
      <w:r>
        <w:t xml:space="preserve">CTM Regulation, Art. 8(5). </w:t>
      </w:r>
      <w:r>
        <w:rPr>
          <w:i/>
          <w:iCs/>
        </w:rPr>
        <w:t>See id</w:t>
      </w:r>
      <w:r>
        <w:t xml:space="preserve">. Art. 9(1)(c) (permitting CTM/EU Trade Mark owner to prevent uses of the same or similar mark under the same circumstances as described in Art. 8(5)). </w:t>
      </w:r>
    </w:p>
  </w:footnote>
  <w:footnote w:id="123">
    <w:p w14:paraId="0A702935" w14:textId="77777777" w:rsidR="006F142F" w:rsidRDefault="006F142F" w:rsidP="0052698D">
      <w:pPr>
        <w:pStyle w:val="footnote"/>
      </w:pPr>
      <w:r>
        <w:rPr>
          <w:vertAlign w:val="superscript"/>
        </w:rPr>
        <w:footnoteRef/>
      </w:r>
      <w:r>
        <w:t xml:space="preserve">2015 Regulation, Art. 1(10) (amending Art. 8); </w:t>
      </w:r>
      <w:r>
        <w:rPr>
          <w:i/>
          <w:iCs/>
        </w:rPr>
        <w:t>id</w:t>
      </w:r>
      <w:r>
        <w:t xml:space="preserve">. Art. 1(11) (amending Art. 9). </w:t>
      </w:r>
    </w:p>
  </w:footnote>
  <w:footnote w:id="124">
    <w:p w14:paraId="0BE97FD8" w14:textId="77777777" w:rsidR="006F142F" w:rsidRDefault="006F142F" w:rsidP="0052698D">
      <w:pPr>
        <w:pStyle w:val="footnote"/>
      </w:pPr>
      <w:r>
        <w:rPr>
          <w:vertAlign w:val="superscript"/>
        </w:rPr>
        <w:footnoteRef/>
      </w:r>
      <w:r>
        <w:t xml:space="preserve">2015 Regulation, Art. 1(7) (amending Art. 2). </w:t>
      </w:r>
    </w:p>
  </w:footnote>
  <w:footnote w:id="125">
    <w:p w14:paraId="17DA2DAE" w14:textId="77777777" w:rsidR="006F142F" w:rsidRDefault="006F142F" w:rsidP="0052698D">
      <w:pPr>
        <w:pStyle w:val="footnote"/>
      </w:pPr>
      <w:r>
        <w:rPr>
          <w:vertAlign w:val="superscript"/>
        </w:rPr>
        <w:footnoteRef/>
      </w:r>
      <w:r>
        <w:rPr>
          <w:i/>
          <w:iCs/>
        </w:rPr>
        <w:t>See</w:t>
      </w:r>
      <w:r>
        <w:t>,</w:t>
      </w:r>
      <w:r>
        <w:rPr>
          <w:i/>
          <w:iCs/>
        </w:rPr>
        <w:t xml:space="preserve"> e</w:t>
      </w:r>
      <w:r>
        <w:t>.</w:t>
      </w:r>
      <w:r>
        <w:rPr>
          <w:i/>
          <w:iCs/>
        </w:rPr>
        <w:t>g</w:t>
      </w:r>
      <w:r>
        <w:t xml:space="preserve">., Formula One Licensing BV v. Kleinsasser, Dec. No. 621/2001 (OHIM 2001), </w:t>
      </w:r>
      <w:r>
        <w:rPr>
          <w:i/>
        </w:rPr>
        <w:t xml:space="preserve">available at </w:t>
      </w:r>
      <w:r>
        <w:t xml:space="preserve">http://oami.europa.eu/LegalDocs/Opposition/2001/en/0621-2001.pdf. </w:t>
      </w:r>
    </w:p>
  </w:footnote>
  <w:footnote w:id="126">
    <w:p w14:paraId="28172622" w14:textId="77777777" w:rsidR="006F142F" w:rsidRDefault="006F142F" w:rsidP="0052698D">
      <w:pPr>
        <w:pStyle w:val="footnote"/>
      </w:pPr>
      <w:r>
        <w:rPr>
          <w:vertAlign w:val="superscript"/>
        </w:rPr>
        <w:footnoteRef/>
      </w:r>
      <w:r>
        <w:rPr>
          <w:i/>
          <w:iCs/>
        </w:rPr>
        <w:t>See</w:t>
      </w:r>
      <w:r>
        <w:t xml:space="preserve"> Starbucks Corp. v. EUIPO, [2018] E.T.M.R. 17, *459–60 (Gen. Ct. Jan. 16, 2018) (reversing EUIPO and denying registration based in part on Art. 8(5)); Sigla, SA v. OHIM, Case T–215/03 (Ct. of First Instance 2007) (applying Article 8(5)) [</w:t>
      </w:r>
      <w:r w:rsidRPr="002851DD">
        <w:rPr>
          <w:iCs/>
        </w:rPr>
        <w:t>Author Note</w:t>
      </w:r>
      <w:r>
        <w:t xml:space="preserve">: the General Court has replaced the Court of First Instance]. Dilution under the Directive is discussed in §III.A.1, above. Infringements of EUTMs (formerly CTMs) are actionable in the courts of member states, each of which is obliged to designate at least one court (it can be an existing court) for the purpose of enforcement. </w:t>
      </w:r>
      <w:r>
        <w:rPr>
          <w:i/>
          <w:iCs/>
        </w:rPr>
        <w:t>See</w:t>
      </w:r>
      <w:r>
        <w:t xml:space="preserve"> Whirlpool Corp. v. Kenwood, Ltd., [2009] EWCA Civ. 753 (U.K. Ct. App. 2009) (infringement suit pertaining to a CTM for the shape of a stand mixer). </w:t>
      </w:r>
    </w:p>
  </w:footnote>
  <w:footnote w:id="127">
    <w:p w14:paraId="1B1EA97D" w14:textId="77777777" w:rsidR="006F142F" w:rsidRDefault="006F142F" w:rsidP="0052698D">
      <w:pPr>
        <w:pStyle w:val="footnote"/>
      </w:pPr>
      <w:r>
        <w:rPr>
          <w:vertAlign w:val="superscript"/>
        </w:rPr>
        <w:footnoteRef/>
      </w:r>
      <w:r>
        <w:t xml:space="preserve">Case C-93/16 (CJEU 2017). </w:t>
      </w:r>
    </w:p>
  </w:footnote>
  <w:footnote w:id="128">
    <w:p w14:paraId="0258F0AA" w14:textId="77777777" w:rsidR="006F142F" w:rsidRDefault="006F142F" w:rsidP="0052698D">
      <w:pPr>
        <w:pStyle w:val="footnote"/>
      </w:pPr>
      <w:r>
        <w:rPr>
          <w:vertAlign w:val="superscript"/>
        </w:rPr>
        <w:footnoteRef/>
      </w:r>
      <w:r>
        <w:rPr>
          <w:i/>
          <w:iCs/>
        </w:rPr>
        <w:t>Id</w:t>
      </w:r>
      <w:r>
        <w:t xml:space="preserve">. ¶60. </w:t>
      </w:r>
    </w:p>
  </w:footnote>
  <w:footnote w:id="129">
    <w:p w14:paraId="29154B7A" w14:textId="77777777" w:rsidR="006F142F" w:rsidRDefault="006F142F" w:rsidP="0052698D">
      <w:pPr>
        <w:pStyle w:val="footnote"/>
      </w:pPr>
      <w:r>
        <w:rPr>
          <w:vertAlign w:val="superscript"/>
        </w:rPr>
        <w:footnoteRef/>
      </w:r>
      <w:r>
        <w:t xml:space="preserve">CTM Regulation, Art. 7(2) (absolute grounds for refusal apply even if grounds “obtain in only part of the Community”). </w:t>
      </w:r>
      <w:r>
        <w:rPr>
          <w:i/>
          <w:iCs/>
        </w:rPr>
        <w:t>See id.</w:t>
      </w:r>
      <w:r>
        <w:t xml:space="preserve"> Art. 1(2). (This provision was not changed by the 2017 Regulation). </w:t>
      </w:r>
    </w:p>
  </w:footnote>
  <w:footnote w:id="130">
    <w:p w14:paraId="30FD571F" w14:textId="77777777" w:rsidR="006F142F" w:rsidRPr="00B14711" w:rsidRDefault="006F142F" w:rsidP="0052698D">
      <w:pPr>
        <w:pStyle w:val="footnote"/>
      </w:pPr>
      <w:r w:rsidRPr="00B14711">
        <w:rPr>
          <w:vertAlign w:val="superscript"/>
        </w:rPr>
        <w:footnoteRef/>
      </w:r>
      <w:r w:rsidRPr="00B14711">
        <w:rPr>
          <w:i/>
          <w:iCs/>
        </w:rPr>
        <w:t>Id</w:t>
      </w:r>
      <w:r w:rsidRPr="00B14711">
        <w:t>. Art. 142a. In brief, the transition regulations automatically extend the protections of existing CTMs to the new member states, unless there would be grounds for refusal of the CTM due to conditions in one or more of the new states, or unless enforcement of a CTM would interfere with existing rights within the new member country. If such grounds exist, then the existing CTM continues to be valid and enforceable in all other EU countries, but not in the new member country or countries where the problem exists.</w:t>
      </w:r>
      <w:r w:rsidRPr="0078210B">
        <w:t xml:space="preserve"> </w:t>
      </w:r>
      <w:r w:rsidRPr="003131C0">
        <w:t xml:space="preserve">In 2013, the addition of Croatia to the EU raised similar issues. They were resolved in the same way as they were in 2004 and 2007. </w:t>
      </w:r>
      <w:r w:rsidRPr="003131C0">
        <w:rPr>
          <w:i/>
          <w:iCs/>
        </w:rPr>
        <w:t>See</w:t>
      </w:r>
      <w:r w:rsidRPr="003131C0">
        <w:t xml:space="preserve"> Enlargement 2013: Welcome Croatia!, http://oami.europa.eu/ows/rw/pages/OHIM/institutional/enlargement/enlargement13.en.do (explaining the post-enlargement rules relating to CTMs and Croatia).</w:t>
      </w:r>
    </w:p>
  </w:footnote>
  <w:footnote w:id="131">
    <w:p w14:paraId="02041BE7" w14:textId="77777777" w:rsidR="006F142F" w:rsidRPr="00B14711" w:rsidRDefault="006F142F" w:rsidP="0052698D">
      <w:pPr>
        <w:pStyle w:val="footnote"/>
      </w:pPr>
      <w:r w:rsidRPr="00B14711">
        <w:rPr>
          <w:vertAlign w:val="superscript"/>
        </w:rPr>
        <w:footnoteRef/>
      </w:r>
      <w:r w:rsidRPr="00B14711">
        <w:t xml:space="preserve">Chile was originally a member but withdrew in 1976. Venezuela joined the organization in 1973 but announced its withdrawal in 2006. </w:t>
      </w:r>
      <w:r w:rsidRPr="00B14711">
        <w:rPr>
          <w:i/>
          <w:iCs/>
        </w:rPr>
        <w:t>See</w:t>
      </w:r>
      <w:r w:rsidRPr="00B14711">
        <w:t xml:space="preserve"> http://www.comunidadandina.org/ingles/who.htm (last visited Aug</w:t>
      </w:r>
      <w:r>
        <w:t>.</w:t>
      </w:r>
      <w:r w:rsidRPr="00B14711">
        <w:t xml:space="preserve"> 27, 2012) and “Chronological Sequence of Events,” </w:t>
      </w:r>
      <w:r w:rsidRPr="00B14711">
        <w:rPr>
          <w:i/>
          <w:iCs/>
        </w:rPr>
        <w:t>available at</w:t>
      </w:r>
      <w:r w:rsidRPr="00B14711">
        <w:t xml:space="preserve"> http://www.comunidadandina.org/ingles/quienes/events.htm (last visited Aug</w:t>
      </w:r>
      <w:r>
        <w:t>.</w:t>
      </w:r>
      <w:r w:rsidRPr="00B14711">
        <w:t xml:space="preserve"> 27, 2012).</w:t>
      </w:r>
    </w:p>
  </w:footnote>
  <w:footnote w:id="132">
    <w:p w14:paraId="72AF2603" w14:textId="77777777" w:rsidR="006F142F" w:rsidRPr="00B14711" w:rsidRDefault="006F142F" w:rsidP="0052698D">
      <w:pPr>
        <w:pStyle w:val="footnote"/>
      </w:pPr>
      <w:r w:rsidRPr="00B14711">
        <w:rPr>
          <w:vertAlign w:val="superscript"/>
        </w:rPr>
        <w:footnoteRef/>
      </w:r>
      <w:r w:rsidRPr="00B14711">
        <w:t>Provisions promulgated by the Commission are denominated as Decisions. Decision 486, which replaced and superseded Decision 344, regulates intellectual property. It contains the Articles discussed in text and is available at http://www.ftaa-alca.org/intprop/natleg/decisions/dec486_e.asp</w:t>
      </w:r>
      <w:r>
        <w:t>.</w:t>
      </w:r>
    </w:p>
  </w:footnote>
  <w:footnote w:id="133">
    <w:p w14:paraId="44522AAB" w14:textId="77777777" w:rsidR="006F142F" w:rsidRPr="00B14711" w:rsidRDefault="006F142F" w:rsidP="0052698D">
      <w:pPr>
        <w:pStyle w:val="footnote"/>
      </w:pPr>
      <w:r w:rsidRPr="00B14711">
        <w:rPr>
          <w:vertAlign w:val="superscript"/>
        </w:rPr>
        <w:footnoteRef/>
      </w:r>
      <w:r w:rsidRPr="00B14711">
        <w:t>Some of the factors in the Andean Community provision include the extent of public knowledge of the mark in a member country, the extent of use of the mark, advertising expenditures and efforts, longevity of use, and registration. One interesting factor is the book value of the mark on the company’s accounts. Art. 228(g).</w:t>
      </w:r>
    </w:p>
  </w:footnote>
  <w:footnote w:id="134">
    <w:p w14:paraId="1F3BA9FB" w14:textId="77777777" w:rsidR="006F142F" w:rsidRPr="00B14711" w:rsidRDefault="006F142F" w:rsidP="0052698D">
      <w:pPr>
        <w:pStyle w:val="footnote"/>
      </w:pPr>
      <w:r w:rsidRPr="00B14711">
        <w:rPr>
          <w:vertAlign w:val="superscript"/>
        </w:rPr>
        <w:footnoteRef/>
      </w:r>
      <w:r w:rsidRPr="00B14711">
        <w:t>Article 229.</w:t>
      </w:r>
    </w:p>
  </w:footnote>
  <w:footnote w:id="135">
    <w:p w14:paraId="4EF4BD14" w14:textId="77777777" w:rsidR="006F142F" w:rsidRPr="00B14711" w:rsidRDefault="006F142F" w:rsidP="0052698D">
      <w:pPr>
        <w:pStyle w:val="footnote"/>
      </w:pPr>
      <w:r w:rsidRPr="00B14711">
        <w:rPr>
          <w:vertAlign w:val="superscript"/>
        </w:rPr>
        <w:footnoteRef/>
      </w:r>
      <w:r w:rsidRPr="00B14711">
        <w:t>The abbreviation OAPI is from the French for African Intellectual Property Organization.</w:t>
      </w:r>
    </w:p>
  </w:footnote>
  <w:footnote w:id="136">
    <w:p w14:paraId="1E067944" w14:textId="77777777" w:rsidR="006F142F" w:rsidRPr="00B14711" w:rsidRDefault="006F142F" w:rsidP="0052698D">
      <w:pPr>
        <w:pStyle w:val="footnote"/>
      </w:pPr>
      <w:r w:rsidRPr="00B14711">
        <w:rPr>
          <w:vertAlign w:val="superscript"/>
        </w:rPr>
        <w:footnoteRef/>
      </w:r>
      <w:r w:rsidRPr="00B14711">
        <w:rPr>
          <w:i/>
          <w:iCs/>
        </w:rPr>
        <w:t>See</w:t>
      </w:r>
      <w:r w:rsidRPr="00B14711">
        <w:t xml:space="preserve"> Agreement Revising the Bangui Agreement of March 2, 1977 on the Creation of an African Intellectual Property Organization (Feb. 24, 1999), Arts. 3(b); 6; 7(1), (2) (available from the World Intellectual Property Organization </w:t>
      </w:r>
      <w:r>
        <w:t>w</w:t>
      </w:r>
      <w:r w:rsidRPr="00B14711">
        <w:t>ebsite in the Collection of Laws for Electronic Access, http://www.wipo.int/clea/en).</w:t>
      </w:r>
    </w:p>
  </w:footnote>
  <w:footnote w:id="137">
    <w:p w14:paraId="7966E6BD" w14:textId="77777777" w:rsidR="006F142F" w:rsidRPr="00B14711" w:rsidRDefault="006F142F" w:rsidP="0052698D">
      <w:pPr>
        <w:pStyle w:val="footnote"/>
      </w:pPr>
      <w:r w:rsidRPr="00B14711">
        <w:rPr>
          <w:vertAlign w:val="superscript"/>
        </w:rPr>
        <w:footnoteRef/>
      </w:r>
      <w:r w:rsidRPr="00B14711">
        <w:t>In this context, laws that appear to protect relatively strong marks against non-confusing uses by another would be counted as laws protecting against dilution.</w:t>
      </w:r>
    </w:p>
  </w:footnote>
  <w:footnote w:id="138">
    <w:p w14:paraId="7BAED3F9" w14:textId="77777777" w:rsidR="006F142F" w:rsidRDefault="006F142F" w:rsidP="0052698D">
      <w:pPr>
        <w:pStyle w:val="footnote"/>
      </w:pPr>
      <w:r>
        <w:rPr>
          <w:vertAlign w:val="superscript"/>
        </w:rPr>
        <w:footnoteRef/>
      </w:r>
      <w:r>
        <w:t xml:space="preserve">Trademark Harmonization Directive, Art. 4(4)(a) (relating to registration), Art. 5(2) (relating to rights against infringement). The 2008 version of the Directive mandated that member states prevent the registration of a national mark that would dilute a CTM with a reputation. 2008 Directive Art. 4(3). </w:t>
      </w:r>
    </w:p>
  </w:footnote>
  <w:footnote w:id="139">
    <w:p w14:paraId="7D06E646" w14:textId="77777777" w:rsidR="006F142F" w:rsidRDefault="006F142F" w:rsidP="0052698D">
      <w:pPr>
        <w:pStyle w:val="footnote"/>
      </w:pPr>
      <w:r>
        <w:rPr>
          <w:vertAlign w:val="superscript"/>
        </w:rPr>
        <w:footnoteRef/>
      </w:r>
      <w:r>
        <w:t xml:space="preserve">2015 Directive Art. 5(3) (relating to registration); </w:t>
      </w:r>
      <w:r>
        <w:rPr>
          <w:i/>
          <w:iCs/>
        </w:rPr>
        <w:t>id</w:t>
      </w:r>
      <w:r>
        <w:t xml:space="preserve">. at Art. 10(2)(c) (relating to rights against infringement). In both cases, the 2015 Directive says that member states “shall” give the required protection, whereas before it said “may.” </w:t>
      </w:r>
    </w:p>
  </w:footnote>
  <w:footnote w:id="140">
    <w:p w14:paraId="0CBCFE26" w14:textId="77777777" w:rsidR="006F142F" w:rsidRPr="00B14711" w:rsidRDefault="006F142F" w:rsidP="0052698D">
      <w:pPr>
        <w:pStyle w:val="footnote"/>
      </w:pPr>
      <w:r w:rsidRPr="00B14711">
        <w:rPr>
          <w:vertAlign w:val="superscript"/>
        </w:rPr>
        <w:footnoteRef/>
      </w:r>
      <w:r w:rsidRPr="00B14711">
        <w:t>The Directive was issued in 1988 (and repealed and replaced in 2008). The EU expanded to 12 new members in 2004 and 2007.</w:t>
      </w:r>
    </w:p>
  </w:footnote>
  <w:footnote w:id="141">
    <w:p w14:paraId="496EAEE0" w14:textId="77777777" w:rsidR="006F142F" w:rsidRPr="00B14711" w:rsidRDefault="006F142F" w:rsidP="0052698D">
      <w:pPr>
        <w:pStyle w:val="footnote"/>
      </w:pPr>
      <w:r w:rsidRPr="00B14711">
        <w:rPr>
          <w:vertAlign w:val="superscript"/>
        </w:rPr>
        <w:footnoteRef/>
      </w:r>
      <w:r w:rsidRPr="00B14711">
        <w:rPr>
          <w:i/>
          <w:iCs/>
        </w:rPr>
        <w:t>E</w:t>
      </w:r>
      <w:r w:rsidRPr="00B14711">
        <w:t>.</w:t>
      </w:r>
      <w:r w:rsidRPr="00B14711">
        <w:rPr>
          <w:i/>
          <w:iCs/>
        </w:rPr>
        <w:t>g</w:t>
      </w:r>
      <w:r w:rsidRPr="00B14711">
        <w:t>., Great Britain, Trade Marks Act of 1994, §§5(3) (relating to registration), 10(3) (relating to rights against infringement)</w:t>
      </w:r>
      <w:r>
        <w:t xml:space="preserve"> (Note: Great Britain is no longer part of the EU)</w:t>
      </w:r>
      <w:r w:rsidRPr="00B14711">
        <w:t xml:space="preserve">; Germany, </w:t>
      </w:r>
      <w:r w:rsidRPr="00B14711">
        <w:rPr>
          <w:i/>
          <w:iCs/>
        </w:rPr>
        <w:t>see</w:t>
      </w:r>
      <w:r w:rsidRPr="00B14711">
        <w:t xml:space="preserve"> Christopher Heath &amp; Kung-Chung Liu (eds.), </w:t>
      </w:r>
      <w:r w:rsidRPr="00B14711">
        <w:rPr>
          <w:smallCaps/>
        </w:rPr>
        <w:t>The Protection of Well-Known Marks in Asia</w:t>
      </w:r>
      <w:r w:rsidRPr="00B14711">
        <w:t xml:space="preserve"> 11 (Kluwer Law Int’l 2000) (citing §14(2)(3) of the 1994 German trademark law); Decision of January 15, 2010, Case 6 U 131/09 Elsbar/Polar Bear (Cologne Appeal Court), </w:t>
      </w:r>
      <w:r w:rsidRPr="00B14711">
        <w:rPr>
          <w:i/>
          <w:iCs/>
        </w:rPr>
        <w:t>reported in</w:t>
      </w:r>
      <w:r w:rsidRPr="00B14711">
        <w:t xml:space="preserve"> IP Report, </w:t>
      </w:r>
      <w:r w:rsidRPr="00B14711">
        <w:rPr>
          <w:i/>
          <w:iCs/>
        </w:rPr>
        <w:t>The Bardehle Pagenberg IP Report</w:t>
      </w:r>
      <w:r w:rsidRPr="00B14711">
        <w:t xml:space="preserve">, 2010/II </w:t>
      </w:r>
      <w:r w:rsidRPr="00251F78">
        <w:rPr>
          <w:i/>
          <w:iCs/>
        </w:rPr>
        <w:t>(available at</w:t>
      </w:r>
      <w:r w:rsidRPr="00B14711">
        <w:t xml:space="preserve"> www.bardehle.com, last visited June 5, 2011) (finding infringement of trade dress of cough drop package even when no confusion existed). German law has long protected marks from dilution as indicated by the </w:t>
      </w:r>
      <w:r w:rsidRPr="00B14711">
        <w:rPr>
          <w:i/>
          <w:iCs/>
        </w:rPr>
        <w:t>Odol</w:t>
      </w:r>
      <w:r w:rsidRPr="00B14711">
        <w:t xml:space="preserve"> case cited in Frank I. Schechter, </w:t>
      </w:r>
      <w:r w:rsidRPr="00B14711">
        <w:rPr>
          <w:i/>
          <w:iCs/>
        </w:rPr>
        <w:t>The Rational Basis of Trademark Protection</w:t>
      </w:r>
      <w:r w:rsidRPr="00B14711">
        <w:t xml:space="preserve">, 40 </w:t>
      </w:r>
      <w:r w:rsidRPr="00B14711">
        <w:rPr>
          <w:smallCaps/>
        </w:rPr>
        <w:t>Harv. L. Rev.</w:t>
      </w:r>
      <w:r w:rsidRPr="00B14711">
        <w:t xml:space="preserve"> 813, 831–32 (1927); France, Heath &amp; Liu, </w:t>
      </w:r>
      <w:r w:rsidRPr="00B14711">
        <w:rPr>
          <w:i/>
          <w:iCs/>
        </w:rPr>
        <w:t>supra</w:t>
      </w:r>
      <w:r w:rsidRPr="00B14711">
        <w:t>, at 12 (citing Art. L7135 of the Code de la Propriété Intellectuelle of 1 July 1992 and the Code de la Consommation of 2 July 1990). Art. L7135 of the Code de la Propriété Intellectuelle of 1 July 1992 implements Art. 5(2) of the EU Directive; the Code de la Consommation of 2 July 1990 grants protection to appellations of origin. Other examples of EU members’ implementation of the Directive’s dilution provisions include: Denmark, The Trade Marks Act §§4(2), 13(3)(I), (ii), 13(4)(I); Italy, Trademark Law, Arts. 1(b), 17(1)(e); Spain, Law 17/2001 of December 7, 2001 on Trademarks, Arts. 8(1), 34(2)(c); and Greece, Trademark Law No. 2239 of September 16, 1994, Art. 4(c).</w:t>
      </w:r>
    </w:p>
  </w:footnote>
  <w:footnote w:id="142">
    <w:p w14:paraId="3637B49F" w14:textId="77777777" w:rsidR="006F142F" w:rsidRDefault="006F142F" w:rsidP="0052698D">
      <w:pPr>
        <w:pStyle w:val="footnote"/>
      </w:pPr>
      <w:r>
        <w:rPr>
          <w:vertAlign w:val="superscript"/>
        </w:rPr>
        <w:footnoteRef/>
      </w:r>
      <w:r>
        <w:t xml:space="preserve">Thus, for example, Estonia, whose trademark law originally did not have a dilution provision, has since added one. Trade Marks Act, §§10(1)(3), 14(1)(3) (Estonia). The situation in Lithuania is similar, having added a dilution provision at about the time of accession to membership. Republic of Lithuania Trade Marks Act, Art. 7.1(7), 38.1(3) (As last amended on 8 June 2006 – No. X-651). </w:t>
      </w:r>
    </w:p>
  </w:footnote>
  <w:footnote w:id="143">
    <w:p w14:paraId="12190B29" w14:textId="77777777" w:rsidR="006F142F" w:rsidRDefault="006F142F" w:rsidP="0052698D">
      <w:pPr>
        <w:pStyle w:val="footnote"/>
      </w:pPr>
      <w:r>
        <w:rPr>
          <w:vertAlign w:val="superscript"/>
        </w:rPr>
        <w:footnoteRef/>
      </w:r>
      <w:r>
        <w:t xml:space="preserve">Trademarks Act and The Act on Amendments to the Trademarks Act, Art. 6(3), 7(2).3 (Zagreb 2011). </w:t>
      </w:r>
    </w:p>
  </w:footnote>
  <w:footnote w:id="144">
    <w:p w14:paraId="65CDDDBD" w14:textId="77777777" w:rsidR="006F142F" w:rsidRDefault="006F142F" w:rsidP="0052698D">
      <w:pPr>
        <w:pStyle w:val="footnote"/>
      </w:pPr>
      <w:r>
        <w:rPr>
          <w:vertAlign w:val="superscript"/>
        </w:rPr>
        <w:footnoteRef/>
      </w:r>
      <w:r>
        <w:t xml:space="preserve">[2013] E.T.M.R. 27 (Irish Patents Office 2013). </w:t>
      </w:r>
    </w:p>
  </w:footnote>
  <w:footnote w:id="145">
    <w:p w14:paraId="25C07E31" w14:textId="77777777" w:rsidR="006F142F" w:rsidRDefault="006F142F" w:rsidP="0052698D">
      <w:pPr>
        <w:pStyle w:val="footnote"/>
      </w:pPr>
      <w:r>
        <w:rPr>
          <w:vertAlign w:val="superscript"/>
        </w:rPr>
        <w:footnoteRef/>
      </w:r>
      <w:r>
        <w:rPr>
          <w:i/>
          <w:iCs/>
        </w:rPr>
        <w:t>Id</w:t>
      </w:r>
      <w:r>
        <w:t xml:space="preserve">. ¶¶83–86 (finding that the opponent’s mark had a reputation, was being used without due cause, and that applicant’s mark took unfair advantage of opponent’s mark). The Controller also found likelihood of confusion, which constituted an independent ground for rejecting the application. </w:t>
      </w:r>
      <w:r>
        <w:rPr>
          <w:i/>
          <w:iCs/>
        </w:rPr>
        <w:t>Id</w:t>
      </w:r>
      <w:r>
        <w:t xml:space="preserve">. ¶79. </w:t>
      </w:r>
      <w:r>
        <w:rPr>
          <w:i/>
          <w:iCs/>
        </w:rPr>
        <w:t>See</w:t>
      </w:r>
      <w:r>
        <w:t xml:space="preserve"> Bayerische Motorenwerke AG v. Ronaynet/A BMWCare, [2014] E.T.M.R. 29 (Ireland High Ct. 2013) (finding dilution where defendant used BMWcare.com (and variants) as web domain name for non-authorized BMW repair service). </w:t>
      </w:r>
    </w:p>
  </w:footnote>
  <w:footnote w:id="146">
    <w:p w14:paraId="64B5F22B" w14:textId="77777777" w:rsidR="006F142F" w:rsidRPr="002C4C78" w:rsidRDefault="006F142F">
      <w:pPr>
        <w:pStyle w:val="FootnoteText"/>
      </w:pPr>
      <w:r>
        <w:rPr>
          <w:rStyle w:val="FootnoteReference"/>
          <w:rFonts w:eastAsiaTheme="majorEastAsia"/>
        </w:rPr>
        <w:footnoteRef/>
      </w:r>
      <w:r>
        <w:t xml:space="preserve">The case is reviewed at </w:t>
      </w:r>
      <w:hyperlink r:id="rId1" w:history="1">
        <w:r w:rsidRPr="00251F78">
          <w:rPr>
            <w:rStyle w:val="Hyperlink"/>
            <w:i/>
            <w:iCs/>
          </w:rPr>
          <w:t>The (legal) adventures of Zorro: an update on copyright and parody from the Italian Supreme Court</w:t>
        </w:r>
        <w:r w:rsidRPr="00251F78">
          <w:rPr>
            <w:rStyle w:val="Hyperlink"/>
          </w:rPr>
          <w:t>,</w:t>
        </w:r>
        <w:r w:rsidRPr="00660879">
          <w:rPr>
            <w:rStyle w:val="Hyperlink"/>
            <w:i/>
            <w:iCs/>
          </w:rPr>
          <w:t xml:space="preserve"> available at</w:t>
        </w:r>
        <w:r w:rsidRPr="00660879">
          <w:rPr>
            <w:rStyle w:val="Hyperlink"/>
          </w:rPr>
          <w:t xml:space="preserve"> https://mediawrites.law</w:t>
        </w:r>
      </w:hyperlink>
      <w:r>
        <w:t xml:space="preserve"> (last accessed May 7, 2023).  The Israeli Supreme Court appears to have come to a different conclusion (it is not bound by EU law of course).  </w:t>
      </w:r>
      <w:r>
        <w:rPr>
          <w:i/>
          <w:iCs/>
        </w:rPr>
        <w:t xml:space="preserve">See </w:t>
      </w:r>
      <w:r>
        <w:t xml:space="preserve">Société des Produits Nestlé v. Espresso Club Ltd., Case No. CA 3425/17 (Sup. Ct. Israel 2019), </w:t>
      </w:r>
      <w:r>
        <w:rPr>
          <w:i/>
          <w:iCs/>
        </w:rPr>
        <w:t>quoted in</w:t>
      </w:r>
      <w:r>
        <w:t xml:space="preserve"> 51 IIC 262.  The case is discussed in section IV.F. below.</w:t>
      </w:r>
    </w:p>
  </w:footnote>
  <w:footnote w:id="147">
    <w:p w14:paraId="331849B1" w14:textId="77777777" w:rsidR="006F142F" w:rsidRPr="005379D0" w:rsidRDefault="006F142F">
      <w:pPr>
        <w:pStyle w:val="FootnoteText"/>
      </w:pPr>
      <w:r>
        <w:rPr>
          <w:rStyle w:val="FootnoteReference"/>
          <w:rFonts w:eastAsiaTheme="majorEastAsia"/>
        </w:rPr>
        <w:footnoteRef/>
      </w:r>
      <w:r>
        <w:t xml:space="preserve">Case 695/23, Jan. 19, 2023, </w:t>
      </w:r>
      <w:r w:rsidRPr="00251F78">
        <w:t>reported in</w:t>
      </w:r>
      <w:r>
        <w:t xml:space="preserve"> </w:t>
      </w:r>
      <w:r>
        <w:rPr>
          <w:i/>
          <w:iCs/>
        </w:rPr>
        <w:t>Annual Review of European Trademark Law</w:t>
      </w:r>
      <w:r>
        <w:t>, 114 Trademark Rep. 397, 502–504 (2024).</w:t>
      </w:r>
    </w:p>
  </w:footnote>
  <w:footnote w:id="148">
    <w:p w14:paraId="45CFDE9F" w14:textId="77777777" w:rsidR="006F142F" w:rsidRPr="00B14711" w:rsidRDefault="006F142F" w:rsidP="0052698D">
      <w:pPr>
        <w:pStyle w:val="footnote"/>
      </w:pPr>
      <w:r w:rsidRPr="00B14711">
        <w:rPr>
          <w:vertAlign w:val="superscript"/>
        </w:rPr>
        <w:footnoteRef/>
      </w:r>
      <w:r w:rsidRPr="00B14711">
        <w:t>Decree-Law No. 556 on the Protection of Trademarks [Turkey], Arts. 8, 9 (June 27, 1995).</w:t>
      </w:r>
    </w:p>
  </w:footnote>
  <w:footnote w:id="149">
    <w:p w14:paraId="529C5300" w14:textId="77777777" w:rsidR="006F142F" w:rsidRPr="00251F78" w:rsidRDefault="006F142F" w:rsidP="0052698D">
      <w:pPr>
        <w:pStyle w:val="footnote"/>
        <w:rPr>
          <w:lang w:val="fr-FR"/>
        </w:rPr>
      </w:pPr>
      <w:r w:rsidRPr="00B14711">
        <w:rPr>
          <w:vertAlign w:val="superscript"/>
        </w:rPr>
        <w:footnoteRef/>
      </w:r>
      <w:r w:rsidRPr="00251F78">
        <w:rPr>
          <w:lang w:val="fr-FR"/>
        </w:rPr>
        <w:t>Loi fédérale sur la protection des marques et des indications de provenance, Art. 15 (protecting well-known marks from dilution).</w:t>
      </w:r>
    </w:p>
  </w:footnote>
  <w:footnote w:id="150">
    <w:p w14:paraId="52290DA7" w14:textId="77777777" w:rsidR="006F142F" w:rsidRPr="00B14711" w:rsidRDefault="006F142F" w:rsidP="0052698D">
      <w:pPr>
        <w:pStyle w:val="footnote"/>
      </w:pPr>
      <w:r w:rsidRPr="00B14711">
        <w:rPr>
          <w:vertAlign w:val="superscript"/>
        </w:rPr>
        <w:footnoteRef/>
      </w:r>
      <w:r w:rsidRPr="00B14711">
        <w:t>Law of Dec. 12, 1996, regarding the Protection of Trademarks and Geographical Indications, Art. 15 (protecting well-known marks from dilution). This appears to contain the same wording as the Swiss statute.</w:t>
      </w:r>
    </w:p>
  </w:footnote>
  <w:footnote w:id="151">
    <w:p w14:paraId="0BFD93AB" w14:textId="77777777" w:rsidR="006F142F" w:rsidRPr="00B14711" w:rsidRDefault="006F142F" w:rsidP="0052698D">
      <w:pPr>
        <w:pStyle w:val="footnote"/>
      </w:pPr>
      <w:r w:rsidRPr="00B14711">
        <w:rPr>
          <w:vertAlign w:val="superscript"/>
        </w:rPr>
        <w:footnoteRef/>
      </w:r>
      <w:r w:rsidRPr="00B14711">
        <w:t>Trade Marks Act [Iceland], Art. 4 (protecting well-known marks from dilution).</w:t>
      </w:r>
    </w:p>
  </w:footnote>
  <w:footnote w:id="152">
    <w:p w14:paraId="1A16ABFD" w14:textId="77777777" w:rsidR="006F142F" w:rsidRPr="00B14711" w:rsidRDefault="006F142F" w:rsidP="0052698D">
      <w:pPr>
        <w:pStyle w:val="footnote"/>
      </w:pPr>
      <w:r w:rsidRPr="00B14711">
        <w:rPr>
          <w:vertAlign w:val="superscript"/>
        </w:rPr>
        <w:footnoteRef/>
      </w:r>
      <w:r w:rsidRPr="00B14711">
        <w:t>Trademarks Act [Norway], §6. In the English version of this statute, which is available at http://www.wipo.int/clea/en in the Collected Laws for Electronic Access, this provision appears at first glance not to be a dilution section; it purports to define when “signs” are “liable to be confused.” However, a portion of this section states that signs are “liable to be confused” if the earlier sign is “so well known and established” in Norway “that it would imply an unreasonable exploitation of or be detrimental to its goodwill if the other sign were to be used by someone else.” This language appears to protect well-known marks without a showing of what one would understand to be confusion, even if that term is liberally construed. Therefore, it has been classified here as a dilution statute.</w:t>
      </w:r>
    </w:p>
  </w:footnote>
  <w:footnote w:id="153">
    <w:p w14:paraId="72D0CA78" w14:textId="77777777" w:rsidR="006F142F" w:rsidRPr="00B14711" w:rsidRDefault="006F142F" w:rsidP="0052698D">
      <w:pPr>
        <w:pStyle w:val="footnote"/>
      </w:pPr>
      <w:r w:rsidRPr="00B14711">
        <w:rPr>
          <w:vertAlign w:val="superscript"/>
        </w:rPr>
        <w:footnoteRef/>
      </w:r>
      <w:r w:rsidRPr="00B14711">
        <w:t>Trademark law Art. 14(4) (relating only to the protection of well-known marks).</w:t>
      </w:r>
    </w:p>
  </w:footnote>
  <w:footnote w:id="154">
    <w:p w14:paraId="4EF45B53" w14:textId="77777777" w:rsidR="006F142F" w:rsidRDefault="006F142F" w:rsidP="0052698D">
      <w:pPr>
        <w:pStyle w:val="footnote"/>
      </w:pPr>
      <w:r>
        <w:rPr>
          <w:vertAlign w:val="superscript"/>
        </w:rPr>
        <w:footnoteRef/>
      </w:r>
      <w:r>
        <w:t xml:space="preserve">Law No. 9947, July 7, 2008, pertaining to Industrial Property, Art. 143(c). </w:t>
      </w:r>
    </w:p>
  </w:footnote>
  <w:footnote w:id="155">
    <w:p w14:paraId="0F605134" w14:textId="77777777" w:rsidR="006F142F" w:rsidRDefault="006F142F" w:rsidP="0052698D">
      <w:pPr>
        <w:pStyle w:val="footnote"/>
      </w:pPr>
      <w:r>
        <w:rPr>
          <w:vertAlign w:val="superscript"/>
        </w:rPr>
        <w:footnoteRef/>
      </w:r>
      <w:r>
        <w:t xml:space="preserve">The Civil Code of the Russian Federation, Art. 1508(1). </w:t>
      </w:r>
    </w:p>
  </w:footnote>
  <w:footnote w:id="156">
    <w:p w14:paraId="7D17E764" w14:textId="77777777" w:rsidR="006F142F" w:rsidRDefault="006F142F" w:rsidP="0052698D">
      <w:pPr>
        <w:pStyle w:val="footnote"/>
      </w:pPr>
      <w:r>
        <w:rPr>
          <w:vertAlign w:val="superscript"/>
        </w:rPr>
        <w:footnoteRef/>
      </w:r>
      <w:r>
        <w:rPr>
          <w:i/>
          <w:iCs/>
        </w:rPr>
        <w:t>Id</w:t>
      </w:r>
      <w:r>
        <w:t xml:space="preserve">. at Art. 1508(3) (referring to injury to the “lawful interests of the holder” of the well-known mark). </w:t>
      </w:r>
    </w:p>
  </w:footnote>
  <w:footnote w:id="157">
    <w:p w14:paraId="1914EDAD" w14:textId="77777777" w:rsidR="006F142F" w:rsidRPr="00570918" w:rsidRDefault="006F142F" w:rsidP="00570918">
      <w:pPr>
        <w:rPr>
          <w:rFonts w:ascii="Calibri" w:eastAsia="Calibri" w:hAnsi="Calibri"/>
          <w:smallCaps/>
          <w:sz w:val="22"/>
        </w:rPr>
      </w:pPr>
      <w:r>
        <w:rPr>
          <w:rStyle w:val="FootnoteReference"/>
        </w:rPr>
        <w:footnoteRef/>
      </w:r>
      <w:r w:rsidRPr="00570918">
        <w:rPr>
          <w:sz w:val="20"/>
          <w:szCs w:val="20"/>
        </w:rPr>
        <w:t xml:space="preserve"> </w:t>
      </w:r>
      <w:r w:rsidRPr="00570918">
        <w:rPr>
          <w:rFonts w:eastAsia="Calibri"/>
          <w:smallCaps/>
          <w:sz w:val="20"/>
          <w:szCs w:val="20"/>
        </w:rPr>
        <w:t>Notice to Stakeholders, Withdrawal of the United Kingdom and EU Rules in the Field of European Union Trade Marks and Community Designs</w:t>
      </w:r>
      <w:r w:rsidRPr="00570918">
        <w:rPr>
          <w:sz w:val="20"/>
          <w:szCs w:val="20"/>
        </w:rPr>
        <w:t xml:space="preserve"> (Eur. Comm’n and EUIPO, Jan. 18, 2020).</w:t>
      </w:r>
    </w:p>
  </w:footnote>
  <w:footnote w:id="158">
    <w:p w14:paraId="52EED38C" w14:textId="77777777" w:rsidR="006F142F" w:rsidRPr="00B14711" w:rsidRDefault="006F142F" w:rsidP="0052698D">
      <w:pPr>
        <w:pStyle w:val="footnote"/>
      </w:pPr>
      <w:r w:rsidRPr="00B14711">
        <w:rPr>
          <w:vertAlign w:val="superscript"/>
        </w:rPr>
        <w:footnoteRef/>
      </w:r>
      <w:r w:rsidRPr="00B14711">
        <w:rPr>
          <w:i/>
          <w:iCs/>
        </w:rPr>
        <w:t>See</w:t>
      </w:r>
      <w:r w:rsidRPr="00B14711">
        <w:t xml:space="preserve"> L’Oréal SA v. Bellure NV, [2010] EWCA Civ. 535 (Ct. App. 2010). </w:t>
      </w:r>
      <w:r w:rsidRPr="00B14711">
        <w:rPr>
          <w:i/>
          <w:iCs/>
        </w:rPr>
        <w:t>See generally</w:t>
      </w:r>
      <w:r w:rsidRPr="00B14711">
        <w:t xml:space="preserve"> Arsenal Football Club Plc v. Reed, [2003] R.P.C. 39 (Ct. App. 2003) (detailing history of a dispute that was referred to the ECJ and then back to the U.K. courts).</w:t>
      </w:r>
    </w:p>
  </w:footnote>
  <w:footnote w:id="159">
    <w:p w14:paraId="2F368990" w14:textId="77777777" w:rsidR="006F142F" w:rsidRPr="0078496F" w:rsidRDefault="006F142F">
      <w:pPr>
        <w:pStyle w:val="FootnoteText"/>
      </w:pPr>
      <w:r>
        <w:rPr>
          <w:rStyle w:val="FootnoteReference"/>
          <w:rFonts w:eastAsiaTheme="majorEastAsia"/>
        </w:rPr>
        <w:footnoteRef/>
      </w:r>
      <w:r>
        <w:t xml:space="preserve">For one such example, </w:t>
      </w:r>
      <w:r>
        <w:rPr>
          <w:i/>
          <w:iCs/>
        </w:rPr>
        <w:t>see</w:t>
      </w:r>
      <w:r>
        <w:t xml:space="preserve"> Equisafety, Ltd., v. Battle, Hayward, and Bower, Ltd., [2021] EWHC 3296 at para. 14 (Intell. Prop. Ent. Ct. 2021).  In Lidl Great Britain, Ltd. v. Tesco Stores Ltd., [2024] EWCA Civ 262 (Ct. App. 2024), the Court of Appeal stated that “[t]he case law of the Court of Justice of the European Union prior to 31 December 2020 interpreting these provisions, the corresponding relative ground of objection to registration in the Directive and the corresponding provisions in successive Regulations concerning what are now EU trade marks constitutes assimilated law (formerly known as ‘retained EU law’).” </w:t>
      </w:r>
      <w:r>
        <w:rPr>
          <w:i/>
          <w:iCs/>
        </w:rPr>
        <w:t>Id</w:t>
      </w:r>
      <w:r>
        <w:t>. ¶12.</w:t>
      </w:r>
    </w:p>
  </w:footnote>
  <w:footnote w:id="160">
    <w:p w14:paraId="5A481BC6" w14:textId="77777777" w:rsidR="006F142F" w:rsidRPr="00C75696" w:rsidRDefault="006F142F">
      <w:pPr>
        <w:pStyle w:val="FootnoteText"/>
      </w:pPr>
      <w:r>
        <w:rPr>
          <w:rStyle w:val="FootnoteReference"/>
          <w:rFonts w:eastAsiaTheme="majorEastAsia"/>
        </w:rPr>
        <w:footnoteRef/>
      </w:r>
      <w:r>
        <w:t>Thatchers Cider Co. Ltd. v. Aldi Stores Ltd., [2025] EWCA Civ. 5, [2025] F.S.R. 9, ¶¶144</w:t>
      </w:r>
      <w:r w:rsidRPr="0048358F">
        <w:rPr>
          <w:lang w:val="nl-NL"/>
        </w:rPr>
        <w:t>–</w:t>
      </w:r>
      <w:r>
        <w:t xml:space="preserve">145 (Ct. App. 2025). The court did note that it had the </w:t>
      </w:r>
      <w:r>
        <w:rPr>
          <w:i/>
          <w:iCs/>
        </w:rPr>
        <w:t>power</w:t>
      </w:r>
      <w:r>
        <w:t xml:space="preserve"> to depart from EU law, if it believed that it was warranted. </w:t>
      </w:r>
      <w:r>
        <w:rPr>
          <w:i/>
          <w:iCs/>
        </w:rPr>
        <w:t>Id</w:t>
      </w:r>
      <w:r>
        <w:t>. ¶143.</w:t>
      </w:r>
    </w:p>
  </w:footnote>
  <w:footnote w:id="161">
    <w:p w14:paraId="1B5E5931" w14:textId="77777777" w:rsidR="006F142F" w:rsidRPr="00C75696" w:rsidRDefault="006F142F">
      <w:pPr>
        <w:pStyle w:val="FootnoteText"/>
      </w:pPr>
      <w:r>
        <w:rPr>
          <w:rStyle w:val="FootnoteReference"/>
          <w:rFonts w:eastAsiaTheme="majorEastAsia"/>
        </w:rPr>
        <w:footnoteRef/>
      </w:r>
      <w:r>
        <w:rPr>
          <w:i/>
          <w:iCs/>
        </w:rPr>
        <w:t>Id</w:t>
      </w:r>
      <w:r>
        <w:t>. ¶151.</w:t>
      </w:r>
    </w:p>
  </w:footnote>
  <w:footnote w:id="162">
    <w:p w14:paraId="0D90739D" w14:textId="77777777" w:rsidR="006F142F" w:rsidRPr="00B14711" w:rsidRDefault="006F142F" w:rsidP="0052698D">
      <w:pPr>
        <w:pStyle w:val="footnote"/>
      </w:pPr>
      <w:r w:rsidRPr="00B14711">
        <w:rPr>
          <w:vertAlign w:val="superscript"/>
        </w:rPr>
        <w:footnoteRef/>
      </w:r>
      <w:r w:rsidRPr="00B14711">
        <w:t>The Directive is discussed in §III.A.1</w:t>
      </w:r>
      <w:r>
        <w:t>,</w:t>
      </w:r>
      <w:r w:rsidRPr="00B14711">
        <w:t xml:space="preserve"> above.</w:t>
      </w:r>
    </w:p>
  </w:footnote>
  <w:footnote w:id="163">
    <w:p w14:paraId="79AFF418" w14:textId="77777777" w:rsidR="006F142F" w:rsidRPr="00B14711" w:rsidRDefault="006F142F" w:rsidP="0052698D">
      <w:pPr>
        <w:pStyle w:val="footnote"/>
      </w:pPr>
      <w:r w:rsidRPr="00B14711">
        <w:rPr>
          <w:vertAlign w:val="superscript"/>
        </w:rPr>
        <w:footnoteRef/>
      </w:r>
      <w:r w:rsidRPr="00B14711">
        <w:t>The new statute was the Trade Marks Act 1994.</w:t>
      </w:r>
    </w:p>
  </w:footnote>
  <w:footnote w:id="164">
    <w:p w14:paraId="6E344769" w14:textId="77777777" w:rsidR="006F142F" w:rsidRPr="00B14711" w:rsidRDefault="006F142F" w:rsidP="0052698D">
      <w:pPr>
        <w:pStyle w:val="footnote"/>
      </w:pPr>
      <w:r w:rsidRPr="00B14711">
        <w:rPr>
          <w:vertAlign w:val="superscript"/>
        </w:rPr>
        <w:footnoteRef/>
      </w:r>
      <w:r w:rsidRPr="00760BEC">
        <w:rPr>
          <w:i/>
        </w:rPr>
        <w:t>See</w:t>
      </w:r>
      <w:r w:rsidRPr="00B14711">
        <w:t xml:space="preserve"> §III.A</w:t>
      </w:r>
      <w:r>
        <w:t>,</w:t>
      </w:r>
      <w:r w:rsidRPr="00B14711">
        <w:t xml:space="preserve"> above.</w:t>
      </w:r>
    </w:p>
  </w:footnote>
  <w:footnote w:id="165">
    <w:p w14:paraId="66A46960" w14:textId="77777777" w:rsidR="006F142F" w:rsidRPr="00B14711" w:rsidRDefault="006F142F" w:rsidP="0052698D">
      <w:pPr>
        <w:pStyle w:val="footnote"/>
      </w:pPr>
      <w:r w:rsidRPr="00B14711">
        <w:rPr>
          <w:vertAlign w:val="superscript"/>
        </w:rPr>
        <w:footnoteRef/>
      </w:r>
      <w:r w:rsidRPr="00B14711">
        <w:t>Sabel BV v. Puma AG, Case C-251/95, 1997 E.C.R. I-6191, [1998] 1 C.M.L.R. 445 (ECJ 1997).</w:t>
      </w:r>
    </w:p>
  </w:footnote>
  <w:footnote w:id="166">
    <w:p w14:paraId="4C6B66CF" w14:textId="77777777" w:rsidR="006F142F" w:rsidRPr="00B14711" w:rsidRDefault="006F142F" w:rsidP="0052698D">
      <w:pPr>
        <w:pStyle w:val="footnote"/>
      </w:pPr>
      <w:r w:rsidRPr="00B14711">
        <w:rPr>
          <w:vertAlign w:val="superscript"/>
        </w:rPr>
        <w:footnoteRef/>
      </w:r>
      <w:r w:rsidRPr="00354D2B">
        <w:rPr>
          <w:i/>
        </w:rPr>
        <w:t>See</w:t>
      </w:r>
      <w:r w:rsidRPr="00B14711">
        <w:t xml:space="preserve"> §III.A.1.a</w:t>
      </w:r>
      <w:r>
        <w:t>,</w:t>
      </w:r>
      <w:r w:rsidRPr="00B14711">
        <w:t xml:space="preserve"> above. The U.K. Court of Appeal criticized the amendments to conform to recent ECJ decisions as unnecessary, since the United Kingdom was bound to follow ECJ interpretations in any case. Intel Corp. v. CPM U.K., Ltd., [2007] ECWA Civ. 431 (Ct. App. 2007).</w:t>
      </w:r>
    </w:p>
  </w:footnote>
  <w:footnote w:id="167">
    <w:p w14:paraId="4F53F25C" w14:textId="77777777" w:rsidR="006F142F" w:rsidRPr="00B14711" w:rsidRDefault="006F142F" w:rsidP="0052698D">
      <w:pPr>
        <w:pStyle w:val="footnote"/>
      </w:pPr>
      <w:r w:rsidRPr="00B14711">
        <w:rPr>
          <w:vertAlign w:val="superscript"/>
        </w:rPr>
        <w:footnoteRef/>
      </w:r>
      <w:r w:rsidRPr="00B14711">
        <w:t>Baywatch Prod. Co. v. Home Video Channel, [1997] F.S.R. 22, 30 (Ch. 1996). The court noted that it was illogical to assume that §10(3), which applied only where the goods of the two users were not similar, granted greater protection than the situation under §10(2), where confusion is required for similar goods cases.</w:t>
      </w:r>
    </w:p>
  </w:footnote>
  <w:footnote w:id="168">
    <w:p w14:paraId="6285811F" w14:textId="77777777" w:rsidR="006F142F" w:rsidRPr="00B14711" w:rsidRDefault="006F142F" w:rsidP="0052698D">
      <w:pPr>
        <w:pStyle w:val="footnote"/>
      </w:pPr>
      <w:r w:rsidRPr="00B14711">
        <w:rPr>
          <w:vertAlign w:val="superscript"/>
        </w:rPr>
        <w:footnoteRef/>
      </w:r>
      <w:r w:rsidRPr="00B14711">
        <w:rPr>
          <w:i/>
          <w:iCs/>
        </w:rPr>
        <w:t>See, e</w:t>
      </w:r>
      <w:r w:rsidRPr="00B14711">
        <w:t>.</w:t>
      </w:r>
      <w:r w:rsidRPr="00B14711">
        <w:rPr>
          <w:i/>
          <w:iCs/>
        </w:rPr>
        <w:t>g</w:t>
      </w:r>
      <w:r w:rsidRPr="00B14711">
        <w:t>., Marca Mode CV v. adidas AG, Case C-425/98, 2000 OJ (C302) 3, 2000 E.C.R. I-4861, ¶36 (ECJ 2000) (stating in dicta that Art. 5(2) of the Directive, implemented in Britain as §10(3), “establishes . . . a form of protection whose implementation does not require the existence of confusion”).</w:t>
      </w:r>
    </w:p>
  </w:footnote>
  <w:footnote w:id="169">
    <w:p w14:paraId="36B769F7" w14:textId="77777777" w:rsidR="006F142F" w:rsidRPr="00B14711" w:rsidRDefault="006F142F" w:rsidP="0052698D">
      <w:pPr>
        <w:pStyle w:val="footnote"/>
      </w:pPr>
      <w:r w:rsidRPr="00B14711">
        <w:rPr>
          <w:vertAlign w:val="superscript"/>
        </w:rPr>
        <w:footnoteRef/>
      </w:r>
      <w:r w:rsidRPr="00B14711">
        <w:t xml:space="preserve">The High Court’s assent to the ECJ’s sentiment may be seen in </w:t>
      </w:r>
      <w:r w:rsidRPr="00B14711">
        <w:rPr>
          <w:i/>
          <w:iCs/>
        </w:rPr>
        <w:t>Sihra’s Trade Mark Application</w:t>
      </w:r>
      <w:r w:rsidRPr="00B14711">
        <w:t xml:space="preserve">, [2003] R.P.C. 44 (Ch. D. 2003), where the court, discussing §5(3), the dilution provision relating to registration, noted “[n]or is confusion as to origin a requirement [to oppose registration].” To the same effect under §10(3), see </w:t>
      </w:r>
      <w:r w:rsidRPr="00B14711">
        <w:rPr>
          <w:i/>
          <w:iCs/>
        </w:rPr>
        <w:t>L’Oréal, S</w:t>
      </w:r>
      <w:r w:rsidRPr="00B14711">
        <w:t>.</w:t>
      </w:r>
      <w:r w:rsidRPr="00B14711">
        <w:rPr>
          <w:i/>
          <w:iCs/>
        </w:rPr>
        <w:t>A</w:t>
      </w:r>
      <w:r w:rsidRPr="00B14711">
        <w:t>.</w:t>
      </w:r>
      <w:r w:rsidRPr="00B14711">
        <w:rPr>
          <w:i/>
          <w:iCs/>
        </w:rPr>
        <w:t xml:space="preserve"> v</w:t>
      </w:r>
      <w:r w:rsidRPr="00B14711">
        <w:t>.</w:t>
      </w:r>
      <w:r w:rsidRPr="00B14711">
        <w:rPr>
          <w:i/>
          <w:iCs/>
        </w:rPr>
        <w:t xml:space="preserve"> Bellure NV</w:t>
      </w:r>
      <w:r w:rsidRPr="00B14711">
        <w:t>, [2006] EWHC 2355 (Ch. D. 2006).</w:t>
      </w:r>
    </w:p>
  </w:footnote>
  <w:footnote w:id="170">
    <w:p w14:paraId="3568EB31" w14:textId="77777777" w:rsidR="006F142F" w:rsidRPr="00B14711" w:rsidRDefault="006F142F" w:rsidP="0052698D">
      <w:pPr>
        <w:pStyle w:val="footnote"/>
      </w:pPr>
      <w:r w:rsidRPr="00B14711">
        <w:rPr>
          <w:vertAlign w:val="superscript"/>
        </w:rPr>
        <w:footnoteRef/>
      </w:r>
      <w:r w:rsidRPr="00B14711">
        <w:rPr>
          <w:i/>
          <w:iCs/>
        </w:rPr>
        <w:t>See</w:t>
      </w:r>
      <w:r w:rsidRPr="00B14711">
        <w:t xml:space="preserve"> General Motors Corp. v. Yplon S.A., Case C-375/97, [1999] E.C.R. I-542</w:t>
      </w:r>
      <w:r>
        <w:t>,</w:t>
      </w:r>
      <w:r w:rsidRPr="00B14711">
        <w:t xml:space="preserve"> ¶31 (ECJ 1999) (a mark must “be known by a significant part of the public in a substantial part of [the country]”).</w:t>
      </w:r>
      <w:r w:rsidRPr="0078210B">
        <w:t xml:space="preserve"> </w:t>
      </w:r>
      <w:r w:rsidRPr="003131C0">
        <w:t xml:space="preserve">The difference between a “famous” mark and a mark “with a reputation” is illustrated by </w:t>
      </w:r>
      <w:r w:rsidRPr="003131C0">
        <w:rPr>
          <w:i/>
          <w:iCs/>
        </w:rPr>
        <w:t>Comic Ents., Ltd. v. Twentieth Century Fox Film Corp.</w:t>
      </w:r>
      <w:r w:rsidRPr="003131C0">
        <w:t>, [2016] EWCA 41, [2016] E.T.M.R. 22, ¶133 (Ct. App.), where the Court of Appeal upheld a finding that The Glee Club was a mark with a reputation. The relatively limited nature of the use (on nightclubs) would not support a finding of fame in the United States.</w:t>
      </w:r>
    </w:p>
  </w:footnote>
  <w:footnote w:id="171">
    <w:p w14:paraId="15139510" w14:textId="77777777" w:rsidR="006F142F" w:rsidRPr="00B14711" w:rsidRDefault="006F142F" w:rsidP="0052698D">
      <w:pPr>
        <w:pStyle w:val="footnote"/>
      </w:pPr>
      <w:r w:rsidRPr="00B14711">
        <w:rPr>
          <w:vertAlign w:val="superscript"/>
        </w:rPr>
        <w:footnoteRef/>
      </w:r>
      <w:r w:rsidRPr="00B14711">
        <w:rPr>
          <w:i/>
          <w:iCs/>
        </w:rPr>
        <w:t>See, e</w:t>
      </w:r>
      <w:r w:rsidRPr="00B14711">
        <w:t>.</w:t>
      </w:r>
      <w:r w:rsidRPr="00B14711">
        <w:rPr>
          <w:i/>
          <w:iCs/>
        </w:rPr>
        <w:t>g</w:t>
      </w:r>
      <w:r w:rsidRPr="00B14711">
        <w:t>., Sihra’s Trade Mark Application, [2003] R.P.C. 44 (Ch. D. 2003).</w:t>
      </w:r>
    </w:p>
  </w:footnote>
  <w:footnote w:id="172">
    <w:p w14:paraId="2B4A4D9F" w14:textId="77777777" w:rsidR="006F142F" w:rsidRDefault="006F142F" w:rsidP="0052698D">
      <w:pPr>
        <w:pStyle w:val="footnote"/>
      </w:pPr>
      <w:r>
        <w:rPr>
          <w:vertAlign w:val="superscript"/>
        </w:rPr>
        <w:footnoteRef/>
      </w:r>
      <w:r>
        <w:t xml:space="preserve">[2015] EWCA Civ 220 (Ct. App. 2015). </w:t>
      </w:r>
    </w:p>
  </w:footnote>
  <w:footnote w:id="173">
    <w:p w14:paraId="5C909930" w14:textId="77777777" w:rsidR="006F142F" w:rsidRDefault="006F142F" w:rsidP="0052698D">
      <w:pPr>
        <w:pStyle w:val="footnote"/>
      </w:pPr>
      <w:r>
        <w:rPr>
          <w:vertAlign w:val="superscript"/>
        </w:rPr>
        <w:footnoteRef/>
      </w:r>
      <w:r>
        <w:rPr>
          <w:i/>
          <w:iCs/>
        </w:rPr>
        <w:t>Id</w:t>
      </w:r>
      <w:r>
        <w:t xml:space="preserve">. ¶120 (Kitchin, L.J.). </w:t>
      </w:r>
    </w:p>
  </w:footnote>
  <w:footnote w:id="174">
    <w:p w14:paraId="3251AAC5" w14:textId="77777777" w:rsidR="006F142F" w:rsidRDefault="006F142F">
      <w:pPr>
        <w:pStyle w:val="FootnoteText"/>
      </w:pPr>
      <w:r>
        <w:rPr>
          <w:rStyle w:val="FootnoteReference"/>
          <w:rFonts w:eastAsiaTheme="majorEastAsia"/>
        </w:rPr>
        <w:footnoteRef/>
      </w:r>
      <w:r>
        <w:t>[2018] EWHC 155 (High Ct. Ch. D. 2018).</w:t>
      </w:r>
    </w:p>
  </w:footnote>
  <w:footnote w:id="175">
    <w:p w14:paraId="0211035D" w14:textId="77777777" w:rsidR="006F142F" w:rsidRPr="00BC470D" w:rsidRDefault="006F142F">
      <w:pPr>
        <w:pStyle w:val="FootnoteText"/>
      </w:pPr>
      <w:r>
        <w:rPr>
          <w:rStyle w:val="FootnoteReference"/>
          <w:rFonts w:eastAsiaTheme="majorEastAsia"/>
        </w:rPr>
        <w:footnoteRef/>
      </w:r>
      <w:r>
        <w:rPr>
          <w:i/>
          <w:iCs/>
        </w:rPr>
        <w:t>Id</w:t>
      </w:r>
      <w:r>
        <w:t>. ¶307.</w:t>
      </w:r>
    </w:p>
  </w:footnote>
  <w:footnote w:id="176">
    <w:p w14:paraId="61BAB850" w14:textId="77777777" w:rsidR="006F142F" w:rsidRDefault="006F142F" w:rsidP="0052698D">
      <w:pPr>
        <w:pStyle w:val="footnote"/>
      </w:pPr>
      <w:r>
        <w:rPr>
          <w:vertAlign w:val="superscript"/>
        </w:rPr>
        <w:footnoteRef/>
      </w:r>
      <w:r>
        <w:t xml:space="preserve">[2017] E.T.M.R. 34 (High Ct. (Chancery) Intellectual Property Enterprise Ct. 2017). </w:t>
      </w:r>
    </w:p>
  </w:footnote>
  <w:footnote w:id="177">
    <w:p w14:paraId="533DB160" w14:textId="77777777" w:rsidR="006F142F" w:rsidRDefault="006F142F" w:rsidP="0052698D">
      <w:pPr>
        <w:pStyle w:val="footnote"/>
      </w:pPr>
      <w:r>
        <w:rPr>
          <w:vertAlign w:val="superscript"/>
        </w:rPr>
        <w:footnoteRef/>
      </w:r>
      <w:r>
        <w:rPr>
          <w:i/>
          <w:iCs/>
        </w:rPr>
        <w:t>Id</w:t>
      </w:r>
      <w:r>
        <w:t xml:space="preserve">. at *823–24. </w:t>
      </w:r>
    </w:p>
  </w:footnote>
  <w:footnote w:id="178">
    <w:p w14:paraId="00CA9854" w14:textId="77777777" w:rsidR="006F142F" w:rsidRDefault="006F142F" w:rsidP="0052698D">
      <w:pPr>
        <w:pStyle w:val="footnote"/>
      </w:pPr>
      <w:r>
        <w:rPr>
          <w:vertAlign w:val="superscript"/>
        </w:rPr>
        <w:footnoteRef/>
      </w:r>
      <w:r>
        <w:t xml:space="preserve">[2018] E.T.M.R. 16 (Intellectual Property Enterprise Ct. 2018). </w:t>
      </w:r>
    </w:p>
  </w:footnote>
  <w:footnote w:id="179">
    <w:p w14:paraId="774289EE" w14:textId="77777777" w:rsidR="006F142F" w:rsidRPr="00B14711" w:rsidRDefault="006F142F" w:rsidP="0052698D">
      <w:pPr>
        <w:pStyle w:val="footnote"/>
      </w:pPr>
      <w:r w:rsidRPr="00B14711">
        <w:rPr>
          <w:vertAlign w:val="superscript"/>
        </w:rPr>
        <w:footnoteRef/>
      </w:r>
      <w:r w:rsidRPr="00B14711">
        <w:t xml:space="preserve">[2003] R.P.C. 44 (Ch. D. 2003). For an interesting comparison of this case with the U.S. Supreme Court’s decision in </w:t>
      </w:r>
      <w:r w:rsidRPr="00B14711">
        <w:rPr>
          <w:i/>
          <w:iCs/>
        </w:rPr>
        <w:t>Moseley v</w:t>
      </w:r>
      <w:r w:rsidRPr="00B14711">
        <w:t>.</w:t>
      </w:r>
      <w:r w:rsidRPr="00B14711">
        <w:rPr>
          <w:i/>
          <w:iCs/>
        </w:rPr>
        <w:t xml:space="preserve"> V Secret Catalogue, Inc</w:t>
      </w:r>
      <w:r w:rsidRPr="00B14711">
        <w:t xml:space="preserve">., 537 U.S. 418, 65 USPQ2d 1801 (2003), and the TTAB’s decision in </w:t>
      </w:r>
      <w:r w:rsidRPr="00B14711">
        <w:rPr>
          <w:i/>
          <w:iCs/>
        </w:rPr>
        <w:t>NASDAQ Stock Market, Inc</w:t>
      </w:r>
      <w:r w:rsidRPr="00B14711">
        <w:t>.</w:t>
      </w:r>
      <w:r w:rsidRPr="00B14711">
        <w:rPr>
          <w:i/>
          <w:iCs/>
        </w:rPr>
        <w:t xml:space="preserve"> v</w:t>
      </w:r>
      <w:r w:rsidRPr="00B14711">
        <w:t>.</w:t>
      </w:r>
      <w:r w:rsidRPr="00B14711">
        <w:rPr>
          <w:i/>
          <w:iCs/>
        </w:rPr>
        <w:t xml:space="preserve"> Antarctica S</w:t>
      </w:r>
      <w:r w:rsidRPr="00B14711">
        <w:t>.</w:t>
      </w:r>
      <w:r w:rsidRPr="00B14711">
        <w:rPr>
          <w:i/>
          <w:iCs/>
        </w:rPr>
        <w:t>r</w:t>
      </w:r>
      <w:r w:rsidRPr="00B14711">
        <w:t>.</w:t>
      </w:r>
      <w:r w:rsidRPr="00B14711">
        <w:rPr>
          <w:i/>
          <w:iCs/>
        </w:rPr>
        <w:t>l</w:t>
      </w:r>
      <w:r w:rsidRPr="00B14711">
        <w:t xml:space="preserve">., 69 USPQ2d 1718 (TTAB 2003), see Ilanah Simon, </w:t>
      </w:r>
      <w:r w:rsidRPr="00B14711">
        <w:rPr>
          <w:i/>
          <w:iCs/>
        </w:rPr>
        <w:t>Dilutive Trade Mark Applications: Trading on Reputations or Just Playing Games?</w:t>
      </w:r>
      <w:r w:rsidRPr="00B14711">
        <w:t xml:space="preserve"> Sihra’s Trade Mark Application, [2004] E.I.P.R. 67.</w:t>
      </w:r>
    </w:p>
  </w:footnote>
  <w:footnote w:id="180">
    <w:p w14:paraId="4EB2713D" w14:textId="77777777" w:rsidR="006F142F" w:rsidRPr="00B14711" w:rsidRDefault="006F142F" w:rsidP="0052698D">
      <w:pPr>
        <w:pStyle w:val="footnote"/>
      </w:pPr>
      <w:r w:rsidRPr="00B14711">
        <w:rPr>
          <w:vertAlign w:val="superscript"/>
        </w:rPr>
        <w:footnoteRef/>
      </w:r>
      <w:r w:rsidRPr="00B14711">
        <w:t>Sihra’s Trade Mark Application, [2003] R.P.C. 44</w:t>
      </w:r>
      <w:r>
        <w:t>,</w:t>
      </w:r>
      <w:r w:rsidRPr="00B14711">
        <w:t xml:space="preserve"> ¶22.</w:t>
      </w:r>
    </w:p>
  </w:footnote>
  <w:footnote w:id="181">
    <w:p w14:paraId="2EAF0741" w14:textId="77777777" w:rsidR="006F142F" w:rsidRPr="00B14711" w:rsidRDefault="006F142F" w:rsidP="0052698D">
      <w:pPr>
        <w:pStyle w:val="footnote"/>
      </w:pPr>
      <w:r w:rsidRPr="00B14711">
        <w:rPr>
          <w:vertAlign w:val="superscript"/>
        </w:rPr>
        <w:footnoteRef/>
      </w:r>
      <w:r w:rsidRPr="00B14711">
        <w:rPr>
          <w:i/>
          <w:iCs/>
        </w:rPr>
        <w:t>Id</w:t>
      </w:r>
      <w:r w:rsidRPr="00B14711">
        <w:t>. ¶23.</w:t>
      </w:r>
    </w:p>
  </w:footnote>
  <w:footnote w:id="182">
    <w:p w14:paraId="0BB61724" w14:textId="77777777" w:rsidR="006F142F" w:rsidRPr="00B14711" w:rsidRDefault="006F142F" w:rsidP="0052698D">
      <w:pPr>
        <w:pStyle w:val="footnote"/>
      </w:pPr>
      <w:r w:rsidRPr="00B14711">
        <w:rPr>
          <w:vertAlign w:val="superscript"/>
        </w:rPr>
        <w:footnoteRef/>
      </w:r>
      <w:r w:rsidRPr="00B14711">
        <w:t>Moseley v. V Secret Catalogue, Inc., 537 U.S. 418, 65 USPQ2d 1801 (2003).</w:t>
      </w:r>
    </w:p>
  </w:footnote>
  <w:footnote w:id="183">
    <w:p w14:paraId="63A28157" w14:textId="77777777" w:rsidR="006F142F" w:rsidRPr="00B14711" w:rsidRDefault="006F142F" w:rsidP="0052698D">
      <w:pPr>
        <w:pStyle w:val="footnote"/>
      </w:pPr>
      <w:r w:rsidRPr="00B14711">
        <w:rPr>
          <w:vertAlign w:val="superscript"/>
        </w:rPr>
        <w:footnoteRef/>
      </w:r>
      <w:r w:rsidRPr="00B14711">
        <w:t>Sihra’s Trade Mark Application, [2003] R.P.C. 44, ¶24.</w:t>
      </w:r>
    </w:p>
  </w:footnote>
  <w:footnote w:id="184">
    <w:p w14:paraId="6C48C876" w14:textId="77777777" w:rsidR="006F142F" w:rsidRPr="00B14711" w:rsidRDefault="006F142F" w:rsidP="0052698D">
      <w:pPr>
        <w:pStyle w:val="footnote"/>
      </w:pPr>
      <w:r w:rsidRPr="00B14711">
        <w:rPr>
          <w:vertAlign w:val="superscript"/>
        </w:rPr>
        <w:footnoteRef/>
      </w:r>
      <w:r w:rsidRPr="00B14711">
        <w:rPr>
          <w:i/>
          <w:iCs/>
        </w:rPr>
        <w:t>Id</w:t>
      </w:r>
      <w:r w:rsidRPr="00B14711">
        <w:t>.</w:t>
      </w:r>
    </w:p>
  </w:footnote>
  <w:footnote w:id="185">
    <w:p w14:paraId="3F3F3940" w14:textId="77777777" w:rsidR="006F142F" w:rsidRDefault="006F142F" w:rsidP="0052698D">
      <w:pPr>
        <w:pStyle w:val="footnote"/>
      </w:pPr>
      <w:r>
        <w:rPr>
          <w:vertAlign w:val="superscript"/>
        </w:rPr>
        <w:footnoteRef/>
      </w:r>
      <w:r>
        <w:t>L’Or</w:t>
      </w:r>
      <w:r w:rsidRPr="00C72EC1">
        <w:rPr>
          <w:iCs/>
        </w:rPr>
        <w:t>é</w:t>
      </w:r>
      <w:r>
        <w:t xml:space="preserve">al, S.A. v. Bellure NV, [2006] EWHC 2355, ¶¶142–48 (Ch. D. 2006). In </w:t>
      </w:r>
      <w:r>
        <w:rPr>
          <w:i/>
          <w:iCs/>
        </w:rPr>
        <w:t>L’Oréal</w:t>
      </w:r>
      <w:r>
        <w:t xml:space="preserve">, the court found that some of the packaging used in “smell alike” perfumes took unfair advantage of the well-known brands, but did not find a detrimental use. On appeal, the Court of Appeal referred several issues to the ECJ for guidance, including the issue of unfair advantage. [2008] E.T.M.R. 1 (Ct. App. 2007). The ECJ’s response (which held that the actions of the imitators constituted a violation) confirmed that the “taking unfair advantage” provision is a “free riding” concept. Case C-487/07, ¶41 (ECJ 2009). The ECJ’s </w:t>
      </w:r>
      <w:r>
        <w:rPr>
          <w:i/>
          <w:iCs/>
        </w:rPr>
        <w:t>L’Oréal</w:t>
      </w:r>
      <w:r>
        <w:t xml:space="preserve"> opinion is discussed further in §III.A.1.d, below. For an example of a successful opposition to registration based solely on dilution, </w:t>
      </w:r>
      <w:r w:rsidRPr="00251F78">
        <w:rPr>
          <w:i/>
        </w:rPr>
        <w:t>see</w:t>
      </w:r>
      <w:r>
        <w:t xml:space="preserve"> esure Ins., Ltd. v. Direct Line Ins. plc, [2007] EWHC 1557 (Ch. D.). </w:t>
      </w:r>
    </w:p>
  </w:footnote>
  <w:footnote w:id="186">
    <w:p w14:paraId="778412C1" w14:textId="77777777" w:rsidR="006F142F" w:rsidRPr="00B14711" w:rsidRDefault="006F142F" w:rsidP="0052698D">
      <w:pPr>
        <w:pStyle w:val="footnote"/>
      </w:pPr>
      <w:r w:rsidRPr="00B14711">
        <w:rPr>
          <w:vertAlign w:val="superscript"/>
        </w:rPr>
        <w:footnoteRef/>
      </w:r>
      <w:r w:rsidRPr="00B14711">
        <w:t>[2007] ECWA Civ. 431 (Ct. App. 2007).</w:t>
      </w:r>
    </w:p>
  </w:footnote>
  <w:footnote w:id="187">
    <w:p w14:paraId="20D07365" w14:textId="77777777" w:rsidR="006F142F" w:rsidRPr="00B14711" w:rsidRDefault="006F142F" w:rsidP="0052698D">
      <w:pPr>
        <w:pStyle w:val="footnote"/>
      </w:pPr>
      <w:r w:rsidRPr="00B14711">
        <w:rPr>
          <w:vertAlign w:val="superscript"/>
        </w:rPr>
        <w:footnoteRef/>
      </w:r>
      <w:r w:rsidRPr="00B14711">
        <w:rPr>
          <w:i/>
          <w:iCs/>
        </w:rPr>
        <w:t>Id</w:t>
      </w:r>
      <w:r w:rsidRPr="00B14711">
        <w:t>. ¶29 (“Sometimes, but perhaps not surprisingly, trade mark owners of big brands want more protection than they really need.”).</w:t>
      </w:r>
    </w:p>
  </w:footnote>
  <w:footnote w:id="188">
    <w:p w14:paraId="77E7B823" w14:textId="77777777" w:rsidR="006F142F" w:rsidRPr="00B14711" w:rsidRDefault="006F142F" w:rsidP="0052698D">
      <w:pPr>
        <w:pStyle w:val="footnote"/>
      </w:pPr>
      <w:r w:rsidRPr="00B14711">
        <w:rPr>
          <w:vertAlign w:val="superscript"/>
        </w:rPr>
        <w:footnoteRef/>
      </w:r>
      <w:r w:rsidRPr="00B14711">
        <w:t>Case C-252/07 (ECJ 2008).</w:t>
      </w:r>
    </w:p>
  </w:footnote>
  <w:footnote w:id="189">
    <w:p w14:paraId="0F901DBD" w14:textId="77777777" w:rsidR="006F142F" w:rsidRPr="00B14711" w:rsidRDefault="006F142F" w:rsidP="0052698D">
      <w:pPr>
        <w:pStyle w:val="footnote"/>
      </w:pPr>
      <w:r w:rsidRPr="00B14711">
        <w:rPr>
          <w:vertAlign w:val="superscript"/>
        </w:rPr>
        <w:footnoteRef/>
      </w:r>
      <w:r w:rsidRPr="00B14711">
        <w:t>Case C-487/07</w:t>
      </w:r>
      <w:r>
        <w:t>,</w:t>
      </w:r>
      <w:r w:rsidRPr="00B14711">
        <w:t xml:space="preserve"> ¶41 (ECJ 2009). </w:t>
      </w:r>
      <w:r w:rsidRPr="00EB1A53">
        <w:rPr>
          <w:i/>
        </w:rPr>
        <w:t>See</w:t>
      </w:r>
      <w:r w:rsidRPr="00B14711">
        <w:t xml:space="preserve"> §III.A.1.d</w:t>
      </w:r>
      <w:r>
        <w:t>,</w:t>
      </w:r>
      <w:r w:rsidRPr="00B14711">
        <w:t xml:space="preserve"> above.</w:t>
      </w:r>
    </w:p>
  </w:footnote>
  <w:footnote w:id="190">
    <w:p w14:paraId="26D19B6D" w14:textId="77777777" w:rsidR="006F142F" w:rsidRPr="00B14711" w:rsidRDefault="006F142F" w:rsidP="0052698D">
      <w:pPr>
        <w:pStyle w:val="footnote"/>
      </w:pPr>
      <w:r w:rsidRPr="00B14711">
        <w:rPr>
          <w:vertAlign w:val="superscript"/>
        </w:rPr>
        <w:footnoteRef/>
      </w:r>
      <w:r w:rsidRPr="00B14711">
        <w:t>[2009] EWCA Civ. 753 (Ct. App. 2009).</w:t>
      </w:r>
    </w:p>
  </w:footnote>
  <w:footnote w:id="191">
    <w:p w14:paraId="52446E2D" w14:textId="77777777" w:rsidR="006F142F" w:rsidRPr="00B14711" w:rsidRDefault="006F142F" w:rsidP="0052698D">
      <w:pPr>
        <w:pStyle w:val="footnote"/>
      </w:pPr>
      <w:r w:rsidRPr="00B14711">
        <w:rPr>
          <w:vertAlign w:val="superscript"/>
        </w:rPr>
        <w:footnoteRef/>
      </w:r>
      <w:r w:rsidRPr="00B14711">
        <w:rPr>
          <w:i/>
          <w:iCs/>
        </w:rPr>
        <w:t>Id</w:t>
      </w:r>
      <w:r w:rsidRPr="00B14711">
        <w:t>. ¶140.</w:t>
      </w:r>
    </w:p>
  </w:footnote>
  <w:footnote w:id="192">
    <w:p w14:paraId="26439C6D" w14:textId="77777777" w:rsidR="006F142F" w:rsidRPr="00B14711" w:rsidRDefault="006F142F" w:rsidP="0052698D">
      <w:pPr>
        <w:pStyle w:val="footnote"/>
      </w:pPr>
      <w:r w:rsidRPr="00B14711">
        <w:rPr>
          <w:vertAlign w:val="superscript"/>
        </w:rPr>
        <w:footnoteRef/>
      </w:r>
      <w:r w:rsidRPr="00B14711">
        <w:t>Whirlpool Corp. v. Kenwood, Ltd., [2008] EWHC 1930</w:t>
      </w:r>
      <w:r>
        <w:t>,</w:t>
      </w:r>
      <w:r w:rsidRPr="00B14711">
        <w:t xml:space="preserve"> ¶¶4, 76 (Ch. Div. 2008).</w:t>
      </w:r>
    </w:p>
  </w:footnote>
  <w:footnote w:id="193">
    <w:p w14:paraId="0AD4C08A" w14:textId="77777777" w:rsidR="006F142F" w:rsidRPr="00B14711" w:rsidRDefault="006F142F" w:rsidP="0052698D">
      <w:pPr>
        <w:pStyle w:val="footnote"/>
      </w:pPr>
      <w:r w:rsidRPr="00B14711">
        <w:rPr>
          <w:vertAlign w:val="superscript"/>
        </w:rPr>
        <w:footnoteRef/>
      </w:r>
      <w:r w:rsidRPr="00B14711">
        <w:rPr>
          <w:i/>
          <w:iCs/>
        </w:rPr>
        <w:t>Whirlpool</w:t>
      </w:r>
      <w:r w:rsidRPr="00B14711">
        <w:t>, [2009] EWCA Civ. 753</w:t>
      </w:r>
      <w:r>
        <w:t>,</w:t>
      </w:r>
      <w:r w:rsidRPr="00B14711">
        <w:t xml:space="preserve"> ¶¶99, 126–28.</w:t>
      </w:r>
    </w:p>
  </w:footnote>
  <w:footnote w:id="194">
    <w:p w14:paraId="1EEB37CA" w14:textId="77777777" w:rsidR="006F142F" w:rsidRPr="00B14711" w:rsidRDefault="006F142F" w:rsidP="0052698D">
      <w:pPr>
        <w:pStyle w:val="footnote"/>
      </w:pPr>
      <w:r w:rsidRPr="00B14711">
        <w:rPr>
          <w:vertAlign w:val="superscript"/>
        </w:rPr>
        <w:footnoteRef/>
      </w:r>
      <w:r w:rsidRPr="00B14711">
        <w:rPr>
          <w:i/>
          <w:iCs/>
        </w:rPr>
        <w:t>See id</w:t>
      </w:r>
      <w:r w:rsidRPr="00B14711">
        <w:t>. ¶84.</w:t>
      </w:r>
    </w:p>
  </w:footnote>
  <w:footnote w:id="195">
    <w:p w14:paraId="40C80910" w14:textId="77777777" w:rsidR="006F142F" w:rsidRPr="00B14711" w:rsidRDefault="006F142F" w:rsidP="0052698D">
      <w:pPr>
        <w:pStyle w:val="footnote"/>
      </w:pPr>
      <w:r w:rsidRPr="00B14711">
        <w:rPr>
          <w:vertAlign w:val="superscript"/>
        </w:rPr>
        <w:footnoteRef/>
      </w:r>
      <w:r w:rsidRPr="00B14711">
        <w:t>L’Oréal SV v. Bellure NV, Case 487/07 (ECJ 2009), discussed in §III.A.1.d</w:t>
      </w:r>
      <w:r>
        <w:t>,</w:t>
      </w:r>
      <w:r w:rsidRPr="00B14711">
        <w:t xml:space="preserve"> above.</w:t>
      </w:r>
    </w:p>
  </w:footnote>
  <w:footnote w:id="196">
    <w:p w14:paraId="55108BFE" w14:textId="77777777" w:rsidR="006F142F" w:rsidRPr="00B14711" w:rsidRDefault="006F142F" w:rsidP="0052698D">
      <w:pPr>
        <w:pStyle w:val="footnote"/>
      </w:pPr>
      <w:r w:rsidRPr="00B14711">
        <w:rPr>
          <w:vertAlign w:val="superscript"/>
        </w:rPr>
        <w:footnoteRef/>
      </w:r>
      <w:r w:rsidRPr="00B14711">
        <w:rPr>
          <w:i/>
          <w:iCs/>
        </w:rPr>
        <w:t>Whirlpool</w:t>
      </w:r>
      <w:r w:rsidRPr="00B14711">
        <w:t>, [2009] EWCA Civ. 753</w:t>
      </w:r>
      <w:r>
        <w:t>,</w:t>
      </w:r>
      <w:r w:rsidRPr="00B14711">
        <w:t xml:space="preserve"> ¶113. </w:t>
      </w:r>
      <w:r w:rsidRPr="00B14711">
        <w:rPr>
          <w:i/>
          <w:iCs/>
        </w:rPr>
        <w:t>See id</w:t>
      </w:r>
      <w:r w:rsidRPr="00B14711">
        <w:t xml:space="preserve">. ¶136 (emphasizing the need for unfairness even after the </w:t>
      </w:r>
      <w:r w:rsidRPr="00B14711">
        <w:rPr>
          <w:i/>
          <w:iCs/>
        </w:rPr>
        <w:t>L’Oréal</w:t>
      </w:r>
      <w:r w:rsidRPr="00B14711">
        <w:t xml:space="preserve"> decision). The Court of Appeal also specifically declined to refer questions about the statute to the ECJ. </w:t>
      </w:r>
      <w:r w:rsidRPr="00B14711">
        <w:rPr>
          <w:i/>
          <w:iCs/>
        </w:rPr>
        <w:t>Id</w:t>
      </w:r>
      <w:r w:rsidRPr="00B14711">
        <w:t>. ¶142.</w:t>
      </w:r>
      <w:r w:rsidRPr="0078210B">
        <w:rPr>
          <w:i/>
          <w:iCs/>
        </w:rPr>
        <w:t xml:space="preserve"> </w:t>
      </w:r>
      <w:r w:rsidRPr="003131C0">
        <w:rPr>
          <w:i/>
          <w:iCs/>
        </w:rPr>
        <w:t>But see</w:t>
      </w:r>
      <w:r w:rsidRPr="003131C0">
        <w:t xml:space="preserve"> Champagne Louis Roederer S.A. v. J Garcia Carrion S.A., [2015] EWHC 2760, [2015] E.T.M.R. 51 (Ch.), ¶¶92–93 (no need for intent to take unfair advantage); Jack Wills, Ltd. v. House of Fraser (Stores), Ltd., [2014] E.T.M.R. 28, ¶80 (Ch. 2014) (same).</w:t>
      </w:r>
    </w:p>
  </w:footnote>
  <w:footnote w:id="197">
    <w:p w14:paraId="76D77FAA" w14:textId="77777777" w:rsidR="006F142F" w:rsidRDefault="006F142F" w:rsidP="0052698D">
      <w:pPr>
        <w:pStyle w:val="footnote"/>
      </w:pPr>
      <w:r>
        <w:rPr>
          <w:vertAlign w:val="superscript"/>
        </w:rPr>
        <w:footnoteRef/>
      </w:r>
      <w:r>
        <w:t xml:space="preserve">[2015] EWCA Civ. 220 (Ct. App. 2015). </w:t>
      </w:r>
    </w:p>
  </w:footnote>
  <w:footnote w:id="198">
    <w:p w14:paraId="44498848" w14:textId="77777777" w:rsidR="006F142F" w:rsidRDefault="006F142F" w:rsidP="0052698D">
      <w:pPr>
        <w:pStyle w:val="footnote"/>
      </w:pPr>
      <w:r>
        <w:rPr>
          <w:vertAlign w:val="superscript"/>
        </w:rPr>
        <w:footnoteRef/>
      </w:r>
      <w:r>
        <w:rPr>
          <w:i/>
          <w:iCs/>
        </w:rPr>
        <w:t>Id</w:t>
      </w:r>
      <w:r>
        <w:t xml:space="preserve">. ¶132 (Kitchin, L.J.). The requirement of a change in economic behavior was emphasized by the Court of Justice in </w:t>
      </w:r>
      <w:r>
        <w:rPr>
          <w:i/>
          <w:iCs/>
        </w:rPr>
        <w:t xml:space="preserve">Environmental Mfg. LLP v. OHIM, </w:t>
      </w:r>
      <w:r>
        <w:t xml:space="preserve">Case C-383/12, ¶43 (CJEU 2013). </w:t>
      </w:r>
    </w:p>
  </w:footnote>
  <w:footnote w:id="199">
    <w:p w14:paraId="53FDFECF" w14:textId="77777777" w:rsidR="006F142F" w:rsidRPr="003257AE" w:rsidRDefault="006F142F" w:rsidP="0052698D">
      <w:pPr>
        <w:pStyle w:val="footnote"/>
      </w:pPr>
      <w:r>
        <w:rPr>
          <w:vertAlign w:val="superscript"/>
        </w:rPr>
        <w:footnoteRef/>
      </w:r>
      <w:r>
        <w:rPr>
          <w:i/>
          <w:iCs/>
        </w:rPr>
        <w:t>Maier</w:t>
      </w:r>
      <w:r>
        <w:t xml:space="preserve">, [2015] EWCA Civ. 220, ¶¶143–44 (Kitchin, L.J.), ¶223 (Scales, L.J.). </w:t>
      </w:r>
      <w:r>
        <w:rPr>
          <w:i/>
          <w:iCs/>
        </w:rPr>
        <w:t>Cf.</w:t>
      </w:r>
      <w:r>
        <w:t xml:space="preserve"> Argos Ltd. v. Argos Sys. Inc., [2018] EWCA Civ. 2211, 2018 WL 04864479 (Ct. App. Oct. 9, 2018) (finding that the use on a website could constitute “targeting” under proper circumstances and thus use in the U.K., but finding a lack of evidence of taking unfair advantage—emphasizing the need for the advantage to be “unfair”).</w:t>
      </w:r>
    </w:p>
  </w:footnote>
  <w:footnote w:id="200">
    <w:p w14:paraId="52251E12" w14:textId="77777777" w:rsidR="006F142F" w:rsidRDefault="006F142F">
      <w:pPr>
        <w:pStyle w:val="FootnoteText"/>
      </w:pPr>
      <w:r>
        <w:rPr>
          <w:rStyle w:val="FootnoteReference"/>
          <w:rFonts w:eastAsiaTheme="majorEastAsia"/>
        </w:rPr>
        <w:footnoteRef/>
      </w:r>
      <w:r>
        <w:t>[2021] EWHC 3296 (Intell. Prop. Ent. Ct. 2021).</w:t>
      </w:r>
    </w:p>
  </w:footnote>
  <w:footnote w:id="201">
    <w:p w14:paraId="74FF6E54" w14:textId="77777777" w:rsidR="006F142F" w:rsidRPr="00C04CC6" w:rsidRDefault="006F142F">
      <w:pPr>
        <w:pStyle w:val="FootnoteText"/>
      </w:pPr>
      <w:r>
        <w:rPr>
          <w:rStyle w:val="FootnoteReference"/>
          <w:rFonts w:eastAsiaTheme="majorEastAsia"/>
        </w:rPr>
        <w:footnoteRef/>
      </w:r>
      <w:r>
        <w:rPr>
          <w:i/>
          <w:iCs/>
        </w:rPr>
        <w:t>Id</w:t>
      </w:r>
      <w:r>
        <w:t xml:space="preserve">. </w:t>
      </w:r>
      <w:r w:rsidRPr="00B14711">
        <w:t>¶¶</w:t>
      </w:r>
      <w:r>
        <w:t>77–79.</w:t>
      </w:r>
    </w:p>
  </w:footnote>
  <w:footnote w:id="202">
    <w:p w14:paraId="06388BE6" w14:textId="77777777" w:rsidR="006F142F" w:rsidRPr="00F24413" w:rsidRDefault="006F142F">
      <w:pPr>
        <w:pStyle w:val="FootnoteText"/>
      </w:pPr>
      <w:r>
        <w:rPr>
          <w:rStyle w:val="FootnoteReference"/>
          <w:rFonts w:eastAsiaTheme="majorEastAsia"/>
        </w:rPr>
        <w:footnoteRef/>
      </w:r>
      <w:r>
        <w:rPr>
          <w:i/>
          <w:iCs/>
        </w:rPr>
        <w:t>Id</w:t>
      </w:r>
      <w:r>
        <w:t xml:space="preserve">. </w:t>
      </w:r>
      <w:r w:rsidRPr="00B14711">
        <w:t>¶¶</w:t>
      </w:r>
      <w:r>
        <w:t xml:space="preserve">81–85.  The court, in effect, put the onus on the defendant to explain why it had used the plaintiff’s mark in the first place. </w:t>
      </w:r>
      <w:r>
        <w:rPr>
          <w:i/>
          <w:iCs/>
        </w:rPr>
        <w:t>Id.</w:t>
      </w:r>
      <w:r>
        <w:t xml:space="preserve"> </w:t>
      </w:r>
      <w:r w:rsidRPr="00B14711">
        <w:t>¶</w:t>
      </w:r>
      <w:r>
        <w:t>85.</w:t>
      </w:r>
    </w:p>
  </w:footnote>
  <w:footnote w:id="203">
    <w:p w14:paraId="425BA1F0" w14:textId="77777777" w:rsidR="006F142F" w:rsidRPr="009B585F" w:rsidRDefault="006F142F">
      <w:pPr>
        <w:pStyle w:val="FootnoteText"/>
      </w:pPr>
      <w:r>
        <w:rPr>
          <w:rStyle w:val="FootnoteReference"/>
          <w:rFonts w:eastAsiaTheme="majorEastAsia"/>
        </w:rPr>
        <w:footnoteRef/>
      </w:r>
      <w:r>
        <w:rPr>
          <w:i/>
          <w:iCs/>
        </w:rPr>
        <w:t>Id.</w:t>
      </w:r>
      <w:r>
        <w:t xml:space="preserve"> </w:t>
      </w:r>
      <w:r w:rsidRPr="00B14711">
        <w:t>¶</w:t>
      </w:r>
      <w:r>
        <w:t xml:space="preserve">80. </w:t>
      </w:r>
      <w:r>
        <w:rPr>
          <w:i/>
          <w:iCs/>
        </w:rPr>
        <w:t>See</w:t>
      </w:r>
      <w:r>
        <w:t xml:space="preserve"> Foundation for the Protection of the Trad. Cheese of Cyprus Named Halloumi v. Fontana Food AB, [2024] EWHC 2311, [2024] F.S.R. 33 ¶53 (Ch. 2024) (upholding hearing officer’s determination of no unfair advantage by mark GRILLOUMI, in light of descriptive uses of the term Halloumi and the fact that the relevant group was more sophisticated trade representatives).</w:t>
      </w:r>
    </w:p>
  </w:footnote>
  <w:footnote w:id="204">
    <w:p w14:paraId="5060548B" w14:textId="77777777" w:rsidR="006F142F" w:rsidRPr="00B14711" w:rsidRDefault="006F142F" w:rsidP="0052698D">
      <w:pPr>
        <w:pStyle w:val="footnote"/>
      </w:pPr>
      <w:r w:rsidRPr="00B14711">
        <w:rPr>
          <w:vertAlign w:val="superscript"/>
        </w:rPr>
        <w:footnoteRef/>
      </w:r>
      <w:r w:rsidRPr="00B14711">
        <w:t>[2010] EWCA Civ. 535 (Ct. App. 2010).</w:t>
      </w:r>
    </w:p>
  </w:footnote>
  <w:footnote w:id="205">
    <w:p w14:paraId="1A9848F7" w14:textId="77777777" w:rsidR="006F142F" w:rsidRPr="00B14711" w:rsidRDefault="006F142F" w:rsidP="0052698D">
      <w:pPr>
        <w:pStyle w:val="footnote"/>
      </w:pPr>
      <w:r w:rsidRPr="00B14711">
        <w:rPr>
          <w:vertAlign w:val="superscript"/>
        </w:rPr>
        <w:footnoteRef/>
      </w:r>
      <w:r w:rsidRPr="00B14711">
        <w:t>The ECJ’s decision is discussed in §III.A.1.d</w:t>
      </w:r>
      <w:r>
        <w:t>,</w:t>
      </w:r>
      <w:r w:rsidRPr="00B14711">
        <w:t xml:space="preserve"> above.</w:t>
      </w:r>
    </w:p>
  </w:footnote>
  <w:footnote w:id="206">
    <w:p w14:paraId="5F33F7DB" w14:textId="77777777" w:rsidR="006F142F" w:rsidRPr="00B14711" w:rsidRDefault="006F142F" w:rsidP="0052698D">
      <w:pPr>
        <w:pStyle w:val="footnote"/>
      </w:pPr>
      <w:r w:rsidRPr="00B14711">
        <w:rPr>
          <w:vertAlign w:val="superscript"/>
        </w:rPr>
        <w:footnoteRef/>
      </w:r>
      <w:r w:rsidRPr="00B14711">
        <w:rPr>
          <w:i/>
          <w:iCs/>
        </w:rPr>
        <w:t>L’Oréal</w:t>
      </w:r>
      <w:r w:rsidRPr="00B14711">
        <w:t>, [2010] EWCA Civ. 535</w:t>
      </w:r>
      <w:r>
        <w:t>,</w:t>
      </w:r>
      <w:r w:rsidRPr="00B14711">
        <w:t xml:space="preserve"> ¶6.</w:t>
      </w:r>
    </w:p>
  </w:footnote>
  <w:footnote w:id="207">
    <w:p w14:paraId="67B87B60" w14:textId="77777777" w:rsidR="006F142F" w:rsidRPr="00B14711" w:rsidRDefault="006F142F" w:rsidP="0052698D">
      <w:pPr>
        <w:pStyle w:val="footnote"/>
      </w:pPr>
      <w:r w:rsidRPr="00B14711">
        <w:rPr>
          <w:vertAlign w:val="superscript"/>
        </w:rPr>
        <w:footnoteRef/>
      </w:r>
      <w:r w:rsidRPr="00B14711">
        <w:rPr>
          <w:i/>
          <w:iCs/>
        </w:rPr>
        <w:t>Id</w:t>
      </w:r>
      <w:r w:rsidRPr="00B14711">
        <w:t>. ¶¶10–13.</w:t>
      </w:r>
    </w:p>
  </w:footnote>
  <w:footnote w:id="208">
    <w:p w14:paraId="2B620484" w14:textId="77777777" w:rsidR="006F142F" w:rsidRPr="00B14711" w:rsidRDefault="006F142F" w:rsidP="0052698D">
      <w:pPr>
        <w:pStyle w:val="footnote"/>
      </w:pPr>
      <w:r w:rsidRPr="00B14711">
        <w:rPr>
          <w:vertAlign w:val="superscript"/>
        </w:rPr>
        <w:footnoteRef/>
      </w:r>
      <w:r w:rsidRPr="00B14711">
        <w:rPr>
          <w:i/>
          <w:iCs/>
        </w:rPr>
        <w:t>Id</w:t>
      </w:r>
      <w:r w:rsidRPr="00B14711">
        <w:t>. ¶¶16–19.</w:t>
      </w:r>
    </w:p>
  </w:footnote>
  <w:footnote w:id="209">
    <w:p w14:paraId="6A541258" w14:textId="77777777" w:rsidR="006F142F" w:rsidRPr="00B14711" w:rsidRDefault="006F142F" w:rsidP="0052698D">
      <w:pPr>
        <w:pStyle w:val="footnote"/>
      </w:pPr>
      <w:r w:rsidRPr="00B14711">
        <w:rPr>
          <w:vertAlign w:val="superscript"/>
        </w:rPr>
        <w:footnoteRef/>
      </w:r>
      <w:r w:rsidRPr="00B14711">
        <w:rPr>
          <w:i/>
          <w:iCs/>
        </w:rPr>
        <w:t>Id</w:t>
      </w:r>
      <w:r w:rsidRPr="00B14711">
        <w:t>. ¶¶33–44. The advertising Directive is Directive 2006/114/EC of the European Parliament and of the Council of 12 December 2006 concerning misleading and comparative advertising.</w:t>
      </w:r>
    </w:p>
  </w:footnote>
  <w:footnote w:id="210">
    <w:p w14:paraId="3650A45E" w14:textId="77777777" w:rsidR="006F142F" w:rsidRPr="00B14711" w:rsidRDefault="006F142F" w:rsidP="0052698D">
      <w:pPr>
        <w:pStyle w:val="footnote"/>
      </w:pPr>
      <w:r w:rsidRPr="00B14711">
        <w:rPr>
          <w:vertAlign w:val="superscript"/>
        </w:rPr>
        <w:footnoteRef/>
      </w:r>
      <w:r w:rsidRPr="00B14711">
        <w:rPr>
          <w:i/>
          <w:iCs/>
        </w:rPr>
        <w:t>See, e</w:t>
      </w:r>
      <w:r w:rsidRPr="00B14711">
        <w:t>.</w:t>
      </w:r>
      <w:r w:rsidRPr="00B14711">
        <w:rPr>
          <w:i/>
          <w:iCs/>
        </w:rPr>
        <w:t>g</w:t>
      </w:r>
      <w:r w:rsidRPr="00B14711">
        <w:t xml:space="preserve">., </w:t>
      </w:r>
      <w:r w:rsidRPr="00B14711">
        <w:rPr>
          <w:i/>
          <w:iCs/>
        </w:rPr>
        <w:t>L’Oréal,</w:t>
      </w:r>
      <w:r w:rsidRPr="00B14711">
        <w:t xml:space="preserve"> [2010] EWCA Civ. 535</w:t>
      </w:r>
      <w:r>
        <w:t>,</w:t>
      </w:r>
      <w:r w:rsidRPr="00B14711">
        <w:t xml:space="preserve"> ¶39 (“I can actually see no rational basis for such a rule.”).</w:t>
      </w:r>
    </w:p>
  </w:footnote>
  <w:footnote w:id="211">
    <w:p w14:paraId="4EBE814A" w14:textId="77777777" w:rsidR="006F142F" w:rsidRPr="00B14711" w:rsidRDefault="006F142F" w:rsidP="0052698D">
      <w:pPr>
        <w:pStyle w:val="footnote"/>
      </w:pPr>
      <w:r w:rsidRPr="00B14711">
        <w:rPr>
          <w:vertAlign w:val="superscript"/>
        </w:rPr>
        <w:footnoteRef/>
      </w:r>
      <w:r w:rsidRPr="00B14711">
        <w:rPr>
          <w:i/>
          <w:iCs/>
        </w:rPr>
        <w:t>Id</w:t>
      </w:r>
      <w:r w:rsidRPr="00B14711">
        <w:t>. ¶49.</w:t>
      </w:r>
    </w:p>
  </w:footnote>
  <w:footnote w:id="212">
    <w:p w14:paraId="7D72D73C" w14:textId="77777777" w:rsidR="006F142F" w:rsidRPr="00B14711" w:rsidRDefault="006F142F" w:rsidP="0052698D">
      <w:pPr>
        <w:pStyle w:val="footnote"/>
      </w:pPr>
      <w:r w:rsidRPr="00B14711">
        <w:rPr>
          <w:vertAlign w:val="superscript"/>
        </w:rPr>
        <w:footnoteRef/>
      </w:r>
      <w:r w:rsidRPr="00B14711">
        <w:rPr>
          <w:i/>
          <w:iCs/>
        </w:rPr>
        <w:t>Id</w:t>
      </w:r>
      <w:r w:rsidRPr="00B14711">
        <w:t>. ¶50.</w:t>
      </w:r>
    </w:p>
  </w:footnote>
  <w:footnote w:id="213">
    <w:p w14:paraId="39B81375" w14:textId="77777777" w:rsidR="006F142F" w:rsidRPr="00B14711" w:rsidRDefault="006F142F" w:rsidP="0052698D">
      <w:pPr>
        <w:pStyle w:val="footnote"/>
      </w:pPr>
      <w:r w:rsidRPr="00B14711">
        <w:rPr>
          <w:vertAlign w:val="superscript"/>
        </w:rPr>
        <w:footnoteRef/>
      </w:r>
      <w:r w:rsidRPr="00B14711">
        <w:rPr>
          <w:i/>
          <w:iCs/>
        </w:rPr>
        <w:t>Id</w:t>
      </w:r>
      <w:r w:rsidRPr="00B14711">
        <w:t>. ¶¶17–18.</w:t>
      </w:r>
    </w:p>
  </w:footnote>
  <w:footnote w:id="214">
    <w:p w14:paraId="65CF3051" w14:textId="77777777" w:rsidR="006F142F" w:rsidRPr="00B14711" w:rsidRDefault="006F142F" w:rsidP="0052698D">
      <w:pPr>
        <w:pStyle w:val="footnote"/>
      </w:pPr>
      <w:r w:rsidRPr="00B14711">
        <w:rPr>
          <w:vertAlign w:val="superscript"/>
        </w:rPr>
        <w:footnoteRef/>
      </w:r>
      <w:r w:rsidRPr="00B14711">
        <w:rPr>
          <w:i/>
          <w:iCs/>
        </w:rPr>
        <w:t>Compare</w:t>
      </w:r>
      <w:r w:rsidRPr="00B14711">
        <w:t xml:space="preserve"> </w:t>
      </w:r>
      <w:r w:rsidRPr="003131C0">
        <w:t>Stichting BDO v. BDO Unibank, Inc., [2013] EWHC 418 (Ch</w:t>
      </w:r>
      <w:r>
        <w:t>.</w:t>
      </w:r>
      <w:r w:rsidRPr="003131C0">
        <w:t>)</w:t>
      </w:r>
      <w:r>
        <w:t>,</w:t>
      </w:r>
      <w:r w:rsidRPr="003131C0">
        <w:t xml:space="preserve"> [2013] E.T.M.R. 31</w:t>
      </w:r>
      <w:r>
        <w:t>,</w:t>
      </w:r>
      <w:r w:rsidRPr="003131C0">
        <w:rPr>
          <w:b/>
          <w:bCs/>
        </w:rPr>
        <w:t xml:space="preserve"> </w:t>
      </w:r>
      <w:r w:rsidRPr="003131C0">
        <w:t>¶174 (Ch. 2013) (finding no detriment to distinctive character; lack of actual evidence significant where one would expect it); Société Anonyme des Bains de Mer et du Cercle des Étrangers à Monaco v. Anglofile Int’l Ltd., [2013] EWPCC 38, [2014] E.T.M.R. 9 (Patents County Ct</w:t>
      </w:r>
      <w:r>
        <w:t>.</w:t>
      </w:r>
      <w:r w:rsidRPr="003131C0">
        <w:t xml:space="preserve"> 2013) (finding no detriment and no undue cause);</w:t>
      </w:r>
      <w:r>
        <w:t xml:space="preserve"> </w:t>
      </w:r>
      <w:r w:rsidRPr="00B14711">
        <w:t>DataCard Corp. v. Eagle Techs. Ltd., [2011] EWHC 244 (High Ct. Ch. Div. 2011) (use of mark DataCard to indicate compatibility with that brand of card printer does not take unfair advantage); Och-Ziff Mgmt. Europe Ltd. v. Och Capital LLC, [2011] E.T.M.R. 1 (High Ct. Ch. Div. 2010) (no dilution found under any category)</w:t>
      </w:r>
      <w:r>
        <w:t>,</w:t>
      </w:r>
      <w:r w:rsidRPr="00B14711">
        <w:t xml:space="preserve"> </w:t>
      </w:r>
      <w:r w:rsidRPr="00D507B9">
        <w:rPr>
          <w:i/>
        </w:rPr>
        <w:t>and</w:t>
      </w:r>
      <w:r w:rsidRPr="00B14711">
        <w:t xml:space="preserve"> Virgin Enters. Ltd. v. Casey, [2011] EWHC (Ch) 1036 (High Ct. Ch. Div. 2011) (rejecting opposition to registration of Carbon Virgin)</w:t>
      </w:r>
      <w:r>
        <w:t>,</w:t>
      </w:r>
      <w:r w:rsidRPr="00B14711">
        <w:t xml:space="preserve"> </w:t>
      </w:r>
      <w:r w:rsidRPr="00B14711">
        <w:rPr>
          <w:i/>
          <w:iCs/>
        </w:rPr>
        <w:t>with</w:t>
      </w:r>
      <w:r w:rsidRPr="00B14711">
        <w:t xml:space="preserve"> Specsavers Int’l Healthcare Ltd. v. Asda Stores Ltd., [2010] EWHC 2035 (High Ct. Ch. Div. 2010) (finding unfair advantage in certain comparative advertisements, but not in others), </w:t>
      </w:r>
      <w:r w:rsidRPr="00B14711">
        <w:rPr>
          <w:i/>
          <w:iCs/>
        </w:rPr>
        <w:t>aff’d in part, rev’d in part</w:t>
      </w:r>
      <w:r w:rsidRPr="00B14711">
        <w:t>, [2012] E.T.M.R. 17 (Ct. App. 2012) (reversing portion of High Court decision that did not find taking unfair advantage, but upholding findings that defendant did take unfair advantage in its comparisons with plaintiff’s products)</w:t>
      </w:r>
      <w:r w:rsidRPr="003131C0">
        <w:t>;</w:t>
      </w:r>
      <w:r>
        <w:t xml:space="preserve"> Luen Fat Metal &amp; Plastic Manufactory Ltd. v. Jacobs &amp; Turner Ltd., [2019] EWHC 118 (IPEC), 2018 WL 07141465 (Dec. 12, 2018) (finding dilution (blurring and unfair advantage) of plaintiff’s Funtime and Fun Time marks under Section 10(3) from defendant’s use of Fun Time Toys, but finding no tarnishment—also finding that the marks had a reputation in the U.K.);</w:t>
      </w:r>
      <w:r w:rsidRPr="003131C0">
        <w:t xml:space="preserve"> Bayerische Motoren Werke AG v. Technosport London, Ltd</w:t>
      </w:r>
      <w:r>
        <w:t>.</w:t>
      </w:r>
      <w:r w:rsidRPr="003131C0">
        <w:t>, [2016] EWHC 797 (IPEC 2016) (finding no dilution by using “BMW” mark to indicate that the defendant specialized in repairing BMW cars, but finding dilution from use of Roundel logo mark, which court believed indicated authorization)</w:t>
      </w:r>
      <w:r>
        <w:t xml:space="preserve">; </w:t>
      </w:r>
      <w:r w:rsidRPr="00526205">
        <w:t>Planetart LLC v. Photobox</w:t>
      </w:r>
      <w:r w:rsidRPr="00526205">
        <w:rPr>
          <w:b/>
          <w:bCs/>
        </w:rPr>
        <w:t xml:space="preserve"> </w:t>
      </w:r>
      <w:r w:rsidRPr="00526205">
        <w:t xml:space="preserve">Ltd., </w:t>
      </w:r>
      <w:r w:rsidRPr="00526205">
        <w:rPr>
          <w:rFonts w:ascii="TimesNewRomanPS-BoldMT" w:hAnsi="TimesNewRomanPS-BoldMT" w:cs="TimesNewRomanPS-BoldMT"/>
          <w:b/>
          <w:bCs/>
          <w:szCs w:val="20"/>
        </w:rPr>
        <w:t>[</w:t>
      </w:r>
      <w:r w:rsidRPr="00526205">
        <w:rPr>
          <w:rFonts w:ascii="TimesNewRomanPS-BoldMT" w:hAnsi="TimesNewRomanPS-BoldMT" w:cs="TimesNewRomanPS-BoldMT"/>
          <w:szCs w:val="20"/>
        </w:rPr>
        <w:t>2020] EWHC 713, [2020] E.T.M.R. 35 (High Ct Ch. D. 2020) (finding infringement under</w:t>
      </w:r>
      <w:r>
        <w:rPr>
          <w:rFonts w:ascii="TimesNewRomanPS-BoldMT" w:hAnsi="TimesNewRomanPS-BoldMT" w:cs="TimesNewRomanPS-BoldMT"/>
          <w:szCs w:val="20"/>
        </w:rPr>
        <w:t xml:space="preserve"> </w:t>
      </w:r>
      <w:r>
        <w:rPr>
          <w:szCs w:val="20"/>
        </w:rPr>
        <w:t>§</w:t>
      </w:r>
      <w:r w:rsidRPr="00526205">
        <w:rPr>
          <w:rFonts w:ascii="TimesNewRomanPS-BoldMT" w:hAnsi="TimesNewRomanPS-BoldMT" w:cs="TimesNewRomanPS-BoldMT"/>
          <w:szCs w:val="20"/>
        </w:rPr>
        <w:t xml:space="preserve"> 10(3) by the icon of defendant’s app compared with the icon of plaintiff’s app).</w:t>
      </w:r>
      <w:r w:rsidRPr="00526205">
        <w:t xml:space="preserve"> </w:t>
      </w:r>
      <w:r w:rsidRPr="003131C0">
        <w:rPr>
          <w:i/>
          <w:iCs/>
        </w:rPr>
        <w:t>See</w:t>
      </w:r>
      <w:r w:rsidRPr="003131C0">
        <w:t xml:space="preserve"> Red Bull GmbH v. Sun Mark Ltd., [2012] EWHC 1929, ¶¶87–112 (Ch. 2012) (applying </w:t>
      </w:r>
      <w:r w:rsidRPr="003131C0">
        <w:rPr>
          <w:i/>
          <w:iCs/>
        </w:rPr>
        <w:t>Specsavers</w:t>
      </w:r>
      <w:r w:rsidRPr="003131C0">
        <w:t xml:space="preserve"> and finding that defendant’s advertising line NO BULL IN THIS CAN was detrimental to, and took unfair advantage of, the plaintiff’s Red Bull CTM). </w:t>
      </w:r>
      <w:r w:rsidRPr="003131C0">
        <w:rPr>
          <w:i/>
          <w:iCs/>
        </w:rPr>
        <w:t>See also</w:t>
      </w:r>
      <w:r w:rsidRPr="003131C0">
        <w:t xml:space="preserve"> Redd Solicitors LLP v. Red Legal Ltd</w:t>
      </w:r>
      <w:r>
        <w:t>.</w:t>
      </w:r>
      <w:r w:rsidRPr="003131C0">
        <w:t>, [2012] EWPCC 54</w:t>
      </w:r>
      <w:r>
        <w:t>,</w:t>
      </w:r>
      <w:r w:rsidRPr="003131C0">
        <w:t xml:space="preserve"> [2013] E.T.M.R. 13</w:t>
      </w:r>
      <w:r>
        <w:t>,</w:t>
      </w:r>
      <w:r w:rsidRPr="003131C0">
        <w:t xml:space="preserve"> ¶95 (Patents County Ct</w:t>
      </w:r>
      <w:r>
        <w:t>.</w:t>
      </w:r>
      <w:r w:rsidRPr="003131C0">
        <w:t xml:space="preserve"> 2012) (applying the CTM Regulations, finding confusion, but also indicating the possibility of tarnishment because defendant was a “low end” legal service whereas plaintiff was a “high end” legal group).</w:t>
      </w:r>
    </w:p>
  </w:footnote>
  <w:footnote w:id="215">
    <w:p w14:paraId="587D71D6" w14:textId="77777777" w:rsidR="006F142F" w:rsidRDefault="006F142F" w:rsidP="0052698D">
      <w:pPr>
        <w:pStyle w:val="footnote"/>
      </w:pPr>
      <w:r>
        <w:rPr>
          <w:vertAlign w:val="superscript"/>
        </w:rPr>
        <w:footnoteRef/>
      </w:r>
      <w:r>
        <w:t xml:space="preserve">[2013] EWHC 1826, 2013 WL 3197208 (Ch. June 28, 2013). </w:t>
      </w:r>
    </w:p>
  </w:footnote>
  <w:footnote w:id="216">
    <w:p w14:paraId="5F84F37C" w14:textId="77777777" w:rsidR="006F142F" w:rsidRDefault="006F142F" w:rsidP="0052698D">
      <w:pPr>
        <w:pStyle w:val="footnote"/>
      </w:pPr>
      <w:r>
        <w:rPr>
          <w:vertAlign w:val="superscript"/>
        </w:rPr>
        <w:footnoteRef/>
      </w:r>
      <w:r>
        <w:rPr>
          <w:i/>
        </w:rPr>
        <w:t>Id.</w:t>
      </w:r>
      <w:r>
        <w:t xml:space="preserve"> ¶183. The court also noted pointedly that “this [reputation requirement] is not a particularly onerous requirement.” </w:t>
      </w:r>
      <w:r>
        <w:rPr>
          <w:i/>
          <w:iCs/>
        </w:rPr>
        <w:t>Id</w:t>
      </w:r>
      <w:r>
        <w:t xml:space="preserve">. </w:t>
      </w:r>
    </w:p>
  </w:footnote>
  <w:footnote w:id="217">
    <w:p w14:paraId="0A7DC699" w14:textId="77777777" w:rsidR="006F142F" w:rsidRDefault="006F142F" w:rsidP="0052698D">
      <w:pPr>
        <w:pStyle w:val="footnote"/>
      </w:pPr>
      <w:r>
        <w:rPr>
          <w:vertAlign w:val="superscript"/>
        </w:rPr>
        <w:footnoteRef/>
      </w:r>
      <w:r>
        <w:rPr>
          <w:i/>
          <w:iCs/>
        </w:rPr>
        <w:t>Id.</w:t>
      </w:r>
      <w:r>
        <w:t xml:space="preserve"> ¶228. There was survey evidence introduced, but the court discounted it somewhat—though not entirely—due to methodological issues. </w:t>
      </w:r>
      <w:r>
        <w:rPr>
          <w:i/>
          <w:iCs/>
        </w:rPr>
        <w:t>Id.</w:t>
      </w:r>
      <w:r>
        <w:t xml:space="preserve"> ¶229. </w:t>
      </w:r>
    </w:p>
  </w:footnote>
  <w:footnote w:id="218">
    <w:p w14:paraId="16389A4D" w14:textId="77777777" w:rsidR="006F142F" w:rsidRDefault="006F142F" w:rsidP="0052698D">
      <w:pPr>
        <w:pStyle w:val="footnote"/>
      </w:pPr>
      <w:r>
        <w:rPr>
          <w:vertAlign w:val="superscript"/>
        </w:rPr>
        <w:footnoteRef/>
      </w:r>
      <w:r>
        <w:rPr>
          <w:i/>
          <w:iCs/>
        </w:rPr>
        <w:t>Id.</w:t>
      </w:r>
      <w:r>
        <w:t xml:space="preserve"> ¶233. </w:t>
      </w:r>
    </w:p>
  </w:footnote>
  <w:footnote w:id="219">
    <w:p w14:paraId="148430BA" w14:textId="77777777" w:rsidR="006F142F" w:rsidRDefault="006F142F" w:rsidP="0052698D">
      <w:pPr>
        <w:pStyle w:val="footnote"/>
      </w:pPr>
      <w:r>
        <w:rPr>
          <w:vertAlign w:val="superscript"/>
        </w:rPr>
        <w:footnoteRef/>
      </w:r>
      <w:r>
        <w:rPr>
          <w:i/>
          <w:iCs/>
        </w:rPr>
        <w:t>Id.</w:t>
      </w:r>
      <w:r>
        <w:t xml:space="preserve"> ¶234. The court also upheld a claim of infringement by confusion against Microsoft. </w:t>
      </w:r>
      <w:r>
        <w:rPr>
          <w:i/>
          <w:iCs/>
        </w:rPr>
        <w:t>Id.</w:t>
      </w:r>
      <w:r>
        <w:t xml:space="preserve"> ¶177. </w:t>
      </w:r>
    </w:p>
  </w:footnote>
  <w:footnote w:id="220">
    <w:p w14:paraId="2E4DFE41" w14:textId="77777777" w:rsidR="006F142F" w:rsidRDefault="006F142F" w:rsidP="0052698D">
      <w:pPr>
        <w:pStyle w:val="footnote"/>
      </w:pPr>
      <w:r>
        <w:rPr>
          <w:vertAlign w:val="superscript"/>
        </w:rPr>
        <w:footnoteRef/>
      </w:r>
      <w:r>
        <w:t xml:space="preserve">[2014] EWHC 2631 (Ch.). </w:t>
      </w:r>
    </w:p>
  </w:footnote>
  <w:footnote w:id="221">
    <w:p w14:paraId="011FBD50" w14:textId="77777777" w:rsidR="006F142F" w:rsidRDefault="006F142F" w:rsidP="0052698D">
      <w:pPr>
        <w:pStyle w:val="footnote"/>
      </w:pPr>
      <w:r>
        <w:rPr>
          <w:vertAlign w:val="superscript"/>
        </w:rPr>
        <w:footnoteRef/>
      </w:r>
      <w:r>
        <w:rPr>
          <w:i/>
          <w:iCs/>
        </w:rPr>
        <w:t>Id</w:t>
      </w:r>
      <w:r>
        <w:t xml:space="preserve">. ¶184. </w:t>
      </w:r>
    </w:p>
  </w:footnote>
  <w:footnote w:id="222">
    <w:p w14:paraId="39AE544B" w14:textId="77777777" w:rsidR="006F142F" w:rsidRDefault="006F142F" w:rsidP="0052698D">
      <w:pPr>
        <w:pStyle w:val="footnote"/>
      </w:pPr>
      <w:r>
        <w:rPr>
          <w:vertAlign w:val="superscript"/>
        </w:rPr>
        <w:footnoteRef/>
      </w:r>
      <w:r>
        <w:rPr>
          <w:i/>
          <w:iCs/>
        </w:rPr>
        <w:t>Id</w:t>
      </w:r>
      <w:r>
        <w:t xml:space="preserve">. ¶¶185–86. </w:t>
      </w:r>
    </w:p>
  </w:footnote>
  <w:footnote w:id="223">
    <w:p w14:paraId="6FE49DDB" w14:textId="77777777" w:rsidR="006F142F" w:rsidRDefault="006F142F" w:rsidP="0052698D">
      <w:pPr>
        <w:pStyle w:val="footnote"/>
      </w:pPr>
      <w:r>
        <w:rPr>
          <w:vertAlign w:val="superscript"/>
        </w:rPr>
        <w:footnoteRef/>
      </w:r>
      <w:r>
        <w:rPr>
          <w:i/>
          <w:iCs/>
        </w:rPr>
        <w:t>Id</w:t>
      </w:r>
      <w:r>
        <w:t xml:space="preserve">. ¶¶187–93. In part, the link was established by a previous finding of likelihood of confusion. </w:t>
      </w:r>
      <w:r>
        <w:rPr>
          <w:i/>
          <w:iCs/>
        </w:rPr>
        <w:t>Id</w:t>
      </w:r>
      <w:r>
        <w:t xml:space="preserve">. ¶187. </w:t>
      </w:r>
    </w:p>
  </w:footnote>
  <w:footnote w:id="224">
    <w:p w14:paraId="3088D358" w14:textId="77777777" w:rsidR="006F142F" w:rsidRDefault="006F142F" w:rsidP="0052698D">
      <w:pPr>
        <w:pStyle w:val="footnote"/>
      </w:pPr>
      <w:r>
        <w:rPr>
          <w:vertAlign w:val="superscript"/>
        </w:rPr>
        <w:footnoteRef/>
      </w:r>
      <w:r>
        <w:rPr>
          <w:i/>
          <w:iCs/>
        </w:rPr>
        <w:t>Id</w:t>
      </w:r>
      <w:r>
        <w:t xml:space="preserve">. ¶203. </w:t>
      </w:r>
    </w:p>
  </w:footnote>
  <w:footnote w:id="225">
    <w:p w14:paraId="0C20A952" w14:textId="77777777" w:rsidR="006F142F" w:rsidRDefault="006F142F" w:rsidP="0052698D">
      <w:pPr>
        <w:pStyle w:val="footnote"/>
      </w:pPr>
      <w:r>
        <w:rPr>
          <w:vertAlign w:val="superscript"/>
        </w:rPr>
        <w:footnoteRef/>
      </w:r>
      <w:r>
        <w:rPr>
          <w:i/>
          <w:iCs/>
        </w:rPr>
        <w:t>Id</w:t>
      </w:r>
      <w:r>
        <w:t xml:space="preserve">. ¶¶198–202. </w:t>
      </w:r>
    </w:p>
  </w:footnote>
  <w:footnote w:id="226">
    <w:p w14:paraId="5C0C53CD" w14:textId="77777777" w:rsidR="006F142F" w:rsidRDefault="006F142F" w:rsidP="0052698D">
      <w:pPr>
        <w:pStyle w:val="footnote"/>
      </w:pPr>
      <w:r>
        <w:rPr>
          <w:vertAlign w:val="superscript"/>
        </w:rPr>
        <w:footnoteRef/>
      </w:r>
      <w:r>
        <w:rPr>
          <w:i/>
          <w:iCs/>
        </w:rPr>
        <w:t>Id</w:t>
      </w:r>
      <w:r>
        <w:t xml:space="preserve">. ¶204. </w:t>
      </w:r>
    </w:p>
  </w:footnote>
  <w:footnote w:id="227">
    <w:p w14:paraId="5FF7D555" w14:textId="77777777" w:rsidR="006F142F" w:rsidRDefault="006F142F" w:rsidP="0052698D">
      <w:pPr>
        <w:pStyle w:val="footnote"/>
      </w:pPr>
      <w:r>
        <w:rPr>
          <w:vertAlign w:val="superscript"/>
        </w:rPr>
        <w:footnoteRef/>
      </w:r>
      <w:r>
        <w:rPr>
          <w:i/>
          <w:iCs/>
        </w:rPr>
        <w:t>Id</w:t>
      </w:r>
      <w:r>
        <w:t xml:space="preserve">. ¶¶205–06. </w:t>
      </w:r>
    </w:p>
  </w:footnote>
  <w:footnote w:id="228">
    <w:p w14:paraId="41C0135E" w14:textId="77777777" w:rsidR="006F142F" w:rsidRDefault="006F142F" w:rsidP="0052698D">
      <w:pPr>
        <w:pStyle w:val="footnote"/>
      </w:pPr>
      <w:r>
        <w:rPr>
          <w:vertAlign w:val="superscript"/>
        </w:rPr>
        <w:footnoteRef/>
      </w:r>
      <w:r>
        <w:rPr>
          <w:i/>
          <w:iCs/>
        </w:rPr>
        <w:t>Id</w:t>
      </w:r>
      <w:r>
        <w:t xml:space="preserve">. ¶207. The court proceeded to find dilution under the U.K. statute for the same reasons as it found dilution under the CTM regulations. </w:t>
      </w:r>
      <w:r>
        <w:rPr>
          <w:i/>
          <w:iCs/>
        </w:rPr>
        <w:t>Id</w:t>
      </w:r>
      <w:r>
        <w:t xml:space="preserve">. ¶¶209–10. </w:t>
      </w:r>
      <w:r>
        <w:rPr>
          <w:i/>
          <w:iCs/>
        </w:rPr>
        <w:t>See</w:t>
      </w:r>
      <w:r>
        <w:t xml:space="preserve"> Champagne Louis Roederer S.A. v. J Garcia Carrion S.A., [2015] EWHC 2760, [2015] E.T.M.R. 51 (Ch.), ¶¶78–90 (finding that defendant’s use of Cristalino as mark for its sparkling wine would harm the selling power of Cristal champagne, but also finding no tarnishment because there was no issue as to the quality of Cristalino sparkling wine—the court said that the mere fact that defendant’s product was cheaper did not mean there was tarnishment). </w:t>
      </w:r>
    </w:p>
  </w:footnote>
  <w:footnote w:id="229">
    <w:p w14:paraId="00B3CFCC" w14:textId="77777777" w:rsidR="006F142F" w:rsidRDefault="006F142F" w:rsidP="0052698D">
      <w:pPr>
        <w:pStyle w:val="footnote"/>
      </w:pPr>
      <w:r>
        <w:rPr>
          <w:vertAlign w:val="superscript"/>
        </w:rPr>
        <w:footnoteRef/>
      </w:r>
      <w:r>
        <w:t xml:space="preserve">[2016] EWCA 41, [2016] E.T.M.R. 22 (Ct. App.). </w:t>
      </w:r>
    </w:p>
  </w:footnote>
  <w:footnote w:id="230">
    <w:p w14:paraId="0D378600" w14:textId="77777777" w:rsidR="006F142F" w:rsidRDefault="006F142F" w:rsidP="0052698D">
      <w:pPr>
        <w:pStyle w:val="footnote"/>
      </w:pPr>
      <w:r>
        <w:rPr>
          <w:vertAlign w:val="superscript"/>
        </w:rPr>
        <w:footnoteRef/>
      </w:r>
      <w:r>
        <w:rPr>
          <w:i/>
          <w:iCs/>
        </w:rPr>
        <w:t>Id</w:t>
      </w:r>
      <w:r>
        <w:t xml:space="preserve">. ¶¶2–4, 13–15. </w:t>
      </w:r>
    </w:p>
  </w:footnote>
  <w:footnote w:id="231">
    <w:p w14:paraId="261C6D05" w14:textId="77777777" w:rsidR="006F142F" w:rsidRDefault="006F142F" w:rsidP="0052698D">
      <w:pPr>
        <w:pStyle w:val="footnote"/>
      </w:pPr>
      <w:r>
        <w:rPr>
          <w:vertAlign w:val="superscript"/>
        </w:rPr>
        <w:footnoteRef/>
      </w:r>
      <w:r>
        <w:rPr>
          <w:i/>
          <w:iCs/>
        </w:rPr>
        <w:t>Id</w:t>
      </w:r>
      <w:r>
        <w:t xml:space="preserve">. ¶¶130–38. </w:t>
      </w:r>
    </w:p>
  </w:footnote>
  <w:footnote w:id="232">
    <w:p w14:paraId="2B8F0E94" w14:textId="77777777" w:rsidR="006F142F" w:rsidRDefault="006F142F" w:rsidP="0052698D">
      <w:pPr>
        <w:pStyle w:val="footnote"/>
      </w:pPr>
      <w:r>
        <w:rPr>
          <w:vertAlign w:val="superscript"/>
        </w:rPr>
        <w:footnoteRef/>
      </w:r>
      <w:r>
        <w:rPr>
          <w:i/>
          <w:iCs/>
        </w:rPr>
        <w:t>Id</w:t>
      </w:r>
      <w:r>
        <w:t xml:space="preserve">. ¶144. </w:t>
      </w:r>
    </w:p>
  </w:footnote>
  <w:footnote w:id="233">
    <w:p w14:paraId="2A2F16FA" w14:textId="77777777" w:rsidR="006F142F" w:rsidRDefault="006F142F" w:rsidP="0052698D">
      <w:pPr>
        <w:pStyle w:val="footnote"/>
      </w:pPr>
      <w:r>
        <w:rPr>
          <w:vertAlign w:val="superscript"/>
        </w:rPr>
        <w:footnoteRef/>
      </w:r>
      <w:r>
        <w:t xml:space="preserve">[2014] E.T.M.R. 28 (Ch. 2014). </w:t>
      </w:r>
    </w:p>
  </w:footnote>
  <w:footnote w:id="234">
    <w:p w14:paraId="6B91306C" w14:textId="77777777" w:rsidR="006F142F" w:rsidRDefault="006F142F" w:rsidP="0052698D">
      <w:pPr>
        <w:pStyle w:val="footnote"/>
      </w:pPr>
      <w:r>
        <w:rPr>
          <w:vertAlign w:val="superscript"/>
        </w:rPr>
        <w:footnoteRef/>
      </w:r>
      <w:r>
        <w:rPr>
          <w:i/>
          <w:iCs/>
        </w:rPr>
        <w:t>Id</w:t>
      </w:r>
      <w:r>
        <w:t xml:space="preserve">. ¶80. </w:t>
      </w:r>
    </w:p>
  </w:footnote>
  <w:footnote w:id="235">
    <w:p w14:paraId="3BFB9F40" w14:textId="77777777" w:rsidR="006F142F" w:rsidRDefault="006F142F" w:rsidP="0052698D">
      <w:pPr>
        <w:pStyle w:val="footnote"/>
      </w:pPr>
      <w:r>
        <w:rPr>
          <w:vertAlign w:val="superscript"/>
        </w:rPr>
        <w:footnoteRef/>
      </w:r>
      <w:r>
        <w:rPr>
          <w:i/>
          <w:iCs/>
        </w:rPr>
        <w:t>Id</w:t>
      </w:r>
      <w:r>
        <w:t xml:space="preserve">. ¶81. The idea that such evidence might be necessary came from the CJEU’s decisions regarding the harm-to-distinctiveness branch of dilution. </w:t>
      </w:r>
      <w:r>
        <w:rPr>
          <w:i/>
          <w:iCs/>
        </w:rPr>
        <w:t>See id.</w:t>
      </w:r>
      <w:r>
        <w:t xml:space="preserve"> </w:t>
      </w:r>
    </w:p>
  </w:footnote>
  <w:footnote w:id="236">
    <w:p w14:paraId="3F192DCC" w14:textId="77777777" w:rsidR="006F142F" w:rsidRDefault="006F142F" w:rsidP="0052698D">
      <w:pPr>
        <w:pStyle w:val="footnote"/>
      </w:pPr>
      <w:r>
        <w:rPr>
          <w:vertAlign w:val="superscript"/>
        </w:rPr>
        <w:footnoteRef/>
      </w:r>
      <w:r>
        <w:rPr>
          <w:i/>
          <w:iCs/>
        </w:rPr>
        <w:t>Id</w:t>
      </w:r>
      <w:r>
        <w:t xml:space="preserve">. ¶110. </w:t>
      </w:r>
    </w:p>
  </w:footnote>
  <w:footnote w:id="237">
    <w:p w14:paraId="43FEB2E4" w14:textId="77777777" w:rsidR="006F142F" w:rsidRDefault="006F142F" w:rsidP="0052698D">
      <w:pPr>
        <w:pStyle w:val="footnote"/>
      </w:pPr>
      <w:r>
        <w:rPr>
          <w:vertAlign w:val="superscript"/>
        </w:rPr>
        <w:footnoteRef/>
      </w:r>
      <w:r>
        <w:rPr>
          <w:i/>
          <w:iCs/>
        </w:rPr>
        <w:t>Id</w:t>
      </w:r>
      <w:r>
        <w:t xml:space="preserve">. ¶109. A somewhat similar situation, but involving a far better known plaintiff’s mark, was involved in </w:t>
      </w:r>
      <w:r>
        <w:rPr>
          <w:i/>
          <w:iCs/>
        </w:rPr>
        <w:t>Champagne Louis Roederer v. J Garcia Carrion S.A.</w:t>
      </w:r>
      <w:r>
        <w:t xml:space="preserve">, [2015] EWHC 2760, [2015] E.T.M.R. 51 (Ch. 2015), where the maker of “Cristal” champagne sued the maker of a Spanish sparkling wine labeled “Cristalino.” The court cited and quoted </w:t>
      </w:r>
      <w:r>
        <w:rPr>
          <w:i/>
          <w:iCs/>
        </w:rPr>
        <w:t>Jack Wills</w:t>
      </w:r>
      <w:r>
        <w:t xml:space="preserve"> extensively, finding that the latter mark took unfair advantage of the Cristal mark. </w:t>
      </w:r>
      <w:r>
        <w:rPr>
          <w:i/>
          <w:iCs/>
        </w:rPr>
        <w:t>Id.</w:t>
      </w:r>
      <w:r>
        <w:t xml:space="preserve"> ¶¶91–101. But</w:t>
      </w:r>
      <w:r>
        <w:rPr>
          <w:i/>
          <w:iCs/>
        </w:rPr>
        <w:t xml:space="preserve"> cf.</w:t>
      </w:r>
      <w:r>
        <w:t xml:space="preserve"> Enterprise Holdings Inc. v. Europcar Grp. UK Ltd.,</w:t>
      </w:r>
      <w:r>
        <w:rPr>
          <w:i/>
          <w:iCs/>
        </w:rPr>
        <w:t xml:space="preserve"> </w:t>
      </w:r>
      <w:r>
        <w:t xml:space="preserve">[2015] EWHC 17, ¶¶223–24 (Ch. 2015) (distinguishing </w:t>
      </w:r>
      <w:r>
        <w:rPr>
          <w:i/>
          <w:iCs/>
        </w:rPr>
        <w:t>Jack Wills</w:t>
      </w:r>
      <w:r>
        <w:t xml:space="preserve"> on various grounds, including lesser similarity—and thus lesser link—prominence of the defendant’s mark when used with the offending logo, and prominence of defendant’s brand generally, which the court opined made it less likely that defendant was taking advantage of plaintiff’s mark). </w:t>
      </w:r>
    </w:p>
  </w:footnote>
  <w:footnote w:id="238">
    <w:p w14:paraId="1D21AF1F" w14:textId="77777777" w:rsidR="006F142F" w:rsidRDefault="006F142F">
      <w:pPr>
        <w:pStyle w:val="FootnoteText"/>
      </w:pPr>
      <w:r>
        <w:rPr>
          <w:rStyle w:val="FootnoteReference"/>
          <w:rFonts w:eastAsiaTheme="majorEastAsia"/>
        </w:rPr>
        <w:footnoteRef/>
      </w:r>
      <w:r>
        <w:t>[2024] EWCA Civ 262 (Ct. App. 2024).</w:t>
      </w:r>
    </w:p>
  </w:footnote>
  <w:footnote w:id="239">
    <w:p w14:paraId="3047E705" w14:textId="77777777" w:rsidR="006F142F" w:rsidRPr="00974FD4" w:rsidRDefault="006F142F">
      <w:pPr>
        <w:pStyle w:val="FootnoteText"/>
      </w:pPr>
      <w:r>
        <w:rPr>
          <w:rStyle w:val="FootnoteReference"/>
          <w:rFonts w:eastAsiaTheme="majorEastAsia"/>
        </w:rPr>
        <w:footnoteRef/>
      </w:r>
      <w:r>
        <w:rPr>
          <w:i/>
          <w:iCs/>
        </w:rPr>
        <w:t>Id</w:t>
      </w:r>
      <w:r>
        <w:t xml:space="preserve">. ¶168 (opinion of Arnold, L.J.); </w:t>
      </w:r>
      <w:r>
        <w:rPr>
          <w:i/>
          <w:iCs/>
        </w:rPr>
        <w:t>id</w:t>
      </w:r>
      <w:r>
        <w:t xml:space="preserve">. ¶199 (opinion of Birss, L.J.); </w:t>
      </w:r>
      <w:r>
        <w:rPr>
          <w:i/>
          <w:iCs/>
        </w:rPr>
        <w:t>id</w:t>
      </w:r>
      <w:r>
        <w:t>. ¶¶212–15 (opinion of Lewiston, L.J.).</w:t>
      </w:r>
    </w:p>
  </w:footnote>
  <w:footnote w:id="240">
    <w:p w14:paraId="51766B7B" w14:textId="77777777" w:rsidR="006F142F" w:rsidRPr="004633FC" w:rsidRDefault="006F142F">
      <w:pPr>
        <w:pStyle w:val="FootnoteText"/>
      </w:pPr>
      <w:r>
        <w:rPr>
          <w:rStyle w:val="FootnoteReference"/>
          <w:rFonts w:eastAsiaTheme="majorEastAsia"/>
        </w:rPr>
        <w:footnoteRef/>
      </w:r>
      <w:r>
        <w:t xml:space="preserve">[2025] EWCA Civ. 5, [2025] F.S.R. 9 (Ct. App. 2025), </w:t>
      </w:r>
      <w:r>
        <w:rPr>
          <w:i/>
          <w:iCs/>
        </w:rPr>
        <w:t>rev’g</w:t>
      </w:r>
      <w:r>
        <w:t>, [2024] EWHC 88 (High Court (IPEC) Jan. 24, 2024).</w:t>
      </w:r>
    </w:p>
  </w:footnote>
  <w:footnote w:id="241">
    <w:p w14:paraId="47061E28" w14:textId="77777777" w:rsidR="006F142F" w:rsidRPr="00193B9B" w:rsidRDefault="006F142F">
      <w:pPr>
        <w:pStyle w:val="FootnoteText"/>
      </w:pPr>
      <w:r>
        <w:rPr>
          <w:rStyle w:val="FootnoteReference"/>
          <w:rFonts w:eastAsiaTheme="majorEastAsia"/>
        </w:rPr>
        <w:footnoteRef/>
      </w:r>
      <w:r>
        <w:rPr>
          <w:i/>
          <w:iCs/>
        </w:rPr>
        <w:t>Id</w:t>
      </w:r>
      <w:r>
        <w:t>. ¶114.</w:t>
      </w:r>
    </w:p>
  </w:footnote>
  <w:footnote w:id="242">
    <w:p w14:paraId="50BFC184" w14:textId="77777777" w:rsidR="006F142F" w:rsidRPr="00193B9B" w:rsidRDefault="006F142F">
      <w:pPr>
        <w:pStyle w:val="FootnoteText"/>
      </w:pPr>
      <w:r>
        <w:rPr>
          <w:rStyle w:val="FootnoteReference"/>
          <w:rFonts w:eastAsiaTheme="majorEastAsia"/>
        </w:rPr>
        <w:footnoteRef/>
      </w:r>
      <w:r>
        <w:rPr>
          <w:i/>
          <w:iCs/>
        </w:rPr>
        <w:t>Id</w:t>
      </w:r>
      <w:r>
        <w:t>.</w:t>
      </w:r>
    </w:p>
  </w:footnote>
  <w:footnote w:id="243">
    <w:p w14:paraId="676FCEC0" w14:textId="77777777" w:rsidR="006F142F" w:rsidRDefault="006F142F">
      <w:pPr>
        <w:pStyle w:val="FootnoteText"/>
      </w:pPr>
      <w:r>
        <w:rPr>
          <w:rStyle w:val="FootnoteReference"/>
          <w:rFonts w:eastAsiaTheme="majorEastAsia"/>
        </w:rPr>
        <w:footnoteRef/>
      </w:r>
      <w:r>
        <w:rPr>
          <w:i/>
          <w:iCs/>
        </w:rPr>
        <w:t>Id</w:t>
      </w:r>
      <w:r>
        <w:t>. ¶¶122–124.</w:t>
      </w:r>
    </w:p>
  </w:footnote>
  <w:footnote w:id="244">
    <w:p w14:paraId="475B87DF" w14:textId="77777777" w:rsidR="006F142F" w:rsidRDefault="006F142F">
      <w:pPr>
        <w:pStyle w:val="FootnoteText"/>
      </w:pPr>
      <w:r>
        <w:rPr>
          <w:rStyle w:val="FootnoteReference"/>
          <w:rFonts w:eastAsiaTheme="majorEastAsia"/>
        </w:rPr>
        <w:footnoteRef/>
      </w:r>
      <w:r>
        <w:t>2024 EWHC 2990, 2025 F.S.R. 10 (Ch. D. 2024).</w:t>
      </w:r>
    </w:p>
  </w:footnote>
  <w:footnote w:id="245">
    <w:p w14:paraId="1D7853F9" w14:textId="77777777" w:rsidR="006F142F" w:rsidRPr="00666C15" w:rsidRDefault="006F142F">
      <w:pPr>
        <w:pStyle w:val="FootnoteText"/>
      </w:pPr>
      <w:r>
        <w:rPr>
          <w:rStyle w:val="FootnoteReference"/>
          <w:rFonts w:eastAsiaTheme="majorEastAsia"/>
        </w:rPr>
        <w:footnoteRef/>
      </w:r>
      <w:r>
        <w:t>2025 F.S.R. 10, ¶656.</w:t>
      </w:r>
    </w:p>
  </w:footnote>
  <w:footnote w:id="246">
    <w:p w14:paraId="2C3A48C1" w14:textId="77777777" w:rsidR="006F142F" w:rsidRDefault="006F142F">
      <w:pPr>
        <w:pStyle w:val="FootnoteText"/>
      </w:pPr>
      <w:r>
        <w:rPr>
          <w:rStyle w:val="FootnoteReference"/>
          <w:rFonts w:eastAsiaTheme="majorEastAsia"/>
        </w:rPr>
        <w:footnoteRef/>
      </w:r>
      <w:r>
        <w:rPr>
          <w:i/>
          <w:iCs/>
        </w:rPr>
        <w:t>Id</w:t>
      </w:r>
      <w:r>
        <w:t>. ¶665-–666.</w:t>
      </w:r>
    </w:p>
  </w:footnote>
  <w:footnote w:id="247">
    <w:p w14:paraId="5305F106" w14:textId="77777777" w:rsidR="006F142F" w:rsidRDefault="006F142F">
      <w:pPr>
        <w:pStyle w:val="FootnoteText"/>
      </w:pPr>
      <w:r>
        <w:rPr>
          <w:rStyle w:val="FootnoteReference"/>
          <w:rFonts w:eastAsiaTheme="majorEastAsia"/>
        </w:rPr>
        <w:footnoteRef/>
      </w:r>
      <w:r>
        <w:rPr>
          <w:i/>
          <w:iCs/>
        </w:rPr>
        <w:t>Id</w:t>
      </w:r>
      <w:r>
        <w:t>. ¶677.</w:t>
      </w:r>
    </w:p>
  </w:footnote>
  <w:footnote w:id="248">
    <w:p w14:paraId="25FC5603" w14:textId="77777777" w:rsidR="006F142F" w:rsidRDefault="006F142F" w:rsidP="000D7ECF">
      <w:pPr>
        <w:pStyle w:val="FootnoteText"/>
      </w:pPr>
      <w:r>
        <w:rPr>
          <w:rStyle w:val="FootnoteReference"/>
          <w:rFonts w:eastAsiaTheme="majorEastAsia"/>
        </w:rPr>
        <w:footnoteRef/>
      </w:r>
      <w:r>
        <w:t>[2019] EWHC 1150 (High Ct. of Justice Business and Prop. Ch. D. May 14, 2019).</w:t>
      </w:r>
    </w:p>
  </w:footnote>
  <w:footnote w:id="249">
    <w:p w14:paraId="5C7C7AF8" w14:textId="77777777" w:rsidR="006F142F" w:rsidRPr="0029118D" w:rsidRDefault="006F142F" w:rsidP="000D7ECF">
      <w:pPr>
        <w:pStyle w:val="FootnoteText"/>
      </w:pPr>
      <w:r>
        <w:rPr>
          <w:rStyle w:val="FootnoteReference"/>
          <w:rFonts w:eastAsiaTheme="majorEastAsia"/>
        </w:rPr>
        <w:footnoteRef/>
      </w:r>
      <w:r>
        <w:t xml:space="preserve">Beauty &amp; The Bay was supposedly a play on Beauty and the Beast. Other titles included “I left my Heart in Tan Francisco.” </w:t>
      </w:r>
      <w:r>
        <w:rPr>
          <w:i/>
          <w:iCs/>
        </w:rPr>
        <w:t>Id</w:t>
      </w:r>
      <w:r>
        <w:t xml:space="preserve">. </w:t>
      </w:r>
    </w:p>
  </w:footnote>
  <w:footnote w:id="250">
    <w:p w14:paraId="2E8659AE" w14:textId="77777777" w:rsidR="006F142F" w:rsidRPr="00B14711" w:rsidRDefault="006F142F" w:rsidP="0052698D">
      <w:pPr>
        <w:pStyle w:val="footnote"/>
      </w:pPr>
      <w:r w:rsidRPr="00B14711">
        <w:rPr>
          <w:vertAlign w:val="superscript"/>
        </w:rPr>
        <w:footnoteRef/>
      </w:r>
      <w:r>
        <w:rPr>
          <w:i/>
          <w:iCs/>
        </w:rPr>
        <w:t>See, e.g.</w:t>
      </w:r>
      <w:r>
        <w:t>, Thatchers Cider Co. Ltd. v. Aldi Ltd., [2025] EWCA Civ. 5, [2025] F.S.R. 9 (Ct. App. 2025).</w:t>
      </w:r>
      <w:r>
        <w:rPr>
          <w:i/>
          <w:iCs/>
        </w:rPr>
        <w:t xml:space="preserve"> </w:t>
      </w:r>
      <w:r w:rsidRPr="00B14711">
        <w:rPr>
          <w:i/>
          <w:iCs/>
        </w:rPr>
        <w:t>Cf</w:t>
      </w:r>
      <w:r w:rsidRPr="00B14711">
        <w:t>. DataCard Corp. v. Eagle Techs. Ltd., [2011] EWHC 244 (High Ct. Ch. Div. 2011) (use of mark DataCard to indicate compatibility with that brand of card printer does not take unfair advantage). This case indicates a distinction between a comparative advertisement, where the defendant draws attention to itself using the “star power” of the well-known mark, and an advertisement that simply touts compatibility.</w:t>
      </w:r>
    </w:p>
  </w:footnote>
  <w:footnote w:id="251">
    <w:p w14:paraId="732B3D07" w14:textId="77777777" w:rsidR="006F142F" w:rsidRPr="00B14711" w:rsidRDefault="006F142F" w:rsidP="0052698D">
      <w:pPr>
        <w:pStyle w:val="footnote"/>
      </w:pPr>
      <w:r w:rsidRPr="00B14711">
        <w:rPr>
          <w:vertAlign w:val="superscript"/>
        </w:rPr>
        <w:footnoteRef/>
      </w:r>
      <w:r w:rsidRPr="00B14711">
        <w:rPr>
          <w:i/>
          <w:iCs/>
        </w:rPr>
        <w:t>See, e</w:t>
      </w:r>
      <w:r w:rsidRPr="00B14711">
        <w:t>.</w:t>
      </w:r>
      <w:r w:rsidRPr="00B14711">
        <w:rPr>
          <w:i/>
          <w:iCs/>
        </w:rPr>
        <w:t>g</w:t>
      </w:r>
      <w:r w:rsidRPr="00B14711">
        <w:t>., Harrods Ltd. v. Harrodian Sch. Ltd., [1996] R.P.C. 697 (Court of Appeal).</w:t>
      </w:r>
    </w:p>
  </w:footnote>
  <w:footnote w:id="252">
    <w:p w14:paraId="5CD1270F" w14:textId="77777777" w:rsidR="006F142F" w:rsidRPr="00251F78" w:rsidRDefault="006F142F" w:rsidP="0052698D">
      <w:pPr>
        <w:pStyle w:val="footnote"/>
        <w:rPr>
          <w:lang w:val="es-US"/>
        </w:rPr>
      </w:pPr>
      <w:r w:rsidRPr="00B14711">
        <w:rPr>
          <w:vertAlign w:val="superscript"/>
        </w:rPr>
        <w:footnoteRef/>
      </w:r>
      <w:r w:rsidRPr="00B14711">
        <w:rPr>
          <w:i/>
          <w:iCs/>
        </w:rPr>
        <w:t>See</w:t>
      </w:r>
      <w:r w:rsidRPr="00B14711">
        <w:t xml:space="preserve"> Taittinger S.A. v. Allbev, Ltd., [1994] 4 All E.R. 75, 87–88, [1993] F.S.R. 641 (C.A. (Civil) 1993) (Gibson, L.J.); </w:t>
      </w:r>
      <w:r w:rsidRPr="00B14711">
        <w:rPr>
          <w:i/>
          <w:iCs/>
        </w:rPr>
        <w:t>id</w:t>
      </w:r>
      <w:r w:rsidRPr="00B14711">
        <w:t xml:space="preserve">. at 91 (Mann, L.J.); </w:t>
      </w:r>
      <w:r w:rsidRPr="00B14711">
        <w:rPr>
          <w:i/>
          <w:iCs/>
        </w:rPr>
        <w:t>see also</w:t>
      </w:r>
      <w:r w:rsidRPr="00B14711">
        <w:t xml:space="preserve"> Lego Sys. </w:t>
      </w:r>
      <w:r w:rsidRPr="00251F78">
        <w:rPr>
          <w:lang w:val="es-US"/>
        </w:rPr>
        <w:t>Aktielskab v. Lego M. Lemelstich, [1983] 9 F.S.R. 155, 183–84 (Ch. 1982).</w:t>
      </w:r>
    </w:p>
  </w:footnote>
  <w:footnote w:id="253">
    <w:p w14:paraId="5ED44B7B" w14:textId="77777777" w:rsidR="006F142F" w:rsidRPr="00B14711" w:rsidRDefault="006F142F" w:rsidP="0052698D">
      <w:pPr>
        <w:pStyle w:val="footnote"/>
      </w:pPr>
      <w:r w:rsidRPr="00B14711">
        <w:rPr>
          <w:vertAlign w:val="superscript"/>
        </w:rPr>
        <w:footnoteRef/>
      </w:r>
      <w:r w:rsidRPr="00251F78">
        <w:rPr>
          <w:lang w:val="es-US"/>
        </w:rPr>
        <w:t xml:space="preserve">Dictamen a la Minuta Con Provecto de Decreto Por El Cual Se Reforman y Adicionan Diversas Disposiciones de la Ley de la Propiedad Industrial, Para Crear Las Figuras Jurídicas de Declaratoria de Marca Notoriamente Conocida y de Declaratoria de Marca Famosa, Art. 90.XV(c) and (d). </w:t>
      </w:r>
      <w:r w:rsidRPr="00B14711">
        <w:t xml:space="preserve">Another section gives a mark owner the right to have the mark declared “well known” or “famous” by the Institute of Industrial Property, which is the Mexican equivalent of the U.S. Patent and Trademark Office. </w:t>
      </w:r>
      <w:r w:rsidRPr="00B14711">
        <w:rPr>
          <w:i/>
          <w:iCs/>
        </w:rPr>
        <w:t>Id</w:t>
      </w:r>
      <w:r w:rsidRPr="00B14711">
        <w:t>. Art. 98</w:t>
      </w:r>
      <w:r w:rsidRPr="00B14711">
        <w:rPr>
          <w:i/>
          <w:iCs/>
        </w:rPr>
        <w:t>bis</w:t>
      </w:r>
      <w:r w:rsidRPr="00B14711">
        <w:t>-4. The terms “well known” and “famous” are defined in Article 98</w:t>
      </w:r>
      <w:r w:rsidRPr="00B14711">
        <w:rPr>
          <w:i/>
          <w:iCs/>
        </w:rPr>
        <w:t>bis</w:t>
      </w:r>
      <w:r w:rsidRPr="00B14711">
        <w:t>.</w:t>
      </w:r>
    </w:p>
  </w:footnote>
  <w:footnote w:id="254">
    <w:p w14:paraId="11609024" w14:textId="77777777" w:rsidR="006F142F" w:rsidRPr="0000335F" w:rsidRDefault="006F142F" w:rsidP="000D7ECF">
      <w:pPr>
        <w:pStyle w:val="text"/>
        <w:rPr>
          <w:sz w:val="20"/>
          <w:szCs w:val="20"/>
        </w:rPr>
      </w:pPr>
      <w:r w:rsidRPr="0000335F">
        <w:rPr>
          <w:sz w:val="20"/>
          <w:szCs w:val="20"/>
          <w:vertAlign w:val="superscript"/>
        </w:rPr>
        <w:footnoteRef/>
      </w:r>
      <w:r w:rsidRPr="0000335F">
        <w:rPr>
          <w:i/>
          <w:iCs/>
          <w:sz w:val="20"/>
          <w:szCs w:val="20"/>
        </w:rPr>
        <w:t>Id</w:t>
      </w:r>
      <w:r w:rsidRPr="0000335F">
        <w:rPr>
          <w:sz w:val="20"/>
          <w:szCs w:val="20"/>
        </w:rPr>
        <w:t xml:space="preserve">. Art. 90.XV(c) and (d). For a discussion of case law applying the 2005 law, as well as statutory and case law prior to the 2005 amendments, </w:t>
      </w:r>
      <w:r w:rsidRPr="0000335F">
        <w:rPr>
          <w:iCs/>
          <w:sz w:val="20"/>
          <w:szCs w:val="20"/>
        </w:rPr>
        <w:t>see generally</w:t>
      </w:r>
      <w:r w:rsidRPr="0000335F">
        <w:rPr>
          <w:sz w:val="20"/>
          <w:szCs w:val="20"/>
        </w:rPr>
        <w:t xml:space="preserve"> John M. Murphy, </w:t>
      </w:r>
      <w:r w:rsidRPr="0000335F">
        <w:rPr>
          <w:i/>
          <w:iCs/>
          <w:sz w:val="20"/>
          <w:szCs w:val="20"/>
        </w:rPr>
        <w:t>Famous and Well Known Marks in Mexico: Past, Present, and Future</w:t>
      </w:r>
      <w:r w:rsidRPr="0000335F">
        <w:rPr>
          <w:sz w:val="20"/>
          <w:szCs w:val="20"/>
        </w:rPr>
        <w:t xml:space="preserve">, 105 </w:t>
      </w:r>
      <w:r w:rsidRPr="0000335F">
        <w:rPr>
          <w:smallCaps/>
          <w:sz w:val="20"/>
          <w:szCs w:val="20"/>
        </w:rPr>
        <w:t>Trademark Rep</w:t>
      </w:r>
      <w:r w:rsidRPr="0000335F">
        <w:rPr>
          <w:sz w:val="20"/>
          <w:szCs w:val="20"/>
        </w:rPr>
        <w:t xml:space="preserve">. 1060 (2015). A 2018 amendment to Mexico’s intellectual property laws added protection for Geographic Indications (GIs) and Appellations of Origin (AOs). As part of the amendment, Article 90 of the trademarks law was amended to allow refusal of a trademark that is a geographical origin and may cause confusion or imply unfair competition—even if the mark is accompanied by such modifiers as “type” or “imitation.” This could be seen as a form of dilution protection for GIs and AOs. </w:t>
      </w:r>
      <w:r w:rsidRPr="0000335F">
        <w:rPr>
          <w:i/>
          <w:iCs/>
          <w:sz w:val="20"/>
          <w:szCs w:val="20"/>
        </w:rPr>
        <w:t>See</w:t>
      </w:r>
      <w:r w:rsidRPr="0000335F">
        <w:rPr>
          <w:sz w:val="20"/>
          <w:szCs w:val="20"/>
        </w:rPr>
        <w:t xml:space="preserve"> Mexican GIs and the registry of foreign GIs and AOs, </w:t>
      </w:r>
      <w:r w:rsidRPr="0000335F">
        <w:rPr>
          <w:sz w:val="20"/>
          <w:szCs w:val="20"/>
          <w:u w:color="0563C1"/>
        </w:rPr>
        <w:t>http://ipkitten.blogspot.com/2018/06/mexican-gis-and-registry-of-foreign-gis.html</w:t>
      </w:r>
      <w:r w:rsidRPr="0000335F">
        <w:rPr>
          <w:sz w:val="20"/>
          <w:szCs w:val="20"/>
        </w:rPr>
        <w:t xml:space="preserve"> (The amendment, in Spanish, can be found at </w:t>
      </w:r>
      <w:r w:rsidRPr="0000335F">
        <w:rPr>
          <w:sz w:val="20"/>
          <w:szCs w:val="20"/>
          <w:u w:color="0563C1"/>
        </w:rPr>
        <w:t>http://www.dof.gob.mx/nota_detalle.php?codigo=5515853&amp;fecha=13/03/2018</w:t>
      </w:r>
      <w:r w:rsidRPr="0000335F">
        <w:rPr>
          <w:sz w:val="20"/>
          <w:szCs w:val="20"/>
        </w:rPr>
        <w:t>.)</w:t>
      </w:r>
      <w:r>
        <w:rPr>
          <w:sz w:val="20"/>
          <w:szCs w:val="20"/>
        </w:rPr>
        <w:t>.</w:t>
      </w:r>
    </w:p>
    <w:p w14:paraId="4086827B" w14:textId="77777777" w:rsidR="006F142F" w:rsidRPr="00B14711" w:rsidRDefault="006F142F" w:rsidP="0052698D">
      <w:pPr>
        <w:pStyle w:val="footnote"/>
      </w:pPr>
    </w:p>
  </w:footnote>
  <w:footnote w:id="255">
    <w:p w14:paraId="03487484" w14:textId="77777777" w:rsidR="006F142F" w:rsidRPr="00B14711" w:rsidRDefault="006F142F" w:rsidP="0052698D">
      <w:pPr>
        <w:pStyle w:val="footnote"/>
      </w:pPr>
      <w:r w:rsidRPr="00B14711">
        <w:rPr>
          <w:vertAlign w:val="superscript"/>
        </w:rPr>
        <w:footnoteRef/>
      </w:r>
      <w:r w:rsidRPr="00B14711">
        <w:t>Law No. 35 of May 10, 1996, Enacting Provisions on Industrial Property Art. 98.</w:t>
      </w:r>
    </w:p>
  </w:footnote>
  <w:footnote w:id="256">
    <w:p w14:paraId="0DAA988A" w14:textId="77777777" w:rsidR="006F142F" w:rsidRPr="00B14711" w:rsidRDefault="006F142F" w:rsidP="0052698D">
      <w:pPr>
        <w:pStyle w:val="footnote"/>
      </w:pPr>
      <w:r w:rsidRPr="00B14711">
        <w:rPr>
          <w:vertAlign w:val="superscript"/>
        </w:rPr>
        <w:footnoteRef/>
      </w:r>
      <w:r w:rsidRPr="00B14711">
        <w:rPr>
          <w:i/>
          <w:iCs/>
        </w:rPr>
        <w:t>Id</w:t>
      </w:r>
      <w:r w:rsidRPr="00B14711">
        <w:t>. Art. 99(5), (6) (these sections do not appear to be tied to any showing that the protected mark is famous or well known).</w:t>
      </w:r>
    </w:p>
  </w:footnote>
  <w:footnote w:id="257">
    <w:p w14:paraId="64AA9C88" w14:textId="77777777" w:rsidR="006F142F" w:rsidRPr="00B14711" w:rsidRDefault="006F142F" w:rsidP="0052698D">
      <w:pPr>
        <w:pStyle w:val="footnote"/>
      </w:pPr>
      <w:r w:rsidRPr="00B14711">
        <w:rPr>
          <w:vertAlign w:val="superscript"/>
        </w:rPr>
        <w:footnoteRef/>
      </w:r>
      <w:r w:rsidRPr="00B14711">
        <w:t>Trade Marks Act 1999 [Jamaica] §9(5).</w:t>
      </w:r>
    </w:p>
  </w:footnote>
  <w:footnote w:id="258">
    <w:p w14:paraId="0043F94F" w14:textId="77777777" w:rsidR="006F142F" w:rsidRPr="00B14711" w:rsidRDefault="006F142F" w:rsidP="0052698D">
      <w:pPr>
        <w:pStyle w:val="footnote"/>
      </w:pPr>
      <w:r w:rsidRPr="00B14711">
        <w:rPr>
          <w:vertAlign w:val="superscript"/>
        </w:rPr>
        <w:footnoteRef/>
      </w:r>
      <w:r w:rsidRPr="00B14711">
        <w:t>Decretory Numero 57-2000 [Guatemala], Art. 21(c).</w:t>
      </w:r>
    </w:p>
  </w:footnote>
  <w:footnote w:id="259">
    <w:p w14:paraId="4ABFEE64" w14:textId="77777777" w:rsidR="006F142F" w:rsidRPr="00B14711" w:rsidRDefault="006F142F" w:rsidP="0052698D">
      <w:pPr>
        <w:pStyle w:val="footnote"/>
      </w:pPr>
      <w:r w:rsidRPr="00B14711">
        <w:rPr>
          <w:vertAlign w:val="superscript"/>
        </w:rPr>
        <w:footnoteRef/>
      </w:r>
      <w:r w:rsidRPr="00B14711">
        <w:t>Law No. 1294 on Marks (1998) [Paraguay], Art. 2(g) (protecting well-known marks from diluting registrations).</w:t>
      </w:r>
    </w:p>
  </w:footnote>
  <w:footnote w:id="260">
    <w:p w14:paraId="40294FFE" w14:textId="77777777" w:rsidR="006F142F" w:rsidRPr="00B14711" w:rsidRDefault="006F142F" w:rsidP="0052698D">
      <w:pPr>
        <w:pStyle w:val="footnote"/>
      </w:pPr>
      <w:r w:rsidRPr="00B14711">
        <w:rPr>
          <w:vertAlign w:val="superscript"/>
        </w:rPr>
        <w:footnoteRef/>
      </w:r>
      <w:r w:rsidRPr="00B14711">
        <w:rPr>
          <w:i/>
          <w:iCs/>
        </w:rPr>
        <w:t>See generally</w:t>
      </w:r>
      <w:r w:rsidRPr="00B14711">
        <w:t xml:space="preserve"> Law No. 19.039 Establishing the Rules Applicable to Industrial Titles and the Protection of Industrial Property Rights [Chile] (1991), Title II. Article 20(g) does protect well-known marks against registration by another of an identical or phonetically similar mark for use on the same products as those on which the mark is used outside of Chile. This provision requires the foreign owner of the well-known mark to register in Chile within 90 days of the rejection of the second user’s application. </w:t>
      </w:r>
    </w:p>
  </w:footnote>
  <w:footnote w:id="261">
    <w:p w14:paraId="0BEE8716" w14:textId="77777777" w:rsidR="006F142F" w:rsidRPr="00B14711" w:rsidRDefault="006F142F" w:rsidP="0052698D">
      <w:pPr>
        <w:pStyle w:val="footnote"/>
      </w:pPr>
      <w:r w:rsidRPr="00B14711">
        <w:rPr>
          <w:vertAlign w:val="superscript"/>
        </w:rPr>
        <w:footnoteRef/>
      </w:r>
      <w:r w:rsidRPr="00B14711">
        <w:t xml:space="preserve">Law No. 9,279 of May 14, 1996, Art. 126(2) (permitting refusal of registration of marks that “wholly or partially imitate a well known mark”); </w:t>
      </w:r>
      <w:r w:rsidRPr="00B14711">
        <w:rPr>
          <w:i/>
          <w:iCs/>
        </w:rPr>
        <w:t>id</w:t>
      </w:r>
      <w:r w:rsidRPr="00B14711">
        <w:t xml:space="preserve">. Art. 209 (prohibiting “acts of unfair competition not set forth in this Law, but that tend to prejudice another’s reputation or business”). </w:t>
      </w:r>
      <w:r w:rsidRPr="00B14711">
        <w:rPr>
          <w:i/>
          <w:iCs/>
        </w:rPr>
        <w:t>See also</w:t>
      </w:r>
      <w:r w:rsidRPr="00B14711">
        <w:t xml:space="preserve"> Luiz Henrique de Amaral, </w:t>
      </w:r>
      <w:r w:rsidRPr="00B14711">
        <w:rPr>
          <w:i/>
          <w:iCs/>
        </w:rPr>
        <w:t>Famous Marks: The Brazilian Case</w:t>
      </w:r>
      <w:r w:rsidRPr="00B14711">
        <w:t xml:space="preserve">, 83 </w:t>
      </w:r>
      <w:r w:rsidRPr="00B14711">
        <w:rPr>
          <w:smallCaps/>
        </w:rPr>
        <w:t>Trademark Rep.</w:t>
      </w:r>
      <w:r w:rsidRPr="00B14711">
        <w:t xml:space="preserve"> 394 (1993).</w:t>
      </w:r>
    </w:p>
  </w:footnote>
  <w:footnote w:id="262">
    <w:p w14:paraId="58C1193A" w14:textId="77777777" w:rsidR="006F142F" w:rsidRPr="00B14711" w:rsidRDefault="006F142F" w:rsidP="0052698D">
      <w:pPr>
        <w:pStyle w:val="footnote"/>
      </w:pPr>
      <w:r w:rsidRPr="00B14711">
        <w:rPr>
          <w:vertAlign w:val="superscript"/>
        </w:rPr>
        <w:footnoteRef/>
      </w:r>
      <w:r w:rsidRPr="00B14711">
        <w:t>Law 17.011 of September 25, 1998, Establishing Provisions on Trademarks Art. 5(6).</w:t>
      </w:r>
    </w:p>
  </w:footnote>
  <w:footnote w:id="263">
    <w:p w14:paraId="02F1B5CB" w14:textId="77777777" w:rsidR="006F142F" w:rsidRPr="00B14711" w:rsidRDefault="006F142F" w:rsidP="0052698D">
      <w:pPr>
        <w:pStyle w:val="footnote"/>
      </w:pPr>
      <w:r w:rsidRPr="00B14711">
        <w:rPr>
          <w:vertAlign w:val="superscript"/>
        </w:rPr>
        <w:footnoteRef/>
      </w:r>
      <w:r w:rsidRPr="00B14711">
        <w:rPr>
          <w:i/>
          <w:iCs/>
        </w:rPr>
        <w:t>See generally</w:t>
      </w:r>
      <w:r w:rsidRPr="00B14711">
        <w:t xml:space="preserve"> Argentina Trademark and Trade Name Law No. 22,362 of 26th December 1980, </w:t>
      </w:r>
      <w:r w:rsidRPr="00B14711">
        <w:rPr>
          <w:i/>
          <w:iCs/>
        </w:rPr>
        <w:t>available at</w:t>
      </w:r>
      <w:r w:rsidRPr="00B14711">
        <w:t xml:space="preserve"> </w:t>
      </w:r>
      <w:r w:rsidRPr="00FB7619">
        <w:t>https://www.wipo.int/wipolex/en/legislation/details/17830</w:t>
      </w:r>
      <w:r w:rsidRPr="00FB7619" w:rsidDel="00FB7619">
        <w:t xml:space="preserve"> </w:t>
      </w:r>
      <w:r w:rsidRPr="00B14711">
        <w:t xml:space="preserve">(last visited </w:t>
      </w:r>
      <w:r>
        <w:t>July 2, 2024</w:t>
      </w:r>
      <w:r w:rsidRPr="00B14711">
        <w:t>).</w:t>
      </w:r>
    </w:p>
  </w:footnote>
  <w:footnote w:id="264">
    <w:p w14:paraId="0DD7D98E" w14:textId="77777777" w:rsidR="006F142F" w:rsidRPr="00B14711" w:rsidRDefault="006F142F" w:rsidP="0052698D">
      <w:pPr>
        <w:pStyle w:val="footnote"/>
      </w:pPr>
      <w:r w:rsidRPr="00B14711">
        <w:rPr>
          <w:vertAlign w:val="superscript"/>
        </w:rPr>
        <w:footnoteRef/>
      </w:r>
      <w:r w:rsidRPr="00B14711">
        <w:t xml:space="preserve">Arthur Schwartz &amp; David Morfesi, </w:t>
      </w:r>
      <w:r w:rsidRPr="00B14711">
        <w:rPr>
          <w:i/>
          <w:iCs/>
        </w:rPr>
        <w:t>Dilution Comes of Age: The United States, Europe and South Africa</w:t>
      </w:r>
      <w:r w:rsidRPr="00B14711">
        <w:t xml:space="preserve">, 87 </w:t>
      </w:r>
      <w:r w:rsidRPr="00B14711">
        <w:rPr>
          <w:smallCaps/>
        </w:rPr>
        <w:t>Trademark Rep.</w:t>
      </w:r>
      <w:r w:rsidRPr="00B14711">
        <w:t xml:space="preserve"> 436, 457 (1997) (reporting and quoting §34(1)(c) of the Trade Marks Act No. 194 of 1993). Even under the prior South African law one could gain protection for well-known marks by means of a defensive registration, which is being phased out under the new law. </w:t>
      </w:r>
      <w:r w:rsidRPr="00B14711">
        <w:rPr>
          <w:i/>
          <w:iCs/>
        </w:rPr>
        <w:t>Id</w:t>
      </w:r>
      <w:r w:rsidRPr="00B14711">
        <w:t>. at 456–57 &amp; n.10.</w:t>
      </w:r>
    </w:p>
  </w:footnote>
  <w:footnote w:id="265">
    <w:p w14:paraId="2CC1E7E5" w14:textId="77777777" w:rsidR="006F142F" w:rsidRPr="00B14711" w:rsidRDefault="006F142F" w:rsidP="0052698D">
      <w:pPr>
        <w:pStyle w:val="footnote"/>
      </w:pPr>
      <w:r w:rsidRPr="00B14711">
        <w:rPr>
          <w:vertAlign w:val="superscript"/>
        </w:rPr>
        <w:footnoteRef/>
      </w:r>
      <w:r w:rsidRPr="00B14711">
        <w:t>[2007] SCA 53 (RSA).</w:t>
      </w:r>
    </w:p>
  </w:footnote>
  <w:footnote w:id="266">
    <w:p w14:paraId="25E9F55D" w14:textId="77777777" w:rsidR="006F142F" w:rsidRPr="00B14711" w:rsidRDefault="006F142F" w:rsidP="0052698D">
      <w:pPr>
        <w:pStyle w:val="footnote"/>
      </w:pPr>
      <w:r w:rsidRPr="00B14711">
        <w:rPr>
          <w:vertAlign w:val="superscript"/>
        </w:rPr>
        <w:footnoteRef/>
      </w:r>
      <w:r w:rsidRPr="00B14711">
        <w:t>In one situation, the polish was put on a BMW and the surface set on fire. In another, an old car was transformed into a BMW after treatment with the polish.</w:t>
      </w:r>
    </w:p>
    <w:p w14:paraId="1B76BAF7" w14:textId="77777777" w:rsidR="006F142F" w:rsidRPr="00B14711" w:rsidRDefault="006F142F" w:rsidP="00B14711">
      <w:pPr>
        <w:pStyle w:val="footnoteparaindent"/>
        <w:rPr>
          <w:rFonts w:cs="Times New Roman"/>
          <w:szCs w:val="20"/>
        </w:rPr>
      </w:pPr>
      <w:r w:rsidRPr="00B14711">
        <w:rPr>
          <w:rFonts w:cs="Times New Roman"/>
          <w:szCs w:val="20"/>
        </w:rPr>
        <w:t xml:space="preserve">BMW claimed dilution under §34(1)(c) of its trademark law and also a violation of §34(1)(a), which creates an absolute presumption that use of an identical mark on identical goods is confusing. This latter claim can also be seen as a form of dilution, since it does not require any showing of actual or likely confusion. The European Union has a similar provision. </w:t>
      </w:r>
      <w:r w:rsidRPr="00B14711">
        <w:rPr>
          <w:rFonts w:cs="Times New Roman"/>
          <w:i/>
          <w:iCs/>
          <w:szCs w:val="20"/>
        </w:rPr>
        <w:t>See, e</w:t>
      </w:r>
      <w:r w:rsidRPr="00B14711">
        <w:rPr>
          <w:rFonts w:cs="Times New Roman"/>
          <w:szCs w:val="20"/>
        </w:rPr>
        <w:t>.</w:t>
      </w:r>
      <w:r w:rsidRPr="00B14711">
        <w:rPr>
          <w:rFonts w:cs="Times New Roman"/>
          <w:i/>
          <w:iCs/>
          <w:szCs w:val="20"/>
        </w:rPr>
        <w:t>g</w:t>
      </w:r>
      <w:r w:rsidRPr="00B14711">
        <w:rPr>
          <w:rFonts w:cs="Times New Roman"/>
          <w:szCs w:val="20"/>
        </w:rPr>
        <w:t xml:space="preserve">., </w:t>
      </w:r>
      <w:r w:rsidRPr="00FC6FAE">
        <w:rPr>
          <w:rFonts w:cs="Times New Roman"/>
          <w:szCs w:val="20"/>
        </w:rPr>
        <w:t>EUTM</w:t>
      </w:r>
      <w:r w:rsidRPr="005248E4">
        <w:rPr>
          <w:rFonts w:cs="Times New Roman"/>
          <w:szCs w:val="20"/>
        </w:rPr>
        <w:t xml:space="preserve"> Regulation Art. 9(</w:t>
      </w:r>
      <w:r w:rsidRPr="00FC6FAE">
        <w:rPr>
          <w:rFonts w:cs="Times New Roman"/>
          <w:szCs w:val="20"/>
        </w:rPr>
        <w:t>2</w:t>
      </w:r>
      <w:r w:rsidRPr="005248E4">
        <w:rPr>
          <w:rFonts w:cs="Times New Roman"/>
          <w:szCs w:val="20"/>
        </w:rPr>
        <w:t>)(</w:t>
      </w:r>
      <w:r w:rsidRPr="00FC6FAE">
        <w:rPr>
          <w:rFonts w:cs="Times New Roman"/>
          <w:szCs w:val="20"/>
        </w:rPr>
        <w:t>a</w:t>
      </w:r>
      <w:r w:rsidRPr="005248E4">
        <w:rPr>
          <w:rFonts w:cs="Times New Roman"/>
          <w:szCs w:val="20"/>
        </w:rPr>
        <w:t>).</w:t>
      </w:r>
    </w:p>
  </w:footnote>
  <w:footnote w:id="267">
    <w:p w14:paraId="34EF68D4" w14:textId="77777777" w:rsidR="006F142F" w:rsidRPr="00B14711" w:rsidRDefault="006F142F" w:rsidP="0052698D">
      <w:pPr>
        <w:pStyle w:val="footnote"/>
      </w:pPr>
      <w:r w:rsidRPr="00B14711">
        <w:rPr>
          <w:vertAlign w:val="superscript"/>
        </w:rPr>
        <w:footnoteRef/>
      </w:r>
      <w:r w:rsidRPr="00B14711">
        <w:t xml:space="preserve">However, on the issue of trademark infringement under §34(1)(a), the court did find a need for a trademark use, or at least a use that creates a link between the second user’s product and the senior mark owner. </w:t>
      </w:r>
      <w:r w:rsidRPr="00B14711">
        <w:rPr>
          <w:i/>
          <w:iCs/>
        </w:rPr>
        <w:t>Verimark</w:t>
      </w:r>
      <w:r w:rsidRPr="00B14711">
        <w:t>, [2007] SCA</w:t>
      </w:r>
      <w:r>
        <w:t xml:space="preserve"> 53,</w:t>
      </w:r>
      <w:r w:rsidRPr="00B14711">
        <w:t xml:space="preserve"> ¶¶8–9.</w:t>
      </w:r>
    </w:p>
  </w:footnote>
  <w:footnote w:id="268">
    <w:p w14:paraId="5F955159" w14:textId="77777777" w:rsidR="006F142F" w:rsidRPr="00B14711" w:rsidRDefault="006F142F" w:rsidP="0052698D">
      <w:pPr>
        <w:pStyle w:val="footnote"/>
      </w:pPr>
      <w:r w:rsidRPr="00B14711">
        <w:rPr>
          <w:vertAlign w:val="superscript"/>
        </w:rPr>
        <w:footnoteRef/>
      </w:r>
      <w:r w:rsidRPr="00B14711">
        <w:rPr>
          <w:i/>
          <w:iCs/>
        </w:rPr>
        <w:t>Id</w:t>
      </w:r>
      <w:r w:rsidRPr="00B14711">
        <w:t>. ¶13.</w:t>
      </w:r>
    </w:p>
  </w:footnote>
  <w:footnote w:id="269">
    <w:p w14:paraId="7E5EB658" w14:textId="77777777" w:rsidR="006F142F" w:rsidRPr="00B14711" w:rsidRDefault="006F142F" w:rsidP="0052698D">
      <w:pPr>
        <w:pStyle w:val="footnote"/>
      </w:pPr>
      <w:r w:rsidRPr="00B14711">
        <w:rPr>
          <w:vertAlign w:val="superscript"/>
        </w:rPr>
        <w:footnoteRef/>
      </w:r>
      <w:r w:rsidRPr="00B14711">
        <w:rPr>
          <w:i/>
          <w:iCs/>
        </w:rPr>
        <w:t>Id</w:t>
      </w:r>
      <w:r w:rsidRPr="00B14711">
        <w:t>. ¶14.</w:t>
      </w:r>
    </w:p>
  </w:footnote>
  <w:footnote w:id="270">
    <w:p w14:paraId="12864735" w14:textId="77777777" w:rsidR="006F142F" w:rsidRPr="00B14711" w:rsidRDefault="006F142F" w:rsidP="0052698D">
      <w:pPr>
        <w:pStyle w:val="footnote"/>
      </w:pPr>
      <w:r w:rsidRPr="00B14711">
        <w:rPr>
          <w:vertAlign w:val="superscript"/>
        </w:rPr>
        <w:footnoteRef/>
      </w:r>
      <w:r w:rsidRPr="00B14711">
        <w:rPr>
          <w:i/>
          <w:iCs/>
        </w:rPr>
        <w:t>Id</w:t>
      </w:r>
      <w:r w:rsidRPr="00B14711">
        <w:t>.</w:t>
      </w:r>
    </w:p>
  </w:footnote>
  <w:footnote w:id="271">
    <w:p w14:paraId="44666BD5" w14:textId="77777777" w:rsidR="006F142F" w:rsidRPr="00457952" w:rsidRDefault="006F142F" w:rsidP="0052698D">
      <w:pPr>
        <w:pStyle w:val="footnote"/>
      </w:pPr>
      <w:r w:rsidRPr="00B14711">
        <w:rPr>
          <w:vertAlign w:val="superscript"/>
        </w:rPr>
        <w:footnoteRef/>
      </w:r>
      <w:r w:rsidRPr="00B14711">
        <w:t xml:space="preserve">It is interesting that on this point the court cited the U.S. Supreme Court’s opinion in </w:t>
      </w:r>
      <w:r w:rsidRPr="00B14711">
        <w:rPr>
          <w:i/>
          <w:iCs/>
        </w:rPr>
        <w:t>Moseley v</w:t>
      </w:r>
      <w:r w:rsidRPr="00B14711">
        <w:t>.</w:t>
      </w:r>
      <w:r w:rsidRPr="00B14711">
        <w:rPr>
          <w:i/>
          <w:iCs/>
        </w:rPr>
        <w:t xml:space="preserve"> V Secret Catalogue, Inc</w:t>
      </w:r>
      <w:r w:rsidRPr="00B14711">
        <w:t xml:space="preserve">., 537 U.S. 418, 434, 65 USPQ2d 1801 (2003), to the effect that a mental association is not sufficient to constitute blurring. </w:t>
      </w:r>
      <w:r w:rsidRPr="00B14711">
        <w:rPr>
          <w:i/>
          <w:iCs/>
        </w:rPr>
        <w:t>Verimark</w:t>
      </w:r>
      <w:r w:rsidRPr="00B14711">
        <w:t xml:space="preserve">, [2007] SCA </w:t>
      </w:r>
      <w:r>
        <w:t xml:space="preserve">53, </w:t>
      </w:r>
      <w:r w:rsidRPr="00B14711">
        <w:t>¶15. The South African court has also inserted that country’s free speech protection into the discussion of dilution. Laugh it Off Promotions CC v. South African Breweries Int’l (Finance) B.V., Case CCT 42/04 (S. Ct. S. Afr. 2005) (free speech concerns make use of parody of well-known mark on T-shirts not unfair use under dilution statute).</w:t>
      </w:r>
      <w:r>
        <w:t xml:space="preserve">  The Supreme Court of Appeal applied the registration version of the dilution section to protect a mark well known in South Africa in </w:t>
      </w:r>
      <w:r w:rsidRPr="00FC6FAE">
        <w:t>National Brands Ltds. v. Cape Cookies CC</w:t>
      </w:r>
      <w:r w:rsidRPr="002F2BE3">
        <w:t>,</w:t>
      </w:r>
      <w:r>
        <w:t xml:space="preserve"> Case Nos. 309/2022 and 567/2022 (S. Ct. App. 2023).</w:t>
      </w:r>
    </w:p>
  </w:footnote>
  <w:footnote w:id="272">
    <w:p w14:paraId="2843B155" w14:textId="77777777" w:rsidR="006F142F" w:rsidRPr="00B14711" w:rsidRDefault="006F142F" w:rsidP="0052698D">
      <w:pPr>
        <w:pStyle w:val="footnote"/>
      </w:pPr>
      <w:r w:rsidRPr="00B14711">
        <w:rPr>
          <w:vertAlign w:val="superscript"/>
        </w:rPr>
        <w:footnoteRef/>
      </w:r>
      <w:r w:rsidRPr="00B14711">
        <w:t>Dahir No. 1-00-91 of 9 Kaada 1420 (Feb</w:t>
      </w:r>
      <w:r>
        <w:t>.</w:t>
      </w:r>
      <w:r w:rsidRPr="00B14711">
        <w:t xml:space="preserve"> 15, 2000) §§137(a) (protecting marks well known within the meaning of Article 6</w:t>
      </w:r>
      <w:r w:rsidRPr="00B14711">
        <w:rPr>
          <w:i/>
          <w:iCs/>
        </w:rPr>
        <w:t>bis</w:t>
      </w:r>
      <w:r w:rsidRPr="00B14711">
        <w:t xml:space="preserve"> of the Paris Convention), 154(a) (forbidding unauthorized uses of a mark by another on the goods or services for which it is registered, even if accompanied by words such as “imitation, method, style,” etc.).</w:t>
      </w:r>
    </w:p>
  </w:footnote>
  <w:footnote w:id="273">
    <w:p w14:paraId="47F6D362" w14:textId="77777777" w:rsidR="006F142F" w:rsidRPr="00251F78" w:rsidRDefault="006F142F" w:rsidP="0052698D">
      <w:pPr>
        <w:pStyle w:val="footnote"/>
        <w:rPr>
          <w:lang w:val="fr-FR"/>
        </w:rPr>
      </w:pPr>
      <w:r w:rsidRPr="00B14711">
        <w:rPr>
          <w:vertAlign w:val="superscript"/>
        </w:rPr>
        <w:footnoteRef/>
      </w:r>
      <w:r w:rsidRPr="00251F78">
        <w:rPr>
          <w:i/>
          <w:iCs/>
          <w:lang w:val="fr-FR"/>
        </w:rPr>
        <w:t>E</w:t>
      </w:r>
      <w:r w:rsidRPr="00251F78">
        <w:rPr>
          <w:lang w:val="fr-FR"/>
        </w:rPr>
        <w:t>.</w:t>
      </w:r>
      <w:r w:rsidRPr="00251F78">
        <w:rPr>
          <w:i/>
          <w:iCs/>
          <w:lang w:val="fr-FR"/>
        </w:rPr>
        <w:t>g</w:t>
      </w:r>
      <w:r w:rsidRPr="00251F78">
        <w:rPr>
          <w:lang w:val="fr-FR"/>
        </w:rPr>
        <w:t>., Loi no. 2001-36 du 17 avril 2001, relative à la protection des marques de fabrique, de commerce et de services [Tunisia], Art. 22(a), 24.</w:t>
      </w:r>
    </w:p>
  </w:footnote>
  <w:footnote w:id="274">
    <w:p w14:paraId="631837B5" w14:textId="77777777" w:rsidR="006F142F" w:rsidRPr="00B14711" w:rsidRDefault="006F142F" w:rsidP="0052698D">
      <w:pPr>
        <w:pStyle w:val="footnote"/>
      </w:pPr>
      <w:r w:rsidRPr="00B14711">
        <w:rPr>
          <w:vertAlign w:val="superscript"/>
        </w:rPr>
        <w:footnoteRef/>
      </w:r>
      <w:r w:rsidRPr="00B14711">
        <w:rPr>
          <w:i/>
          <w:iCs/>
        </w:rPr>
        <w:t>See</w:t>
      </w:r>
      <w:r w:rsidRPr="00B14711">
        <w:t xml:space="preserve"> Trade Marks Ordinance [Israel], 5732-1972 Chapter Three, §11(13), (14).</w:t>
      </w:r>
    </w:p>
  </w:footnote>
  <w:footnote w:id="275">
    <w:p w14:paraId="331E042E" w14:textId="77777777" w:rsidR="006F142F" w:rsidRPr="00B14711" w:rsidRDefault="006F142F" w:rsidP="0052698D">
      <w:pPr>
        <w:pStyle w:val="footnote"/>
      </w:pPr>
      <w:r w:rsidRPr="00B14711">
        <w:rPr>
          <w:vertAlign w:val="superscript"/>
        </w:rPr>
        <w:footnoteRef/>
      </w:r>
      <w:r w:rsidRPr="00251F78">
        <w:rPr>
          <w:lang w:val="fr-FR"/>
        </w:rPr>
        <w:t xml:space="preserve">Société des Produits Nestlé v. Espresso Club Ltd., Case No. </w:t>
      </w:r>
      <w:r>
        <w:t xml:space="preserve">CA 3425/17 (Sup. Ct. Israel 2019), </w:t>
      </w:r>
      <w:r>
        <w:rPr>
          <w:i/>
          <w:iCs/>
        </w:rPr>
        <w:t>quoted in</w:t>
      </w:r>
      <w:r>
        <w:t xml:space="preserve"> 51 IIC 262, 267–69; </w:t>
      </w:r>
      <w:r w:rsidRPr="00B14711">
        <w:t xml:space="preserve">Aloniel v. McDonald, Case No. 8483/01 (Sup. Ct. 2004) (quoted in 36 IIC 858 (2005)). </w:t>
      </w:r>
      <w:r w:rsidRPr="00B14711">
        <w:rPr>
          <w:i/>
          <w:iCs/>
        </w:rPr>
        <w:t>See</w:t>
      </w:r>
      <w:r w:rsidRPr="00B14711">
        <w:t xml:space="preserve"> Howard L. Stovall &amp; Harold Ullman, </w:t>
      </w:r>
      <w:r w:rsidRPr="00B14711">
        <w:rPr>
          <w:i/>
          <w:iCs/>
        </w:rPr>
        <w:t>Middle East Commercial Law Developments</w:t>
      </w:r>
      <w:r w:rsidRPr="00B14711">
        <w:t xml:space="preserve">, 33 </w:t>
      </w:r>
      <w:r w:rsidRPr="00B14711">
        <w:rPr>
          <w:smallCaps/>
        </w:rPr>
        <w:t>Int’l Law.</w:t>
      </w:r>
      <w:r w:rsidRPr="00B14711">
        <w:t xml:space="preserve"> 753, 761 (1999) (citing Yital Kardi v. Bacardi &amp; Co., 52(3) P.D. 276).</w:t>
      </w:r>
    </w:p>
  </w:footnote>
  <w:footnote w:id="276">
    <w:p w14:paraId="219321FE" w14:textId="77777777" w:rsidR="006F142F" w:rsidRPr="00251F78" w:rsidRDefault="006F142F">
      <w:pPr>
        <w:pStyle w:val="FootnoteText"/>
        <w:rPr>
          <w:lang w:val="it-IT"/>
        </w:rPr>
      </w:pPr>
      <w:r>
        <w:rPr>
          <w:rStyle w:val="FootnoteReference"/>
          <w:rFonts w:eastAsiaTheme="majorEastAsia"/>
        </w:rPr>
        <w:footnoteRef/>
      </w:r>
      <w:r w:rsidRPr="00251F78">
        <w:rPr>
          <w:lang w:val="fr-FR"/>
        </w:rPr>
        <w:t xml:space="preserve">Société des Produits Nestlé v. Espresso Club Ltd., Case No. </w:t>
      </w:r>
      <w:r w:rsidRPr="00251F78">
        <w:rPr>
          <w:lang w:val="it-IT"/>
        </w:rPr>
        <w:t xml:space="preserve">CA 3425/17 (Sup. Ct. Israel 2019), </w:t>
      </w:r>
      <w:r w:rsidRPr="00251F78">
        <w:rPr>
          <w:i/>
          <w:iCs/>
          <w:lang w:val="it-IT"/>
        </w:rPr>
        <w:t>quoted in</w:t>
      </w:r>
      <w:r w:rsidRPr="00251F78">
        <w:rPr>
          <w:lang w:val="it-IT"/>
        </w:rPr>
        <w:t xml:space="preserve"> 51 IIC 262</w:t>
      </w:r>
      <w:r>
        <w:rPr>
          <w:lang w:val="it-IT"/>
        </w:rPr>
        <w:t>, 267–69.</w:t>
      </w:r>
    </w:p>
  </w:footnote>
  <w:footnote w:id="277">
    <w:p w14:paraId="248BD97A" w14:textId="77777777" w:rsidR="006F142F" w:rsidRPr="00B14711" w:rsidRDefault="006F142F" w:rsidP="0052698D">
      <w:pPr>
        <w:pStyle w:val="footnote"/>
      </w:pPr>
      <w:r w:rsidRPr="00B14711">
        <w:rPr>
          <w:vertAlign w:val="superscript"/>
        </w:rPr>
        <w:footnoteRef/>
      </w:r>
      <w:r w:rsidRPr="00B14711">
        <w:t>Law on the Protection of Intellectual Property Rights Art. 68 (relating to well-known marks; requiring that the unauthorized use be “meant to lead people to believe that a connection exists between the owner of the well-known mark and those products [on which the second user is placing the mark]”).</w:t>
      </w:r>
    </w:p>
  </w:footnote>
  <w:footnote w:id="278">
    <w:p w14:paraId="2422ECBF" w14:textId="77777777" w:rsidR="006F142F" w:rsidRDefault="006F142F" w:rsidP="0052698D">
      <w:pPr>
        <w:pStyle w:val="footnote"/>
      </w:pPr>
      <w:r>
        <w:rPr>
          <w:vertAlign w:val="superscript"/>
        </w:rPr>
        <w:footnoteRef/>
      </w:r>
      <w:r>
        <w:rPr>
          <w:i/>
          <w:iCs/>
        </w:rPr>
        <w:t>E.g.</w:t>
      </w:r>
      <w:r>
        <w:t xml:space="preserve">, The Law of Trademarks, Royal Decree No. M/21, 28 Jumada I 1423 / 7 August 2002, Art. 2.k. (prohibiting registration of, inter alia, “signs whose registration for certain products or services would reduce the value of products or services of others”) (Saudi Arabia); Law No. 3/1978, Art. (10)(i) (essentially the same as the Saudi Arabian statute), Art. (24) (requiring confusion for infringement of registered mark) (Qatar); Federal Law No. 8 for 2002, amending Federal Law No. 37 for 1992, Art. (4) 3.a., b. (giving special protection to well-known marks although seeming to require confusion, but giving protection similar to Saudi Arabia as well), Art. (17) (requiring confusion for infringement) (United Arab Emirates); Act No. 23 of the Year A.D. 2010 relating to Trademarks and Geographical Indications, Art. 6 (protecting famous trademarks against uses that would “cause damage to the trademark holder”) (Yemen); </w:t>
      </w:r>
      <w:r>
        <w:rPr>
          <w:i/>
          <w:iCs/>
        </w:rPr>
        <w:t xml:space="preserve">see </w:t>
      </w:r>
      <w:r>
        <w:t xml:space="preserve">Law No. 34 for the Year 1999, Art. 8.12 (granting protection to well-known marks but appearing to require some sort of confusion) (Jordan). When the United States controlled Iraq after 2003, Paul Bremer, acting as the head of the Coalition Provisional Authority, issued a trademark law that gave additional protection to well-known marks but required a “connection” between the well-known mark and the offending mark, indicating a need for some sort of confusion. Coalition Provisional Authority No. 80, Art. 14 (granting rights to well-known marks) (Apr. 26, 2004). </w:t>
      </w:r>
    </w:p>
  </w:footnote>
  <w:footnote w:id="279">
    <w:p w14:paraId="6AE1238A" w14:textId="77777777" w:rsidR="006F142F" w:rsidRPr="00B14711" w:rsidRDefault="006F142F" w:rsidP="0052698D">
      <w:pPr>
        <w:pStyle w:val="footnote"/>
      </w:pPr>
      <w:r w:rsidRPr="00B14711">
        <w:rPr>
          <w:vertAlign w:val="superscript"/>
        </w:rPr>
        <w:footnoteRef/>
      </w:r>
      <w:r w:rsidRPr="00B14711">
        <w:t>Trade Marks Act Art. 23(12).</w:t>
      </w:r>
    </w:p>
  </w:footnote>
  <w:footnote w:id="280">
    <w:p w14:paraId="5A1D6243" w14:textId="77777777" w:rsidR="006F142F" w:rsidRPr="00FC6FAE" w:rsidRDefault="006F142F" w:rsidP="00FC6FAE">
      <w:pPr>
        <w:shd w:val="clear" w:color="auto" w:fill="FFFFFF"/>
        <w:rPr>
          <w:rFonts w:asciiTheme="majorBidi" w:eastAsia="Times New Roman" w:hAnsiTheme="majorBidi" w:cstheme="majorBidi"/>
          <w:color w:val="000000"/>
          <w:szCs w:val="20"/>
        </w:rPr>
      </w:pPr>
      <w:r w:rsidRPr="00B14711">
        <w:rPr>
          <w:vertAlign w:val="superscript"/>
        </w:rPr>
        <w:footnoteRef/>
      </w:r>
      <w:r w:rsidRPr="00FC6FAE">
        <w:rPr>
          <w:sz w:val="20"/>
          <w:szCs w:val="20"/>
        </w:rPr>
        <w:t xml:space="preserve">Hong Kong Trade Marks Ordinance (Cap. 559) §§12(4), 18(4). For a discussion of the European Union’s Trademark Harmonization Directive, see §III.A.1, above. For examples of cases granting relief under this provision, </w:t>
      </w:r>
      <w:r w:rsidRPr="00FC6FAE">
        <w:rPr>
          <w:i/>
          <w:sz w:val="20"/>
          <w:szCs w:val="20"/>
        </w:rPr>
        <w:t>see</w:t>
      </w:r>
      <w:r w:rsidRPr="00FC6FAE">
        <w:rPr>
          <w:iCs/>
          <w:sz w:val="20"/>
          <w:szCs w:val="20"/>
        </w:rPr>
        <w:t xml:space="preserve"> Wong To Yick Wood Lock Ointment Ltd. v. Singapore Medicine Co., </w:t>
      </w:r>
      <w:r w:rsidRPr="00C93D22">
        <w:rPr>
          <w:rFonts w:asciiTheme="majorBidi" w:eastAsia="Times New Roman" w:hAnsiTheme="majorBidi" w:cstheme="majorBidi"/>
          <w:color w:val="000000"/>
          <w:sz w:val="20"/>
          <w:szCs w:val="20"/>
        </w:rPr>
        <w:t>2021 WL 1057298 (CFI), [2021] HKEC 1300, [2021] HKCFI 920</w:t>
      </w:r>
      <w:r w:rsidRPr="00FC6FAE">
        <w:rPr>
          <w:sz w:val="20"/>
          <w:szCs w:val="20"/>
        </w:rPr>
        <w:t xml:space="preserve"> </w:t>
      </w:r>
      <w:r>
        <w:rPr>
          <w:sz w:val="20"/>
          <w:szCs w:val="20"/>
        </w:rPr>
        <w:t xml:space="preserve">(C.F.I. 2021); </w:t>
      </w:r>
      <w:r w:rsidRPr="00FC6FAE">
        <w:rPr>
          <w:sz w:val="20"/>
          <w:szCs w:val="20"/>
        </w:rPr>
        <w:t>Louis Vuitton Malletier v. Cuvee XLV French Wine Ltd.</w:t>
      </w:r>
      <w:r>
        <w:rPr>
          <w:sz w:val="20"/>
          <w:szCs w:val="20"/>
        </w:rPr>
        <w:t xml:space="preserve">, 2019 WL 2613638, [2019] HKEC 2536, [2019] HKCFI 1963 (C.F.I. 2019); </w:t>
      </w:r>
      <w:r w:rsidRPr="00FC6FAE">
        <w:rPr>
          <w:iCs/>
          <w:sz w:val="20"/>
          <w:szCs w:val="20"/>
        </w:rPr>
        <w:t>Christie Manson &amp; Woods Ltd. v. Chritrs (Grp.) Ltd</w:t>
      </w:r>
      <w:r w:rsidRPr="00FC6FAE">
        <w:rPr>
          <w:i/>
          <w:sz w:val="20"/>
          <w:szCs w:val="20"/>
        </w:rPr>
        <w:t>.</w:t>
      </w:r>
      <w:r w:rsidRPr="00FC6FAE">
        <w:rPr>
          <w:sz w:val="20"/>
          <w:szCs w:val="20"/>
        </w:rPr>
        <w:t>, 2012 WL 4762637 (CFI), [2012] 5 HKLRD 829, [2012] HKEC 1567 (C.F.I. 2012).</w:t>
      </w:r>
    </w:p>
  </w:footnote>
  <w:footnote w:id="281">
    <w:p w14:paraId="344F8B5E" w14:textId="77777777" w:rsidR="006F142F" w:rsidRDefault="006F142F" w:rsidP="0052698D">
      <w:pPr>
        <w:pStyle w:val="footnote"/>
      </w:pPr>
      <w:r>
        <w:rPr>
          <w:vertAlign w:val="superscript"/>
        </w:rPr>
        <w:footnoteRef/>
      </w:r>
      <w:r>
        <w:t xml:space="preserve">Tsit Wing (Hong Kong) Co. v. TWG Tea Co., 2016 WL 15644, at *32 (C.F.A. Jan. 29, 2016), 19 HKCFAR 20, [2016] HKEC 228. </w:t>
      </w:r>
    </w:p>
  </w:footnote>
  <w:footnote w:id="282">
    <w:p w14:paraId="6AA2659F" w14:textId="77777777" w:rsidR="006F142F" w:rsidRDefault="006F142F" w:rsidP="0052698D">
      <w:pPr>
        <w:pStyle w:val="footnote"/>
      </w:pPr>
      <w:r>
        <w:rPr>
          <w:vertAlign w:val="superscript"/>
        </w:rPr>
        <w:footnoteRef/>
      </w:r>
      <w:r>
        <w:t xml:space="preserve">Trade Marks Act (Chapter 332) §§8(4)(b)(ii) (registration), 55(3), (4) (infringement). Another provision, Section 29(2), provides that there is no exhaustion of rights where goods have been “changed or impaired” and “cause[] dilution in an unfair manner.” </w:t>
      </w:r>
    </w:p>
  </w:footnote>
  <w:footnote w:id="283">
    <w:p w14:paraId="732161BF" w14:textId="77777777" w:rsidR="006F142F" w:rsidRDefault="006F142F" w:rsidP="0052698D">
      <w:pPr>
        <w:pStyle w:val="footnote"/>
      </w:pPr>
      <w:r>
        <w:rPr>
          <w:vertAlign w:val="superscript"/>
        </w:rPr>
        <w:footnoteRef/>
      </w:r>
      <w:r>
        <w:t xml:space="preserve">In the Matter of the Trademark Application of Fox Wear PTE Ltd. and the Opposition thereof by Fox Racing Inc., 2014 SGIPOS 13, ¶90 (Singapore IPOS Oct. 21, 2014). </w:t>
      </w:r>
    </w:p>
  </w:footnote>
  <w:footnote w:id="284">
    <w:p w14:paraId="62AFC62F" w14:textId="77777777" w:rsidR="006F142F" w:rsidRDefault="006F142F" w:rsidP="0052698D">
      <w:pPr>
        <w:pStyle w:val="footnote"/>
      </w:pPr>
      <w:r>
        <w:rPr>
          <w:vertAlign w:val="superscript"/>
        </w:rPr>
        <w:footnoteRef/>
      </w:r>
      <w:r>
        <w:t xml:space="preserve">Trade Marks Act (Chapter 332) §55A(3). </w:t>
      </w:r>
    </w:p>
  </w:footnote>
  <w:footnote w:id="285">
    <w:p w14:paraId="0C52E533" w14:textId="77777777" w:rsidR="006F142F" w:rsidRPr="00B14711" w:rsidRDefault="006F142F" w:rsidP="0052698D">
      <w:pPr>
        <w:pStyle w:val="footnote"/>
      </w:pPr>
      <w:r w:rsidRPr="00B14711">
        <w:rPr>
          <w:vertAlign w:val="superscript"/>
        </w:rPr>
        <w:footnoteRef/>
      </w:r>
      <w:r w:rsidRPr="00B14711">
        <w:t xml:space="preserve">Byung-Il Kim, </w:t>
      </w:r>
      <w:r w:rsidRPr="000C5F9D">
        <w:rPr>
          <w:i/>
        </w:rPr>
        <w:t>The Protection of Well-Known Marks in Korea</w:t>
      </w:r>
      <w:r w:rsidRPr="00B14711">
        <w:t xml:space="preserve">, </w:t>
      </w:r>
      <w:r w:rsidRPr="00690FE6">
        <w:rPr>
          <w:i/>
        </w:rPr>
        <w:t>in</w:t>
      </w:r>
      <w:r w:rsidRPr="00B14711">
        <w:t xml:space="preserve"> Christopher Heath &amp; Kung-Chung Liu (eds.), </w:t>
      </w:r>
      <w:r w:rsidRPr="00B14711">
        <w:rPr>
          <w:smallCaps/>
        </w:rPr>
        <w:t>The Protection of Well-Known Marks in Asia</w:t>
      </w:r>
      <w:r w:rsidRPr="00B14711">
        <w:t xml:space="preserve"> 119 (Kluwer Law Int’l 2000) (citing §2(1) of the UCPA). The author of this treatise has confirmed that the Korean trademark statute contains no express dilution provision.</w:t>
      </w:r>
    </w:p>
  </w:footnote>
  <w:footnote w:id="286">
    <w:p w14:paraId="632F8D1F" w14:textId="77777777" w:rsidR="006F142F" w:rsidRDefault="006F142F">
      <w:pPr>
        <w:pStyle w:val="FootnoteText"/>
      </w:pPr>
      <w:r>
        <w:rPr>
          <w:rStyle w:val="FootnoteReference"/>
          <w:rFonts w:eastAsiaTheme="majorEastAsia"/>
        </w:rPr>
        <w:footnoteRef/>
      </w:r>
      <w:r>
        <w:t xml:space="preserve">Trademarks Act (Republic of Korea), Art. 34(1), ¶11 (Act No. 18817, Feb. 3, 2022), </w:t>
      </w:r>
      <w:r>
        <w:rPr>
          <w:i/>
          <w:iCs/>
        </w:rPr>
        <w:t>available at</w:t>
      </w:r>
      <w:r>
        <w:t xml:space="preserve"> </w:t>
      </w:r>
      <w:hyperlink r:id="rId2" w:history="1">
        <w:r w:rsidRPr="00335DB4">
          <w:rPr>
            <w:rStyle w:val="Hyperlink"/>
          </w:rPr>
          <w:t>https://elaw.klri.re.kr/eng_service/lawView.do?hseq=60480&amp;lang=ENG</w:t>
        </w:r>
      </w:hyperlink>
      <w:r>
        <w:t xml:space="preserve"> (last visited July 13, 2025).  This provision was applied to protect the toy maker LEGO’s mark in Lego Juris A/S v. Legochem Bioscience Co., Ltd., Case No. 2020Hu11943 (S. Ct. Korea 2023), </w:t>
      </w:r>
      <w:r>
        <w:rPr>
          <w:i/>
          <w:iCs/>
        </w:rPr>
        <w:t>reported in</w:t>
      </w:r>
      <w:r>
        <w:t xml:space="preserve"> 55 IIC 1717 (2024). </w:t>
      </w:r>
    </w:p>
  </w:footnote>
  <w:footnote w:id="287">
    <w:p w14:paraId="3245D5EC" w14:textId="77777777" w:rsidR="006F142F" w:rsidRDefault="006F142F" w:rsidP="0052698D">
      <w:pPr>
        <w:pStyle w:val="footnote"/>
      </w:pPr>
      <w:r>
        <w:rPr>
          <w:vertAlign w:val="superscript"/>
        </w:rPr>
        <w:footnoteRef/>
      </w:r>
      <w:r w:rsidRPr="00251F78">
        <w:rPr>
          <w:i/>
          <w:iCs/>
        </w:rPr>
        <w:t>See</w:t>
      </w:r>
      <w:r>
        <w:t xml:space="preserve"> Haochen Sun, Hermes in the Lost (Luxury) Paradise: How to Secure Enhanced Well-Known Trade Mark Protection in China, EIPR 101, 106–07 (2016). See generally Yangyue Chen, Should China Protect Trademarks Against Dilution? A Critical Look at the Experience of the United States and the Prospects for Application in China, http://works.bepress.com/yangyue_chen/1. </w:t>
      </w:r>
    </w:p>
  </w:footnote>
  <w:footnote w:id="288">
    <w:p w14:paraId="3C2C9BA5" w14:textId="77777777" w:rsidR="006F142F" w:rsidRPr="00B14711" w:rsidRDefault="006F142F" w:rsidP="0052698D">
      <w:pPr>
        <w:pStyle w:val="footnote"/>
      </w:pPr>
      <w:r w:rsidRPr="00B14711">
        <w:rPr>
          <w:vertAlign w:val="superscript"/>
        </w:rPr>
        <w:footnoteRef/>
      </w:r>
      <w:r w:rsidRPr="00B14711">
        <w:t xml:space="preserve">The statute is reported in Kenneth L. Port, </w:t>
      </w:r>
      <w:r w:rsidRPr="00B14711">
        <w:rPr>
          <w:i/>
          <w:iCs/>
        </w:rPr>
        <w:t>Japanese Intellectual Property Law in Translation: Representative Cases and Commentary</w:t>
      </w:r>
      <w:r w:rsidRPr="00B14711">
        <w:t xml:space="preserve">, 34 </w:t>
      </w:r>
      <w:r w:rsidRPr="00B14711">
        <w:rPr>
          <w:smallCaps/>
        </w:rPr>
        <w:t>Vand. J. Transnat’l L.</w:t>
      </w:r>
      <w:r w:rsidRPr="00B14711">
        <w:t xml:space="preserve"> 847, 856 (2001). This discussion relies in large part on Professor Port’s account of the law and its interpretation. For a more recent discussion, see Kenneth L. Port, </w:t>
      </w:r>
      <w:r w:rsidRPr="00B14711">
        <w:rPr>
          <w:i/>
          <w:iCs/>
        </w:rPr>
        <w:t>Trademark Dilution in Japan</w:t>
      </w:r>
      <w:r w:rsidRPr="00B14711">
        <w:t xml:space="preserve">, 4 </w:t>
      </w:r>
      <w:r w:rsidRPr="00B14711">
        <w:rPr>
          <w:smallCaps/>
        </w:rPr>
        <w:t>Nw. J. Tech. &amp; Intell. Prop.</w:t>
      </w:r>
      <w:r w:rsidRPr="00B14711">
        <w:t xml:space="preserve"> 228 (2006).</w:t>
      </w:r>
    </w:p>
  </w:footnote>
  <w:footnote w:id="289">
    <w:p w14:paraId="165BEBC6" w14:textId="77777777" w:rsidR="006F142F" w:rsidRPr="00B14711" w:rsidRDefault="006F142F" w:rsidP="0052698D">
      <w:pPr>
        <w:pStyle w:val="footnote"/>
      </w:pPr>
      <w:r w:rsidRPr="00B14711">
        <w:rPr>
          <w:vertAlign w:val="superscript"/>
        </w:rPr>
        <w:footnoteRef/>
      </w:r>
      <w:r w:rsidRPr="00B14711">
        <w:t xml:space="preserve">Kenneth L. Port, Japanese Intellectual Property Law in Translation: Representative Cases and Commentary, 34 </w:t>
      </w:r>
      <w:r w:rsidRPr="00B14711">
        <w:rPr>
          <w:smallCaps/>
        </w:rPr>
        <w:t>Vand. J. Transnat’l L.</w:t>
      </w:r>
      <w:r w:rsidRPr="00B14711">
        <w:t xml:space="preserve"> 847, 856 (2001).</w:t>
      </w:r>
    </w:p>
  </w:footnote>
  <w:footnote w:id="290">
    <w:p w14:paraId="5F70D4CF" w14:textId="77777777" w:rsidR="006F142F" w:rsidRPr="00B14711" w:rsidRDefault="006F142F" w:rsidP="0052698D">
      <w:pPr>
        <w:pStyle w:val="footnote"/>
      </w:pPr>
      <w:r w:rsidRPr="00B14711">
        <w:rPr>
          <w:vertAlign w:val="superscript"/>
        </w:rPr>
        <w:footnoteRef/>
      </w:r>
      <w:r w:rsidRPr="00B14711">
        <w:t xml:space="preserve">Christopher Heath, </w:t>
      </w:r>
      <w:r w:rsidRPr="000C5F9D">
        <w:t>The System of Unfair Competition Prevention in Japan</w:t>
      </w:r>
      <w:r w:rsidRPr="00B14711">
        <w:t xml:space="preserve"> 10 (Kluwer Law Int’l 2001).</w:t>
      </w:r>
    </w:p>
  </w:footnote>
  <w:footnote w:id="291">
    <w:p w14:paraId="06A0E6CA" w14:textId="77777777" w:rsidR="006F142F" w:rsidRPr="00B14711" w:rsidRDefault="006F142F" w:rsidP="0052698D">
      <w:pPr>
        <w:pStyle w:val="footnote"/>
      </w:pPr>
      <w:r w:rsidRPr="00B14711">
        <w:rPr>
          <w:vertAlign w:val="superscript"/>
        </w:rPr>
        <w:footnoteRef/>
      </w:r>
      <w:r w:rsidRPr="00B14711">
        <w:rPr>
          <w:i/>
          <w:iCs/>
        </w:rPr>
        <w:t>Id</w:t>
      </w:r>
      <w:r w:rsidRPr="00B14711">
        <w:t>.</w:t>
      </w:r>
    </w:p>
  </w:footnote>
  <w:footnote w:id="292">
    <w:p w14:paraId="65C281D6" w14:textId="77777777" w:rsidR="006F142F" w:rsidRPr="00B14711" w:rsidRDefault="006F142F" w:rsidP="0052698D">
      <w:pPr>
        <w:pStyle w:val="footnote"/>
      </w:pPr>
      <w:r w:rsidRPr="00B14711">
        <w:rPr>
          <w:vertAlign w:val="superscript"/>
        </w:rPr>
        <w:footnoteRef/>
      </w:r>
      <w:r w:rsidRPr="00B14711">
        <w:rPr>
          <w:spacing w:val="-3"/>
        </w:rPr>
        <w:t xml:space="preserve">Christopher Heath, </w:t>
      </w:r>
      <w:r w:rsidRPr="000C5F9D">
        <w:rPr>
          <w:i/>
          <w:spacing w:val="-3"/>
        </w:rPr>
        <w:t>The Protection of Well-Known Marks in Japan</w:t>
      </w:r>
      <w:r w:rsidRPr="00B14711">
        <w:rPr>
          <w:spacing w:val="-3"/>
        </w:rPr>
        <w:t xml:space="preserve">, </w:t>
      </w:r>
      <w:r w:rsidRPr="00690FE6">
        <w:rPr>
          <w:i/>
          <w:spacing w:val="-3"/>
        </w:rPr>
        <w:t>in</w:t>
      </w:r>
      <w:r w:rsidRPr="00B14711">
        <w:rPr>
          <w:spacing w:val="-3"/>
        </w:rPr>
        <w:t xml:space="preserve"> </w:t>
      </w:r>
      <w:r w:rsidRPr="00B14711">
        <w:t xml:space="preserve">Christopher Heath &amp; Kung-Chung Liu (eds.), </w:t>
      </w:r>
      <w:r w:rsidRPr="00B14711">
        <w:rPr>
          <w:smallCaps/>
        </w:rPr>
        <w:t>The Protection of Well-Known Marks in Asia</w:t>
      </w:r>
      <w:r w:rsidRPr="00B14711">
        <w:t xml:space="preserve"> 82 (Kluwer Law Int’l 2000).</w:t>
      </w:r>
    </w:p>
  </w:footnote>
  <w:footnote w:id="293">
    <w:p w14:paraId="71FBE041" w14:textId="77777777" w:rsidR="006F142F" w:rsidRPr="00B14711" w:rsidRDefault="006F142F" w:rsidP="0052698D">
      <w:pPr>
        <w:pStyle w:val="footnote"/>
      </w:pPr>
      <w:r w:rsidRPr="00B14711">
        <w:rPr>
          <w:vertAlign w:val="superscript"/>
        </w:rPr>
        <w:footnoteRef/>
      </w:r>
      <w:r w:rsidRPr="00B14711">
        <w:rPr>
          <w:i/>
          <w:iCs/>
        </w:rPr>
        <w:t>Id</w:t>
      </w:r>
      <w:r w:rsidRPr="00B14711">
        <w:t>.</w:t>
      </w:r>
    </w:p>
  </w:footnote>
  <w:footnote w:id="294">
    <w:p w14:paraId="66D724EF" w14:textId="77777777" w:rsidR="006F142F" w:rsidRPr="00B14711" w:rsidRDefault="006F142F" w:rsidP="0052698D">
      <w:pPr>
        <w:pStyle w:val="footnote"/>
      </w:pPr>
      <w:r w:rsidRPr="00B14711">
        <w:rPr>
          <w:vertAlign w:val="superscript"/>
        </w:rPr>
        <w:footnoteRef/>
      </w:r>
      <w:r w:rsidRPr="00B14711">
        <w:t xml:space="preserve">Sony K.K. v. Yugen Kaisha Walkman, 1598 HANREI JIHO 142 (Chiba Dist. Ct., Apr. 4, 1996). A translation of this case by Professor Port appears in Kenneth L. Port, </w:t>
      </w:r>
      <w:r w:rsidRPr="00B14711">
        <w:rPr>
          <w:i/>
          <w:iCs/>
        </w:rPr>
        <w:t>Japanese Intellectual Property Law in Translation: Representative Cases and Commentary</w:t>
      </w:r>
      <w:r w:rsidRPr="00B14711">
        <w:t xml:space="preserve">, 34 </w:t>
      </w:r>
      <w:r w:rsidRPr="00B14711">
        <w:rPr>
          <w:smallCaps/>
        </w:rPr>
        <w:t>Vand. J. Transnat’l L.</w:t>
      </w:r>
      <w:r w:rsidRPr="00B14711">
        <w:t xml:space="preserve"> 856–67 (2001). Although the opinion was issued after the enactment of the new unfair competition law, the court did not rely on that law because the suit was filed in 1992, before the amendment. </w:t>
      </w:r>
      <w:r w:rsidRPr="00B14711">
        <w:rPr>
          <w:i/>
          <w:iCs/>
        </w:rPr>
        <w:t>Id</w:t>
      </w:r>
      <w:r w:rsidRPr="00B14711">
        <w:t>. at 862.</w:t>
      </w:r>
    </w:p>
  </w:footnote>
  <w:footnote w:id="295">
    <w:p w14:paraId="66B0C076" w14:textId="77777777" w:rsidR="006F142F" w:rsidRPr="00B14711" w:rsidRDefault="006F142F" w:rsidP="0052698D">
      <w:pPr>
        <w:pStyle w:val="footnote"/>
      </w:pPr>
      <w:r w:rsidRPr="00B14711">
        <w:rPr>
          <w:vertAlign w:val="superscript"/>
        </w:rPr>
        <w:footnoteRef/>
      </w:r>
      <w:r w:rsidRPr="00B14711">
        <w:rPr>
          <w:i/>
          <w:iCs/>
        </w:rPr>
        <w:t>See id</w:t>
      </w:r>
      <w:r w:rsidRPr="00B14711">
        <w:t>. at 857–60, 868.</w:t>
      </w:r>
    </w:p>
  </w:footnote>
  <w:footnote w:id="296">
    <w:p w14:paraId="25D44E54" w14:textId="77777777" w:rsidR="006F142F" w:rsidRPr="00B14711" w:rsidRDefault="006F142F" w:rsidP="0052698D">
      <w:pPr>
        <w:pStyle w:val="footnote"/>
      </w:pPr>
      <w:r w:rsidRPr="00B14711">
        <w:rPr>
          <w:vertAlign w:val="superscript"/>
        </w:rPr>
        <w:footnoteRef/>
      </w:r>
      <w:r w:rsidRPr="00B14711">
        <w:rPr>
          <w:i/>
          <w:iCs/>
        </w:rPr>
        <w:t>Id</w:t>
      </w:r>
      <w:r w:rsidRPr="00B14711">
        <w:t>. at 860–61.</w:t>
      </w:r>
    </w:p>
  </w:footnote>
  <w:footnote w:id="297">
    <w:p w14:paraId="5CCDAFBA" w14:textId="77777777" w:rsidR="006F142F" w:rsidRPr="00B14711" w:rsidRDefault="006F142F" w:rsidP="0052698D">
      <w:pPr>
        <w:pStyle w:val="footnote"/>
      </w:pPr>
      <w:r w:rsidRPr="00B14711">
        <w:rPr>
          <w:vertAlign w:val="superscript"/>
        </w:rPr>
        <w:footnoteRef/>
      </w:r>
      <w:r w:rsidRPr="00B14711">
        <w:rPr>
          <w:i/>
          <w:iCs/>
        </w:rPr>
        <w:t>Id</w:t>
      </w:r>
      <w:r w:rsidRPr="00B14711">
        <w:t xml:space="preserve">. at 865–66. The court also noted that the Walkman mark was famous, which was an important facet of the unfair competition result. </w:t>
      </w:r>
      <w:r w:rsidRPr="00B14711">
        <w:rPr>
          <w:i/>
          <w:iCs/>
        </w:rPr>
        <w:t>Id</w:t>
      </w:r>
      <w:r w:rsidRPr="00B14711">
        <w:t>.</w:t>
      </w:r>
    </w:p>
  </w:footnote>
  <w:footnote w:id="298">
    <w:p w14:paraId="59DB49C9" w14:textId="77777777" w:rsidR="006F142F" w:rsidRPr="00B14711" w:rsidRDefault="006F142F" w:rsidP="0052698D">
      <w:pPr>
        <w:pStyle w:val="footnote"/>
      </w:pPr>
      <w:r w:rsidRPr="00B14711">
        <w:rPr>
          <w:vertAlign w:val="superscript"/>
        </w:rPr>
        <w:footnoteRef/>
      </w:r>
      <w:r w:rsidRPr="00B14711">
        <w:t xml:space="preserve">One commentator has asserted that the Australian statute should be interpreted to include dilution protection. </w:t>
      </w:r>
      <w:r w:rsidRPr="00B14711">
        <w:rPr>
          <w:i/>
          <w:iCs/>
        </w:rPr>
        <w:t>See generally</w:t>
      </w:r>
      <w:r w:rsidRPr="00B14711">
        <w:t xml:space="preserve"> Maurice Gonsalves &amp; Patrick Flynn, </w:t>
      </w:r>
      <w:r w:rsidRPr="00B14711">
        <w:rPr>
          <w:i/>
          <w:iCs/>
        </w:rPr>
        <w:t>Dilution Down Under: The Protection of Well Known Trade Marks in Australia</w:t>
      </w:r>
      <w:r w:rsidRPr="00B14711">
        <w:t>, 28 E.I.P.R. 174 (2006).</w:t>
      </w:r>
    </w:p>
  </w:footnote>
  <w:footnote w:id="299">
    <w:p w14:paraId="4CAA8E58" w14:textId="77777777" w:rsidR="006F142F" w:rsidRPr="00B14711" w:rsidRDefault="006F142F" w:rsidP="0052698D">
      <w:pPr>
        <w:pStyle w:val="footnote"/>
      </w:pPr>
      <w:r w:rsidRPr="00B14711">
        <w:rPr>
          <w:vertAlign w:val="superscript"/>
        </w:rPr>
        <w:footnoteRef/>
      </w:r>
      <w:r w:rsidRPr="00B14711">
        <w:t xml:space="preserve">Trade Marks Act of 2002 [New Zealand] §§25(1)(c) (opposition), 89(1)(d) (infringement). </w:t>
      </w:r>
    </w:p>
  </w:footnote>
  <w:footnote w:id="300">
    <w:p w14:paraId="46239624" w14:textId="77777777" w:rsidR="006F142F" w:rsidRPr="00B14711" w:rsidRDefault="006F142F" w:rsidP="0052698D">
      <w:pPr>
        <w:pStyle w:val="footnote"/>
      </w:pPr>
      <w:r w:rsidRPr="00B14711">
        <w:rPr>
          <w:vertAlign w:val="superscript"/>
        </w:rPr>
        <w:footnoteRef/>
      </w:r>
      <w:r w:rsidRPr="00B14711">
        <w:rPr>
          <w:i/>
          <w:iCs/>
        </w:rPr>
        <w:t>See</w:t>
      </w:r>
      <w:r w:rsidRPr="00B14711">
        <w:t xml:space="preserve"> Trade Marks Act of 1976 [Malaysia]</w:t>
      </w:r>
      <w:r>
        <w:t xml:space="preserve"> </w:t>
      </w:r>
      <w:r w:rsidRPr="00B14711">
        <w:t>§§14, 38; Intellectual Property Code of the Philippines (Republic Act No. 8293) §123.</w:t>
      </w:r>
    </w:p>
  </w:footnote>
  <w:footnote w:id="301">
    <w:p w14:paraId="5E43CA8D" w14:textId="77777777" w:rsidR="006F142F" w:rsidRDefault="006F142F" w:rsidP="0052698D">
      <w:pPr>
        <w:pStyle w:val="footnote"/>
      </w:pPr>
      <w:r>
        <w:rPr>
          <w:vertAlign w:val="superscript"/>
        </w:rPr>
        <w:footnoteRef/>
      </w:r>
      <w:r>
        <w:t xml:space="preserve">Trade Marks Act 1999 §11(2) (registration); </w:t>
      </w:r>
      <w:r>
        <w:rPr>
          <w:i/>
          <w:iCs/>
        </w:rPr>
        <w:t>id.</w:t>
      </w:r>
      <w:r>
        <w:t xml:space="preserve"> §29(4) (infringement). </w:t>
      </w:r>
    </w:p>
  </w:footnote>
  <w:footnote w:id="302">
    <w:p w14:paraId="69BE7D81" w14:textId="77777777" w:rsidR="006F142F" w:rsidRDefault="006F142F" w:rsidP="0052698D">
      <w:pPr>
        <w:pStyle w:val="footnote"/>
      </w:pPr>
      <w:r>
        <w:rPr>
          <w:vertAlign w:val="superscript"/>
        </w:rPr>
        <w:footnoteRef/>
      </w:r>
      <w:r>
        <w:rPr>
          <w:i/>
          <w:iCs/>
        </w:rPr>
        <w:t>See</w:t>
      </w:r>
      <w:r>
        <w:t>,</w:t>
      </w:r>
      <w:r>
        <w:rPr>
          <w:i/>
          <w:iCs/>
        </w:rPr>
        <w:t xml:space="preserve"> e.g.</w:t>
      </w:r>
      <w:r>
        <w:t xml:space="preserve">, Pravin Anand, </w:t>
      </w:r>
      <w:r w:rsidRPr="0073540A">
        <w:rPr>
          <w:i/>
        </w:rPr>
        <w:t>India</w:t>
      </w:r>
      <w:r>
        <w:t xml:space="preserve">, </w:t>
      </w:r>
      <w:r w:rsidRPr="00663704">
        <w:rPr>
          <w:i/>
        </w:rPr>
        <w:t>in</w:t>
      </w:r>
      <w:r>
        <w:t xml:space="preserve"> Frederick W. Mostert, </w:t>
      </w:r>
      <w:r>
        <w:rPr>
          <w:smallCaps/>
        </w:rPr>
        <w:t>Famous and Well Known Marks</w:t>
      </w:r>
      <w:r>
        <w:t xml:space="preserve"> 318–19 (Butterworths 1997 (citing Daimler Benz Aktiengesellschaft v. Hybo Hindustan [AIR 1994 Del. 239, 1994 IPLR (19) 224]). </w:t>
      </w:r>
    </w:p>
  </w:footnote>
  <w:footnote w:id="303">
    <w:p w14:paraId="4BE1A87C" w14:textId="77777777" w:rsidR="006F142F" w:rsidRDefault="006F142F">
      <w:pPr>
        <w:pStyle w:val="FootnoteText"/>
      </w:pPr>
      <w:r>
        <w:rPr>
          <w:rStyle w:val="FootnoteReference"/>
          <w:rFonts w:eastAsiaTheme="majorEastAsia"/>
        </w:rPr>
        <w:footnoteRef/>
      </w:r>
      <w:r w:rsidRPr="00251F78">
        <w:t>Renaissance Hotel Holdings Inc. vs Sai, Civ. App. No. 404 of 2022 (S. Ct. India 2022)</w:t>
      </w:r>
      <w:r>
        <w:t xml:space="preserve">, </w:t>
      </w:r>
      <w:r w:rsidRPr="00251F78">
        <w:rPr>
          <w:i/>
          <w:iCs/>
        </w:rPr>
        <w:t>available</w:t>
      </w:r>
      <w:r>
        <w:t xml:space="preserve"> </w:t>
      </w:r>
      <w:r w:rsidRPr="00251F78">
        <w:rPr>
          <w:i/>
          <w:iCs/>
        </w:rPr>
        <w:t>at</w:t>
      </w:r>
      <w:r>
        <w:t xml:space="preserve"> http://indiankanoon</w:t>
      </w:r>
      <w:r w:rsidRPr="00251F78">
        <w:t>.</w:t>
      </w:r>
      <w:r>
        <w:t>org/doc/143185473.</w:t>
      </w:r>
    </w:p>
  </w:footnote>
  <w:footnote w:id="304">
    <w:p w14:paraId="2B098918" w14:textId="77777777" w:rsidR="006F142F" w:rsidRPr="00B14711" w:rsidRDefault="006F142F" w:rsidP="0052698D">
      <w:pPr>
        <w:pStyle w:val="footnote"/>
      </w:pPr>
      <w:r w:rsidRPr="00B14711">
        <w:rPr>
          <w:vertAlign w:val="superscript"/>
        </w:rPr>
        <w:footnoteRef/>
      </w:r>
      <w:r w:rsidRPr="00B14711">
        <w:rPr>
          <w:i/>
          <w:iCs/>
        </w:rPr>
        <w:t>See</w:t>
      </w:r>
      <w:r w:rsidRPr="00B14711">
        <w:t xml:space="preserve"> Century 21 Real Estate LLC v. Century 21 Main Realty Pvt., Ltd., IA No. 10426/2007 in CS(OS) No. 1687/2007 (High Court at Delhi, Jan. 11, 2010) (refusing an interim injunction).</w:t>
      </w:r>
    </w:p>
  </w:footnote>
  <w:footnote w:id="305">
    <w:p w14:paraId="27DD34B6" w14:textId="77777777" w:rsidR="006F142F" w:rsidRPr="00B14711" w:rsidRDefault="006F142F" w:rsidP="0052698D">
      <w:pPr>
        <w:pStyle w:val="footnote"/>
      </w:pPr>
      <w:r w:rsidRPr="00B14711">
        <w:rPr>
          <w:vertAlign w:val="superscript"/>
        </w:rPr>
        <w:footnoteRef/>
      </w:r>
      <w:r w:rsidRPr="00B14711">
        <w:t>Trade Marks Ordinance 2000, §§2(xiv) (defining “dilution”), 29(4)(b) (grounds for opposition to registration include dilution), 40(4) (infringement section, using language like that of EU Trademark Harmonization Directive), 68(e) (regulating comparative advertising that disparages others’ marks), 86(3)(b) (well-known marks under the Paris Convention protected against dilution).</w:t>
      </w:r>
    </w:p>
  </w:footnote>
  <w:footnote w:id="306">
    <w:p w14:paraId="6C3BFF88" w14:textId="77777777" w:rsidR="006F142F" w:rsidRPr="00B14711" w:rsidRDefault="006F142F" w:rsidP="0052698D">
      <w:pPr>
        <w:pStyle w:val="footnote"/>
      </w:pPr>
      <w:r w:rsidRPr="00B14711">
        <w:rPr>
          <w:vertAlign w:val="superscript"/>
        </w:rPr>
        <w:footnoteRef/>
      </w:r>
      <w:r w:rsidRPr="00B14711">
        <w:rPr>
          <w:i/>
          <w:iCs/>
        </w:rPr>
        <w:t>See</w:t>
      </w:r>
      <w:r w:rsidRPr="00B14711">
        <w:t xml:space="preserve"> Trademark Act B.E. 2534 [Thailand] §§13, 14.</w:t>
      </w:r>
    </w:p>
  </w:footnote>
  <w:footnote w:id="307">
    <w:p w14:paraId="54C7074E" w14:textId="77777777" w:rsidR="006F142F" w:rsidRPr="00B14711" w:rsidRDefault="006F142F" w:rsidP="0052698D">
      <w:pPr>
        <w:pStyle w:val="footnote"/>
      </w:pPr>
      <w:r w:rsidRPr="00B14711">
        <w:rPr>
          <w:vertAlign w:val="superscript"/>
        </w:rPr>
        <w:footnoteRef/>
      </w:r>
      <w:r w:rsidRPr="00B14711">
        <w:t xml:space="preserve">A more complete discussion can be found in David S. Welkowitz, </w:t>
      </w:r>
      <w:r w:rsidRPr="00B14711">
        <w:rPr>
          <w:i/>
          <w:iCs/>
        </w:rPr>
        <w:t>Protection Against Trademark Dilution in the U</w:t>
      </w:r>
      <w:r w:rsidRPr="00B14711">
        <w:t>.</w:t>
      </w:r>
      <w:r w:rsidRPr="00B14711">
        <w:rPr>
          <w:i/>
          <w:iCs/>
        </w:rPr>
        <w:t>K</w:t>
      </w:r>
      <w:r w:rsidRPr="00B14711">
        <w:t>.</w:t>
      </w:r>
      <w:r w:rsidRPr="00B14711">
        <w:rPr>
          <w:i/>
          <w:iCs/>
        </w:rPr>
        <w:t xml:space="preserve"> and Canada: Inexorable Trend or Will Tradition Triumph?</w:t>
      </w:r>
      <w:r w:rsidRPr="00B14711">
        <w:t xml:space="preserve">, 24 </w:t>
      </w:r>
      <w:r w:rsidRPr="00B14711">
        <w:rPr>
          <w:smallCaps/>
        </w:rPr>
        <w:t>Hast. Int’l &amp; Comp. L. Rev.</w:t>
      </w:r>
      <w:r w:rsidRPr="00B14711">
        <w:t xml:space="preserve"> 63, 100–121 (2000). For an additional discussion, see Mirko Bibic &amp; Vicky Eatrides, </w:t>
      </w:r>
      <w:r w:rsidRPr="00B14711">
        <w:rPr>
          <w:i/>
          <w:iCs/>
        </w:rPr>
        <w:t>Would Victoria’s Secret Be Protected North of the Border? A Revealing Look at Trade-mark Infringement and Depreciation of Goodwill in Canada</w:t>
      </w:r>
      <w:r w:rsidRPr="00B14711">
        <w:t xml:space="preserve">, 93 </w:t>
      </w:r>
      <w:r w:rsidRPr="00B14711">
        <w:rPr>
          <w:smallCaps/>
        </w:rPr>
        <w:t>Trademark Rep.</w:t>
      </w:r>
      <w:r w:rsidRPr="00B14711">
        <w:t xml:space="preserve"> 904 (2003).</w:t>
      </w:r>
    </w:p>
  </w:footnote>
  <w:footnote w:id="308">
    <w:p w14:paraId="727021C3" w14:textId="77777777" w:rsidR="006F142F" w:rsidRDefault="006F142F">
      <w:pPr>
        <w:pStyle w:val="FootnoteText"/>
      </w:pPr>
      <w:r>
        <w:rPr>
          <w:rStyle w:val="FootnoteReference"/>
          <w:rFonts w:eastAsiaTheme="majorEastAsia"/>
        </w:rPr>
        <w:footnoteRef/>
      </w:r>
      <w:r>
        <w:t xml:space="preserve"> That a claim under Section 22 is different than a claim for confusion was emphasized in </w:t>
      </w:r>
      <w:r w:rsidRPr="00925B8B">
        <w:t>Sandhu Singh Hamdard Trust v. Navsun Holdings Ltd.</w:t>
      </w:r>
      <w:r>
        <w:t xml:space="preserve">, 2019 FCA 295, </w:t>
      </w:r>
      <w:r>
        <w:rPr>
          <w:rFonts w:ascii="TimesNewRomanPSMT" w:hAnsi="TimesNewRomanPSMT" w:cs="TimesNewRomanPSMT"/>
        </w:rPr>
        <w:t xml:space="preserve">169 C.P.R. (4th) 325, 313 A.C.W.S. (3d) 605 at </w:t>
      </w:r>
      <w:r>
        <w:t>¶¶31-35 (Fed. Ct. App. 2019) (reversing a dismissal of a section 22 claim because the Federal Court applied the wrong test).</w:t>
      </w:r>
    </w:p>
  </w:footnote>
  <w:footnote w:id="309">
    <w:p w14:paraId="52CC1B4B" w14:textId="77777777" w:rsidR="006F142F" w:rsidRPr="00B14711" w:rsidRDefault="006F142F" w:rsidP="0052698D">
      <w:pPr>
        <w:pStyle w:val="footnote"/>
      </w:pPr>
      <w:r w:rsidRPr="00B14711">
        <w:rPr>
          <w:vertAlign w:val="superscript"/>
        </w:rPr>
        <w:footnoteRef/>
      </w:r>
      <w:r w:rsidRPr="00B14711">
        <w:t>R.S.C. 1985, c. T-13, §22.</w:t>
      </w:r>
      <w:r w:rsidRPr="000D7ECF">
        <w:t xml:space="preserve"> </w:t>
      </w:r>
      <w:r>
        <w:t>The Trade Marks Act has been amended recently, but the wording of Section 22 was not affected.</w:t>
      </w:r>
    </w:p>
  </w:footnote>
  <w:footnote w:id="310">
    <w:p w14:paraId="7B3FE3FC" w14:textId="77777777" w:rsidR="006F142F" w:rsidRPr="00B14711" w:rsidRDefault="006F142F" w:rsidP="0052698D">
      <w:pPr>
        <w:pStyle w:val="footnote"/>
      </w:pPr>
      <w:r w:rsidRPr="00B14711">
        <w:rPr>
          <w:vertAlign w:val="superscript"/>
        </w:rPr>
        <w:footnoteRef/>
      </w:r>
      <w:r w:rsidRPr="00B14711">
        <w:t>Clairol Int’l Corp. v. Thomas Supply &amp; Equip. Co., Ltd., 38 Fox’s Pat. Cas. 176 (Exch. Ct. 1968).</w:t>
      </w:r>
    </w:p>
  </w:footnote>
  <w:footnote w:id="311">
    <w:p w14:paraId="5D1A2F49" w14:textId="77777777" w:rsidR="006F142F" w:rsidRPr="00B14711" w:rsidRDefault="006F142F" w:rsidP="0052698D">
      <w:pPr>
        <w:pStyle w:val="footnote"/>
      </w:pPr>
      <w:r w:rsidRPr="00B14711">
        <w:rPr>
          <w:vertAlign w:val="superscript"/>
        </w:rPr>
        <w:footnoteRef/>
      </w:r>
      <w:r w:rsidRPr="00B14711">
        <w:rPr>
          <w:i/>
          <w:iCs/>
        </w:rPr>
        <w:t>Id</w:t>
      </w:r>
      <w:r w:rsidRPr="00B14711">
        <w:t>. at 200–201. Comparative advertisements are excluded from liability under the TDRA. 15 U.S.C. §1125(c)(3)(A).</w:t>
      </w:r>
      <w:r w:rsidRPr="000D7ECF">
        <w:t xml:space="preserve"> </w:t>
      </w:r>
      <w:r w:rsidRPr="003131C0">
        <w:t xml:space="preserve">A competitor’s brochure making misleading statements about the plaintiff was held to violate </w:t>
      </w:r>
      <w:r>
        <w:t xml:space="preserve">Section </w:t>
      </w:r>
      <w:r w:rsidRPr="003131C0">
        <w:t>22. Direct Energy Mktg. Ltd. v. National Energy Corp., 2012 CarswellOnt 9005, 2012 ONSC 4232, 218 A.C.W.S. (3d) 668, 104 C.P.R. (4th) 258</w:t>
      </w:r>
      <w:r>
        <w:t>,</w:t>
      </w:r>
      <w:r w:rsidRPr="003131C0">
        <w:t xml:space="preserve"> </w:t>
      </w:r>
      <w:r>
        <w:t xml:space="preserve">para. </w:t>
      </w:r>
      <w:r w:rsidRPr="003131C0">
        <w:t>22 (Ont. Super. Ct. 2012).</w:t>
      </w:r>
    </w:p>
  </w:footnote>
  <w:footnote w:id="312">
    <w:p w14:paraId="5094DD5C" w14:textId="77777777" w:rsidR="006F142F" w:rsidRPr="00B14711" w:rsidRDefault="006F142F" w:rsidP="0052698D">
      <w:pPr>
        <w:pStyle w:val="footnote"/>
      </w:pPr>
      <w:r w:rsidRPr="00B14711">
        <w:rPr>
          <w:vertAlign w:val="superscript"/>
        </w:rPr>
        <w:footnoteRef/>
      </w:r>
      <w:r w:rsidRPr="00B14711">
        <w:rPr>
          <w:i/>
          <w:iCs/>
        </w:rPr>
        <w:t>Clairol</w:t>
      </w:r>
      <w:r w:rsidRPr="00B14711">
        <w:t>, 38 Fox’s Pat. Cas. at 196.</w:t>
      </w:r>
    </w:p>
  </w:footnote>
  <w:footnote w:id="313">
    <w:p w14:paraId="79FCE417" w14:textId="77777777" w:rsidR="006F142F" w:rsidRPr="00B14711" w:rsidRDefault="006F142F" w:rsidP="0052698D">
      <w:pPr>
        <w:pStyle w:val="footnote"/>
      </w:pPr>
      <w:r w:rsidRPr="00B14711">
        <w:rPr>
          <w:vertAlign w:val="superscript"/>
        </w:rPr>
        <w:footnoteRef/>
      </w:r>
      <w:r w:rsidRPr="00B14711">
        <w:rPr>
          <w:i/>
          <w:iCs/>
        </w:rPr>
        <w:t>See, e</w:t>
      </w:r>
      <w:r w:rsidRPr="00B14711">
        <w:t>.</w:t>
      </w:r>
      <w:r w:rsidRPr="00B14711">
        <w:rPr>
          <w:i/>
          <w:iCs/>
        </w:rPr>
        <w:t>g</w:t>
      </w:r>
      <w:r w:rsidRPr="00B14711">
        <w:t>., Syntex, Inc. v. Apotex, Inc., [1987] 1 C.P.R.3d 145, 151 (Fed. Ct. App.) (flyers used to promote product not “use”); Cie Generale des Etablissements Michelin-Michelin &amp; Cie v. C.A.W.-Canada, [1996] 71 C.P.R.3d 348, 363 (Fed. Ct.) (union leaflets not a “use”).</w:t>
      </w:r>
    </w:p>
  </w:footnote>
  <w:footnote w:id="314">
    <w:p w14:paraId="75C7461B" w14:textId="77777777" w:rsidR="006F142F" w:rsidRDefault="006F142F" w:rsidP="0052698D">
      <w:pPr>
        <w:pStyle w:val="footnote"/>
      </w:pPr>
      <w:r>
        <w:rPr>
          <w:vertAlign w:val="superscript"/>
        </w:rPr>
        <w:footnoteRef/>
      </w:r>
      <w:r w:rsidRPr="005140A4">
        <w:t>Venngo Inc. v. Concierge Connection Inc., 2015 F.C. 1338, ¶</w:t>
      </w:r>
      <w:r>
        <w:t xml:space="preserve">86, 2015 CF 1338 (Fed. Ct. 2015), </w:t>
      </w:r>
      <w:r>
        <w:rPr>
          <w:i/>
          <w:iCs/>
        </w:rPr>
        <w:t>aff’d</w:t>
      </w:r>
      <w:r>
        <w:t>, 2017 FCA 96, 146 C.P.R. (4</w:t>
      </w:r>
      <w:r w:rsidRPr="00663704">
        <w:t>th</w:t>
      </w:r>
      <w:r>
        <w:t>) 182 (Fed. Ct. App. 2017).</w:t>
      </w:r>
    </w:p>
  </w:footnote>
  <w:footnote w:id="315">
    <w:p w14:paraId="78D96E78" w14:textId="77777777" w:rsidR="006F142F" w:rsidRDefault="006F142F" w:rsidP="000D7ECF">
      <w:pPr>
        <w:pStyle w:val="FootnoteText"/>
      </w:pPr>
      <w:r>
        <w:rPr>
          <w:rStyle w:val="FootnoteReference"/>
          <w:rFonts w:eastAsiaTheme="majorEastAsia"/>
        </w:rPr>
        <w:footnoteRef/>
      </w:r>
      <w:r>
        <w:t>2017 FCA 96, 146 C.P.R. (4</w:t>
      </w:r>
      <w:r w:rsidRPr="00663704">
        <w:t>th</w:t>
      </w:r>
      <w:r>
        <w:t xml:space="preserve">) 182 (Fed. Ct. App. 2017). </w:t>
      </w:r>
    </w:p>
  </w:footnote>
  <w:footnote w:id="316">
    <w:p w14:paraId="486FEAC1" w14:textId="77777777" w:rsidR="006F142F" w:rsidRPr="00116C7F" w:rsidRDefault="006F142F" w:rsidP="000D7ECF">
      <w:pPr>
        <w:pStyle w:val="FootnoteText"/>
      </w:pPr>
      <w:r>
        <w:rPr>
          <w:rStyle w:val="FootnoteReference"/>
          <w:rFonts w:eastAsiaTheme="majorEastAsia"/>
        </w:rPr>
        <w:footnoteRef/>
      </w:r>
      <w:r>
        <w:rPr>
          <w:i/>
          <w:iCs/>
        </w:rPr>
        <w:t>Id</w:t>
      </w:r>
      <w:r>
        <w:t>. at ¶¶ 80, 82.</w:t>
      </w:r>
    </w:p>
  </w:footnote>
  <w:footnote w:id="317">
    <w:p w14:paraId="088DBD04" w14:textId="77777777" w:rsidR="006F142F" w:rsidRPr="00C74F20" w:rsidRDefault="006F142F" w:rsidP="000D7ECF">
      <w:pPr>
        <w:pStyle w:val="FootnoteText"/>
      </w:pPr>
      <w:r w:rsidRPr="00C74F20">
        <w:rPr>
          <w:rStyle w:val="FootnoteReference"/>
          <w:rFonts w:eastAsiaTheme="majorEastAsia"/>
        </w:rPr>
        <w:footnoteRef/>
      </w:r>
      <w:r w:rsidRPr="00C74F20">
        <w:t>Energizer Brands, LLC v. Gillette Co., 2018 FC 1003, paras. 63–66, 159 C.P.R. (4th) 192 (Fed. Ct. 2018)</w:t>
      </w:r>
      <w:r w:rsidRPr="009C187B">
        <w:t xml:space="preserve">, </w:t>
      </w:r>
      <w:r>
        <w:rPr>
          <w:i/>
          <w:iCs/>
        </w:rPr>
        <w:t>appeal allowed</w:t>
      </w:r>
      <w:r w:rsidRPr="00C74F20">
        <w:rPr>
          <w:i/>
          <w:iCs/>
        </w:rPr>
        <w:t xml:space="preserve"> on other grounds</w:t>
      </w:r>
      <w:r w:rsidRPr="00C74F20">
        <w:t xml:space="preserve">, </w:t>
      </w:r>
      <w:r>
        <w:rPr>
          <w:rFonts w:ascii="TimesNewRomanPSMT" w:hAnsi="TimesNewRomanPSMT" w:cs="TimesNewRomanPSMT"/>
        </w:rPr>
        <w:t>2020 CarswellNat 396, 2020 FCA 49, 317 A.C.W.S. (3d) 121 (Fed. Ct. App. 2020)</w:t>
      </w:r>
      <w:r w:rsidRPr="00C74F20">
        <w:t>.</w:t>
      </w:r>
    </w:p>
  </w:footnote>
  <w:footnote w:id="318">
    <w:p w14:paraId="40990032" w14:textId="77777777" w:rsidR="006F142F" w:rsidRPr="005B3FDB" w:rsidRDefault="006F142F" w:rsidP="000D7ECF">
      <w:pPr>
        <w:pStyle w:val="FootnoteText"/>
      </w:pPr>
      <w:r w:rsidRPr="00C74F20">
        <w:rPr>
          <w:rStyle w:val="FootnoteReference"/>
          <w:rFonts w:eastAsiaTheme="majorEastAsia"/>
        </w:rPr>
        <w:footnoteRef/>
      </w:r>
      <w:r w:rsidRPr="00C74F20">
        <w:rPr>
          <w:i/>
          <w:iCs/>
        </w:rPr>
        <w:t>Id</w:t>
      </w:r>
      <w:r w:rsidRPr="00C74F20">
        <w:t>. at ¶¶. 69–70.</w:t>
      </w:r>
      <w:r>
        <w:t xml:space="preserve"> On appeal, the Federal Court of Appeal did not directly address the question whether section 22 applied to unregistered marks that referred to registered marks. Instead, it held that the Federal Court erred in considering, as a matter of factual determination, whether the use of “the next leading brand” would be understood to refer to Energizer, because Duracell had not properly raised that issue in its motion. 2020 FCA at ¶36. In a subsequent case between the same parties, the Federal Court found a violation of Section 22 via Duracell’s comparative advertising. Energizer Brands LLC v. The Gillette Co., 2023 FC 804 ¶145 (Fed. Ct. July 6, 2023).</w:t>
      </w:r>
    </w:p>
  </w:footnote>
  <w:footnote w:id="319">
    <w:p w14:paraId="48A94B6A" w14:textId="77777777" w:rsidR="006F142F" w:rsidRDefault="006F142F" w:rsidP="007331B8">
      <w:pPr>
        <w:pStyle w:val="FootnoteText"/>
      </w:pPr>
      <w:r>
        <w:rPr>
          <w:rStyle w:val="FootnoteReference"/>
          <w:rFonts w:eastAsiaTheme="majorEastAsia"/>
        </w:rPr>
        <w:footnoteRef/>
      </w:r>
      <w:r>
        <w:t>2024 FC 52 (Fed. Ct. Jan. 24, 2024).</w:t>
      </w:r>
    </w:p>
  </w:footnote>
  <w:footnote w:id="320">
    <w:p w14:paraId="21BF05C4" w14:textId="77777777" w:rsidR="006F142F" w:rsidRPr="00065818" w:rsidRDefault="006F142F" w:rsidP="007331B8">
      <w:pPr>
        <w:pStyle w:val="FootnoteText"/>
      </w:pPr>
      <w:r>
        <w:rPr>
          <w:rStyle w:val="FootnoteReference"/>
          <w:rFonts w:eastAsiaTheme="majorEastAsia"/>
        </w:rPr>
        <w:footnoteRef/>
      </w:r>
      <w:r>
        <w:rPr>
          <w:i/>
          <w:iCs/>
        </w:rPr>
        <w:t>Id</w:t>
      </w:r>
      <w:r>
        <w:t>. ¶124.</w:t>
      </w:r>
    </w:p>
  </w:footnote>
  <w:footnote w:id="321">
    <w:p w14:paraId="384CE507" w14:textId="77777777" w:rsidR="006F142F" w:rsidRPr="00916D47" w:rsidRDefault="006F142F" w:rsidP="007331B8">
      <w:pPr>
        <w:pStyle w:val="FootnoteText"/>
      </w:pPr>
      <w:r>
        <w:rPr>
          <w:rStyle w:val="FootnoteReference"/>
          <w:rFonts w:eastAsiaTheme="majorEastAsia"/>
        </w:rPr>
        <w:footnoteRef/>
      </w:r>
      <w:r>
        <w:rPr>
          <w:i/>
          <w:iCs/>
        </w:rPr>
        <w:t>Id</w:t>
      </w:r>
      <w:r>
        <w:t xml:space="preserve">., </w:t>
      </w:r>
      <w:r>
        <w:rPr>
          <w:i/>
          <w:iCs/>
        </w:rPr>
        <w:t>quoting</w:t>
      </w:r>
      <w:r>
        <w:t xml:space="preserve"> Venngo Inc v. Concierge Connection Inc (Perkopolis), 2017 FCA 96 ¶¶13, 80.</w:t>
      </w:r>
    </w:p>
  </w:footnote>
  <w:footnote w:id="322">
    <w:p w14:paraId="78FB198D" w14:textId="77777777" w:rsidR="006F142F" w:rsidRDefault="006F142F" w:rsidP="007331B8">
      <w:pPr>
        <w:pStyle w:val="FootnoteText"/>
      </w:pPr>
      <w:r>
        <w:rPr>
          <w:rStyle w:val="FootnoteReference"/>
          <w:rFonts w:eastAsiaTheme="majorEastAsia"/>
        </w:rPr>
        <w:footnoteRef/>
      </w:r>
      <w:r>
        <w:rPr>
          <w:i/>
          <w:iCs/>
        </w:rPr>
        <w:t>Id</w:t>
      </w:r>
      <w:r>
        <w:t>. ¶125.</w:t>
      </w:r>
    </w:p>
  </w:footnote>
  <w:footnote w:id="323">
    <w:p w14:paraId="54103886" w14:textId="77777777" w:rsidR="006F142F" w:rsidRDefault="006F142F" w:rsidP="007331B8">
      <w:pPr>
        <w:pStyle w:val="FootnoteText"/>
      </w:pPr>
      <w:r>
        <w:rPr>
          <w:rStyle w:val="FootnoteReference"/>
          <w:rFonts w:eastAsiaTheme="majorEastAsia"/>
        </w:rPr>
        <w:footnoteRef/>
      </w:r>
      <w:r>
        <w:t>2006 SCC 23 (Sup. Ct., June 2, 2006).</w:t>
      </w:r>
    </w:p>
  </w:footnote>
  <w:footnote w:id="324">
    <w:p w14:paraId="0D5541BA" w14:textId="77777777" w:rsidR="006F142F" w:rsidRPr="00B14711" w:rsidRDefault="006F142F" w:rsidP="0052698D">
      <w:pPr>
        <w:pStyle w:val="footnote"/>
      </w:pPr>
      <w:r w:rsidRPr="00B14711">
        <w:rPr>
          <w:vertAlign w:val="superscript"/>
        </w:rPr>
        <w:footnoteRef/>
      </w:r>
      <w:r w:rsidRPr="00B14711">
        <w:t>Veuve Clicquot Ponsardin v. Boutiques Cliquot Ltée, 35 C.P.R. (4th) 1 (Fed. Ct. App. 2004),</w:t>
      </w:r>
      <w:r w:rsidRPr="00B14711">
        <w:rPr>
          <w:i/>
          <w:iCs/>
        </w:rPr>
        <w:t xml:space="preserve"> aff’d</w:t>
      </w:r>
      <w:r w:rsidRPr="00B14711">
        <w:t>, 2006 SCC 23 (Sup. Ct., June 2, 2006)</w:t>
      </w:r>
      <w:r>
        <w:t>; Telugu Assn. of N. Amer. v. Telugu Assn. of N. Amer., 2024 FC 631 ¶4 (Fed. Ct. Apr. 25, 2024) (refusing to consider unregistered marks under Section 22)</w:t>
      </w:r>
      <w:r w:rsidRPr="00B14711">
        <w:t>.</w:t>
      </w:r>
      <w:r w:rsidRPr="000D7ECF">
        <w:rPr>
          <w:i/>
          <w:iCs/>
        </w:rPr>
        <w:t xml:space="preserve"> </w:t>
      </w:r>
      <w:r w:rsidRPr="003131C0">
        <w:rPr>
          <w:i/>
          <w:iCs/>
        </w:rPr>
        <w:t>See</w:t>
      </w:r>
      <w:r w:rsidRPr="003131C0">
        <w:t xml:space="preserve"> Red Label Vacations, Inc. v. 411 Travel Buys, Ltd., 2015 F.C. 19, para. 124 (Fed. Ct. 2015) (finding no use of the trademarks as registered), </w:t>
      </w:r>
      <w:r w:rsidRPr="003131C0">
        <w:rPr>
          <w:i/>
          <w:iCs/>
        </w:rPr>
        <w:t>aff’d</w:t>
      </w:r>
      <w:r w:rsidRPr="003131C0">
        <w:t>,</w:t>
      </w:r>
      <w:r w:rsidRPr="003131C0">
        <w:rPr>
          <w:i/>
          <w:iCs/>
        </w:rPr>
        <w:t xml:space="preserve"> </w:t>
      </w:r>
      <w:r w:rsidRPr="003131C0">
        <w:t>2015 FCA 290, para</w:t>
      </w:r>
      <w:r>
        <w:t>s</w:t>
      </w:r>
      <w:r w:rsidRPr="003131C0">
        <w:t xml:space="preserve">. 25–27 (Fed. Ct. App. 2015). In the alternative, the court held that use as a metatag was not actionable under </w:t>
      </w:r>
      <w:r>
        <w:t xml:space="preserve">Section </w:t>
      </w:r>
      <w:r w:rsidRPr="003131C0">
        <w:t xml:space="preserve">22. </w:t>
      </w:r>
      <w:r w:rsidRPr="003131C0">
        <w:rPr>
          <w:i/>
          <w:iCs/>
        </w:rPr>
        <w:t>Id</w:t>
      </w:r>
      <w:r w:rsidRPr="003131C0">
        <w:t>.</w:t>
      </w:r>
    </w:p>
  </w:footnote>
  <w:footnote w:id="325">
    <w:p w14:paraId="1AC73645" w14:textId="77777777" w:rsidR="006F142F" w:rsidRDefault="006F142F" w:rsidP="000D7ECF">
      <w:pPr>
        <w:pStyle w:val="FootnoteText"/>
      </w:pPr>
      <w:r>
        <w:rPr>
          <w:rStyle w:val="FootnoteReference"/>
          <w:rFonts w:eastAsiaTheme="majorEastAsia"/>
        </w:rPr>
        <w:footnoteRef/>
      </w:r>
      <w:r>
        <w:t>The amendment provides as follows:</w:t>
      </w:r>
    </w:p>
    <w:p w14:paraId="6779A34C" w14:textId="77777777" w:rsidR="006F142F" w:rsidRDefault="006F142F" w:rsidP="000D7ECF">
      <w:pPr>
        <w:pStyle w:val="FootnoteText"/>
      </w:pPr>
    </w:p>
    <w:p w14:paraId="407A7739" w14:textId="77777777" w:rsidR="006F142F" w:rsidRPr="009D2E5F" w:rsidRDefault="006F142F" w:rsidP="000D7ECF">
      <w:pPr>
        <w:ind w:left="720"/>
        <w:rPr>
          <w:sz w:val="20"/>
          <w:szCs w:val="20"/>
          <w:lang w:val="en-CA"/>
        </w:rPr>
      </w:pPr>
      <w:r w:rsidRPr="009D2E5F">
        <w:rPr>
          <w:sz w:val="20"/>
          <w:szCs w:val="20"/>
          <w:lang w:val="en-CA"/>
        </w:rPr>
        <w:t>Section 53.2 of the Act is amended by adding the following after subsection (1):</w:t>
      </w:r>
    </w:p>
    <w:p w14:paraId="353C8CAA" w14:textId="77777777" w:rsidR="006F142F" w:rsidRPr="009D2E5F" w:rsidRDefault="006F142F" w:rsidP="000D7ECF">
      <w:pPr>
        <w:ind w:left="720"/>
        <w:rPr>
          <w:sz w:val="20"/>
          <w:szCs w:val="20"/>
          <w:lang w:val="en-CA"/>
        </w:rPr>
      </w:pPr>
      <w:r w:rsidRPr="009D2E5F">
        <w:rPr>
          <w:sz w:val="20"/>
          <w:szCs w:val="20"/>
          <w:lang w:val="en-CA"/>
        </w:rPr>
        <w:t> </w:t>
      </w:r>
    </w:p>
    <w:p w14:paraId="6EED301E" w14:textId="77777777" w:rsidR="006F142F" w:rsidRPr="009D2E5F" w:rsidRDefault="006F142F" w:rsidP="000D7ECF">
      <w:pPr>
        <w:ind w:left="720"/>
        <w:rPr>
          <w:sz w:val="20"/>
          <w:szCs w:val="20"/>
          <w:lang w:val="en-CA"/>
        </w:rPr>
      </w:pPr>
      <w:r w:rsidRPr="009D2E5F">
        <w:rPr>
          <w:sz w:val="20"/>
          <w:szCs w:val="20"/>
          <w:lang w:val="en-CA"/>
        </w:rPr>
        <w:t>Exception</w:t>
      </w:r>
    </w:p>
    <w:p w14:paraId="1C5BF15A" w14:textId="77777777" w:rsidR="006F142F" w:rsidRDefault="006F142F" w:rsidP="000D7ECF">
      <w:pPr>
        <w:ind w:left="720"/>
        <w:rPr>
          <w:lang w:val="en-CA"/>
        </w:rPr>
      </w:pPr>
      <w:r>
        <w:rPr>
          <w:lang w:val="en-CA"/>
        </w:rPr>
        <w:t> </w:t>
      </w:r>
    </w:p>
    <w:p w14:paraId="0E46C651" w14:textId="77777777" w:rsidR="006F142F" w:rsidRDefault="006F142F" w:rsidP="000D7ECF">
      <w:pPr>
        <w:pStyle w:val="FootnoteText"/>
      </w:pPr>
      <w:r>
        <w:rPr>
          <w:lang w:val="en-CA"/>
        </w:rPr>
        <w:t>(1.1) If, within a period of three years beginning on the date of registration of a trademark, the owner of the registered trademark makes an application claiming that an act has been done contrary to section 19, 20 or 22, the owner is not entitled to relief unless the trademark was in use in Canada at any time during that period or special circumstances exist that excuse the absence of use in Canada during that period.</w:t>
      </w:r>
    </w:p>
  </w:footnote>
  <w:footnote w:id="326">
    <w:p w14:paraId="4C32C2E1" w14:textId="77777777" w:rsidR="006F142F" w:rsidRPr="00B14711" w:rsidRDefault="006F142F" w:rsidP="0052698D">
      <w:pPr>
        <w:pStyle w:val="footnote"/>
      </w:pPr>
      <w:r w:rsidRPr="00B14711">
        <w:rPr>
          <w:vertAlign w:val="superscript"/>
        </w:rPr>
        <w:footnoteRef/>
      </w:r>
      <w:r w:rsidRPr="00B14711">
        <w:t>Source Perrier (Societe Anonyme) v. Fira-Less Mktg</w:t>
      </w:r>
      <w:r>
        <w:t>.</w:t>
      </w:r>
      <w:r w:rsidRPr="00B14711">
        <w:t xml:space="preserve"> Co., [1983] 70 C.P.R.2d 61 (Fed. Ct.) (label reading “Pierre Eh!” intended as parody of then Prime Minister Pierre Trudeau). </w:t>
      </w:r>
      <w:r w:rsidRPr="00B14711">
        <w:rPr>
          <w:i/>
          <w:iCs/>
        </w:rPr>
        <w:t>But cf</w:t>
      </w:r>
      <w:r w:rsidRPr="00B14711">
        <w:t>. Horn Abbott Ltd. v. Thurston Hayes Devs. Ltd., [1997] 77 C.P.R.3d 10, 22 (Fed. Ct.) (refusing to find depreciation of Trivial Pursuit mark’s value in suit against creators of Sexual Pursuit, even though likelihood of confusion was found).</w:t>
      </w:r>
    </w:p>
  </w:footnote>
  <w:footnote w:id="327">
    <w:p w14:paraId="526B0715" w14:textId="77777777" w:rsidR="006F142F" w:rsidRPr="00B14711" w:rsidRDefault="006F142F" w:rsidP="0052698D">
      <w:pPr>
        <w:pStyle w:val="footnote"/>
      </w:pPr>
      <w:r w:rsidRPr="00B14711">
        <w:rPr>
          <w:vertAlign w:val="superscript"/>
        </w:rPr>
        <w:footnoteRef/>
      </w:r>
      <w:r w:rsidRPr="00B14711">
        <w:t xml:space="preserve">Ontario Inc. v. Sony Kaibushiki Kaisha, [1995] 65 C.P.R.3d 171, 183, 186 (Fed. Ct. T.D.) (subsequent use by Sony of CD Plus, a mark previously used by plaintiff). </w:t>
      </w:r>
      <w:r w:rsidRPr="00B14711">
        <w:rPr>
          <w:i/>
          <w:iCs/>
        </w:rPr>
        <w:t>See also</w:t>
      </w:r>
      <w:r w:rsidRPr="00B14711">
        <w:t xml:space="preserve"> Interlogo, AG v. Irwin Toy Ltd., [1985] 3 C.P.R.3d 476, 489 (Fed. Ct.) (defendant’s catalogue, stating that its toy blocks “work[] with LEGO” toy blocks makes out “a strong prima facie case” of §22 violation).</w:t>
      </w:r>
    </w:p>
  </w:footnote>
  <w:footnote w:id="328">
    <w:p w14:paraId="6EFB8632" w14:textId="77777777" w:rsidR="006F142F" w:rsidRPr="00B14711" w:rsidRDefault="006F142F" w:rsidP="0052698D">
      <w:pPr>
        <w:pStyle w:val="footnote"/>
      </w:pPr>
      <w:r w:rsidRPr="00B14711">
        <w:rPr>
          <w:vertAlign w:val="superscript"/>
        </w:rPr>
        <w:footnoteRef/>
      </w:r>
      <w:r w:rsidRPr="00B14711">
        <w:rPr>
          <w:i/>
          <w:iCs/>
        </w:rPr>
        <w:t>See, e</w:t>
      </w:r>
      <w:r w:rsidRPr="00B14711">
        <w:t>.</w:t>
      </w:r>
      <w:r w:rsidRPr="00B14711">
        <w:rPr>
          <w:i/>
          <w:iCs/>
        </w:rPr>
        <w:t>g</w:t>
      </w:r>
      <w:r w:rsidRPr="00B14711">
        <w:t xml:space="preserve">., </w:t>
      </w:r>
      <w:r>
        <w:t xml:space="preserve">Corus Radio, Inc. v. Harvard Broad. Inc., </w:t>
      </w:r>
      <w:r w:rsidRPr="00DE4BA9">
        <w:t>2019 CarswellAlta 2449, 2019 ABQB 880, [2019] A.W.L.D. 4510, [2019] A.W.L.D.</w:t>
      </w:r>
      <w:r>
        <w:t xml:space="preserve"> </w:t>
      </w:r>
      <w:r w:rsidRPr="00DE4BA9">
        <w:t>4511, [2019] A.W.L.D. 4512, 172 C.P.R. (4th) 141, 312 A.C.W.S. (3d) 620</w:t>
      </w:r>
      <w:r>
        <w:t xml:space="preserve"> ¶¶98-99 (Alb. Q.B. 2019) (on motion for preliminary injunction, finding evidence of depreciation by defendant’s use of POWER 107 for radio station, where plaintiff previously used POWER 92); </w:t>
      </w:r>
      <w:r w:rsidRPr="003131C0">
        <w:t xml:space="preserve">Trans-High Corp. v. Conscious Consumption Inc., 2016 F.C. 949, para. 36 (Fed. Ct. 2016) (use of High Times as name of head shop depreciates goodwill of High Times mark for magazine); Thoi Bao Inc. v. 1913075 Ontario Ltd., 2016 F.C. 1339, para. 38, 275 A.C.W.S. (3d) 375 (Fed. Ct. 2016) (use of plaintiff’s trademark by defendant in association with inferior goods and “website of inferior quality” depreciates goodwill in plaintiff’s trademark); The Driving Alternative, Inc. v. Keyz Thankz, Inc., 2014 F.C. 559, para. 57 (Fed. Ct. 2014) (KEYZ PLEAZE depreciates goodwill of KEYS PLEASE); </w:t>
      </w:r>
      <w:r w:rsidRPr="00B14711">
        <w:t xml:space="preserve">Rolls-Royce plc v. Fitzwilliam, 2002 Fed. Ct. Trial LEXIS 429, at *41, 44 (Trial Ct. 2002) (finding defendant violated §22 in addition to causing likelihood of confusion, and granting relief from same). </w:t>
      </w:r>
      <w:r w:rsidRPr="00B14711">
        <w:rPr>
          <w:i/>
          <w:iCs/>
        </w:rPr>
        <w:t>But see</w:t>
      </w:r>
      <w:r w:rsidRPr="00B14711">
        <w:t xml:space="preserve"> Veuve Clicquot Ponsardin v. Boutiques Cliquot Ltée, 2006 SCC 23 (Sup. Ct., June 2, 2006) (denying relief under §22 in suit brought by maker of Veuve Clicquot champagne against retailer using Cliquot as name of women’s clothing stores)</w:t>
      </w:r>
      <w:r>
        <w:t xml:space="preserve">; </w:t>
      </w:r>
      <w:r w:rsidRPr="00F35840">
        <w:t>Loblaws Inc. v. Columbia Insurance Company</w:t>
      </w:r>
      <w:r>
        <w:t xml:space="preserve">, </w:t>
      </w:r>
      <w:r w:rsidRPr="00F35840">
        <w:t>2019 FC 961</w:t>
      </w:r>
      <w:r>
        <w:t xml:space="preserve"> ¶¶158-59 (Fed. Ct. 2019) (finding no violation of section 22 where no confusion existed)</w:t>
      </w:r>
      <w:r w:rsidRPr="00B14711">
        <w:t>.</w:t>
      </w:r>
    </w:p>
  </w:footnote>
  <w:footnote w:id="329">
    <w:p w14:paraId="425816A3" w14:textId="77777777" w:rsidR="006F142F" w:rsidRPr="00B14711" w:rsidRDefault="006F142F" w:rsidP="0052698D">
      <w:pPr>
        <w:pStyle w:val="footnote"/>
      </w:pPr>
      <w:r w:rsidRPr="00B14711">
        <w:rPr>
          <w:vertAlign w:val="superscript"/>
        </w:rPr>
        <w:footnoteRef/>
      </w:r>
      <w:r w:rsidRPr="00B14711">
        <w:rPr>
          <w:i/>
          <w:iCs/>
        </w:rPr>
        <w:t>E</w:t>
      </w:r>
      <w:r w:rsidRPr="00B14711">
        <w:t>.</w:t>
      </w:r>
      <w:r w:rsidRPr="00B14711">
        <w:rPr>
          <w:i/>
          <w:iCs/>
        </w:rPr>
        <w:t>g</w:t>
      </w:r>
      <w:r w:rsidRPr="00B14711">
        <w:t xml:space="preserve">., </w:t>
      </w:r>
      <w:r>
        <w:t xml:space="preserve">Toys “R” Us (Canada), Ltd. v. Herbs “R” Us Wellness Soc’y, </w:t>
      </w:r>
      <w:r w:rsidRPr="00251F78">
        <w:rPr>
          <w:rFonts w:asciiTheme="majorBidi" w:hAnsiTheme="majorBidi" w:cstheme="majorBidi"/>
          <w:szCs w:val="20"/>
        </w:rPr>
        <w:t>2020 FC 682</w:t>
      </w:r>
      <w:r>
        <w:rPr>
          <w:rFonts w:ascii="Georgia" w:hAnsi="Georgia" w:cs="Georgia"/>
          <w:szCs w:val="20"/>
        </w:rPr>
        <w:t xml:space="preserve"> </w:t>
      </w:r>
      <w:r>
        <w:t xml:space="preserve">¶60 (Fed. Ct. 2020) (expressly finding “disparagement”); </w:t>
      </w:r>
      <w:r w:rsidRPr="003131C0">
        <w:t xml:space="preserve">Trans-High Corp. v. Conscious Consumption Inc., 2016 F.C. 949, </w:t>
      </w:r>
      <w:r>
        <w:t>¶</w:t>
      </w:r>
      <w:r w:rsidRPr="003131C0">
        <w:t>36 (use of High Times as name of head shop depreciates goodwill of High Times mark for magazine in part due to low quality of goods associated with the defendant); Thoi Bao Inc. v. 1913075 Ontario Ltd., 2016 F.C. 1339, para. 38, 275 A.C.W.S. (3d) 375 (use of plaintiff’s trademark by defendant in association with inferior goods and “website of inferior quality” depreciates goodwill in plaintiff’s trademark);</w:t>
      </w:r>
      <w:r>
        <w:t xml:space="preserve"> </w:t>
      </w:r>
      <w:r w:rsidRPr="00B14711">
        <w:t>ITV Techs., Inc. v. WIC Television, Ltd., 2005 FCA 96, ¶¶56–57 (Fed. Ct. App. 2005) (lack of evidence of loss of business or injury to reputation); Tommy Hilfiger Licensing, Inc. v. Produits de Qualite I.M.D., Inc., 37 C.P.R. (4th) 1, 2005 CarswellNat 84</w:t>
      </w:r>
      <w:r>
        <w:t>,</w:t>
      </w:r>
      <w:r w:rsidRPr="00B14711">
        <w:t xml:space="preserve"> ¶¶129–31 (Fed. Ct. 2005). </w:t>
      </w:r>
      <w:r w:rsidRPr="00B14711">
        <w:rPr>
          <w:i/>
          <w:iCs/>
        </w:rPr>
        <w:t>Cf</w:t>
      </w:r>
      <w:r w:rsidRPr="00B14711">
        <w:t>. A &amp; W Food Servs. of Can., Inc. v. McDonald’s Rests. of Can., Ltd., 2005 CarswellNat 763, ¶¶90–91 (Fed. Ct. 2005) (indicating that dilution of mark strength is a form of depreciation of goodwill).</w:t>
      </w:r>
      <w:r>
        <w:t xml:space="preserve"> </w:t>
      </w:r>
      <w:r>
        <w:rPr>
          <w:i/>
          <w:iCs/>
        </w:rPr>
        <w:t>See also</w:t>
      </w:r>
      <w:r>
        <w:t xml:space="preserve"> Biofert Mfg., Inc. v. Agrisol Mfg., Inc., </w:t>
      </w:r>
      <w:r w:rsidRPr="00346B4A">
        <w:t>2020 CarswellNat 1293, 2020 FC 379</w:t>
      </w:r>
      <w:r>
        <w:t xml:space="preserve"> (Fed. Ct. 2020) (finding violation of §22 by company that used almost the same trademark, and used a website with the same trademark); Christian Dior Couture, S.A. v. Tobey, 2019 FC 1055, </w:t>
      </w:r>
      <w:r>
        <w:rPr>
          <w:rFonts w:ascii="TimesNewRomanPSMT" w:hAnsi="TimesNewRomanPSMT" w:cs="TimesNewRomanPSMT"/>
          <w:szCs w:val="20"/>
        </w:rPr>
        <w:t>168 C.P.R. (4th) 124, 310 A.C.W.S. (3d) 391 (Fed. Ct. 2019)</w:t>
      </w:r>
      <w:r>
        <w:t xml:space="preserve"> (finding infringement, including section 22, by sale of counterfeit merchandise); </w:t>
      </w:r>
      <w:r w:rsidRPr="00015463">
        <w:t>Givenchy, Société Anonyme v. Tobey</w:t>
      </w:r>
      <w:r>
        <w:t xml:space="preserve">, </w:t>
      </w:r>
      <w:r>
        <w:rPr>
          <w:rFonts w:ascii="TimesNewRomanPSMT" w:hAnsi="TimesNewRomanPSMT" w:cs="TimesNewRomanPSMT"/>
          <w:szCs w:val="20"/>
        </w:rPr>
        <w:t>2019 CarswellNat 3831, 2019 CarswellNat 5099, 2019 FC 1054, 167 C.P.R. (4th) 270, 309 A.C.W.S. (3d) 286 (Fed. Ct. 2019)</w:t>
      </w:r>
      <w:r>
        <w:t xml:space="preserve"> (same).</w:t>
      </w:r>
      <w:r w:rsidRPr="00B14711">
        <w:t xml:space="preserve"> </w:t>
      </w:r>
      <w:r w:rsidRPr="00B14711">
        <w:rPr>
          <w:i/>
          <w:iCs/>
        </w:rPr>
        <w:t>Cf</w:t>
      </w:r>
      <w:r w:rsidRPr="00B14711">
        <w:t>. Veuve Clicquot Ponsardin v. Boutiques Cliquot Ltée, 2006 SCC 23, ¶63 (Sup. Ct., June 2, 2006) (indicating that §22 includes both blurring and tarnishment).</w:t>
      </w:r>
    </w:p>
  </w:footnote>
  <w:footnote w:id="330">
    <w:p w14:paraId="48694966" w14:textId="77777777" w:rsidR="006F142F" w:rsidRPr="00B14711" w:rsidRDefault="006F142F" w:rsidP="0052698D">
      <w:pPr>
        <w:pStyle w:val="footnote"/>
      </w:pPr>
      <w:r w:rsidRPr="00B14711">
        <w:rPr>
          <w:vertAlign w:val="superscript"/>
        </w:rPr>
        <w:footnoteRef/>
      </w:r>
      <w:r w:rsidRPr="00B14711">
        <w:t>2006 SCC 23 (Sup. Ct., June 2, 2006).</w:t>
      </w:r>
    </w:p>
  </w:footnote>
  <w:footnote w:id="331">
    <w:p w14:paraId="0A31B443" w14:textId="77777777" w:rsidR="006F142F" w:rsidRPr="00B14711" w:rsidRDefault="006F142F" w:rsidP="0052698D">
      <w:pPr>
        <w:pStyle w:val="footnote"/>
      </w:pPr>
      <w:r w:rsidRPr="00B14711">
        <w:rPr>
          <w:vertAlign w:val="superscript"/>
        </w:rPr>
        <w:footnoteRef/>
      </w:r>
      <w:r w:rsidRPr="00B14711">
        <w:t>Note that the defendant’s Cliquot mark is spelled slightly differently from the plaintiff’s Clicquot mark.</w:t>
      </w:r>
    </w:p>
  </w:footnote>
  <w:footnote w:id="332">
    <w:p w14:paraId="2FDD1887" w14:textId="77777777" w:rsidR="006F142F" w:rsidRPr="00B14711" w:rsidRDefault="006F142F" w:rsidP="0052698D">
      <w:pPr>
        <w:pStyle w:val="footnote"/>
      </w:pPr>
      <w:r w:rsidRPr="00B14711">
        <w:rPr>
          <w:vertAlign w:val="superscript"/>
        </w:rPr>
        <w:footnoteRef/>
      </w:r>
      <w:r w:rsidRPr="00B14711">
        <w:rPr>
          <w:i/>
          <w:iCs/>
        </w:rPr>
        <w:t>Veuve Clicquot</w:t>
      </w:r>
      <w:r w:rsidRPr="00B14711">
        <w:t>, 2006 SCC 23</w:t>
      </w:r>
      <w:r>
        <w:t>,</w:t>
      </w:r>
      <w:r w:rsidRPr="00B14711">
        <w:t xml:space="preserve"> ¶37. </w:t>
      </w:r>
      <w:r w:rsidRPr="00B14711">
        <w:rPr>
          <w:i/>
          <w:iCs/>
        </w:rPr>
        <w:t>See</w:t>
      </w:r>
      <w:r w:rsidRPr="00B14711">
        <w:t xml:space="preserve"> Mattel U.S.A., Inc. v. 3894207 Can. Inc., 2006 SCC 22 (Sup. Ct., June 2, 2006), discussed below in this section.</w:t>
      </w:r>
    </w:p>
  </w:footnote>
  <w:footnote w:id="333">
    <w:p w14:paraId="5002B0A2" w14:textId="77777777" w:rsidR="006F142F" w:rsidRPr="00B14711" w:rsidRDefault="006F142F" w:rsidP="0052698D">
      <w:pPr>
        <w:pStyle w:val="footnote"/>
      </w:pPr>
      <w:r w:rsidRPr="00B14711">
        <w:rPr>
          <w:vertAlign w:val="superscript"/>
        </w:rPr>
        <w:footnoteRef/>
      </w:r>
      <w:r w:rsidRPr="00B14711">
        <w:rPr>
          <w:i/>
          <w:iCs/>
        </w:rPr>
        <w:t>Veuve Clicquot</w:t>
      </w:r>
      <w:r w:rsidRPr="00B14711">
        <w:t>, 2006 SCC 23</w:t>
      </w:r>
      <w:r>
        <w:t>,</w:t>
      </w:r>
      <w:r w:rsidRPr="00B14711">
        <w:t xml:space="preserve"> ¶42 (quoting </w:t>
      </w:r>
      <w:r w:rsidRPr="00B14711">
        <w:rPr>
          <w:smallCaps/>
        </w:rPr>
        <w:t>Restatement (Third) of Unfair Competition</w:t>
      </w:r>
      <w:r w:rsidRPr="00B14711">
        <w:t xml:space="preserve"> §25, cmt. b). The Court also noted the U.S. Supreme Court’s decision in </w:t>
      </w:r>
      <w:r w:rsidRPr="00B14711">
        <w:rPr>
          <w:i/>
          <w:iCs/>
        </w:rPr>
        <w:t>Moseley v</w:t>
      </w:r>
      <w:r w:rsidRPr="00B14711">
        <w:t>.</w:t>
      </w:r>
      <w:r w:rsidRPr="00B14711">
        <w:rPr>
          <w:i/>
          <w:iCs/>
        </w:rPr>
        <w:t xml:space="preserve"> V Secret Catalogue, Inc</w:t>
      </w:r>
      <w:r w:rsidRPr="00B14711">
        <w:t xml:space="preserve">., 537 U.S. 418, 65 USPQ2d 1801 (2003), and various British cases decided under that country’s laws, all of which were cautious in their interpretation of dilution laws. </w:t>
      </w:r>
      <w:r w:rsidRPr="00B14711">
        <w:rPr>
          <w:i/>
          <w:iCs/>
        </w:rPr>
        <w:t>Veuve Clicquot</w:t>
      </w:r>
      <w:r w:rsidRPr="00B14711">
        <w:t>, 2006 SCC 23</w:t>
      </w:r>
      <w:r>
        <w:t>,</w:t>
      </w:r>
      <w:r w:rsidRPr="00B14711">
        <w:t xml:space="preserve"> ¶¶43–44.</w:t>
      </w:r>
    </w:p>
  </w:footnote>
  <w:footnote w:id="334">
    <w:p w14:paraId="123F1C88" w14:textId="77777777" w:rsidR="006F142F" w:rsidRPr="00081457" w:rsidRDefault="006F142F" w:rsidP="0052698D">
      <w:pPr>
        <w:pStyle w:val="footnote"/>
      </w:pPr>
      <w:r w:rsidRPr="00B14711">
        <w:rPr>
          <w:vertAlign w:val="superscript"/>
        </w:rPr>
        <w:footnoteRef/>
      </w:r>
      <w:r w:rsidRPr="00B14711">
        <w:t>This appears to require some sort of trademark use, though that is not entirely clear.</w:t>
      </w:r>
      <w:r>
        <w:t xml:space="preserve">  </w:t>
      </w:r>
      <w:r>
        <w:rPr>
          <w:i/>
          <w:iCs/>
        </w:rPr>
        <w:t>See, e.g.</w:t>
      </w:r>
      <w:r>
        <w:t>, Novartis AG v. Biogen, Inc., 2024 FC 52, ¶¶124</w:t>
      </w:r>
      <w:r w:rsidRPr="0048358F">
        <w:rPr>
          <w:lang w:val="nl-NL"/>
        </w:rPr>
        <w:t>–</w:t>
      </w:r>
      <w:r>
        <w:t>125 (Fed. Ct. Jan. 24, 2024) (requiring use of a mark that very closely resembles the plaintiff’s mark).</w:t>
      </w:r>
    </w:p>
  </w:footnote>
  <w:footnote w:id="335">
    <w:p w14:paraId="1A36538B" w14:textId="77777777" w:rsidR="006F142F" w:rsidRPr="00B14711" w:rsidRDefault="006F142F" w:rsidP="0052698D">
      <w:pPr>
        <w:pStyle w:val="footnote"/>
      </w:pPr>
      <w:r w:rsidRPr="00B14711">
        <w:rPr>
          <w:vertAlign w:val="superscript"/>
        </w:rPr>
        <w:footnoteRef/>
      </w:r>
      <w:r w:rsidRPr="00B14711">
        <w:t xml:space="preserve">This does not require a mark to be “famous.” </w:t>
      </w:r>
      <w:r w:rsidRPr="00B14711">
        <w:rPr>
          <w:i/>
          <w:iCs/>
        </w:rPr>
        <w:t>Veuve Clicquot</w:t>
      </w:r>
      <w:r w:rsidRPr="00B14711">
        <w:t>, 2006 SCC 23</w:t>
      </w:r>
      <w:r>
        <w:t>,</w:t>
      </w:r>
      <w:r w:rsidRPr="00B14711">
        <w:t xml:space="preserve"> ¶54. The requirement thus resembles that under many state laws in the United States.</w:t>
      </w:r>
    </w:p>
  </w:footnote>
  <w:footnote w:id="336">
    <w:p w14:paraId="312FAF93" w14:textId="77777777" w:rsidR="006F142F" w:rsidRPr="00B14711" w:rsidRDefault="006F142F" w:rsidP="0052698D">
      <w:pPr>
        <w:pStyle w:val="footnote"/>
      </w:pPr>
      <w:r w:rsidRPr="00B14711">
        <w:rPr>
          <w:vertAlign w:val="superscript"/>
        </w:rPr>
        <w:footnoteRef/>
      </w:r>
      <w:r w:rsidRPr="00B14711">
        <w:rPr>
          <w:i/>
          <w:iCs/>
        </w:rPr>
        <w:t>Id</w:t>
      </w:r>
      <w:r w:rsidRPr="00B14711">
        <w:t>. ¶46.</w:t>
      </w:r>
    </w:p>
  </w:footnote>
  <w:footnote w:id="337">
    <w:p w14:paraId="0D6F5719" w14:textId="77777777" w:rsidR="006F142F" w:rsidRPr="00B14711" w:rsidRDefault="006F142F" w:rsidP="0052698D">
      <w:pPr>
        <w:pStyle w:val="footnote"/>
      </w:pPr>
      <w:r w:rsidRPr="00B14711">
        <w:rPr>
          <w:vertAlign w:val="superscript"/>
        </w:rPr>
        <w:footnoteRef/>
      </w:r>
      <w:r w:rsidRPr="00B14711">
        <w:rPr>
          <w:i/>
          <w:iCs/>
        </w:rPr>
        <w:t>Id</w:t>
      </w:r>
      <w:r w:rsidRPr="00B14711">
        <w:t>.</w:t>
      </w:r>
    </w:p>
  </w:footnote>
  <w:footnote w:id="338">
    <w:p w14:paraId="036D1282" w14:textId="77777777" w:rsidR="006F142F" w:rsidRPr="00B14711" w:rsidRDefault="006F142F" w:rsidP="0052698D">
      <w:pPr>
        <w:pStyle w:val="footnote"/>
      </w:pPr>
      <w:r w:rsidRPr="00B14711">
        <w:rPr>
          <w:vertAlign w:val="superscript"/>
        </w:rPr>
        <w:footnoteRef/>
      </w:r>
      <w:r w:rsidRPr="00B14711">
        <w:rPr>
          <w:i/>
          <w:iCs/>
        </w:rPr>
        <w:t>Id</w:t>
      </w:r>
      <w:r w:rsidRPr="00B14711">
        <w:t>. ¶53 (quoting Restatement (Third) of Unfair Competition §25, cmt. e).</w:t>
      </w:r>
    </w:p>
  </w:footnote>
  <w:footnote w:id="339">
    <w:p w14:paraId="0A6BB017" w14:textId="77777777" w:rsidR="006F142F" w:rsidRPr="00B14711" w:rsidRDefault="006F142F" w:rsidP="0052698D">
      <w:pPr>
        <w:pStyle w:val="footnote"/>
      </w:pPr>
      <w:r w:rsidRPr="00B14711">
        <w:rPr>
          <w:vertAlign w:val="superscript"/>
        </w:rPr>
        <w:footnoteRef/>
      </w:r>
      <w:r w:rsidRPr="00B14711">
        <w:rPr>
          <w:i/>
          <w:iCs/>
        </w:rPr>
        <w:t>Id</w:t>
      </w:r>
      <w:r w:rsidRPr="00B14711">
        <w:t>. ¶54.</w:t>
      </w:r>
    </w:p>
  </w:footnote>
  <w:footnote w:id="340">
    <w:p w14:paraId="604F11EF" w14:textId="77777777" w:rsidR="006F142F" w:rsidRPr="00B14711" w:rsidRDefault="006F142F" w:rsidP="0052698D">
      <w:pPr>
        <w:pStyle w:val="footnote"/>
      </w:pPr>
      <w:r w:rsidRPr="00B14711">
        <w:rPr>
          <w:vertAlign w:val="superscript"/>
        </w:rPr>
        <w:footnoteRef/>
      </w:r>
      <w:r w:rsidRPr="00B14711">
        <w:rPr>
          <w:i/>
          <w:iCs/>
        </w:rPr>
        <w:t>Id</w:t>
      </w:r>
      <w:r w:rsidRPr="00B14711">
        <w:t>. ¶49.</w:t>
      </w:r>
    </w:p>
  </w:footnote>
  <w:footnote w:id="341">
    <w:p w14:paraId="546FE4C6" w14:textId="77777777" w:rsidR="006F142F" w:rsidRPr="00B14711" w:rsidRDefault="006F142F" w:rsidP="0052698D">
      <w:pPr>
        <w:pStyle w:val="footnote"/>
      </w:pPr>
      <w:r w:rsidRPr="00B14711">
        <w:rPr>
          <w:vertAlign w:val="superscript"/>
        </w:rPr>
        <w:footnoteRef/>
      </w:r>
      <w:r w:rsidRPr="00B14711">
        <w:rPr>
          <w:i/>
          <w:iCs/>
        </w:rPr>
        <w:t>Id</w:t>
      </w:r>
      <w:r w:rsidRPr="00B14711">
        <w:t>. ¶¶57–61.</w:t>
      </w:r>
    </w:p>
  </w:footnote>
  <w:footnote w:id="342">
    <w:p w14:paraId="63A86FCC" w14:textId="77777777" w:rsidR="006F142F" w:rsidRPr="00B14711" w:rsidRDefault="006F142F" w:rsidP="0052698D">
      <w:pPr>
        <w:pStyle w:val="footnote"/>
      </w:pPr>
      <w:r w:rsidRPr="00B14711">
        <w:rPr>
          <w:vertAlign w:val="superscript"/>
        </w:rPr>
        <w:footnoteRef/>
      </w:r>
      <w:r w:rsidRPr="00B14711">
        <w:rPr>
          <w:i/>
          <w:iCs/>
        </w:rPr>
        <w:t>Id</w:t>
      </w:r>
      <w:r w:rsidRPr="00B14711">
        <w:t>. ¶¶67–68.</w:t>
      </w:r>
    </w:p>
  </w:footnote>
  <w:footnote w:id="343">
    <w:p w14:paraId="4FD5C637" w14:textId="77777777" w:rsidR="006F142F" w:rsidRPr="001A5B5E" w:rsidRDefault="006F142F" w:rsidP="00251F78">
      <w:pPr>
        <w:pStyle w:val="Default"/>
        <w:ind w:firstLine="360"/>
        <w:rPr>
          <w:szCs w:val="20"/>
        </w:rPr>
      </w:pPr>
      <w:r w:rsidRPr="00251F78">
        <w:rPr>
          <w:sz w:val="20"/>
          <w:szCs w:val="20"/>
          <w:vertAlign w:val="superscript"/>
        </w:rPr>
        <w:footnoteRef/>
      </w:r>
      <w:r w:rsidRPr="00251F78">
        <w:rPr>
          <w:sz w:val="20"/>
          <w:szCs w:val="20"/>
        </w:rPr>
        <w:t xml:space="preserve">For subsequent unsuccessful attempts to invoke §22, </w:t>
      </w:r>
      <w:r w:rsidRPr="00251F78">
        <w:rPr>
          <w:i/>
          <w:sz w:val="20"/>
          <w:szCs w:val="20"/>
        </w:rPr>
        <w:t>see</w:t>
      </w:r>
      <w:r>
        <w:rPr>
          <w:i/>
          <w:sz w:val="20"/>
          <w:szCs w:val="20"/>
        </w:rPr>
        <w:t xml:space="preserve"> </w:t>
      </w:r>
      <w:r>
        <w:rPr>
          <w:iCs/>
          <w:sz w:val="20"/>
          <w:szCs w:val="20"/>
        </w:rPr>
        <w:t>Dermaspark Prods., Inc. v. Ipince, 2025 FC 946, paras. 88</w:t>
      </w:r>
      <w:r w:rsidRPr="0048358F">
        <w:rPr>
          <w:lang w:val="nl-NL"/>
        </w:rPr>
        <w:t>–</w:t>
      </w:r>
      <w:r>
        <w:rPr>
          <w:iCs/>
          <w:sz w:val="20"/>
          <w:szCs w:val="20"/>
        </w:rPr>
        <w:t>89 (Fed. Ct. 2025) (denying default judgement on section 22 claim for lack of evidence of goodwill);</w:t>
      </w:r>
      <w:r w:rsidRPr="00251F78">
        <w:rPr>
          <w:i/>
          <w:sz w:val="20"/>
          <w:szCs w:val="20"/>
        </w:rPr>
        <w:t xml:space="preserve"> </w:t>
      </w:r>
      <w:r w:rsidRPr="00FC6FAE">
        <w:rPr>
          <w:iCs/>
          <w:sz w:val="20"/>
          <w:szCs w:val="20"/>
        </w:rPr>
        <w:t>Honda</w:t>
      </w:r>
      <w:r w:rsidRPr="00D85713">
        <w:rPr>
          <w:iCs/>
          <w:sz w:val="20"/>
          <w:szCs w:val="20"/>
        </w:rPr>
        <w:t xml:space="preserve"> </w:t>
      </w:r>
      <w:r>
        <w:rPr>
          <w:iCs/>
          <w:sz w:val="20"/>
          <w:szCs w:val="20"/>
        </w:rPr>
        <w:t>Giken Kogyo Kabushiki Kaisha v. Chongqing Kangen Automobile Co, Ltd., 2022 TMOB 070, paras. 152–153 (Registrar of Trademarks 2022) (refusing to infer dilution from confusion);</w:t>
      </w:r>
      <w:r w:rsidRPr="00251F78">
        <w:rPr>
          <w:iCs/>
          <w:sz w:val="20"/>
          <w:szCs w:val="20"/>
        </w:rPr>
        <w:t xml:space="preserve"> </w:t>
      </w:r>
      <w:r w:rsidRPr="00251F78">
        <w:rPr>
          <w:sz w:val="20"/>
          <w:szCs w:val="20"/>
        </w:rPr>
        <w:t xml:space="preserve">Popsockets, LLC v. Case World Ents., Ltd., 2019 FC 1154, paras. 34-36 (Fed. Ct. 2019) (finding insufficient evidence of goodwill); Scott Techs., Inc. v. 783825 Alberta Ltd., 2015 F.C. 1336, paras. 80–83 (Fed. Ct. 2015) (finding no evidence of harm to reputation or goodwill); Absolute Software Corp. v. Valt.X Techs. Inc., 2015 F.C. 1203, paras. 44–46 (Fed. Ct. 2015) (finding no evidence of depreciation of goodwill or reputation and asserting that confusion does not necessarily lead to depreciation); Black &amp; Decker Corp. v. Piranha Abrasives, Inc., 2015 F.C. 185, paras. 108–09 (Fed. Ct. 2015) (finding no evidence of harm to reputation or goodwill; loss of control over the mark by another’s use not </w:t>
      </w:r>
      <w:r w:rsidRPr="00251F78">
        <w:rPr>
          <w:i/>
          <w:iCs/>
          <w:sz w:val="20"/>
          <w:szCs w:val="20"/>
        </w:rPr>
        <w:t>per se</w:t>
      </w:r>
      <w:r w:rsidRPr="00251F78">
        <w:rPr>
          <w:sz w:val="20"/>
          <w:szCs w:val="20"/>
        </w:rPr>
        <w:t xml:space="preserve"> depreciation of goodwill); Teavana Corp. v. Teayama, Inc., [2014] F.C.J. No. 393, 2014 Fed. C.C. LEXIS 816, 2014 F.C. 372, para. 37 (Fed. Ct. 2014) (on a motion for default judgment, finding insufficient evidence of goodwill or likely depreciation of goodwill); Trans-High Corp. v. Hightimes Smokeshop &amp; Gifts, Inc., [2013] F.C.J. No. 1306, 2013 Fed. C.C. LEXIS 1317, 2013 F.C. 1190, paras. 22–23 (Fed. Ct. 2013) (insufficient evidence of goodwill); Osmose-Pentox, Inc. v. Societe Laurentide, Inc., [2013] F.C.J. No. 697, 2013 Fed. C.C. LEXIS 3421, 2013 F.C. 626 (Fed. Ct. 2012) (finding lack of goodwill and lack of evidence of depreciation of goodwill); BBM Canada v. Research in Motion Ltd., 2012 CarswellNat 2224, 2012 F.C. 666, 216 A.C.W.S. (3d) 222, 103 C.P.R. (4th) 1, para. 65 (Fed. Ct. 2012) (finding insufficient goodwill for public to create a linkage); BMW Canada, Inc. v. Nissan Canada, Inc., [2007] F.C.J. No. 330; 2007 Fed. C.C. LEXIS 343; 2007 F.C. 262 (Fed. Ct. 2007); Remo Imports, Ltd. v. Jaguar Cars, Ltd., [2007] F.C.J. No. 999; 2007 FCA 258; 2007 Fed. C.C. LEXIS 917 (Fed. Ct. 2007). The latter case is interesting in two respects: (1) it rejected a dilution claim despite a successful claim of confusion, and (2) it rejected the use of §22 as a means to cancel a registration. A later Federal Court decision seemingly contradicted this latter ground of decision, finding that the statute permitted resort to §22, at least through another section, as a means of opposing another’s registration of a mark. Parmalat Canada, Inc. v. Sysco Corp., 2008 FC 1104, 69 C.P.R. (4th) 349; 2008 CarswellNat 3679 (Fed. Ct. 2008).</w:t>
      </w:r>
    </w:p>
  </w:footnote>
  <w:footnote w:id="344">
    <w:p w14:paraId="57221567" w14:textId="77777777" w:rsidR="006F142F" w:rsidRPr="00FC6FAE" w:rsidRDefault="006F142F">
      <w:pPr>
        <w:pStyle w:val="FootnoteText"/>
        <w:rPr>
          <w:lang w:val="fr-FR"/>
        </w:rPr>
      </w:pPr>
      <w:r>
        <w:rPr>
          <w:rStyle w:val="FootnoteReference"/>
          <w:rFonts w:eastAsiaTheme="majorEastAsia"/>
        </w:rPr>
        <w:footnoteRef/>
      </w:r>
      <w:r w:rsidRPr="00FC6FAE">
        <w:rPr>
          <w:lang w:val="fr-FR"/>
        </w:rPr>
        <w:t>Constellation Brands US Operations, Inc. v. Sociét</w:t>
      </w:r>
      <w:r>
        <w:rPr>
          <w:lang w:val="fr-FR"/>
        </w:rPr>
        <w:t>é</w:t>
      </w:r>
      <w:r w:rsidRPr="00FC6FAE">
        <w:rPr>
          <w:lang w:val="fr-FR"/>
        </w:rPr>
        <w:t xml:space="preserve"> de Vin Int’l Lt</w:t>
      </w:r>
      <w:r>
        <w:rPr>
          <w:lang w:val="fr-FR"/>
        </w:rPr>
        <w:t>é</w:t>
      </w:r>
      <w:r w:rsidRPr="00FC6FAE">
        <w:rPr>
          <w:lang w:val="fr-FR"/>
        </w:rPr>
        <w:t>e, 2021 QCCA 1664, ¶</w:t>
      </w:r>
      <w:r>
        <w:rPr>
          <w:lang w:val="fr-FR"/>
        </w:rPr>
        <w:t>26.</w:t>
      </w:r>
    </w:p>
  </w:footnote>
  <w:footnote w:id="345">
    <w:p w14:paraId="519C000F" w14:textId="77777777" w:rsidR="006F142F" w:rsidRPr="00FC6FAE" w:rsidRDefault="006F142F">
      <w:pPr>
        <w:pStyle w:val="FootnoteText"/>
        <w:rPr>
          <w:lang w:val="fr-FR"/>
        </w:rPr>
      </w:pPr>
      <w:r>
        <w:rPr>
          <w:rStyle w:val="FootnoteReference"/>
          <w:rFonts w:eastAsiaTheme="majorEastAsia"/>
        </w:rPr>
        <w:footnoteRef/>
      </w:r>
      <w:r>
        <w:rPr>
          <w:i/>
          <w:iCs/>
          <w:lang w:val="fr-FR"/>
        </w:rPr>
        <w:t>Id</w:t>
      </w:r>
      <w:r>
        <w:rPr>
          <w:lang w:val="fr-FR"/>
        </w:rPr>
        <w:t>. ¶</w:t>
      </w:r>
      <w:r w:rsidRPr="007D5C45">
        <w:rPr>
          <w:lang w:val="fr-FR"/>
        </w:rPr>
        <w:t>¶</w:t>
      </w:r>
      <w:r>
        <w:rPr>
          <w:lang w:val="fr-FR"/>
        </w:rPr>
        <w:t>26</w:t>
      </w:r>
      <w:r w:rsidRPr="0048358F">
        <w:rPr>
          <w:lang w:val="nl-NL"/>
        </w:rPr>
        <w:t>–</w:t>
      </w:r>
      <w:r>
        <w:rPr>
          <w:lang w:val="fr-FR"/>
        </w:rPr>
        <w:t>27.</w:t>
      </w:r>
    </w:p>
  </w:footnote>
  <w:footnote w:id="346">
    <w:p w14:paraId="68BB3203" w14:textId="77777777" w:rsidR="006F142F" w:rsidRPr="00FC6FAE" w:rsidRDefault="006F142F" w:rsidP="0052698D">
      <w:pPr>
        <w:pStyle w:val="footnote"/>
        <w:rPr>
          <w:lang w:val="fr-FR"/>
        </w:rPr>
      </w:pPr>
      <w:r>
        <w:rPr>
          <w:vertAlign w:val="superscript"/>
        </w:rPr>
        <w:footnoteRef/>
      </w:r>
      <w:r w:rsidRPr="00FC6FAE">
        <w:rPr>
          <w:lang w:val="fr-FR"/>
        </w:rPr>
        <w:t xml:space="preserve">H-D USA, LLC v. Berrada, [2014] F.C.J. No. 232, 2014 Fed. C.C. LEXIS 631, 2014 F.C. 207 (Fed. Ct. 2014). </w:t>
      </w:r>
    </w:p>
  </w:footnote>
  <w:footnote w:id="347">
    <w:p w14:paraId="707A92E0" w14:textId="77777777" w:rsidR="006F142F" w:rsidRDefault="006F142F" w:rsidP="0052698D">
      <w:pPr>
        <w:pStyle w:val="footnote"/>
      </w:pPr>
      <w:r>
        <w:rPr>
          <w:vertAlign w:val="superscript"/>
        </w:rPr>
        <w:footnoteRef/>
      </w:r>
      <w:r>
        <w:rPr>
          <w:i/>
          <w:iCs/>
        </w:rPr>
        <w:t>Id</w:t>
      </w:r>
      <w:r>
        <w:t xml:space="preserve">. ¶¶ 49–60. </w:t>
      </w:r>
    </w:p>
  </w:footnote>
  <w:footnote w:id="348">
    <w:p w14:paraId="296189E5" w14:textId="77777777" w:rsidR="006F142F" w:rsidRPr="0048358F" w:rsidRDefault="006F142F" w:rsidP="0052698D">
      <w:pPr>
        <w:pStyle w:val="footnote"/>
      </w:pPr>
      <w:r>
        <w:rPr>
          <w:vertAlign w:val="superscript"/>
        </w:rPr>
        <w:footnoteRef/>
      </w:r>
      <w:r>
        <w:rPr>
          <w:i/>
          <w:iCs/>
        </w:rPr>
        <w:t>Id</w:t>
      </w:r>
      <w:r>
        <w:t xml:space="preserve">. ¶¶70–98. The court’s analysis of goodwill was extensive, as reflected by the number of paragraphs of the opinion devoted to this factor. The court also noted that, unlike the TDRA, Section 22 does not require a famous mark. </w:t>
      </w:r>
      <w:r w:rsidRPr="0048358F">
        <w:rPr>
          <w:i/>
          <w:iCs/>
        </w:rPr>
        <w:t>Id</w:t>
      </w:r>
      <w:r w:rsidRPr="0048358F">
        <w:t xml:space="preserve">. </w:t>
      </w:r>
      <w:r>
        <w:t>¶</w:t>
      </w:r>
      <w:r w:rsidRPr="0048358F">
        <w:t xml:space="preserve">72. </w:t>
      </w:r>
    </w:p>
  </w:footnote>
  <w:footnote w:id="349">
    <w:p w14:paraId="1DF3ED09" w14:textId="77777777" w:rsidR="006F142F" w:rsidRPr="0048358F" w:rsidRDefault="006F142F" w:rsidP="0052698D">
      <w:pPr>
        <w:pStyle w:val="footnote"/>
      </w:pPr>
      <w:r>
        <w:rPr>
          <w:vertAlign w:val="superscript"/>
        </w:rPr>
        <w:footnoteRef/>
      </w:r>
      <w:r w:rsidRPr="0048358F">
        <w:rPr>
          <w:i/>
          <w:iCs/>
        </w:rPr>
        <w:t>Id.</w:t>
      </w:r>
      <w:r w:rsidRPr="0048358F">
        <w:t xml:space="preserve"> </w:t>
      </w:r>
      <w:r>
        <w:t>¶¶</w:t>
      </w:r>
      <w:r w:rsidRPr="0048358F">
        <w:t xml:space="preserve"> 110–16. </w:t>
      </w:r>
    </w:p>
  </w:footnote>
  <w:footnote w:id="350">
    <w:p w14:paraId="31D939C1" w14:textId="77777777" w:rsidR="006F142F" w:rsidRPr="0048358F" w:rsidRDefault="006F142F" w:rsidP="0052698D">
      <w:pPr>
        <w:pStyle w:val="footnote"/>
      </w:pPr>
      <w:r>
        <w:rPr>
          <w:vertAlign w:val="superscript"/>
        </w:rPr>
        <w:footnoteRef/>
      </w:r>
      <w:r w:rsidRPr="0048358F">
        <w:rPr>
          <w:i/>
          <w:iCs/>
        </w:rPr>
        <w:t>Id</w:t>
      </w:r>
      <w:r w:rsidRPr="0048358F">
        <w:t xml:space="preserve">. </w:t>
      </w:r>
      <w:r>
        <w:t>¶</w:t>
      </w:r>
      <w:r w:rsidRPr="0048358F">
        <w:t xml:space="preserve">119. </w:t>
      </w:r>
    </w:p>
  </w:footnote>
  <w:footnote w:id="351">
    <w:p w14:paraId="75895F87" w14:textId="77777777" w:rsidR="006F142F" w:rsidRDefault="006F142F" w:rsidP="0052698D">
      <w:pPr>
        <w:pStyle w:val="footnote"/>
      </w:pPr>
      <w:r>
        <w:rPr>
          <w:vertAlign w:val="superscript"/>
        </w:rPr>
        <w:footnoteRef/>
      </w:r>
      <w:r w:rsidRPr="0048358F">
        <w:rPr>
          <w:i/>
          <w:iCs/>
        </w:rPr>
        <w:t xml:space="preserve">Id. </w:t>
      </w:r>
      <w:r>
        <w:t>¶</w:t>
      </w:r>
      <w:r w:rsidRPr="0048358F">
        <w:t xml:space="preserve"> </w:t>
      </w:r>
      <w:r>
        <w:t xml:space="preserve">118. </w:t>
      </w:r>
    </w:p>
  </w:footnote>
  <w:footnote w:id="352">
    <w:p w14:paraId="3222A3A6" w14:textId="77777777" w:rsidR="006F142F" w:rsidRDefault="006F142F" w:rsidP="0052698D">
      <w:pPr>
        <w:pStyle w:val="footnote"/>
      </w:pPr>
      <w:r>
        <w:rPr>
          <w:vertAlign w:val="superscript"/>
        </w:rPr>
        <w:footnoteRef/>
      </w:r>
      <w:r>
        <w:t xml:space="preserve">2017 CarswellNat 2975, 2017 F.C. 616, 147 C.P.R. (4th) 251 (Fed. Ct. 2017). </w:t>
      </w:r>
    </w:p>
  </w:footnote>
  <w:footnote w:id="353">
    <w:p w14:paraId="75ECD677" w14:textId="77777777" w:rsidR="006F142F" w:rsidRPr="00233D22" w:rsidRDefault="006F142F" w:rsidP="0052698D">
      <w:pPr>
        <w:pStyle w:val="footnote"/>
      </w:pPr>
      <w:r>
        <w:rPr>
          <w:vertAlign w:val="superscript"/>
        </w:rPr>
        <w:footnoteRef/>
      </w:r>
      <w:r w:rsidRPr="00233D22">
        <w:rPr>
          <w:i/>
          <w:iCs/>
        </w:rPr>
        <w:t>Id</w:t>
      </w:r>
      <w:r w:rsidRPr="00233D22">
        <w:t xml:space="preserve">. </w:t>
      </w:r>
      <w:r>
        <w:t>¶¶</w:t>
      </w:r>
      <w:r w:rsidRPr="00233D22">
        <w:t xml:space="preserve"> 32–39. </w:t>
      </w:r>
    </w:p>
  </w:footnote>
  <w:footnote w:id="354">
    <w:p w14:paraId="19EC9828" w14:textId="77777777" w:rsidR="006F142F" w:rsidRPr="00233D22" w:rsidRDefault="006F142F" w:rsidP="0052698D">
      <w:pPr>
        <w:pStyle w:val="footnote"/>
      </w:pPr>
      <w:r>
        <w:rPr>
          <w:vertAlign w:val="superscript"/>
        </w:rPr>
        <w:footnoteRef/>
      </w:r>
      <w:r w:rsidRPr="00233D22">
        <w:rPr>
          <w:i/>
          <w:iCs/>
        </w:rPr>
        <w:t>Id</w:t>
      </w:r>
      <w:r w:rsidRPr="00233D22">
        <w:t xml:space="preserve">. </w:t>
      </w:r>
      <w:r>
        <w:t>¶</w:t>
      </w:r>
      <w:r w:rsidRPr="00233D22">
        <w:t xml:space="preserve"> 94. </w:t>
      </w:r>
    </w:p>
  </w:footnote>
  <w:footnote w:id="355">
    <w:p w14:paraId="2495F300" w14:textId="77777777" w:rsidR="006F142F" w:rsidRPr="00233D22" w:rsidRDefault="006F142F" w:rsidP="0052698D">
      <w:pPr>
        <w:pStyle w:val="footnote"/>
      </w:pPr>
      <w:r>
        <w:rPr>
          <w:vertAlign w:val="superscript"/>
        </w:rPr>
        <w:footnoteRef/>
      </w:r>
      <w:r w:rsidRPr="00233D22">
        <w:rPr>
          <w:i/>
        </w:rPr>
        <w:t xml:space="preserve">Id. </w:t>
      </w:r>
      <w:r>
        <w:t>¶¶</w:t>
      </w:r>
      <w:r w:rsidRPr="00233D22">
        <w:t xml:space="preserve">100–02. </w:t>
      </w:r>
    </w:p>
  </w:footnote>
  <w:footnote w:id="356">
    <w:p w14:paraId="279810E2" w14:textId="77777777" w:rsidR="006F142F" w:rsidRDefault="006F142F" w:rsidP="0052698D">
      <w:pPr>
        <w:pStyle w:val="footnote"/>
      </w:pPr>
      <w:r>
        <w:rPr>
          <w:vertAlign w:val="superscript"/>
        </w:rPr>
        <w:footnoteRef/>
      </w:r>
      <w:r w:rsidRPr="00233D22">
        <w:rPr>
          <w:i/>
          <w:iCs/>
        </w:rPr>
        <w:t>Id</w:t>
      </w:r>
      <w:r w:rsidRPr="00233D22">
        <w:t xml:space="preserve">. </w:t>
      </w:r>
      <w:r>
        <w:t xml:space="preserve">¶83. </w:t>
      </w:r>
    </w:p>
  </w:footnote>
  <w:footnote w:id="357">
    <w:p w14:paraId="0FCC6554" w14:textId="77777777" w:rsidR="006F142F" w:rsidRDefault="006F142F">
      <w:pPr>
        <w:pStyle w:val="FootnoteText"/>
      </w:pPr>
      <w:r>
        <w:rPr>
          <w:rStyle w:val="FootnoteReference"/>
          <w:rFonts w:eastAsiaTheme="majorEastAsia"/>
        </w:rPr>
        <w:footnoteRef/>
      </w:r>
      <w:r>
        <w:t>2024 FC 631 (Fed. Ct. Apr. 25, 2024).</w:t>
      </w:r>
    </w:p>
  </w:footnote>
  <w:footnote w:id="358">
    <w:p w14:paraId="2F57F5F9" w14:textId="77777777" w:rsidR="006F142F" w:rsidRPr="00157AAA" w:rsidRDefault="006F142F">
      <w:pPr>
        <w:pStyle w:val="FootnoteText"/>
      </w:pPr>
      <w:r>
        <w:rPr>
          <w:rStyle w:val="FootnoteReference"/>
          <w:rFonts w:eastAsiaTheme="majorEastAsia"/>
        </w:rPr>
        <w:footnoteRef/>
      </w:r>
      <w:r>
        <w:rPr>
          <w:i/>
          <w:iCs/>
        </w:rPr>
        <w:t>Id</w:t>
      </w:r>
      <w:r>
        <w:t>. ¶57.</w:t>
      </w:r>
    </w:p>
  </w:footnote>
  <w:footnote w:id="359">
    <w:p w14:paraId="5C841C9C" w14:textId="77777777" w:rsidR="006F142F" w:rsidRPr="009138A0" w:rsidRDefault="006F142F">
      <w:pPr>
        <w:pStyle w:val="FootnoteText"/>
      </w:pPr>
      <w:r>
        <w:rPr>
          <w:rStyle w:val="FootnoteReference"/>
          <w:rFonts w:eastAsiaTheme="majorEastAsia"/>
        </w:rPr>
        <w:footnoteRef/>
      </w:r>
      <w:r>
        <w:rPr>
          <w:i/>
          <w:iCs/>
        </w:rPr>
        <w:t>Id</w:t>
      </w:r>
      <w:r>
        <w:t xml:space="preserve">. ¶59.  </w:t>
      </w:r>
      <w:r w:rsidRPr="00D85713">
        <w:rPr>
          <w:i/>
          <w:iCs/>
        </w:rPr>
        <w:t>See</w:t>
      </w:r>
      <w:r w:rsidRPr="00D85713">
        <w:t xml:space="preserve"> Ecolab USA, Inc. v. 2431717 Ontario </w:t>
      </w:r>
      <w:r>
        <w:t>Inc</w:t>
      </w:r>
      <w:r w:rsidRPr="00D85713">
        <w:t>.</w:t>
      </w:r>
      <w:r w:rsidRPr="00FC6FAE">
        <w:t xml:space="preserve">, </w:t>
      </w:r>
      <w:r>
        <w:t>2025 FC 595, ¶¶10, 72-89  (Fed. Ct. 2025) (defendant’s “3D Eco” mark found to depreciate goodwill of plaintiff’s “Ecolab” mark);</w:t>
      </w:r>
      <w:r w:rsidRPr="00D85713">
        <w:t xml:space="preserve"> Dermaspark Prods., Inc. v. Patel, 2023 FC 388 ¶¶112–21 (Fed. Ct. Mar. 21, 2023) (finding violation of Section 22 regarding respondent’s alleged use and sale of counterfeit products); 1196278 Ontario Ltd. v. 815470 Ontario Ltd., 2022 FC 116 ¶¶81–103 (Fed. Ct. Feb. 2, 2022) (finding that respondent’s SASSAFRAS mark for its American southern cuisine restaurant would depreciate the goodwill of applicant’s SASSAFRAZ mark for an upscale French restaurant).</w:t>
      </w:r>
      <w:r>
        <w:t xml:space="preserve">  Some of the conclusions about depreciation of goodwill are somewhat lacking in significant analysis of the likelihood of depreciation. </w:t>
      </w:r>
      <w:r>
        <w:rPr>
          <w:i/>
          <w:iCs/>
        </w:rPr>
        <w:t>See, e.g.</w:t>
      </w:r>
      <w:r>
        <w:t>, Habbous v. Arc Physio Health, Ltd., 2025 FC 297, ¶70 (Fed. Ct. 2025) (finding violation of Section 22 between plaintiff’s Physiohealth mark and defendant’s Arc Physiohealth mark).</w:t>
      </w:r>
    </w:p>
  </w:footnote>
  <w:footnote w:id="360">
    <w:p w14:paraId="534A6DA1" w14:textId="77777777" w:rsidR="006F142F" w:rsidRDefault="006F142F" w:rsidP="0052698D">
      <w:pPr>
        <w:pStyle w:val="footnote"/>
      </w:pPr>
      <w:r>
        <w:rPr>
          <w:vertAlign w:val="superscript"/>
        </w:rPr>
        <w:footnoteRef/>
      </w:r>
      <w:r>
        <w:t>Diageo Canada Inc. v. Heaven Hill Distilleries, Inc., 2017 CarswellNat 2705, 2017 FC 571, 147 C.P.R. (4</w:t>
      </w:r>
      <w:r w:rsidRPr="00886478">
        <w:t>th</w:t>
      </w:r>
      <w:r>
        <w:t xml:space="preserve">) 425, para. 140 (Fed. Ct. 2017). </w:t>
      </w:r>
    </w:p>
  </w:footnote>
  <w:footnote w:id="361">
    <w:p w14:paraId="695C94F9" w14:textId="77777777" w:rsidR="006F142F" w:rsidRPr="00E15324" w:rsidRDefault="006F142F" w:rsidP="0052698D">
      <w:pPr>
        <w:pStyle w:val="footnote"/>
      </w:pPr>
      <w:r w:rsidRPr="00B14711">
        <w:rPr>
          <w:vertAlign w:val="superscript"/>
        </w:rPr>
        <w:footnoteRef/>
      </w:r>
      <w:r w:rsidRPr="00B14711">
        <w:rPr>
          <w:i/>
          <w:iCs/>
        </w:rPr>
        <w:t>See, e</w:t>
      </w:r>
      <w:r w:rsidRPr="00B14711">
        <w:t>.</w:t>
      </w:r>
      <w:r w:rsidRPr="00B14711">
        <w:rPr>
          <w:i/>
          <w:iCs/>
        </w:rPr>
        <w:t>g</w:t>
      </w:r>
      <w:r w:rsidRPr="00B14711">
        <w:t xml:space="preserve">., Indigo Books &amp; Music, Inc. v. C &amp; J Clark Int’l, Inc., 2010 F.C.J. No. 165 (Fed. Ct. 2010). However, it may be that only use-based applications can be opposed on this basis, and not intent-to-use applications. </w:t>
      </w:r>
      <w:r w:rsidRPr="00B14711">
        <w:rPr>
          <w:i/>
          <w:iCs/>
        </w:rPr>
        <w:t>Id</w:t>
      </w:r>
      <w:r w:rsidRPr="00B14711">
        <w:t>. ¶45.</w:t>
      </w:r>
      <w:r w:rsidRPr="000D7ECF">
        <w:t xml:space="preserve"> </w:t>
      </w:r>
      <w:r w:rsidRPr="003131C0">
        <w:t xml:space="preserve">In </w:t>
      </w:r>
      <w:r w:rsidRPr="003131C0">
        <w:rPr>
          <w:i/>
          <w:iCs/>
        </w:rPr>
        <w:t>Euromed Restaurant Ltd. v. Trilogy Properties Corp.</w:t>
      </w:r>
      <w:r w:rsidRPr="003131C0">
        <w:t xml:space="preserve">, 2012 CarswellNat 526, 2012 TMOB 19, 99 C.P.R. (4th) 445, para. 13 (Trade Marks Opposition Board 2012), the Trade Marks Opposition Board Member noted a lack of precedent for the use of </w:t>
      </w:r>
      <w:r>
        <w:t xml:space="preserve">Section </w:t>
      </w:r>
      <w:r w:rsidRPr="003131C0">
        <w:t>22 in an opposition proceeding, but also found a lack of evidence of any depreciation of the goodwill of the mark.</w:t>
      </w:r>
      <w:r>
        <w:t xml:space="preserve">  </w:t>
      </w:r>
      <w:r>
        <w:rPr>
          <w:i/>
          <w:iCs/>
        </w:rPr>
        <w:t xml:space="preserve">See also </w:t>
      </w:r>
      <w:r>
        <w:t>Formula One Licensing BV v. Frontier One Inc., 2024 TMOB 221, ¶25 (Trade Marks Opposition Bd. 2024) (dismissing opposition based on section 22, and noting that the applicant had not yet used the mark in Canada).</w:t>
      </w:r>
    </w:p>
  </w:footnote>
  <w:footnote w:id="362">
    <w:p w14:paraId="1FCC0C58" w14:textId="77777777" w:rsidR="006F142F" w:rsidRPr="00B14711" w:rsidRDefault="006F142F" w:rsidP="0052698D">
      <w:pPr>
        <w:pStyle w:val="footnote"/>
      </w:pPr>
      <w:r w:rsidRPr="00B14711">
        <w:rPr>
          <w:vertAlign w:val="superscript"/>
        </w:rPr>
        <w:footnoteRef/>
      </w:r>
      <w:r w:rsidRPr="00B14711">
        <w:rPr>
          <w:i/>
          <w:iCs/>
        </w:rPr>
        <w:t>See, e</w:t>
      </w:r>
      <w:r w:rsidRPr="00B14711">
        <w:t>.</w:t>
      </w:r>
      <w:r w:rsidRPr="00B14711">
        <w:rPr>
          <w:i/>
          <w:iCs/>
        </w:rPr>
        <w:t>g</w:t>
      </w:r>
      <w:r w:rsidRPr="00B14711">
        <w:t>., Mark Antony Grp</w:t>
      </w:r>
      <w:r>
        <w:t>.</w:t>
      </w:r>
      <w:r w:rsidRPr="00B14711">
        <w:t xml:space="preserve">, Inc. v. Vincor Int’l, Inc., [1998] 80 C.P.R.3d 564, 571–73 (Sup. Ct. Br. Col.) (denying preliminary relief), </w:t>
      </w:r>
      <w:r w:rsidRPr="00B14711">
        <w:rPr>
          <w:i/>
          <w:iCs/>
        </w:rPr>
        <w:t>aff’d</w:t>
      </w:r>
      <w:r w:rsidRPr="00B14711">
        <w:t xml:space="preserve">, [1998] 82 C.P.R. 3d 541 (Ct. App. Br. Col.); ITV Techs., Inc. v. WIC Television Ltd., [1997] 77 C.P.R.3d 495, 499 (Fed. Ct. T.D.) (irreparable harm “‘must be clear and not speculative’”) (quoting Syntex Inc. v. Novopharm Ltd., [1991] 36 C.P.R.3d 129, 135 (Fed. Ct. App.). </w:t>
      </w:r>
      <w:r w:rsidRPr="00B14711">
        <w:rPr>
          <w:i/>
          <w:iCs/>
        </w:rPr>
        <w:t>See also</w:t>
      </w:r>
      <w:r w:rsidRPr="00B14711">
        <w:t xml:space="preserve"> Future Shop Ltd. v. A &amp; B Sound Ltd., [1994] 55 C.P.R.3d 182, 190 (Sup. Ct. Br. Col.) (McKenzie, J., in chambers) (denying preliminary relief because balance of hardships tipped in defendant’s favor).</w:t>
      </w:r>
    </w:p>
  </w:footnote>
  <w:footnote w:id="363">
    <w:p w14:paraId="7202576B" w14:textId="77777777" w:rsidR="006F142F" w:rsidRPr="00B14711" w:rsidRDefault="006F142F" w:rsidP="0052698D">
      <w:pPr>
        <w:pStyle w:val="footnote"/>
      </w:pPr>
      <w:r w:rsidRPr="00B14711">
        <w:rPr>
          <w:vertAlign w:val="superscript"/>
        </w:rPr>
        <w:footnoteRef/>
      </w:r>
      <w:r w:rsidRPr="00B14711">
        <w:rPr>
          <w:i/>
          <w:iCs/>
        </w:rPr>
        <w:t>E</w:t>
      </w:r>
      <w:r w:rsidRPr="00B14711">
        <w:t>.</w:t>
      </w:r>
      <w:r w:rsidRPr="00B14711">
        <w:rPr>
          <w:i/>
          <w:iCs/>
        </w:rPr>
        <w:t>g</w:t>
      </w:r>
      <w:r w:rsidRPr="00B14711">
        <w:t>., Miss Universe, Inc. v. Bohna, 58 C.P.R.3d 381 (Fed. Ct. App. 1994) (Miss Nude Universe likely to cause confusion with Miss Universe); Glen-Warren Prods., Ltd. v. Gertex Hosiery, Ltd., 29 C.P.R.3d 7, 1990 CPR LEXIS 1748, at *12, 14 (Fed. Ct. 1990) (sustaining opposition to registration of Miss Canada for women’s hosiery by organizers of the Miss Canada beauty pageant); Berry Bros. &amp; Rudd Ltd. v. Planta Tabak-Manufactur, 53 C.P.R.2d 130, 140–43, 1980 CPR LEXIS 709 (Fed. Ct. 1980) (sustaining opposition to registration of Cutty Sark for tobacco products as confusingly similar to same mark used for alcohol products); Sun Life Assurance Co. v. Sunlife Juice, Ltd., 22 C.P.R.3d 244, 252, 1988 CPR LEXIS 1783 (High Ct. J. Ont. 1988) (Sunlife juice would be confused with plaintiff’s Sunlife mark for physical fitness services).</w:t>
      </w:r>
    </w:p>
  </w:footnote>
  <w:footnote w:id="364">
    <w:p w14:paraId="5EE0A0B3" w14:textId="77777777" w:rsidR="006F142F" w:rsidRPr="00B14711" w:rsidRDefault="006F142F" w:rsidP="0052698D">
      <w:pPr>
        <w:pStyle w:val="footnote"/>
      </w:pPr>
      <w:r w:rsidRPr="00B14711">
        <w:rPr>
          <w:vertAlign w:val="superscript"/>
        </w:rPr>
        <w:footnoteRef/>
      </w:r>
      <w:r w:rsidRPr="00B14711">
        <w:rPr>
          <w:i/>
          <w:iCs/>
        </w:rPr>
        <w:t>E</w:t>
      </w:r>
      <w:r w:rsidRPr="00B14711">
        <w:t>.</w:t>
      </w:r>
      <w:r w:rsidRPr="00B14711">
        <w:rPr>
          <w:i/>
          <w:iCs/>
        </w:rPr>
        <w:t>g</w:t>
      </w:r>
      <w:r w:rsidRPr="00B14711">
        <w:t xml:space="preserve">., Mattel U.S.A., Inc. v. 3894207 Can., Inc., 2006 SCC 22 (Sup. Ct., June 2, 2006) (allowing registration of Barbie’s for restaurant services); United Artists Corp. v. Pink Panther Beauty, 80 C.P.R.3d 247 (Fed. Ct. App. 1998) (allowing registration of Pink Panther for beauty products); McDonald’s Corp. v. Coffee Hut Stores, Ltd., 55 C.P.R.3d 463, 1994 CPR LEXIS 1991 (Fed. Ct. 1994), </w:t>
      </w:r>
      <w:r w:rsidRPr="00B14711">
        <w:rPr>
          <w:i/>
          <w:iCs/>
        </w:rPr>
        <w:t>aff’d</w:t>
      </w:r>
      <w:r w:rsidRPr="00B14711">
        <w:t>, 68 C.P.R.3d 168, 1996 CPR LEXIS 2153 (Fed. Ct. App. 1996) (allowing registration of McBeans for a store selling coffee and related accessories).</w:t>
      </w:r>
    </w:p>
  </w:footnote>
  <w:footnote w:id="365">
    <w:p w14:paraId="6A81E48B" w14:textId="77777777" w:rsidR="006F142F" w:rsidRPr="00B14711" w:rsidRDefault="006F142F" w:rsidP="0052698D">
      <w:pPr>
        <w:pStyle w:val="footnote"/>
      </w:pPr>
      <w:r w:rsidRPr="00B14711">
        <w:rPr>
          <w:vertAlign w:val="superscript"/>
        </w:rPr>
        <w:footnoteRef/>
      </w:r>
      <w:r w:rsidRPr="00B14711">
        <w:t>2006 SCC 22 (Sup. Ct., June 2, 2006).</w:t>
      </w:r>
    </w:p>
  </w:footnote>
  <w:footnote w:id="366">
    <w:p w14:paraId="14298975" w14:textId="77777777" w:rsidR="006F142F" w:rsidRPr="00B14711" w:rsidRDefault="006F142F" w:rsidP="0052698D">
      <w:pPr>
        <w:pStyle w:val="footnote"/>
      </w:pPr>
      <w:r w:rsidRPr="00B14711">
        <w:rPr>
          <w:vertAlign w:val="superscript"/>
        </w:rPr>
        <w:footnoteRef/>
      </w:r>
      <w:r w:rsidRPr="00B14711">
        <w:rPr>
          <w:i/>
          <w:iCs/>
        </w:rPr>
        <w:t>Id</w:t>
      </w:r>
      <w:r w:rsidRPr="00B14711">
        <w:t xml:space="preserve">. ¶¶63–66, 71 (discussing cases). The Canadian Supreme Court did recognize that “famous” marks are entitled to broader protection than other marks. </w:t>
      </w:r>
      <w:r w:rsidRPr="00B14711">
        <w:rPr>
          <w:i/>
          <w:iCs/>
        </w:rPr>
        <w:t>See id</w:t>
      </w:r>
      <w:r w:rsidRPr="00B14711">
        <w:t>. ¶60.</w:t>
      </w:r>
    </w:p>
  </w:footnote>
  <w:footnote w:id="367">
    <w:p w14:paraId="188B02A1" w14:textId="77777777" w:rsidR="006F142F" w:rsidRPr="00B14711" w:rsidRDefault="006F142F" w:rsidP="0052698D">
      <w:pPr>
        <w:pStyle w:val="footnote"/>
      </w:pPr>
      <w:r w:rsidRPr="00B14711">
        <w:rPr>
          <w:vertAlign w:val="superscript"/>
        </w:rPr>
        <w:footnoteRef/>
      </w:r>
      <w:r w:rsidRPr="00B14711">
        <w:rPr>
          <w:i/>
          <w:iCs/>
        </w:rPr>
        <w:t>Id</w:t>
      </w:r>
      <w:r w:rsidRPr="00B14711">
        <w:t>. ¶89.</w:t>
      </w:r>
    </w:p>
  </w:footnote>
  <w:footnote w:id="368">
    <w:p w14:paraId="27F0AC03" w14:textId="77777777" w:rsidR="006F142F" w:rsidRPr="00B14711" w:rsidRDefault="006F142F" w:rsidP="0052698D">
      <w:pPr>
        <w:pStyle w:val="footnote"/>
      </w:pPr>
      <w:r w:rsidRPr="00B14711">
        <w:rPr>
          <w:vertAlign w:val="superscript"/>
        </w:rPr>
        <w:footnoteRef/>
      </w:r>
      <w:r w:rsidRPr="00B14711">
        <w:rPr>
          <w:i/>
          <w:iCs/>
        </w:rPr>
        <w:t>Id</w:t>
      </w:r>
      <w:r w:rsidRPr="00B14711">
        <w:t xml:space="preserve">. ¶91. A second case, discussed above in this section and decided the same day, reaffirmed the </w:t>
      </w:r>
      <w:r w:rsidRPr="00B14711">
        <w:rPr>
          <w:i/>
          <w:iCs/>
        </w:rPr>
        <w:t>Mattel</w:t>
      </w:r>
      <w:r w:rsidRPr="00B14711">
        <w:t xml:space="preserve"> decision. Veuve Clicquot Ponsardin v. Boutiques Cliquot Ltée, 2006 SCC 23 (Sup. Ct.</w:t>
      </w:r>
      <w:r>
        <w:t>,</w:t>
      </w:r>
      <w:r w:rsidRPr="00B14711">
        <w:t xml:space="preserve"> June 2, 2006) (refusing to enjoin use of Cliquot as a mark for women’s clothing stores). In </w:t>
      </w:r>
      <w:r w:rsidRPr="00B14711">
        <w:rPr>
          <w:i/>
          <w:iCs/>
        </w:rPr>
        <w:t>Veuve Clicquot</w:t>
      </w:r>
      <w:r w:rsidRPr="00B14711">
        <w:t xml:space="preserve">, the Court emphasized that the fact that a mark is famous does not lead automatically to confusion. </w:t>
      </w:r>
      <w:r w:rsidRPr="00B14711">
        <w:rPr>
          <w:i/>
          <w:iCs/>
        </w:rPr>
        <w:t>Id</w:t>
      </w:r>
      <w:r w:rsidRPr="00B14711">
        <w:t>.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20"/>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278B5"/>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42F"/>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620"/>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1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6F142F"/>
    <w:pPr>
      <w:widowControl w:val="0"/>
      <w:spacing w:before="0" w:after="0"/>
      <w:ind w:firstLine="360"/>
    </w:pPr>
    <w:rPr>
      <w:kern w:val="0"/>
      <w:lang w:bidi="ar-SA"/>
    </w:rPr>
  </w:style>
  <w:style w:type="paragraph" w:customStyle="1" w:styleId="footnote">
    <w:name w:val="footnote"/>
    <w:basedOn w:val="text"/>
    <w:autoRedefine/>
    <w:uiPriority w:val="99"/>
    <w:qFormat/>
    <w:rsid w:val="006F142F"/>
    <w:pPr>
      <w:tabs>
        <w:tab w:val="left" w:pos="0"/>
        <w:tab w:val="left" w:pos="720"/>
        <w:tab w:val="left" w:pos="1440"/>
        <w:tab w:val="left" w:pos="2160"/>
        <w:tab w:val="left" w:pos="2880"/>
        <w:tab w:val="left" w:pos="3600"/>
        <w:tab w:val="left" w:pos="4320"/>
        <w:tab w:val="left" w:pos="5040"/>
        <w:tab w:val="left" w:pos="5760"/>
      </w:tabs>
    </w:pPr>
    <w:rPr>
      <w:sz w:val="20"/>
    </w:rPr>
  </w:style>
  <w:style w:type="paragraph" w:customStyle="1" w:styleId="blockquote">
    <w:name w:val="block quote"/>
    <w:basedOn w:val="Normal"/>
    <w:autoRedefine/>
    <w:qFormat/>
    <w:rsid w:val="006F142F"/>
    <w:pPr>
      <w:spacing w:before="120"/>
      <w:ind w:left="720"/>
    </w:pPr>
    <w:rPr>
      <w:kern w:val="0"/>
      <w:sz w:val="20"/>
      <w:lang w:bidi="ar-SA"/>
    </w:rPr>
  </w:style>
  <w:style w:type="paragraph" w:customStyle="1" w:styleId="footnoteflush">
    <w:name w:val="footnote flush"/>
    <w:basedOn w:val="Normal"/>
    <w:uiPriority w:val="99"/>
    <w:rsid w:val="006F142F"/>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6F142F"/>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6F142F"/>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6F142F"/>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6F142F"/>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6F142F"/>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6F142F"/>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uiPriority w:val="99"/>
    <w:qFormat/>
    <w:rsid w:val="006F142F"/>
    <w:pPr>
      <w:ind w:firstLine="0"/>
    </w:pPr>
  </w:style>
  <w:style w:type="paragraph" w:customStyle="1" w:styleId="blockquotewparaindent">
    <w:name w:val="block quote w/para indent"/>
    <w:basedOn w:val="Normal"/>
    <w:autoRedefine/>
    <w:uiPriority w:val="99"/>
    <w:qFormat/>
    <w:rsid w:val="006F142F"/>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6F142F"/>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6F142F"/>
    <w:pPr>
      <w:widowControl w:val="0"/>
      <w:spacing w:after="240"/>
      <w:ind w:left="720"/>
    </w:pPr>
    <w:rPr>
      <w:kern w:val="0"/>
      <w:sz w:val="20"/>
      <w:lang w:bidi="ar-SA"/>
    </w:rPr>
  </w:style>
  <w:style w:type="paragraph" w:customStyle="1" w:styleId="bulletend">
    <w:name w:val="bullet end"/>
    <w:basedOn w:val="Normal"/>
    <w:autoRedefine/>
    <w:uiPriority w:val="99"/>
    <w:rsid w:val="006F142F"/>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6F142F"/>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6F142F"/>
    <w:pPr>
      <w:ind w:firstLine="360"/>
    </w:pPr>
  </w:style>
  <w:style w:type="paragraph" w:customStyle="1" w:styleId="block-p--">
    <w:name w:val="block-p/-/-"/>
    <w:basedOn w:val="blockquoteparaindent-"/>
    <w:autoRedefine/>
    <w:uiPriority w:val="99"/>
    <w:rsid w:val="006F142F"/>
    <w:pPr>
      <w:spacing w:after="0"/>
    </w:pPr>
  </w:style>
  <w:style w:type="paragraph" w:customStyle="1" w:styleId="footnoteparaindent">
    <w:name w:val="footnote para indent"/>
    <w:basedOn w:val="Normal"/>
    <w:autoRedefine/>
    <w:uiPriority w:val="99"/>
    <w:rsid w:val="006F142F"/>
    <w:pPr>
      <w:spacing w:before="0" w:after="0"/>
      <w:ind w:firstLine="360"/>
      <w:jc w:val="both"/>
    </w:pPr>
    <w:rPr>
      <w:rFonts w:cstheme="minorBidi"/>
      <w:kern w:val="0"/>
      <w:sz w:val="20"/>
      <w:szCs w:val="16"/>
      <w:lang w:bidi="ar-SA"/>
    </w:rPr>
  </w:style>
  <w:style w:type="paragraph" w:customStyle="1" w:styleId="block-p-0">
    <w:name w:val="block-p/-/+"/>
    <w:basedOn w:val="Normal"/>
    <w:autoRedefine/>
    <w:uiPriority w:val="99"/>
    <w:qFormat/>
    <w:rsid w:val="006F142F"/>
    <w:pPr>
      <w:widowControl w:val="0"/>
      <w:spacing w:before="0" w:after="240"/>
      <w:ind w:left="720" w:firstLine="360"/>
    </w:pPr>
    <w:rPr>
      <w:kern w:val="0"/>
      <w:sz w:val="20"/>
      <w:lang w:bidi="ar-SA"/>
    </w:rPr>
  </w:style>
  <w:style w:type="paragraph" w:customStyle="1" w:styleId="block-f-">
    <w:name w:val="block-f/+/-"/>
    <w:basedOn w:val="Normal"/>
    <w:autoRedefine/>
    <w:uiPriority w:val="99"/>
    <w:qFormat/>
    <w:rsid w:val="006F142F"/>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6F142F"/>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qFormat/>
    <w:rsid w:val="006F142F"/>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6F142F"/>
    <w:pPr>
      <w:spacing w:before="120" w:after="0"/>
      <w:ind w:left="1440"/>
    </w:pPr>
    <w:rPr>
      <w:rFonts w:cstheme="minorBidi"/>
      <w:kern w:val="0"/>
      <w:sz w:val="20"/>
      <w:szCs w:val="22"/>
      <w:lang w:bidi="ar-SA"/>
    </w:rPr>
  </w:style>
  <w:style w:type="paragraph" w:customStyle="1" w:styleId="toc10">
    <w:name w:val="toc1"/>
    <w:basedOn w:val="text"/>
    <w:autoRedefine/>
    <w:uiPriority w:val="99"/>
    <w:rsid w:val="006F142F"/>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6F142F"/>
    <w:pPr>
      <w:tabs>
        <w:tab w:val="clear" w:pos="480"/>
        <w:tab w:val="clear" w:pos="600"/>
        <w:tab w:val="left" w:pos="960"/>
      </w:tabs>
      <w:ind w:left="960" w:hanging="360"/>
    </w:pPr>
  </w:style>
  <w:style w:type="paragraph" w:customStyle="1" w:styleId="toc40">
    <w:name w:val="toc4"/>
    <w:basedOn w:val="Normal"/>
    <w:autoRedefine/>
    <w:uiPriority w:val="99"/>
    <w:rsid w:val="006F142F"/>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6F142F"/>
    <w:pPr>
      <w:tabs>
        <w:tab w:val="clear" w:pos="960"/>
        <w:tab w:val="left" w:pos="1380"/>
        <w:tab w:val="left" w:pos="8900"/>
      </w:tabs>
      <w:ind w:left="1380" w:hanging="420"/>
    </w:pPr>
  </w:style>
  <w:style w:type="paragraph" w:customStyle="1" w:styleId="toc5">
    <w:name w:val="toc5"/>
    <w:basedOn w:val="toc40"/>
    <w:autoRedefine/>
    <w:uiPriority w:val="99"/>
    <w:rsid w:val="006F142F"/>
    <w:pPr>
      <w:tabs>
        <w:tab w:val="clear" w:pos="1680"/>
        <w:tab w:val="right" w:pos="2040"/>
        <w:tab w:val="left" w:pos="2160"/>
      </w:tabs>
      <w:ind w:left="2160" w:hanging="480"/>
    </w:pPr>
  </w:style>
  <w:style w:type="paragraph" w:customStyle="1" w:styleId="toc7">
    <w:name w:val="toc7"/>
    <w:basedOn w:val="Normal"/>
    <w:autoRedefine/>
    <w:uiPriority w:val="99"/>
    <w:rsid w:val="006F142F"/>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6F142F"/>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6F142F"/>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qFormat/>
    <w:rsid w:val="006F142F"/>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6F142F"/>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6F142F"/>
    <w:pPr>
      <w:spacing w:before="0" w:after="240"/>
    </w:pPr>
  </w:style>
  <w:style w:type="paragraph" w:customStyle="1" w:styleId="block3rdindent">
    <w:name w:val="block 3rd indent"/>
    <w:basedOn w:val="Normal"/>
    <w:autoRedefine/>
    <w:qFormat/>
    <w:rsid w:val="006F142F"/>
    <w:pPr>
      <w:widowControl w:val="0"/>
      <w:spacing w:before="0"/>
      <w:ind w:left="2160"/>
    </w:pPr>
    <w:rPr>
      <w:kern w:val="0"/>
      <w:sz w:val="20"/>
      <w:lang w:bidi="ar-SA"/>
    </w:rPr>
  </w:style>
  <w:style w:type="paragraph" w:customStyle="1" w:styleId="numberlistplstart">
    <w:name w:val="number list pl start"/>
    <w:basedOn w:val="Normal"/>
    <w:autoRedefine/>
    <w:uiPriority w:val="99"/>
    <w:rsid w:val="006F142F"/>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6F142F"/>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6F142F"/>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6F142F"/>
    <w:pPr>
      <w:tabs>
        <w:tab w:val="clear" w:pos="740"/>
        <w:tab w:val="left" w:pos="360"/>
      </w:tabs>
      <w:spacing w:before="0"/>
      <w:ind w:left="360"/>
    </w:pPr>
  </w:style>
  <w:style w:type="paragraph" w:customStyle="1" w:styleId="1stLevelHeadII">
    <w:name w:val="1st Level Head II."/>
    <w:basedOn w:val="Normal"/>
    <w:autoRedefine/>
    <w:uiPriority w:val="99"/>
    <w:rsid w:val="006F142F"/>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6F142F"/>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blockquote-f-">
    <w:name w:val="block quote-f +/-"/>
    <w:basedOn w:val="blockquotenoparagraphindent"/>
    <w:uiPriority w:val="99"/>
    <w:rsid w:val="006F142F"/>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6F142F"/>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6F142F"/>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6F142F"/>
    <w:pPr>
      <w:spacing w:before="0"/>
    </w:pPr>
  </w:style>
  <w:style w:type="paragraph" w:customStyle="1" w:styleId="2ndlevelheadnospace">
    <w:name w:val="2nd level head no space"/>
    <w:basedOn w:val="2ndlevelheadA"/>
    <w:uiPriority w:val="99"/>
    <w:rsid w:val="006F142F"/>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6F142F"/>
    <w:pPr>
      <w:tabs>
        <w:tab w:val="clear" w:pos="840"/>
        <w:tab w:val="left" w:pos="480"/>
      </w:tabs>
      <w:spacing w:before="0"/>
    </w:pPr>
  </w:style>
  <w:style w:type="paragraph" w:customStyle="1" w:styleId="4thlevelheadnospace">
    <w:name w:val="4th level head no space"/>
    <w:basedOn w:val="4thlevelheada"/>
    <w:uiPriority w:val="99"/>
    <w:rsid w:val="006F142F"/>
    <w:pPr>
      <w:spacing w:before="0"/>
      <w:ind w:left="701"/>
    </w:pPr>
    <w:rPr>
      <w:szCs w:val="24"/>
    </w:rPr>
  </w:style>
  <w:style w:type="paragraph" w:customStyle="1" w:styleId="bulletlist">
    <w:name w:val="bullet list"/>
    <w:basedOn w:val="Normal"/>
    <w:qFormat/>
    <w:rsid w:val="006F142F"/>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6F142F"/>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6F142F"/>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6F142F"/>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6F142F"/>
    <w:pPr>
      <w:spacing w:before="120"/>
      <w:ind w:firstLine="439"/>
      <w:jc w:val="both"/>
    </w:pPr>
  </w:style>
  <w:style w:type="paragraph" w:customStyle="1" w:styleId="5thlevelhead1">
    <w:name w:val="5th level head (1)"/>
    <w:basedOn w:val="Normal"/>
    <w:autoRedefine/>
    <w:uiPriority w:val="99"/>
    <w:rsid w:val="006F142F"/>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6F142F"/>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6F142F"/>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6F142F"/>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6F142F"/>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6F142F"/>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6F142F"/>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6F142F"/>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6F142F"/>
    <w:pPr>
      <w:spacing w:before="0"/>
    </w:pPr>
    <w:rPr>
      <w:rFonts w:cs="ITC New Baskerville Std"/>
    </w:rPr>
  </w:style>
  <w:style w:type="paragraph" w:customStyle="1" w:styleId="2ndLevelHeadA0">
    <w:name w:val="2nd Level Head A."/>
    <w:basedOn w:val="Normal"/>
    <w:autoRedefine/>
    <w:uiPriority w:val="99"/>
    <w:rsid w:val="006F142F"/>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6F142F"/>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6F142F"/>
    <w:pPr>
      <w:autoSpaceDE w:val="0"/>
      <w:autoSpaceDN w:val="0"/>
      <w:adjustRightInd w:val="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6F142F"/>
    <w:pPr>
      <w:ind w:firstLine="240"/>
    </w:pPr>
  </w:style>
  <w:style w:type="paragraph" w:customStyle="1" w:styleId="bulletliststart">
    <w:name w:val="bullet list start"/>
    <w:basedOn w:val="Normal"/>
    <w:autoRedefine/>
    <w:uiPriority w:val="99"/>
    <w:qFormat/>
    <w:rsid w:val="006F142F"/>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6F142F"/>
    <w:pPr>
      <w:spacing w:after="240"/>
    </w:pPr>
  </w:style>
  <w:style w:type="paragraph" w:customStyle="1" w:styleId="1stLevelHeadI">
    <w:name w:val="1st Level Head I."/>
    <w:basedOn w:val="Normal"/>
    <w:autoRedefine/>
    <w:uiPriority w:val="99"/>
    <w:rsid w:val="006F142F"/>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6F142F"/>
    <w:pPr>
      <w:spacing w:before="0" w:after="120" w:line="240" w:lineRule="atLeast"/>
    </w:pPr>
    <w:rPr>
      <w:rFonts w:cs="Times New Roman"/>
      <w:bCs w:val="0"/>
    </w:rPr>
  </w:style>
  <w:style w:type="paragraph" w:customStyle="1" w:styleId="4thHeadfrom3">
    <w:name w:val="4th Head from 3"/>
    <w:basedOn w:val="4thLevelHeada0"/>
    <w:autoRedefine/>
    <w:uiPriority w:val="99"/>
    <w:rsid w:val="006F142F"/>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6F142F"/>
    <w:pPr>
      <w:autoSpaceDE w:val="0"/>
      <w:autoSpaceDN w:val="0"/>
      <w:adjustRightInd w:val="0"/>
      <w:spacing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6F142F"/>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6F142F"/>
    <w:pPr>
      <w:tabs>
        <w:tab w:val="clear" w:pos="800"/>
        <w:tab w:val="left" w:pos="1240"/>
      </w:tabs>
      <w:spacing w:before="120"/>
      <w:ind w:left="1240"/>
    </w:pPr>
  </w:style>
  <w:style w:type="paragraph" w:customStyle="1" w:styleId="5thHeadfrom4">
    <w:name w:val="5th Head from 4"/>
    <w:basedOn w:val="5thLevelHead"/>
    <w:autoRedefine/>
    <w:uiPriority w:val="99"/>
    <w:rsid w:val="006F142F"/>
    <w:pPr>
      <w:spacing w:before="0"/>
    </w:pPr>
  </w:style>
  <w:style w:type="paragraph" w:customStyle="1" w:styleId="4thLevela">
    <w:name w:val="4th Level a."/>
    <w:basedOn w:val="Normal"/>
    <w:autoRedefine/>
    <w:uiPriority w:val="99"/>
    <w:rsid w:val="006F142F"/>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6F142F"/>
    <w:pPr>
      <w:spacing w:before="0" w:after="180" w:line="250" w:lineRule="atLeast"/>
    </w:pPr>
    <w:rPr>
      <w:rFonts w:cs="Times LT Std"/>
      <w:szCs w:val="23"/>
    </w:rPr>
  </w:style>
  <w:style w:type="paragraph" w:customStyle="1" w:styleId="numberliststart0">
    <w:name w:val="number list start"/>
    <w:basedOn w:val="Normal"/>
    <w:autoRedefine/>
    <w:qFormat/>
    <w:rsid w:val="006F142F"/>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6F142F"/>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6F142F"/>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6F142F"/>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6F142F"/>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6F142F"/>
    <w:pPr>
      <w:widowControl w:val="0"/>
      <w:spacing w:after="240"/>
      <w:ind w:left="720"/>
    </w:pPr>
    <w:rPr>
      <w:kern w:val="0"/>
      <w:sz w:val="20"/>
      <w:lang w:bidi="ar-SA"/>
    </w:rPr>
  </w:style>
  <w:style w:type="paragraph" w:customStyle="1" w:styleId="Level21">
    <w:name w:val="Level 2 / 1"/>
    <w:basedOn w:val="Normal"/>
    <w:autoRedefine/>
    <w:uiPriority w:val="99"/>
    <w:rsid w:val="006F142F"/>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6F142F"/>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6F142F"/>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6F142F"/>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6F142F"/>
    <w:pPr>
      <w:spacing w:before="0"/>
    </w:pPr>
  </w:style>
  <w:style w:type="paragraph" w:customStyle="1" w:styleId="Blockquotenospacebelow">
    <w:name w:val="Block quote (no space below)"/>
    <w:basedOn w:val="Blockquote0"/>
    <w:autoRedefine/>
    <w:uiPriority w:val="99"/>
    <w:rsid w:val="006F142F"/>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6F142F"/>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6F142F"/>
    <w:pPr>
      <w:tabs>
        <w:tab w:val="clear" w:pos="840"/>
        <w:tab w:val="left" w:pos="480"/>
      </w:tabs>
      <w:spacing w:before="0" w:after="240"/>
      <w:ind w:left="960" w:hanging="480"/>
    </w:pPr>
  </w:style>
  <w:style w:type="paragraph" w:customStyle="1" w:styleId="Numberlist0">
    <w:name w:val="Number list"/>
    <w:basedOn w:val="Numberliststop"/>
    <w:autoRedefine/>
    <w:qFormat/>
    <w:rsid w:val="006F142F"/>
    <w:pPr>
      <w:spacing w:after="0"/>
    </w:pPr>
  </w:style>
  <w:style w:type="paragraph" w:customStyle="1" w:styleId="Level43">
    <w:name w:val="Level 4/3"/>
    <w:basedOn w:val="Level4Heada"/>
    <w:autoRedefine/>
    <w:uiPriority w:val="99"/>
    <w:rsid w:val="006F142F"/>
    <w:pPr>
      <w:spacing w:before="0"/>
    </w:pPr>
  </w:style>
  <w:style w:type="paragraph" w:customStyle="1" w:styleId="Level5Head1">
    <w:name w:val="Level 5 Head (1)"/>
    <w:basedOn w:val="Level43"/>
    <w:autoRedefine/>
    <w:uiPriority w:val="99"/>
    <w:rsid w:val="006F142F"/>
    <w:pPr>
      <w:spacing w:before="240" w:line="240" w:lineRule="auto"/>
      <w:ind w:left="919" w:hanging="480"/>
    </w:pPr>
  </w:style>
  <w:style w:type="paragraph" w:customStyle="1" w:styleId="Level3Head">
    <w:name w:val="Level 3 Head"/>
    <w:basedOn w:val="text"/>
    <w:autoRedefine/>
    <w:qFormat/>
    <w:rsid w:val="006F142F"/>
  </w:style>
  <w:style w:type="paragraph" w:customStyle="1" w:styleId="bullet-dash">
    <w:name w:val="bullet-dash"/>
    <w:basedOn w:val="Normal"/>
    <w:autoRedefine/>
    <w:qFormat/>
    <w:rsid w:val="006F142F"/>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6F142F"/>
    <w:pPr>
      <w:ind w:left="1440"/>
    </w:pPr>
  </w:style>
  <w:style w:type="paragraph" w:customStyle="1" w:styleId="2ndLevelheadfrom1">
    <w:name w:val="2nd Level head_from 1"/>
    <w:basedOn w:val="2ndLevelHeadA0"/>
    <w:autoRedefine/>
    <w:uiPriority w:val="99"/>
    <w:rsid w:val="006F142F"/>
    <w:pPr>
      <w:spacing w:before="0" w:line="240" w:lineRule="atLeast"/>
    </w:pPr>
    <w:rPr>
      <w:rFonts w:cs="Times LT Std"/>
      <w:iCs w:val="0"/>
      <w:szCs w:val="22"/>
    </w:rPr>
  </w:style>
  <w:style w:type="paragraph" w:customStyle="1" w:styleId="1stlevelheadI0">
    <w:name w:val="1st level head I."/>
    <w:basedOn w:val="Normal"/>
    <w:autoRedefine/>
    <w:uiPriority w:val="99"/>
    <w:rsid w:val="006F142F"/>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6F142F"/>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6F142F"/>
    <w:pPr>
      <w:tabs>
        <w:tab w:val="clear" w:pos="740"/>
        <w:tab w:val="left" w:pos="960"/>
      </w:tabs>
      <w:ind w:left="960" w:hanging="480"/>
    </w:pPr>
    <w:rPr>
      <w:rFonts w:cs="Times LT Std"/>
      <w:bCs w:val="0"/>
      <w:iCs/>
      <w:szCs w:val="24"/>
    </w:rPr>
  </w:style>
  <w:style w:type="paragraph" w:customStyle="1" w:styleId="blockquote2ndlevel">
    <w:name w:val="block quote 2nd level"/>
    <w:basedOn w:val="blockquote"/>
    <w:autoRedefine/>
    <w:qFormat/>
    <w:rsid w:val="006F142F"/>
    <w:pPr>
      <w:ind w:left="1200"/>
    </w:pPr>
  </w:style>
  <w:style w:type="paragraph" w:customStyle="1" w:styleId="BasicParagraph">
    <w:name w:val="[Basic Paragraph]"/>
    <w:basedOn w:val="NoParagraphStyle"/>
    <w:uiPriority w:val="99"/>
    <w:rsid w:val="006F142F"/>
    <w:pPr>
      <w:spacing w:line="240" w:lineRule="atLeast"/>
      <w:ind w:firstLine="0"/>
    </w:pPr>
    <w:rPr>
      <w:rFonts w:ascii="ITC New Baskerville Std" w:hAnsi="ITC New Baskerville Std" w:cs="ITC New Baskerville Std"/>
      <w:sz w:val="22"/>
      <w:szCs w:val="22"/>
    </w:rPr>
  </w:style>
  <w:style w:type="paragraph" w:customStyle="1" w:styleId="chapternumber">
    <w:name w:val="chapter number"/>
    <w:basedOn w:val="BasicParagraph"/>
    <w:uiPriority w:val="99"/>
    <w:rsid w:val="006F142F"/>
    <w:pPr>
      <w:suppressAutoHyphens/>
      <w:spacing w:after="240" w:line="560" w:lineRule="atLeast"/>
    </w:pPr>
    <w:rPr>
      <w:b/>
      <w:bCs/>
      <w:sz w:val="56"/>
      <w:szCs w:val="56"/>
    </w:rPr>
  </w:style>
  <w:style w:type="paragraph" w:customStyle="1" w:styleId="chaptertitle">
    <w:name w:val="chapter title"/>
    <w:basedOn w:val="BasicParagraph"/>
    <w:uiPriority w:val="99"/>
    <w:rsid w:val="006F142F"/>
    <w:pPr>
      <w:suppressAutoHyphens/>
      <w:spacing w:after="480" w:line="440" w:lineRule="atLeast"/>
    </w:pPr>
    <w:rPr>
      <w:sz w:val="40"/>
      <w:szCs w:val="40"/>
    </w:rPr>
  </w:style>
  <w:style w:type="paragraph" w:customStyle="1" w:styleId="blockquotenospace">
    <w:name w:val="block quote no space"/>
    <w:basedOn w:val="block-p--"/>
    <w:uiPriority w:val="99"/>
    <w:rsid w:val="006F142F"/>
    <w:pPr>
      <w:widowControl w:val="0"/>
      <w:autoSpaceDE w:val="0"/>
      <w:autoSpaceDN w:val="0"/>
      <w:adjustRightInd w:val="0"/>
      <w:spacing w:line="200" w:lineRule="atLeast"/>
      <w:ind w:left="440" w:firstLine="0"/>
      <w:jc w:val="both"/>
      <w:textAlignment w:val="center"/>
    </w:pPr>
    <w:rPr>
      <w:rFonts w:ascii="ITC New Baskerville Std" w:eastAsiaTheme="minorEastAsia" w:hAnsi="ITC New Baskerville Std" w:cs="ITC New Baskerville Std"/>
      <w:color w:val="000000"/>
      <w:szCs w:val="20"/>
    </w:rPr>
  </w:style>
  <w:style w:type="paragraph" w:customStyle="1" w:styleId="blockquote-6pt">
    <w:name w:val="block quote -/+ 6 pt"/>
    <w:basedOn w:val="Blockquoteflush"/>
    <w:uiPriority w:val="99"/>
    <w:rsid w:val="006F142F"/>
    <w:pPr>
      <w:autoSpaceDE w:val="0"/>
      <w:autoSpaceDN w:val="0"/>
      <w:adjustRightInd w:val="0"/>
      <w:spacing w:before="0" w:after="120" w:line="200" w:lineRule="atLeast"/>
      <w:ind w:left="440"/>
      <w:jc w:val="both"/>
      <w:textAlignment w:val="center"/>
    </w:pPr>
    <w:rPr>
      <w:rFonts w:ascii="ITC New Baskerville Std" w:eastAsiaTheme="minorEastAsia" w:hAnsi="ITC New Baskerville Std" w:cs="ITC New Baskerville Std"/>
      <w:color w:val="000000"/>
      <w:szCs w:val="20"/>
    </w:rPr>
  </w:style>
  <w:style w:type="character" w:customStyle="1" w:styleId="superscript">
    <w:name w:val="superscript"/>
    <w:uiPriority w:val="99"/>
    <w:rsid w:val="006F142F"/>
    <w:rPr>
      <w:vertAlign w:val="superscript"/>
    </w:rPr>
  </w:style>
  <w:style w:type="paragraph" w:customStyle="1" w:styleId="block-f-0">
    <w:name w:val="block-f +/-"/>
    <w:basedOn w:val="Normal"/>
    <w:autoRedefine/>
    <w:uiPriority w:val="99"/>
    <w:rsid w:val="006F142F"/>
    <w:pPr>
      <w:widowControl w:val="0"/>
      <w:autoSpaceDE w:val="0"/>
      <w:autoSpaceDN w:val="0"/>
      <w:adjustRightInd w:val="0"/>
      <w:spacing w:after="0"/>
      <w:ind w:left="720"/>
      <w:textAlignment w:val="center"/>
    </w:pPr>
    <w:rPr>
      <w:rFonts w:eastAsiaTheme="minorEastAsia" w:cs="ITC New Baskerville Std"/>
      <w:color w:val="000000"/>
      <w:kern w:val="0"/>
      <w:sz w:val="20"/>
      <w:szCs w:val="20"/>
      <w:lang w:bidi="ar-SA"/>
    </w:rPr>
  </w:style>
  <w:style w:type="paragraph" w:customStyle="1" w:styleId="block-f">
    <w:name w:val="block-f +/+"/>
    <w:basedOn w:val="Normal"/>
    <w:autoRedefine/>
    <w:uiPriority w:val="99"/>
    <w:qFormat/>
    <w:rsid w:val="006F142F"/>
    <w:pPr>
      <w:spacing w:after="240"/>
      <w:ind w:left="720"/>
    </w:pPr>
    <w:rPr>
      <w:rFonts w:eastAsiaTheme="minorEastAsia" w:cstheme="minorBidi"/>
      <w:kern w:val="0"/>
      <w:sz w:val="20"/>
      <w:szCs w:val="22"/>
      <w:lang w:bidi="ar-SA"/>
    </w:rPr>
  </w:style>
  <w:style w:type="paragraph" w:customStyle="1" w:styleId="4thlevelheadai">
    <w:name w:val="4th level head a._i"/>
    <w:basedOn w:val="Normal"/>
    <w:autoRedefine/>
    <w:uiPriority w:val="99"/>
    <w:qFormat/>
    <w:rsid w:val="006F142F"/>
    <w:pPr>
      <w:tabs>
        <w:tab w:val="left" w:pos="720"/>
      </w:tabs>
      <w:spacing w:after="240"/>
      <w:ind w:left="720" w:hanging="360"/>
    </w:pPr>
    <w:rPr>
      <w:rFonts w:eastAsiaTheme="minorEastAsia" w:cstheme="minorBidi"/>
      <w:i/>
      <w:kern w:val="0"/>
      <w:szCs w:val="22"/>
      <w:lang w:bidi="ar-SA"/>
    </w:rPr>
  </w:style>
  <w:style w:type="paragraph" w:customStyle="1" w:styleId="block-bl">
    <w:name w:val="block-bl"/>
    <w:basedOn w:val="Normal"/>
    <w:autoRedefine/>
    <w:uiPriority w:val="99"/>
    <w:rsid w:val="006F142F"/>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p--0">
    <w:name w:val="block-p -/-"/>
    <w:basedOn w:val="Normal"/>
    <w:autoRedefine/>
    <w:uiPriority w:val="99"/>
    <w:rsid w:val="006F142F"/>
    <w:pPr>
      <w:widowControl w:val="0"/>
      <w:autoSpaceDE w:val="0"/>
      <w:autoSpaceDN w:val="0"/>
      <w:adjustRightInd w:val="0"/>
      <w:spacing w:before="0" w:after="0"/>
      <w:ind w:left="720" w:firstLine="720"/>
      <w:textAlignment w:val="center"/>
    </w:pPr>
    <w:rPr>
      <w:rFonts w:eastAsiaTheme="minorEastAsia" w:cs="NewCenturySchlbk"/>
      <w:color w:val="000000"/>
      <w:kern w:val="0"/>
      <w:sz w:val="20"/>
      <w:szCs w:val="20"/>
      <w:lang w:bidi="ar-SA"/>
    </w:rPr>
  </w:style>
  <w:style w:type="paragraph" w:customStyle="1" w:styleId="block-p-1">
    <w:name w:val="block-p -/+"/>
    <w:basedOn w:val="Normal"/>
    <w:autoRedefine/>
    <w:uiPriority w:val="99"/>
    <w:qFormat/>
    <w:rsid w:val="006F142F"/>
    <w:pPr>
      <w:spacing w:before="0" w:after="240"/>
      <w:ind w:left="720" w:firstLine="720"/>
    </w:pPr>
    <w:rPr>
      <w:rFonts w:eastAsiaTheme="minorEastAsia" w:cstheme="minorBidi"/>
      <w:kern w:val="0"/>
      <w:sz w:val="20"/>
      <w:szCs w:val="22"/>
      <w:lang w:bidi="ar-SA"/>
    </w:rPr>
  </w:style>
  <w:style w:type="paragraph" w:customStyle="1" w:styleId="block-p-2">
    <w:name w:val="block-p +/-"/>
    <w:basedOn w:val="Normal"/>
    <w:autoRedefine/>
    <w:uiPriority w:val="99"/>
    <w:rsid w:val="006F142F"/>
    <w:pPr>
      <w:spacing w:after="0"/>
      <w:ind w:left="720" w:firstLine="720"/>
    </w:pPr>
    <w:rPr>
      <w:rFonts w:eastAsiaTheme="minorEastAsia" w:cstheme="minorBidi"/>
      <w:kern w:val="0"/>
      <w:sz w:val="20"/>
      <w:szCs w:val="22"/>
      <w:lang w:bidi="ar-SA"/>
    </w:rPr>
  </w:style>
  <w:style w:type="paragraph" w:customStyle="1" w:styleId="textinsert-0">
    <w:name w:val="text insert +/-"/>
    <w:basedOn w:val="Normal"/>
    <w:autoRedefine/>
    <w:uiPriority w:val="99"/>
    <w:rsid w:val="006F142F"/>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ChapterNum">
    <w:name w:val="ChapterNum"/>
    <w:basedOn w:val="Normal"/>
    <w:link w:val="ChapterNumChar"/>
    <w:rsid w:val="006F142F"/>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6F142F"/>
    <w:rPr>
      <w:rFonts w:eastAsia="Times New Roman"/>
      <w:kern w:val="0"/>
      <w:sz w:val="56"/>
      <w:szCs w:val="56"/>
      <w:lang w:bidi="ar-SA"/>
    </w:rPr>
  </w:style>
  <w:style w:type="character" w:styleId="UnresolvedMention">
    <w:name w:val="Unresolved Mention"/>
    <w:basedOn w:val="DefaultParagraphFont"/>
    <w:uiPriority w:val="99"/>
    <w:semiHidden/>
    <w:unhideWhenUsed/>
    <w:rsid w:val="006F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2" Type="http://schemas.openxmlformats.org/officeDocument/2006/relationships/hyperlink" Target="https://elaw.klri.re.kr/eng_service/lawView.do?hseq=60480&amp;lang=ENG" TargetMode="External"/><Relationship Id="rId1" Type="http://schemas.openxmlformats.org/officeDocument/2006/relationships/hyperlink" Target="https://bna.sharepoint.com/sites/Pride3_bna3_books1/Shared%20Documents/GROUPS/Books/ARCHIVES/TMD2%20NEW%20EDITION%20-%20Trademark%20Dilution/TM24/2.%20CE/The%20(legal)%20adventures%20of%20Zorro:%20an%20update%20on%20copyright%20and%20parody%20from%20the%20Italian%20Supreme%20Court,%20available%20at%20https:/mediawrites.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F19BAA-A333-421E-9E5F-EDCE2870A290}"/>
      </w:docPartPr>
      <w:docPartBody>
        <w:p w:rsidR="0019441B" w:rsidRDefault="0019441B">
          <w:r w:rsidRPr="002F6D09">
            <w:rPr>
              <w:rStyle w:val="PlaceholderText"/>
            </w:rPr>
            <w:t>Click or tap here to enter text.</w:t>
          </w:r>
        </w:p>
      </w:docPartBody>
    </w:docPart>
    <w:docPart>
      <w:docPartPr>
        <w:name w:val="D817D94A57664B01BE5F97469D90692D"/>
        <w:category>
          <w:name w:val="General"/>
          <w:gallery w:val="placeholder"/>
        </w:category>
        <w:types>
          <w:type w:val="bbPlcHdr"/>
        </w:types>
        <w:behaviors>
          <w:behavior w:val="content"/>
        </w:behaviors>
        <w:guid w:val="{29EC0E99-A6DC-4666-BE2B-940EE69D6D15}"/>
      </w:docPartPr>
      <w:docPartBody>
        <w:p w:rsidR="0019441B" w:rsidRDefault="0019441B">
          <w:r w:rsidRPr="002F6D09">
            <w:rPr>
              <w:rStyle w:val="PlaceholderText"/>
            </w:rPr>
            <w:t>Unit.Start</w:t>
          </w:r>
        </w:p>
      </w:docPartBody>
    </w:docPart>
    <w:docPart>
      <w:docPartPr>
        <w:name w:val="8E5BA97CB1A14D7A9848F02978F65D1A"/>
        <w:category>
          <w:name w:val="General"/>
          <w:gallery w:val="placeholder"/>
        </w:category>
        <w:types>
          <w:type w:val="bbPlcHdr"/>
        </w:types>
        <w:behaviors>
          <w:behavior w:val="content"/>
        </w:behaviors>
        <w:guid w:val="{C62F270E-24F0-4D60-83EE-C8689D44BCA9}"/>
      </w:docPartPr>
      <w:docPartBody>
        <w:p w:rsidR="0019441B" w:rsidRDefault="0019441B">
          <w:r w:rsidRPr="002F6D09">
            <w:rPr>
              <w:rStyle w:val="PlaceholderText"/>
            </w:rPr>
            <w:t>Document</w:t>
          </w:r>
        </w:p>
      </w:docPartBody>
    </w:docPart>
    <w:docPart>
      <w:docPartPr>
        <w:name w:val="842A00F9CB1A4996B00024F863EDD11C"/>
        <w:category>
          <w:name w:val="General"/>
          <w:gallery w:val="placeholder"/>
        </w:category>
        <w:types>
          <w:type w:val="bbPlcHdr"/>
        </w:types>
        <w:behaviors>
          <w:behavior w:val="content"/>
        </w:behaviors>
        <w:guid w:val="{EF99A790-952B-4C47-901E-B8B7CEC490D2}"/>
      </w:docPartPr>
      <w:docPartBody>
        <w:p w:rsidR="0019441B" w:rsidRDefault="0019441B">
          <w:r w:rsidRPr="002F6D09">
            <w:rPr>
              <w:rStyle w:val="PlaceholderText"/>
            </w:rPr>
            <w:t>enter text</w:t>
          </w:r>
        </w:p>
      </w:docPartBody>
    </w:docPart>
    <w:docPart>
      <w:docPartPr>
        <w:name w:val="9DBD4B7D7D034421997011D6C9D84263"/>
        <w:category>
          <w:name w:val="General"/>
          <w:gallery w:val="placeholder"/>
        </w:category>
        <w:types>
          <w:type w:val="bbPlcHdr"/>
        </w:types>
        <w:behaviors>
          <w:behavior w:val="content"/>
        </w:behaviors>
        <w:guid w:val="{D3894969-2BDC-44BF-86EE-9BC2378665F6}"/>
      </w:docPartPr>
      <w:docPartBody>
        <w:p w:rsidR="0019441B" w:rsidRDefault="0019441B">
          <w:r w:rsidRPr="002F6D09">
            <w:rPr>
              <w:rStyle w:val="PlaceholderText"/>
            </w:rPr>
            <w:t>enter text</w:t>
          </w:r>
        </w:p>
      </w:docPartBody>
    </w:docPart>
    <w:docPart>
      <w:docPartPr>
        <w:name w:val="1244F838404246C0BF0C16C075CB7E02"/>
        <w:category>
          <w:name w:val="General"/>
          <w:gallery w:val="placeholder"/>
        </w:category>
        <w:types>
          <w:type w:val="bbPlcHdr"/>
        </w:types>
        <w:behaviors>
          <w:behavior w:val="content"/>
        </w:behaviors>
        <w:guid w:val="{D8A56639-1750-418E-9E86-49F8676F400A}"/>
      </w:docPartPr>
      <w:docPartBody>
        <w:p w:rsidR="0019441B" w:rsidRDefault="0019441B">
          <w:r w:rsidRPr="002F6D09">
            <w:rPr>
              <w:rStyle w:val="PlaceholderText"/>
            </w:rPr>
            <w:t>enter REQUIRED text</w:t>
          </w:r>
        </w:p>
      </w:docPartBody>
    </w:docPart>
    <w:docPart>
      <w:docPartPr>
        <w:name w:val="4A674DB8440A4A869A37FE3FD444F090"/>
        <w:category>
          <w:name w:val="General"/>
          <w:gallery w:val="placeholder"/>
        </w:category>
        <w:types>
          <w:type w:val="bbPlcHdr"/>
        </w:types>
        <w:behaviors>
          <w:behavior w:val="content"/>
        </w:behaviors>
        <w:guid w:val="{D35DC265-3F13-44F8-A163-6B4231003A5B}"/>
      </w:docPartPr>
      <w:docPartBody>
        <w:p w:rsidR="0019441B" w:rsidRDefault="0019441B">
          <w:r w:rsidRPr="002F6D09">
            <w:rPr>
              <w:rStyle w:val="PlaceholderText"/>
            </w:rPr>
            <w:t>enter REQUIRED text</w:t>
          </w:r>
        </w:p>
      </w:docPartBody>
    </w:docPart>
    <w:docPart>
      <w:docPartPr>
        <w:name w:val="3F7B89AB7B674E9799EDD71E46668933"/>
        <w:category>
          <w:name w:val="General"/>
          <w:gallery w:val="placeholder"/>
        </w:category>
        <w:types>
          <w:type w:val="bbPlcHdr"/>
        </w:types>
        <w:behaviors>
          <w:behavior w:val="content"/>
        </w:behaviors>
        <w:guid w:val="{0401E3A6-8996-48F9-A418-A03CE780AED4}"/>
      </w:docPartPr>
      <w:docPartBody>
        <w:p w:rsidR="0019441B" w:rsidRDefault="0019441B">
          <w:r w:rsidRPr="002F6D09">
            <w:rPr>
              <w:rStyle w:val="PlaceholderText"/>
            </w:rPr>
            <w:t>enter text</w:t>
          </w:r>
        </w:p>
      </w:docPartBody>
    </w:docPart>
    <w:docPart>
      <w:docPartPr>
        <w:name w:val="72FC6AA3592D4544853B002D6129AFC8"/>
        <w:category>
          <w:name w:val="General"/>
          <w:gallery w:val="placeholder"/>
        </w:category>
        <w:types>
          <w:type w:val="bbPlcHdr"/>
        </w:types>
        <w:behaviors>
          <w:behavior w:val="content"/>
        </w:behaviors>
        <w:guid w:val="{A652F8B3-E09D-4A01-85DB-A676DC306920}"/>
      </w:docPartPr>
      <w:docPartBody>
        <w:p w:rsidR="0019441B" w:rsidRDefault="0019441B">
          <w:r w:rsidRPr="002F6D09">
            <w:rPr>
              <w:rStyle w:val="PlaceholderText"/>
            </w:rPr>
            <w:t>enter text</w:t>
          </w:r>
        </w:p>
      </w:docPartBody>
    </w:docPart>
    <w:docPart>
      <w:docPartPr>
        <w:name w:val="46EB35026BBE4E5C973C1B37B928ECD7"/>
        <w:category>
          <w:name w:val="General"/>
          <w:gallery w:val="placeholder"/>
        </w:category>
        <w:types>
          <w:type w:val="bbPlcHdr"/>
        </w:types>
        <w:behaviors>
          <w:behavior w:val="content"/>
        </w:behaviors>
        <w:guid w:val="{913026E8-1D0F-467F-BA3C-82C72C1D1367}"/>
      </w:docPartPr>
      <w:docPartBody>
        <w:p w:rsidR="0019441B" w:rsidRDefault="0019441B">
          <w:r w:rsidRPr="002F6D09">
            <w:rPr>
              <w:rStyle w:val="PlaceholderText"/>
            </w:rPr>
            <w:t>enter text</w:t>
          </w:r>
        </w:p>
      </w:docPartBody>
    </w:docPart>
    <w:docPart>
      <w:docPartPr>
        <w:name w:val="FB9947D5C4794D64A69B71259820F29D"/>
        <w:category>
          <w:name w:val="General"/>
          <w:gallery w:val="placeholder"/>
        </w:category>
        <w:types>
          <w:type w:val="bbPlcHdr"/>
        </w:types>
        <w:behaviors>
          <w:behavior w:val="content"/>
        </w:behaviors>
        <w:guid w:val="{E076DCD7-951C-4F55-81DC-92C24FFA11F8}"/>
      </w:docPartPr>
      <w:docPartBody>
        <w:p w:rsidR="0019441B" w:rsidRDefault="0019441B">
          <w:r w:rsidRPr="002F6D09">
            <w:rPr>
              <w:rStyle w:val="PlaceholderText"/>
            </w:rPr>
            <w:t>enter text</w:t>
          </w:r>
        </w:p>
      </w:docPartBody>
    </w:docPart>
    <w:docPart>
      <w:docPartPr>
        <w:name w:val="1D396950C671409B8FA268BEBD15F7B4"/>
        <w:category>
          <w:name w:val="General"/>
          <w:gallery w:val="placeholder"/>
        </w:category>
        <w:types>
          <w:type w:val="bbPlcHdr"/>
        </w:types>
        <w:behaviors>
          <w:behavior w:val="content"/>
        </w:behaviors>
        <w:guid w:val="{CA542D98-ED32-4908-8161-E12A227EC43E}"/>
      </w:docPartPr>
      <w:docPartBody>
        <w:p w:rsidR="0019441B" w:rsidRDefault="0019441B">
          <w:r w:rsidRPr="002F6D09">
            <w:rPr>
              <w:rStyle w:val="PlaceholderText"/>
            </w:rPr>
            <w:t>enter text</w:t>
          </w:r>
        </w:p>
      </w:docPartBody>
    </w:docPart>
    <w:docPart>
      <w:docPartPr>
        <w:name w:val="6A447FB62E8740D0860BB954EEB7A0D6"/>
        <w:category>
          <w:name w:val="General"/>
          <w:gallery w:val="placeholder"/>
        </w:category>
        <w:types>
          <w:type w:val="bbPlcHdr"/>
        </w:types>
        <w:behaviors>
          <w:behavior w:val="content"/>
        </w:behaviors>
        <w:guid w:val="{5F221970-061F-401A-A0A6-A0FD2E65596C}"/>
      </w:docPartPr>
      <w:docPartBody>
        <w:p w:rsidR="0019441B" w:rsidRDefault="0019441B">
          <w:r w:rsidRPr="002F6D09">
            <w:rPr>
              <w:rStyle w:val="PlaceholderText"/>
            </w:rPr>
            <w:t>enter text</w:t>
          </w:r>
        </w:p>
      </w:docPartBody>
    </w:docPart>
    <w:docPart>
      <w:docPartPr>
        <w:name w:val="74E844365F3B41BCAF951ED9318C5462"/>
        <w:category>
          <w:name w:val="General"/>
          <w:gallery w:val="placeholder"/>
        </w:category>
        <w:types>
          <w:type w:val="bbPlcHdr"/>
        </w:types>
        <w:behaviors>
          <w:behavior w:val="content"/>
        </w:behaviors>
        <w:guid w:val="{DFFB0824-DA39-446F-83A8-4844423495FC}"/>
      </w:docPartPr>
      <w:docPartBody>
        <w:p w:rsidR="0019441B" w:rsidRDefault="0019441B">
          <w:r w:rsidRPr="002F6D09">
            <w:rPr>
              <w:rStyle w:val="PlaceholderText"/>
            </w:rPr>
            <w:t>enter text</w:t>
          </w:r>
        </w:p>
      </w:docPartBody>
    </w:docPart>
    <w:docPart>
      <w:docPartPr>
        <w:name w:val="872CF2CEECF3487594A2542DAC212723"/>
        <w:category>
          <w:name w:val="General"/>
          <w:gallery w:val="placeholder"/>
        </w:category>
        <w:types>
          <w:type w:val="bbPlcHdr"/>
        </w:types>
        <w:behaviors>
          <w:behavior w:val="content"/>
        </w:behaviors>
        <w:guid w:val="{3DB01CB0-FDB3-47CB-A419-05FF5B16B93F}"/>
      </w:docPartPr>
      <w:docPartBody>
        <w:p w:rsidR="0019441B" w:rsidRDefault="0019441B">
          <w:r w:rsidRPr="002F6D09">
            <w:rPr>
              <w:rStyle w:val="PlaceholderText"/>
            </w:rPr>
            <w:t>enter text</w:t>
          </w:r>
        </w:p>
      </w:docPartBody>
    </w:docPart>
    <w:docPart>
      <w:docPartPr>
        <w:name w:val="F61695790B8C48DB85D6EF0BD458850E"/>
        <w:category>
          <w:name w:val="General"/>
          <w:gallery w:val="placeholder"/>
        </w:category>
        <w:types>
          <w:type w:val="bbPlcHdr"/>
        </w:types>
        <w:behaviors>
          <w:behavior w:val="content"/>
        </w:behaviors>
        <w:guid w:val="{F3F929DB-67D2-4135-8D86-BAB09BE7AAF7}"/>
      </w:docPartPr>
      <w:docPartBody>
        <w:p w:rsidR="0019441B" w:rsidRDefault="0019441B">
          <w:r w:rsidRPr="002F6D09">
            <w:rPr>
              <w:rStyle w:val="PlaceholderText"/>
            </w:rPr>
            <w:t>choose an item (REQUIRED)</w:t>
          </w:r>
        </w:p>
      </w:docPartBody>
    </w:docPart>
    <w:docPart>
      <w:docPartPr>
        <w:name w:val="0E3B8CA8205944298B490981E703110B"/>
        <w:category>
          <w:name w:val="General"/>
          <w:gallery w:val="placeholder"/>
        </w:category>
        <w:types>
          <w:type w:val="bbPlcHdr"/>
        </w:types>
        <w:behaviors>
          <w:behavior w:val="content"/>
        </w:behaviors>
        <w:guid w:val="{3521464F-BB20-410D-9A1D-9B088E0AE1C2}"/>
      </w:docPartPr>
      <w:docPartBody>
        <w:p w:rsidR="0019441B" w:rsidRDefault="0019441B">
          <w:r w:rsidRPr="002F6D09">
            <w:rPr>
              <w:rStyle w:val="PlaceholderText"/>
            </w:rPr>
            <w:t>enter text</w:t>
          </w:r>
        </w:p>
      </w:docPartBody>
    </w:docPart>
    <w:docPart>
      <w:docPartPr>
        <w:name w:val="3FFE3A45081B4E0FAF72D1DF952801CC"/>
        <w:category>
          <w:name w:val="General"/>
          <w:gallery w:val="placeholder"/>
        </w:category>
        <w:types>
          <w:type w:val="bbPlcHdr"/>
        </w:types>
        <w:behaviors>
          <w:behavior w:val="content"/>
        </w:behaviors>
        <w:guid w:val="{9F109158-8858-4B65-B7E7-86F7C2FBDDE0}"/>
      </w:docPartPr>
      <w:docPartBody>
        <w:p w:rsidR="0019441B" w:rsidRDefault="0019441B">
          <w:r w:rsidRPr="002F6D09">
            <w:rPr>
              <w:rStyle w:val="PlaceholderText"/>
            </w:rPr>
            <w:t>enter text</w:t>
          </w:r>
        </w:p>
      </w:docPartBody>
    </w:docPart>
    <w:docPart>
      <w:docPartPr>
        <w:name w:val="8D7E20614C8A4B68B46F8D4A832E8452"/>
        <w:category>
          <w:name w:val="General"/>
          <w:gallery w:val="placeholder"/>
        </w:category>
        <w:types>
          <w:type w:val="bbPlcHdr"/>
        </w:types>
        <w:behaviors>
          <w:behavior w:val="content"/>
        </w:behaviors>
        <w:guid w:val="{D41B243B-73E2-4DDE-9282-58DF51C4C552}"/>
      </w:docPartPr>
      <w:docPartBody>
        <w:p w:rsidR="0019441B" w:rsidRDefault="0019441B">
          <w:r w:rsidRPr="002F6D09">
            <w:rPr>
              <w:rStyle w:val="PlaceholderText"/>
            </w:rPr>
            <w:t>enter REQUIRED text</w:t>
          </w:r>
        </w:p>
      </w:docPartBody>
    </w:docPart>
    <w:docPart>
      <w:docPartPr>
        <w:name w:val="34A6416D45BD4E6B820C363F1212784F"/>
        <w:category>
          <w:name w:val="General"/>
          <w:gallery w:val="placeholder"/>
        </w:category>
        <w:types>
          <w:type w:val="bbPlcHdr"/>
        </w:types>
        <w:behaviors>
          <w:behavior w:val="content"/>
        </w:behaviors>
        <w:guid w:val="{D7912B06-C309-49CF-9F45-F326F8D999B4}"/>
      </w:docPartPr>
      <w:docPartBody>
        <w:p w:rsidR="0019441B" w:rsidRDefault="0019441B">
          <w:r w:rsidRPr="002F6D09">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1B"/>
    <w:rsid w:val="0019441B"/>
    <w:rsid w:val="0042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4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version.options xmlns="http://www.bna.com/gateway/conversion.options">
</conversion.option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document xmlns="http://www.bna.com/gateway/unit.start">
  <ns0:unit.start xmlns:ns0="http://www.bna.com/gateway/unit.start" copyright.owner="enter text" subpart.name="enter text" unit.code="main0015" unit.name="Chapter 15. International Dilution Law" folio="645" class.code="A" class.name="Book Body" bna.id.prefix="15" pdm.name="Chap15" part.num="3" part.name="Part III. International Dilution Law" publication.name="Trademark Dilution - Federal, State, and International Law, Second Edition" acct.code="TD2M20" date="2025-09-25" supplement="0" volume.num="1" service.code="td-book"/>
</document>
</file>

<file path=customXml/itemProps1.xml><?xml version="1.0" encoding="utf-8"?>
<ds:datastoreItem xmlns:ds="http://schemas.openxmlformats.org/officeDocument/2006/customXml" ds:itemID="{DADA3C72-C4A8-40A7-A93D-753FF12AADFE}">
  <ds:schemaRefs>
    <ds:schemaRef ds:uri="http://www.bna.com/gateway/conversion.option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25203738-0C39-41F2-B232-E9DAD00FD52D}">
  <ds:schemaRefs>
    <ds:schemaRef ds:uri="PortfolioServiceCodes"/>
  </ds:schemaRefs>
</ds:datastoreItem>
</file>

<file path=customXml/itemProps4.xml><?xml version="1.0" encoding="utf-8"?>
<ds:datastoreItem xmlns:ds="http://schemas.openxmlformats.org/officeDocument/2006/customXml" ds:itemID="{438364F0-8022-49DD-ACD0-F4F06AB21D4B}">
  <ds:schemaRefs>
    <ds:schemaRef ds:uri="BookServiceCodes"/>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B04FCA99-13B0-422B-ADC9-9491644FA79D}">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1</Pages>
  <Words>13607</Words>
  <Characters>77565</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2025-09-25T20:52:00Z</dcterms:created>
  <dcterms:modified xsi:type="dcterms:W3CDTF">2025-09-25T20:52:00Z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