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53F57" w:rsidR="00140ADC" w:rsidP="2A1B6384" w:rsidRDefault="00140ADC" w14:paraId="2F6410EC" w14:textId="55F41ADA">
      <w:pPr>
        <w:spacing w:line="247" w:lineRule="auto"/>
        <w:rPr>
          <w:rFonts w:cs="Calibri" w:cstheme="minorAscii"/>
          <w:b w:val="1"/>
          <w:bCs w:val="1"/>
          <w:u w:val="single"/>
        </w:rPr>
      </w:pPr>
      <w:r w:rsidRPr="4ADAF806" w:rsidR="00140ADC">
        <w:rPr>
          <w:rFonts w:cs="Calibri" w:cstheme="minorAscii"/>
          <w:b w:val="1"/>
          <w:bCs w:val="1"/>
          <w:u w:val="single"/>
        </w:rPr>
        <w:t xml:space="preserve">MLI Modifications: </w:t>
      </w:r>
      <w:r w:rsidRPr="4ADAF806" w:rsidR="16A4D718">
        <w:rPr>
          <w:rFonts w:cs="Calibri" w:cstheme="minorAscii"/>
          <w:b w:val="1"/>
          <w:bCs w:val="1"/>
          <w:u w:val="single"/>
        </w:rPr>
        <w:t>Serbia-Vietnam</w:t>
      </w:r>
    </w:p>
    <w:p w:rsidRPr="00353F57" w:rsidR="00140ADC" w:rsidP="4ADAF806" w:rsidRDefault="00140ADC" w14:paraId="2CEA064D" w14:textId="24EC927B">
      <w:pPr>
        <w:pStyle w:val="Normal"/>
        <w:spacing w:line="247" w:lineRule="auto"/>
        <w:ind w:right="720"/>
        <w:jc w:val="both"/>
        <w:rPr>
          <w:rFonts w:cs="Calibri" w:cstheme="minorAscii"/>
          <w:i w:val="1"/>
          <w:iCs w:val="1"/>
        </w:rPr>
      </w:pPr>
      <w:r w:rsidRPr="4ADAF806" w:rsidR="00140ADC">
        <w:rPr>
          <w:rFonts w:cs="Calibri" w:cstheme="minorAscii"/>
          <w:i w:val="1"/>
          <w:iCs w:val="1"/>
        </w:rPr>
        <w:t xml:space="preserve">Editor’s Note: This summary is based on the MLI positions </w:t>
      </w:r>
      <w:r w:rsidRPr="4ADAF806" w:rsidR="00140ADC">
        <w:rPr>
          <w:rFonts w:cs="Calibri" w:cstheme="minorAscii"/>
          <w:i w:val="1"/>
          <w:iCs w:val="1"/>
        </w:rPr>
        <w:t>submitted</w:t>
      </w:r>
      <w:r w:rsidRPr="4ADAF806" w:rsidR="00140ADC">
        <w:rPr>
          <w:rFonts w:cs="Calibri" w:cstheme="minorAscii"/>
          <w:i w:val="1"/>
          <w:iCs w:val="1"/>
        </w:rPr>
        <w:t xml:space="preserve"> to the Depositary upon the deposit of the ratification instruments by </w:t>
      </w:r>
      <w:r w:rsidRPr="4ADAF806" w:rsidR="2E2A7942">
        <w:rPr>
          <w:rFonts w:cs="Calibri" w:cstheme="minorAscii"/>
          <w:b w:val="0"/>
          <w:bCs w:val="0"/>
          <w:i w:val="1"/>
          <w:iCs w:val="1"/>
          <w:u w:val="none"/>
        </w:rPr>
        <w:t xml:space="preserve">Serbia </w:t>
      </w:r>
      <w:r w:rsidRPr="4ADAF806" w:rsidR="00140ADC">
        <w:rPr>
          <w:rFonts w:cs="Calibri" w:cstheme="minorAscii"/>
          <w:i w:val="1"/>
          <w:iCs w:val="1"/>
        </w:rPr>
        <w:t xml:space="preserve">and </w:t>
      </w:r>
      <w:r w:rsidRPr="4ADAF806" w:rsidR="21FF553F">
        <w:rPr>
          <w:rFonts w:cs="Calibri" w:cstheme="minorAscii"/>
          <w:i w:val="1"/>
          <w:iCs w:val="1"/>
        </w:rPr>
        <w:t>Vietnam</w:t>
      </w:r>
      <w:r w:rsidRPr="4ADAF806" w:rsidR="00140ADC">
        <w:rPr>
          <w:rFonts w:cs="Calibri" w:cstheme="minorAscii"/>
          <w:i w:val="1"/>
          <w:iCs w:val="1"/>
        </w:rPr>
        <w:t>, and does not constitute business, legal, tax, or other professional advice or services. It is intended only to provide a general guide</w:t>
      </w:r>
      <w:r w:rsidRPr="4ADAF806" w:rsidR="00140ADC">
        <w:rPr>
          <w:rFonts w:cs="Calibri" w:cstheme="minorAscii"/>
        </w:rPr>
        <w:t xml:space="preserve">. </w:t>
      </w:r>
      <w:r w:rsidRPr="4ADAF806" w:rsidR="00140ADC">
        <w:rPr>
          <w:rFonts w:cs="Calibri" w:cstheme="minorAscii"/>
          <w:i w:val="1"/>
          <w:iCs w:val="1"/>
        </w:rPr>
        <w:t xml:space="preserve">In applying the MLI provisions to this treaty, researchers should ensure they review other relevant MLI sources. Please see the Bloomberg Tax </w:t>
      </w:r>
      <w:hyperlink r:id="R27ceaa508b9c49fc">
        <w:r w:rsidRPr="4ADAF806" w:rsidR="00140ADC">
          <w:rPr>
            <w:rStyle w:val="Hyperlink"/>
            <w:rFonts w:cs="Calibri" w:cstheme="minorAscii"/>
            <w:i w:val="1"/>
            <w:iCs w:val="1"/>
            <w:color w:val="auto"/>
          </w:rPr>
          <w:t>MLI Watch</w:t>
        </w:r>
      </w:hyperlink>
      <w:r w:rsidRPr="4ADAF806" w:rsidR="00140ADC">
        <w:rPr>
          <w:rFonts w:cs="Calibri" w:cstheme="minorAscii"/>
          <w:i w:val="1"/>
          <w:iCs w:val="1"/>
        </w:rPr>
        <w:t xml:space="preserve"> page for further research. </w:t>
      </w:r>
    </w:p>
    <w:p w:rsidRPr="00353F57" w:rsidR="00140ADC" w:rsidP="2A1B6384" w:rsidRDefault="00140ADC" w14:paraId="29008646" w14:textId="70025C2E">
      <w:pPr>
        <w:pStyle w:val="NoSpacing"/>
        <w:tabs>
          <w:tab w:val="left" w:pos="6576"/>
        </w:tabs>
        <w:spacing w:line="247" w:lineRule="auto"/>
        <w:rPr>
          <w:rFonts w:cs="Calibri" w:cstheme="minorAscii"/>
        </w:rPr>
      </w:pPr>
      <w:r w:rsidRPr="7061647E" w:rsidR="00140ADC">
        <w:rPr>
          <w:rFonts w:cs="Calibri" w:cstheme="minorAscii"/>
          <w:b w:val="1"/>
          <w:bCs w:val="1"/>
        </w:rPr>
        <w:t xml:space="preserve">Date this </w:t>
      </w:r>
      <w:r w:rsidRPr="7061647E" w:rsidR="3EEC4CB9">
        <w:rPr>
          <w:rFonts w:cs="Calibri" w:cstheme="minorAscii"/>
          <w:b w:val="1"/>
          <w:bCs w:val="1"/>
        </w:rPr>
        <w:t>Convention</w:t>
      </w:r>
      <w:r w:rsidRPr="7061647E" w:rsidR="00140ADC">
        <w:rPr>
          <w:rFonts w:cs="Calibri" w:cstheme="minorAscii"/>
          <w:b w:val="1"/>
          <w:bCs w:val="1"/>
        </w:rPr>
        <w:t xml:space="preserve"> is Modified by the MLI (Enters into Force):</w:t>
      </w:r>
      <w:r w:rsidRPr="7061647E" w:rsidR="00140ADC">
        <w:rPr>
          <w:rFonts w:cs="Calibri" w:cstheme="minorAscii"/>
        </w:rPr>
        <w:t xml:space="preserve"> </w:t>
      </w:r>
      <w:r w:rsidRPr="7061647E" w:rsidR="3938C59F">
        <w:rPr>
          <w:rFonts w:cs="Calibri" w:cstheme="minorAscii"/>
        </w:rPr>
        <w:t>September 1, 202</w:t>
      </w:r>
      <w:r w:rsidRPr="7061647E" w:rsidR="5CF956B2">
        <w:rPr>
          <w:rFonts w:cs="Calibri" w:cstheme="minorAscii"/>
        </w:rPr>
        <w:t>3</w:t>
      </w:r>
    </w:p>
    <w:p w:rsidRPr="00353F57" w:rsidR="00140ADC" w:rsidP="2A1B6384" w:rsidRDefault="00140ADC" w14:paraId="142BFE27" w14:textId="6EFC87C0">
      <w:pPr>
        <w:pStyle w:val="NoSpacing"/>
        <w:spacing w:line="247" w:lineRule="auto"/>
        <w:rPr>
          <w:rFonts w:ascii="Calibri" w:hAnsi="Calibri" w:eastAsia="Calibri" w:cs="Calibri"/>
          <w:noProof w:val="0"/>
          <w:sz w:val="22"/>
          <w:szCs w:val="22"/>
          <w:lang w:val="en-US"/>
        </w:rPr>
      </w:pPr>
      <w:bookmarkStart w:name="_Hlk64905213" w:id="0"/>
      <w:r w:rsidRPr="4ADAF806" w:rsidR="00140ADC">
        <w:rPr>
          <w:rFonts w:cs="Calibri" w:cstheme="minorAscii"/>
          <w:b w:val="1"/>
          <w:bCs w:val="1"/>
        </w:rPr>
        <w:t>MLI instrument of ratification deposited (</w:t>
      </w:r>
      <w:r w:rsidRPr="4ADAF806" w:rsidR="18764C8A">
        <w:rPr>
          <w:rFonts w:cs="Calibri" w:cstheme="minorAscii"/>
          <w:b w:val="1"/>
          <w:bCs w:val="1"/>
          <w:u w:val="none"/>
        </w:rPr>
        <w:t>Serbia</w:t>
      </w:r>
      <w:r w:rsidRPr="4ADAF806" w:rsidR="00140ADC">
        <w:rPr>
          <w:rFonts w:cs="Calibri" w:cstheme="minorAscii"/>
          <w:b w:val="1"/>
          <w:bCs w:val="1"/>
          <w:u w:val="none"/>
        </w:rPr>
        <w:t xml:space="preserve">): </w:t>
      </w:r>
      <w:bookmarkEnd w:id="0"/>
      <w:r w:rsidRPr="4ADAF806" w:rsidR="7F3A0A8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June 5, 2018</w:t>
      </w:r>
    </w:p>
    <w:p w:rsidRPr="00353F57" w:rsidR="00140ADC" w:rsidP="2A1B6384" w:rsidRDefault="00140ADC" w14:paraId="76C1E605" w14:textId="1B5B0AA5">
      <w:pPr>
        <w:pStyle w:val="NoSpacing"/>
        <w:spacing w:line="247" w:lineRule="auto"/>
        <w:rPr>
          <w:rFonts w:cs="Calibri" w:cstheme="minorAscii"/>
        </w:rPr>
      </w:pPr>
      <w:r w:rsidRPr="7061647E" w:rsidR="00140ADC">
        <w:rPr>
          <w:rFonts w:cs="Calibri" w:cstheme="minorAscii"/>
          <w:b w:val="1"/>
          <w:bCs w:val="1"/>
        </w:rPr>
        <w:t xml:space="preserve">MLI instrument of ratification deposited </w:t>
      </w:r>
      <w:r w:rsidRPr="7061647E" w:rsidR="00AD4EAF">
        <w:rPr>
          <w:rFonts w:cs="Calibri" w:cstheme="minorAscii"/>
          <w:b w:val="1"/>
          <w:bCs w:val="1"/>
        </w:rPr>
        <w:t>(</w:t>
      </w:r>
      <w:r w:rsidRPr="7061647E" w:rsidR="45822440">
        <w:rPr>
          <w:rFonts w:cs="Calibri" w:cstheme="minorAscii"/>
          <w:b w:val="1"/>
          <w:bCs w:val="1"/>
        </w:rPr>
        <w:t>Vietnam</w:t>
      </w:r>
      <w:r w:rsidRPr="7061647E" w:rsidR="00140ADC">
        <w:rPr>
          <w:rFonts w:cs="Calibri" w:cstheme="minorAscii"/>
          <w:b w:val="1"/>
          <w:bCs w:val="1"/>
        </w:rPr>
        <w:t xml:space="preserve">): </w:t>
      </w:r>
      <w:r w:rsidRPr="7061647E" w:rsidR="3A77BF77">
        <w:rPr>
          <w:rFonts w:cs="Calibri" w:cstheme="minorAscii"/>
          <w:b w:val="0"/>
          <w:bCs w:val="0"/>
        </w:rPr>
        <w:t>May 23, 2023</w:t>
      </w:r>
    </w:p>
    <w:p w:rsidRPr="00353F57" w:rsidR="00140ADC" w:rsidP="2A1B6384" w:rsidRDefault="00140ADC" w14:paraId="07A25571" w14:textId="13E897B4">
      <w:pPr>
        <w:pStyle w:val="NoSpacing"/>
        <w:spacing w:line="247" w:lineRule="auto"/>
        <w:rPr>
          <w:rFonts w:cs="Calibri" w:cstheme="minorAscii"/>
          <w:shd w:val="clear" w:color="auto" w:fill="FFFFFF"/>
        </w:rPr>
      </w:pPr>
      <w:bookmarkStart w:name="_Hlk64905519" w:id="1"/>
      <w:bookmarkStart w:name="_Hlk66366943" w:id="2"/>
      <w:bookmarkStart w:name="_Hlk120025025" w:id="3"/>
      <w:r w:rsidRPr="7061647E" w:rsidR="00140ADC">
        <w:rPr>
          <w:rFonts w:cs="Calibri" w:cstheme="minorAscii"/>
          <w:b w:val="1"/>
          <w:bCs w:val="1"/>
        </w:rPr>
        <w:t xml:space="preserve">MLI effective date, withholding taxes </w:t>
      </w:r>
      <w:r w:rsidRPr="7061647E" w:rsidR="009C0655">
        <w:rPr>
          <w:rFonts w:cs="Calibri" w:cstheme="minorAscii"/>
          <w:b w:val="1"/>
          <w:bCs w:val="1"/>
        </w:rPr>
        <w:t>(</w:t>
      </w:r>
      <w:r w:rsidRPr="7061647E" w:rsidR="4CBF5F62">
        <w:rPr>
          <w:rFonts w:cs="Calibri" w:cstheme="minorAscii"/>
          <w:b w:val="1"/>
          <w:bCs w:val="1"/>
        </w:rPr>
        <w:t>Serbia and Vietnam</w:t>
      </w:r>
      <w:r w:rsidRPr="7061647E" w:rsidR="00140ADC">
        <w:rPr>
          <w:rFonts w:cs="Calibri" w:cstheme="minorAscii"/>
          <w:b w:val="1"/>
          <w:bCs w:val="1"/>
        </w:rPr>
        <w:t>):</w:t>
      </w:r>
      <w:r w:rsidRPr="7061647E" w:rsidR="00140ADC">
        <w:rPr>
          <w:rFonts w:cs="Calibri" w:cstheme="minorAscii"/>
        </w:rPr>
        <w:t xml:space="preserve"> </w:t>
      </w:r>
      <w:r w:rsidRPr="7061647E" w:rsidR="00AD4EAF">
        <w:rPr>
          <w:rFonts w:cs="Calibri" w:cstheme="minorAscii"/>
        </w:rPr>
        <w:t>January 1, 202</w:t>
      </w:r>
      <w:r w:rsidRPr="7061647E" w:rsidR="355FF5D7">
        <w:rPr>
          <w:rFonts w:cs="Calibri" w:cstheme="minorAscii"/>
        </w:rPr>
        <w:t>4</w:t>
      </w:r>
    </w:p>
    <w:p w:rsidRPr="00353F57" w:rsidR="00140ADC" w:rsidP="65EE6D46" w:rsidRDefault="00140ADC" w14:paraId="248CB9B7" w14:textId="62ACB1E2">
      <w:pPr>
        <w:pStyle w:val="NoSpacing"/>
        <w:spacing w:line="247" w:lineRule="auto"/>
        <w:rPr>
          <w:rFonts w:cs="Calibri" w:cstheme="minorAscii"/>
          <w:b w:val="1"/>
          <w:bCs w:val="1"/>
        </w:rPr>
      </w:pPr>
      <w:bookmarkStart w:name="_Hlk69478354" w:id="4"/>
      <w:bookmarkEnd w:id="1"/>
      <w:bookmarkEnd w:id="2"/>
      <w:r w:rsidRPr="2A1B6384" w:rsidR="00140ADC">
        <w:rPr>
          <w:rFonts w:cs="Calibri" w:cstheme="minorAscii"/>
          <w:b w:val="1"/>
          <w:bCs w:val="1"/>
          <w:shd w:val="clear" w:color="auto" w:fill="FFFFFF"/>
        </w:rPr>
        <w:t xml:space="preserve">MLI effective date, all other taxes </w:t>
      </w:r>
      <w:r w:rsidRPr="2A1B6384" w:rsidR="009C0655">
        <w:rPr>
          <w:rFonts w:cs="Calibri" w:cstheme="minorAscii"/>
          <w:b w:val="1"/>
          <w:bCs w:val="1"/>
        </w:rPr>
        <w:t>(</w:t>
      </w:r>
      <w:r w:rsidRPr="65EE6D46" w:rsidR="0B3B04BF">
        <w:rPr>
          <w:rFonts w:cs="Calibri" w:cstheme="minorAscii"/>
          <w:b w:val="1"/>
          <w:bCs w:val="1"/>
          <w:u w:val="none"/>
        </w:rPr>
        <w:t>Serbia</w:t>
      </w:r>
      <w:r w:rsidRPr="2A1B6384" w:rsidR="0046659F">
        <w:rPr>
          <w:rFonts w:cs="Calibri" w:cstheme="minorAscii"/>
          <w:b w:val="1"/>
          <w:bCs w:val="1"/>
        </w:rPr>
        <w:t>)</w:t>
      </w:r>
      <w:r w:rsidRPr="2A1B6384" w:rsidR="00140ADC">
        <w:rPr>
          <w:rFonts w:cs="Calibri" w:cstheme="minorAscii"/>
          <w:b w:val="1"/>
          <w:bCs w:val="1"/>
          <w:shd w:val="clear" w:color="auto" w:fill="FFFFFF"/>
        </w:rPr>
        <w:t>: </w:t>
      </w:r>
      <w:r w:rsidRPr="65EE6D46" w:rsidR="6973DA94">
        <w:rPr>
          <w:rFonts w:cs="Calibri" w:cstheme="minorAscii"/>
          <w:b w:val="0"/>
          <w:bCs w:val="0"/>
          <w:shd w:val="clear" w:color="auto" w:fill="FFFFFF"/>
        </w:rPr>
        <w:t>March 1, 202</w:t>
      </w:r>
      <w:r w:rsidRPr="65EE6D46" w:rsidR="63CA27A9">
        <w:rPr>
          <w:rFonts w:cs="Calibri" w:cstheme="minorAscii"/>
          <w:b w:val="0"/>
          <w:bCs w:val="0"/>
          <w:shd w:val="clear" w:color="auto" w:fill="FFFFFF"/>
        </w:rPr>
        <w:t>4</w:t>
      </w:r>
      <w:bookmarkEnd w:id="3"/>
      <w:bookmarkEnd w:id="4"/>
    </w:p>
    <w:p w:rsidRPr="00353F57" w:rsidR="00140ADC" w:rsidP="65EE6D46" w:rsidRDefault="00140ADC" w14:paraId="0BA5020F" w14:textId="6D2F2276">
      <w:pPr>
        <w:pStyle w:val="NoSpacing"/>
        <w:spacing w:line="247" w:lineRule="auto"/>
        <w:rPr>
          <w:rFonts w:cs="Calibri" w:cstheme="minorAscii"/>
          <w:b w:val="1"/>
          <w:bCs w:val="1"/>
        </w:rPr>
      </w:pPr>
      <w:r w:rsidRPr="7061647E" w:rsidR="685E8704">
        <w:rPr>
          <w:rFonts w:cs="Calibri" w:cstheme="minorAscii"/>
          <w:b w:val="1"/>
          <w:bCs w:val="1"/>
        </w:rPr>
        <w:t xml:space="preserve">MLI effective date, all other taxes </w:t>
      </w:r>
      <w:r w:rsidRPr="7061647E" w:rsidR="685E8704">
        <w:rPr>
          <w:rFonts w:cs="Calibri" w:cstheme="minorAscii"/>
          <w:b w:val="1"/>
          <w:bCs w:val="1"/>
        </w:rPr>
        <w:t>(</w:t>
      </w:r>
      <w:r w:rsidRPr="7061647E" w:rsidR="56D57672">
        <w:rPr>
          <w:rFonts w:cs="Calibri" w:cstheme="minorAscii"/>
          <w:b w:val="1"/>
          <w:bCs w:val="1"/>
        </w:rPr>
        <w:t>Vietnam</w:t>
      </w:r>
      <w:r w:rsidRPr="7061647E" w:rsidR="685E8704">
        <w:rPr>
          <w:rFonts w:cs="Calibri" w:cstheme="minorAscii"/>
          <w:b w:val="1"/>
          <w:bCs w:val="1"/>
        </w:rPr>
        <w:t>)</w:t>
      </w:r>
      <w:r w:rsidRPr="7061647E" w:rsidR="685E8704">
        <w:rPr>
          <w:rFonts w:cs="Calibri" w:cstheme="minorAscii"/>
          <w:b w:val="1"/>
          <w:bCs w:val="1"/>
        </w:rPr>
        <w:t>: </w:t>
      </w:r>
      <w:r w:rsidRPr="7061647E" w:rsidR="2EB83541">
        <w:rPr>
          <w:rFonts w:cs="Calibri" w:cstheme="minorAscii"/>
          <w:b w:val="0"/>
          <w:bCs w:val="0"/>
        </w:rPr>
        <w:t>January 1, 202</w:t>
      </w:r>
      <w:r w:rsidRPr="7061647E" w:rsidR="116A66FA">
        <w:rPr>
          <w:rFonts w:cs="Calibri" w:cstheme="minorAscii"/>
          <w:b w:val="0"/>
          <w:bCs w:val="0"/>
        </w:rPr>
        <w:t>5</w:t>
      </w:r>
    </w:p>
    <w:p w:rsidRPr="00353F57" w:rsidR="00353F57" w:rsidP="00353F57" w:rsidRDefault="00353F57" w14:paraId="65BCCF83" w14:textId="77777777">
      <w:pPr>
        <w:pStyle w:val="NoSpacing"/>
        <w:spacing w:line="247" w:lineRule="auto"/>
        <w:rPr>
          <w:rFonts w:cstheme="minorHAnsi"/>
        </w:rPr>
      </w:pPr>
    </w:p>
    <w:p w:rsidRPr="00353F57" w:rsidR="00140ADC" w:rsidP="2A1B6384" w:rsidRDefault="00140ADC" w14:paraId="46DEE0E7" w14:textId="77777777" w14:noSpellErr="1">
      <w:pPr>
        <w:pStyle w:val="NormalWeb"/>
        <w:shd w:val="clear" w:color="auto" w:fill="FFFFFF" w:themeFill="background1"/>
        <w:spacing w:before="0" w:beforeAutospacing="off" w:after="160" w:afterAutospacing="off" w:line="247" w:lineRule="auto"/>
        <w:rPr>
          <w:rFonts w:ascii="Calibri" w:hAnsi="Calibri" w:cs="Calibri" w:asciiTheme="minorAscii" w:hAnsiTheme="minorAscii" w:cstheme="minorAscii"/>
          <w:sz w:val="22"/>
          <w:szCs w:val="22"/>
        </w:rPr>
      </w:pPr>
      <w:bookmarkStart w:name="_Hlk66367100" w:id="5"/>
      <w:bookmarkStart w:name="_Hlk149751897" w:id="6"/>
      <w:r w:rsidRPr="2A1B6384" w:rsidR="00140ADC">
        <w:rPr>
          <w:rFonts w:ascii="Calibri" w:hAnsi="Calibri" w:cs="Calibri" w:asciiTheme="minorAscii" w:hAnsiTheme="minorAscii" w:cstheme="minorAscii"/>
          <w:b w:val="1"/>
          <w:bCs w:val="1"/>
          <w:sz w:val="22"/>
          <w:szCs w:val="22"/>
        </w:rPr>
        <w:t>Purpose of a Covered Tax Agreement (MLI Article 6)</w:t>
      </w:r>
      <w:bookmarkEnd w:id="5"/>
      <w:bookmarkEnd w:id="6"/>
    </w:p>
    <w:p w:rsidR="1235F459" w:rsidP="2A1B6384" w:rsidRDefault="1235F459" w14:paraId="09184586" w14:textId="51F1AED7">
      <w:pPr>
        <w:pStyle w:val="Normal"/>
        <w:spacing w:line="247" w:lineRule="auto"/>
        <w:rPr>
          <w:rFonts w:ascii="Calibri" w:hAnsi="Calibri" w:eastAsia="Calibri" w:cs="Calibri"/>
          <w:noProof w:val="0"/>
          <w:sz w:val="22"/>
          <w:szCs w:val="22"/>
          <w:lang w:val="en-US"/>
        </w:rPr>
      </w:pPr>
      <w:r w:rsidRPr="65EE6D46" w:rsidR="1235F4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According to MLI Art. 6(2), to meet the </w:t>
      </w:r>
      <w:r w:rsidRPr="65EE6D46" w:rsidR="1235F459">
        <w:rPr>
          <w:rFonts w:ascii="Calibri" w:hAnsi="Calibri" w:eastAsia="Calibri" w:cs="Calibri"/>
          <w:b w:val="0"/>
          <w:bCs w:val="0"/>
          <w:i w:val="0"/>
          <w:iCs w:val="0"/>
          <w:caps w:val="0"/>
          <w:smallCaps w:val="0"/>
          <w:noProof w:val="0"/>
          <w:color w:val="000000" w:themeColor="text1" w:themeTint="FF" w:themeShade="FF"/>
          <w:sz w:val="22"/>
          <w:szCs w:val="22"/>
          <w:lang w:val="en-US"/>
        </w:rPr>
        <w:t>minimum</w:t>
      </w:r>
      <w:r w:rsidRPr="65EE6D46" w:rsidR="1235F4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standard, the text of MLI Art. 6(1), </w:t>
      </w:r>
      <w:r w:rsidRPr="65EE6D46" w:rsidR="1235F459">
        <w:rPr>
          <w:rFonts w:ascii="Calibri" w:hAnsi="Calibri" w:eastAsia="Calibri" w:cs="Calibri"/>
          <w:b w:val="0"/>
          <w:bCs w:val="0"/>
          <w:i w:val="0"/>
          <w:iCs w:val="0"/>
          <w:caps w:val="0"/>
          <w:smallCaps w:val="0"/>
          <w:noProof w:val="0"/>
          <w:color w:val="000000" w:themeColor="text1" w:themeTint="FF" w:themeShade="FF"/>
          <w:sz w:val="22"/>
          <w:szCs w:val="22"/>
          <w:lang w:val="en-US"/>
        </w:rPr>
        <w:t>indicating</w:t>
      </w:r>
      <w:r w:rsidRPr="65EE6D46" w:rsidR="1235F4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intent to </w:t>
      </w:r>
      <w:r w:rsidRPr="65EE6D46" w:rsidR="1235F459">
        <w:rPr>
          <w:rFonts w:ascii="Calibri" w:hAnsi="Calibri" w:eastAsia="Calibri" w:cs="Calibri"/>
          <w:b w:val="0"/>
          <w:bCs w:val="0"/>
          <w:i w:val="0"/>
          <w:iCs w:val="0"/>
          <w:caps w:val="0"/>
          <w:smallCaps w:val="0"/>
          <w:noProof w:val="0"/>
          <w:color w:val="000000" w:themeColor="text1" w:themeTint="FF" w:themeShade="FF"/>
          <w:sz w:val="22"/>
          <w:szCs w:val="22"/>
          <w:lang w:val="en-US"/>
        </w:rPr>
        <w:t>eliminate</w:t>
      </w:r>
      <w:r w:rsidRPr="65EE6D46" w:rsidR="1235F4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double taxation without creating opportunities for non-taxation or reduced taxation through tax evasion or avoidance, including through treaty shopping arrangements, replaces the notified preamble language of this </w:t>
      </w:r>
      <w:r w:rsidRPr="65EE6D46" w:rsidR="019D92CD">
        <w:rPr>
          <w:rFonts w:ascii="Calibri" w:hAnsi="Calibri" w:eastAsia="Calibri" w:cs="Calibri"/>
          <w:b w:val="0"/>
          <w:bCs w:val="0"/>
          <w:i w:val="0"/>
          <w:iCs w:val="0"/>
          <w:caps w:val="0"/>
          <w:smallCaps w:val="0"/>
          <w:noProof w:val="0"/>
          <w:color w:val="000000" w:themeColor="text1" w:themeTint="FF" w:themeShade="FF"/>
          <w:sz w:val="22"/>
          <w:szCs w:val="22"/>
          <w:lang w:val="en-US"/>
        </w:rPr>
        <w:t>Convention</w:t>
      </w:r>
      <w:r w:rsidRPr="65EE6D46" w:rsidR="1235F4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5EE6D46" w:rsidR="6301AB9E">
        <w:rPr>
          <w:rFonts w:ascii="Calibri" w:hAnsi="Calibri" w:eastAsia="Calibri" w:cs="Calibri"/>
          <w:noProof w:val="0"/>
          <w:sz w:val="22"/>
          <w:szCs w:val="22"/>
          <w:lang w:val="en-US"/>
        </w:rPr>
        <w:t xml:space="preserve">The optional language of MLI Art. 6(3), </w:t>
      </w:r>
      <w:r w:rsidRPr="65EE6D46" w:rsidR="6301AB9E">
        <w:rPr>
          <w:rFonts w:ascii="Calibri" w:hAnsi="Calibri" w:eastAsia="Calibri" w:cs="Calibri"/>
          <w:noProof w:val="0"/>
          <w:sz w:val="22"/>
          <w:szCs w:val="22"/>
          <w:lang w:val="en-US"/>
        </w:rPr>
        <w:t>indicating</w:t>
      </w:r>
      <w:r w:rsidRPr="65EE6D46" w:rsidR="6301AB9E">
        <w:rPr>
          <w:rFonts w:ascii="Calibri" w:hAnsi="Calibri" w:eastAsia="Calibri" w:cs="Calibri"/>
          <w:noProof w:val="0"/>
          <w:sz w:val="22"/>
          <w:szCs w:val="22"/>
          <w:lang w:val="en-US"/>
        </w:rPr>
        <w:t xml:space="preserve"> a desire to develop an economic relationship and to enhance cooperation in tax matters is also included in this Convention.</w:t>
      </w:r>
    </w:p>
    <w:p w:rsidRPr="00353F57" w:rsidR="00140ADC" w:rsidP="65EE6D46" w:rsidRDefault="00140ADC" w14:paraId="571F82C5" w14:textId="77777777">
      <w:pPr>
        <w:spacing w:line="247" w:lineRule="auto"/>
        <w:rPr>
          <w:rFonts w:cs="Calibri" w:cstheme="minorAscii"/>
        </w:rPr>
      </w:pPr>
      <w:bookmarkStart w:name="_Hlk33693130" w:id="12"/>
      <w:r w:rsidRPr="7061647E" w:rsidR="00140ADC">
        <w:rPr>
          <w:rFonts w:cs="Calibri" w:cstheme="minorAscii"/>
          <w:b w:val="1"/>
          <w:bCs w:val="1"/>
        </w:rPr>
        <w:t>Prevention of Treaty Abuse (MLI Article 7)</w:t>
      </w:r>
    </w:p>
    <w:p w:rsidRPr="00353F57" w:rsidR="00373483" w:rsidP="7061647E" w:rsidRDefault="00373483" w14:paraId="4B8275DA" w14:textId="364E262B">
      <w:pPr>
        <w:pStyle w:val="Normal"/>
        <w:spacing w:line="247" w:lineRule="auto"/>
        <w:rPr>
          <w:rFonts w:ascii="Calibri" w:hAnsi="Calibri" w:eastAsia="Calibri" w:cs="Calibri"/>
          <w:noProof w:val="0"/>
          <w:sz w:val="22"/>
          <w:szCs w:val="22"/>
          <w:lang w:val="en-US"/>
        </w:rPr>
      </w:pPr>
      <w:r w:rsidRPr="7061647E" w:rsidR="232E7053">
        <w:rPr>
          <w:rFonts w:ascii="Calibri" w:hAnsi="Calibri" w:eastAsia="Calibri" w:cs="Calibri"/>
          <w:noProof w:val="0"/>
          <w:sz w:val="22"/>
          <w:szCs w:val="22"/>
          <w:lang w:val="en-US"/>
        </w:rPr>
        <w:t>According to MLI Art. 7(2), the Principal Purpose Test (PPT) provision of MLI Art. 7(1), that denies benefits that would otherwise be provided where the principal purpose or one of the principal purposes of any arrangement or transaction was to obtain those benefits, applies and supersedes the provisions of this Convention to the extent of incompatibility (i.e. the PPT provision is added to this Convention) to meet the minimum standard.</w:t>
      </w:r>
      <w:r w:rsidRPr="7061647E" w:rsidR="5AACD188">
        <w:rPr>
          <w:rFonts w:ascii="Calibri" w:hAnsi="Calibri" w:eastAsia="Calibri" w:cs="Calibri"/>
          <w:noProof w:val="0"/>
          <w:sz w:val="22"/>
          <w:szCs w:val="22"/>
          <w:lang w:val="en-US"/>
        </w:rPr>
        <w:t xml:space="preserve"> The optional </w:t>
      </w:r>
      <w:r w:rsidRPr="7061647E" w:rsidR="5AACD188">
        <w:rPr>
          <w:rFonts w:ascii="Calibri" w:hAnsi="Calibri" w:eastAsia="Calibri" w:cs="Calibri"/>
          <w:noProof w:val="0"/>
          <w:sz w:val="22"/>
          <w:szCs w:val="22"/>
          <w:lang w:val="en-US"/>
        </w:rPr>
        <w:t>additional</w:t>
      </w:r>
      <w:r w:rsidRPr="7061647E" w:rsidR="5AACD188">
        <w:rPr>
          <w:rFonts w:ascii="Calibri" w:hAnsi="Calibri" w:eastAsia="Calibri" w:cs="Calibri"/>
          <w:noProof w:val="0"/>
          <w:sz w:val="22"/>
          <w:szCs w:val="22"/>
          <w:lang w:val="en-US"/>
        </w:rPr>
        <w:t xml:space="preserve"> language of MLI Art. 7(4) does not apply. The Simplified Limitation on Benefits Provision (S-LOB) does not apply.</w:t>
      </w:r>
    </w:p>
    <w:bookmarkEnd w:id="12"/>
    <w:p w:rsidR="5CBA029A" w:rsidP="7061647E" w:rsidRDefault="5CBA029A" w14:paraId="00E114A0" w14:textId="67ADBFA8">
      <w:pPr>
        <w:pStyle w:val="Normal"/>
        <w:spacing w:line="247" w:lineRule="auto"/>
        <w:rPr>
          <w:rFonts w:ascii="Calibri" w:hAnsi="Calibri" w:eastAsia="Calibri" w:cs="Calibri"/>
          <w:noProof w:val="0"/>
          <w:sz w:val="22"/>
          <w:szCs w:val="22"/>
          <w:lang w:val="en-US"/>
        </w:rPr>
      </w:pPr>
      <w:r w:rsidRPr="7061647E" w:rsidR="5CBA029A">
        <w:rPr>
          <w:rFonts w:ascii="Calibri" w:hAnsi="Calibri" w:eastAsia="Calibri" w:cs="Calibri"/>
          <w:b w:val="1"/>
          <w:bCs w:val="1"/>
          <w:noProof w:val="0"/>
          <w:sz w:val="22"/>
          <w:szCs w:val="22"/>
          <w:lang w:val="en-US"/>
        </w:rPr>
        <w:t xml:space="preserve">Artificial Avoidance of Permanent Establishment Status through </w:t>
      </w:r>
      <w:r w:rsidRPr="7061647E" w:rsidR="5CBA029A">
        <w:rPr>
          <w:rFonts w:ascii="Calibri" w:hAnsi="Calibri" w:eastAsia="Calibri" w:cs="Calibri"/>
          <w:b w:val="1"/>
          <w:bCs w:val="1"/>
          <w:noProof w:val="0"/>
          <w:sz w:val="22"/>
          <w:szCs w:val="22"/>
          <w:lang w:val="en-US"/>
        </w:rPr>
        <w:t>Commissionnaire</w:t>
      </w:r>
      <w:r w:rsidRPr="7061647E" w:rsidR="5CBA029A">
        <w:rPr>
          <w:rFonts w:ascii="Calibri" w:hAnsi="Calibri" w:eastAsia="Calibri" w:cs="Calibri"/>
          <w:b w:val="1"/>
          <w:bCs w:val="1"/>
          <w:noProof w:val="0"/>
          <w:sz w:val="22"/>
          <w:szCs w:val="22"/>
          <w:lang w:val="en-US"/>
        </w:rPr>
        <w:t xml:space="preserve"> Arrangements and Similar Strategies (MLI Article 12)</w:t>
      </w:r>
    </w:p>
    <w:p w:rsidR="544A7F0B" w:rsidP="7061647E" w:rsidRDefault="544A7F0B" w14:paraId="56B70F05" w14:textId="11C65FE1">
      <w:pPr>
        <w:pStyle w:val="Normal"/>
        <w:suppressLineNumbers w:val="0"/>
        <w:bidi w:val="0"/>
        <w:spacing w:before="0" w:beforeAutospacing="off" w:after="160" w:afterAutospacing="off" w:line="247" w:lineRule="auto"/>
        <w:ind w:left="0" w:right="0"/>
        <w:jc w:val="left"/>
        <w:rPr>
          <w:rFonts w:ascii="Calibri" w:hAnsi="Calibri" w:eastAsia="Calibri" w:cs="Calibri"/>
          <w:noProof w:val="0"/>
          <w:sz w:val="22"/>
          <w:szCs w:val="22"/>
          <w:lang w:val="en-US"/>
        </w:rPr>
      </w:pPr>
      <w:r w:rsidRPr="7FAF9D8A" w:rsidR="544A7F0B">
        <w:rPr>
          <w:rFonts w:ascii="Calibri" w:hAnsi="Calibri" w:eastAsia="Calibri" w:cs="Calibri"/>
          <w:b w:val="0"/>
          <w:bCs w:val="0"/>
          <w:i w:val="1"/>
          <w:iCs w:val="1"/>
          <w:caps w:val="0"/>
          <w:smallCaps w:val="0"/>
          <w:noProof w:val="0"/>
          <w:color w:val="000000" w:themeColor="text1" w:themeTint="FF" w:themeShade="FF"/>
          <w:sz w:val="22"/>
          <w:szCs w:val="22"/>
          <w:lang w:val="en-US"/>
        </w:rPr>
        <w:t xml:space="preserve">[Note: The OECD MLI Matching Database has </w:t>
      </w:r>
      <w:r w:rsidRPr="7FAF9D8A" w:rsidR="544A7F0B">
        <w:rPr>
          <w:rFonts w:ascii="Calibri" w:hAnsi="Calibri" w:eastAsia="Calibri" w:cs="Calibri"/>
          <w:b w:val="0"/>
          <w:bCs w:val="0"/>
          <w:i w:val="1"/>
          <w:iCs w:val="1"/>
          <w:caps w:val="0"/>
          <w:smallCaps w:val="0"/>
          <w:noProof w:val="0"/>
          <w:color w:val="000000" w:themeColor="text1" w:themeTint="FF" w:themeShade="FF"/>
          <w:sz w:val="22"/>
          <w:szCs w:val="22"/>
          <w:lang w:val="en-US"/>
        </w:rPr>
        <w:t>indicated</w:t>
      </w:r>
      <w:r w:rsidRPr="7FAF9D8A" w:rsidR="544A7F0B">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a </w:t>
      </w:r>
      <w:r w:rsidRPr="7FAF9D8A" w:rsidR="544A7F0B">
        <w:rPr>
          <w:rFonts w:ascii="Calibri" w:hAnsi="Calibri" w:eastAsia="Calibri" w:cs="Calibri"/>
          <w:b w:val="0"/>
          <w:bCs w:val="0"/>
          <w:i w:val="1"/>
          <w:iCs w:val="1"/>
          <w:caps w:val="0"/>
          <w:smallCaps w:val="0"/>
          <w:noProof w:val="0"/>
          <w:color w:val="000000" w:themeColor="text1" w:themeTint="FF" w:themeShade="FF"/>
          <w:sz w:val="22"/>
          <w:szCs w:val="22"/>
          <w:lang w:val="en-US"/>
        </w:rPr>
        <w:t>possible notification</w:t>
      </w:r>
      <w:r w:rsidRPr="7FAF9D8A" w:rsidR="544A7F0B">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mismatch which requires confirmation as to whether both </w:t>
      </w:r>
      <w:r w:rsidRPr="7FAF9D8A" w:rsidR="544A7F0B">
        <w:rPr>
          <w:rFonts w:ascii="Calibri" w:hAnsi="Calibri" w:eastAsia="Calibri" w:cs="Calibri"/>
          <w:b w:val="0"/>
          <w:bCs w:val="0"/>
          <w:i w:val="1"/>
          <w:iCs w:val="1"/>
          <w:caps w:val="0"/>
          <w:smallCaps w:val="0"/>
          <w:noProof w:val="0"/>
          <w:color w:val="000000" w:themeColor="text1" w:themeTint="FF" w:themeShade="FF"/>
          <w:sz w:val="22"/>
          <w:szCs w:val="22"/>
          <w:lang w:val="en-US"/>
        </w:rPr>
        <w:t>jurisdictions</w:t>
      </w:r>
      <w:r w:rsidRPr="7FAF9D8A" w:rsidR="544A7F0B">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have notified the same provision under MLI Art. 12(5))</w:t>
      </w:r>
      <w:r w:rsidRPr="7FAF9D8A" w:rsidR="2FC97C2F">
        <w:rPr>
          <w:rFonts w:ascii="Calibri" w:hAnsi="Calibri" w:eastAsia="Calibri" w:cs="Calibri"/>
          <w:b w:val="0"/>
          <w:bCs w:val="0"/>
          <w:i w:val="1"/>
          <w:iCs w:val="1"/>
          <w:caps w:val="0"/>
          <w:smallCaps w:val="0"/>
          <w:noProof w:val="0"/>
          <w:color w:val="000000" w:themeColor="text1" w:themeTint="FF" w:themeShade="FF"/>
          <w:sz w:val="22"/>
          <w:szCs w:val="22"/>
          <w:lang w:val="en-US"/>
        </w:rPr>
        <w:t>. Bloomberg Tax</w:t>
      </w:r>
      <w:r w:rsidRPr="7FAF9D8A" w:rsidR="7996CDDA">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analysts</w:t>
      </w:r>
      <w:r w:rsidRPr="7FAF9D8A" w:rsidR="2FC97C2F">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w:t>
      </w:r>
      <w:r w:rsidRPr="7FAF9D8A" w:rsidR="4B08D555">
        <w:rPr>
          <w:rFonts w:ascii="Calibri" w:hAnsi="Calibri" w:eastAsia="Calibri" w:cs="Calibri"/>
          <w:b w:val="0"/>
          <w:bCs w:val="0"/>
          <w:i w:val="1"/>
          <w:iCs w:val="1"/>
          <w:caps w:val="0"/>
          <w:smallCaps w:val="0"/>
          <w:noProof w:val="0"/>
          <w:color w:val="000000" w:themeColor="text1" w:themeTint="FF" w:themeShade="FF"/>
          <w:sz w:val="22"/>
          <w:szCs w:val="22"/>
          <w:lang w:val="en-US"/>
        </w:rPr>
        <w:t>are</w:t>
      </w:r>
      <w:r w:rsidRPr="7FAF9D8A" w:rsidR="2FC97C2F">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unclear on what the mismatch would be</w:t>
      </w:r>
      <w:r w:rsidRPr="7FAF9D8A" w:rsidR="544A7F0B">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as </w:t>
      </w:r>
      <w:r w:rsidRPr="7FAF9D8A" w:rsidR="4895BAF4">
        <w:rPr>
          <w:rFonts w:ascii="Calibri" w:hAnsi="Calibri" w:eastAsia="Calibri" w:cs="Calibri"/>
          <w:b w:val="0"/>
          <w:bCs w:val="0"/>
          <w:i w:val="1"/>
          <w:iCs w:val="1"/>
          <w:caps w:val="0"/>
          <w:smallCaps w:val="0"/>
          <w:noProof w:val="0"/>
          <w:color w:val="000000" w:themeColor="text1" w:themeTint="FF" w:themeShade="FF"/>
          <w:sz w:val="22"/>
          <w:szCs w:val="22"/>
          <w:lang w:val="en-US"/>
        </w:rPr>
        <w:t xml:space="preserve">both Serbia and Vietnam </w:t>
      </w:r>
      <w:r w:rsidRPr="7FAF9D8A" w:rsidR="544A7F0B">
        <w:rPr>
          <w:rFonts w:ascii="Calibri" w:hAnsi="Calibri" w:eastAsia="Calibri" w:cs="Calibri"/>
          <w:b w:val="0"/>
          <w:bCs w:val="0"/>
          <w:i w:val="1"/>
          <w:iCs w:val="1"/>
          <w:caps w:val="0"/>
          <w:smallCaps w:val="0"/>
          <w:noProof w:val="0"/>
          <w:color w:val="000000" w:themeColor="text1" w:themeTint="FF" w:themeShade="FF"/>
          <w:sz w:val="22"/>
          <w:szCs w:val="22"/>
          <w:lang w:val="en-US"/>
        </w:rPr>
        <w:t>notified Art. 5(</w:t>
      </w:r>
      <w:r w:rsidRPr="7FAF9D8A" w:rsidR="6E00FCA1">
        <w:rPr>
          <w:rFonts w:ascii="Calibri" w:hAnsi="Calibri" w:eastAsia="Calibri" w:cs="Calibri"/>
          <w:b w:val="0"/>
          <w:bCs w:val="0"/>
          <w:i w:val="1"/>
          <w:iCs w:val="1"/>
          <w:caps w:val="0"/>
          <w:smallCaps w:val="0"/>
          <w:noProof w:val="0"/>
          <w:color w:val="000000" w:themeColor="text1" w:themeTint="FF" w:themeShade="FF"/>
          <w:sz w:val="22"/>
          <w:szCs w:val="22"/>
          <w:lang w:val="en-US"/>
        </w:rPr>
        <w:t>5</w:t>
      </w:r>
      <w:r w:rsidRPr="7FAF9D8A" w:rsidR="544A7F0B">
        <w:rPr>
          <w:rFonts w:ascii="Calibri" w:hAnsi="Calibri" w:eastAsia="Calibri" w:cs="Calibri"/>
          <w:b w:val="0"/>
          <w:bCs w:val="0"/>
          <w:i w:val="1"/>
          <w:iCs w:val="1"/>
          <w:caps w:val="0"/>
          <w:smallCaps w:val="0"/>
          <w:noProof w:val="0"/>
          <w:color w:val="000000" w:themeColor="text1" w:themeTint="FF" w:themeShade="FF"/>
          <w:sz w:val="22"/>
          <w:szCs w:val="22"/>
          <w:lang w:val="en-US"/>
        </w:rPr>
        <w:t>)</w:t>
      </w:r>
      <w:r w:rsidRPr="7FAF9D8A" w:rsidR="140E814F">
        <w:rPr>
          <w:rFonts w:ascii="Calibri" w:hAnsi="Calibri" w:eastAsia="Calibri" w:cs="Calibri"/>
          <w:b w:val="0"/>
          <w:bCs w:val="0"/>
          <w:i w:val="1"/>
          <w:iCs w:val="1"/>
          <w:caps w:val="0"/>
          <w:smallCaps w:val="0"/>
          <w:noProof w:val="0"/>
          <w:color w:val="000000" w:themeColor="text1" w:themeTint="FF" w:themeShade="FF"/>
          <w:sz w:val="22"/>
          <w:szCs w:val="22"/>
          <w:lang w:val="en-US"/>
        </w:rPr>
        <w:t>(1)</w:t>
      </w:r>
      <w:r w:rsidRPr="7FAF9D8A" w:rsidR="140E814F">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w:t>
      </w:r>
      <w:r w:rsidRPr="7FAF9D8A" w:rsidR="544A7F0B">
        <w:rPr>
          <w:rFonts w:ascii="Calibri" w:hAnsi="Calibri" w:eastAsia="Calibri" w:cs="Calibri"/>
          <w:b w:val="0"/>
          <w:bCs w:val="0"/>
          <w:i w:val="1"/>
          <w:iCs w:val="1"/>
          <w:caps w:val="0"/>
          <w:smallCaps w:val="0"/>
          <w:noProof w:val="0"/>
          <w:color w:val="000000" w:themeColor="text1" w:themeTint="FF" w:themeShade="FF"/>
          <w:sz w:val="22"/>
          <w:szCs w:val="22"/>
          <w:lang w:val="en-US"/>
        </w:rPr>
        <w:t>The following discussion assumes there is no mismatch</w:t>
      </w:r>
      <w:r w:rsidRPr="7FAF9D8A" w:rsidR="544A7F0B">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w:t>
      </w:r>
      <w:r w:rsidRPr="7FAF9D8A" w:rsidR="544A7F0B">
        <w:rPr>
          <w:rFonts w:ascii="Calibri" w:hAnsi="Calibri" w:eastAsia="Calibri" w:cs="Calibri"/>
          <w:b w:val="0"/>
          <w:bCs w:val="0"/>
          <w:i w:val="1"/>
          <w:iCs w:val="1"/>
          <w:caps w:val="0"/>
          <w:smallCaps w:val="0"/>
          <w:noProof w:val="0"/>
          <w:color w:val="000000" w:themeColor="text1" w:themeTint="FF" w:themeShade="FF"/>
          <w:sz w:val="22"/>
          <w:szCs w:val="22"/>
          <w:lang w:val="en-US"/>
        </w:rPr>
        <w:t xml:space="preserve">If it is </w:t>
      </w:r>
      <w:r w:rsidRPr="7FAF9D8A" w:rsidR="544A7F0B">
        <w:rPr>
          <w:rFonts w:ascii="Calibri" w:hAnsi="Calibri" w:eastAsia="Calibri" w:cs="Calibri"/>
          <w:b w:val="0"/>
          <w:bCs w:val="0"/>
          <w:i w:val="1"/>
          <w:iCs w:val="1"/>
          <w:caps w:val="0"/>
          <w:smallCaps w:val="0"/>
          <w:noProof w:val="0"/>
          <w:color w:val="000000" w:themeColor="text1" w:themeTint="FF" w:themeShade="FF"/>
          <w:sz w:val="22"/>
          <w:szCs w:val="22"/>
          <w:lang w:val="en-US"/>
        </w:rPr>
        <w:t>determined</w:t>
      </w:r>
      <w:r w:rsidRPr="7FAF9D8A" w:rsidR="544A7F0B">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there is a mismatch, MLI Art. 12(1) does not apply to this Convention.]</w:t>
      </w:r>
    </w:p>
    <w:p w:rsidR="1AC120DD" w:rsidP="7061647E" w:rsidRDefault="1AC120DD" w14:paraId="098EE9A4" w14:textId="4012FC02">
      <w:pPr>
        <w:pStyle w:val="Normal"/>
        <w:spacing w:line="247" w:lineRule="auto"/>
        <w:rPr>
          <w:rFonts w:ascii="Calibri" w:hAnsi="Calibri" w:eastAsia="Calibri" w:cs="Calibri"/>
          <w:noProof w:val="0"/>
          <w:sz w:val="22"/>
          <w:szCs w:val="22"/>
          <w:lang w:val="en-US"/>
        </w:rPr>
      </w:pPr>
      <w:r w:rsidRPr="7061647E" w:rsidR="1AC120DD">
        <w:rPr>
          <w:rFonts w:ascii="Calibri" w:hAnsi="Calibri" w:eastAsia="Calibri" w:cs="Calibri"/>
          <w:noProof w:val="0"/>
          <w:sz w:val="22"/>
          <w:szCs w:val="22"/>
          <w:lang w:val="en-US"/>
        </w:rPr>
        <w:t>According to MLI Art. 12(3), the provision of MLI Art. 12(1), which expands the definition of dependent agent to include situations where a person, acting on behalf of an enterprise, habitually concludes contracts, or habitually plays the principal rol</w:t>
      </w:r>
      <w:r w:rsidRPr="7061647E" w:rsidR="1AC120DD">
        <w:rPr>
          <w:rFonts w:ascii="Calibri" w:hAnsi="Calibri" w:eastAsia="Calibri" w:cs="Calibri"/>
          <w:noProof w:val="0"/>
          <w:sz w:val="22"/>
          <w:szCs w:val="22"/>
          <w:lang w:val="en-US"/>
        </w:rPr>
        <w:t xml:space="preserve">e leading to the conclusion of contracts, without material modifications by the enterprise, replaces Art. 5(5)(1) of this </w:t>
      </w:r>
      <w:r w:rsidRPr="7061647E" w:rsidR="1AC120DD">
        <w:rPr>
          <w:rFonts w:ascii="Calibri" w:hAnsi="Calibri" w:eastAsia="Calibri" w:cs="Calibri"/>
          <w:noProof w:val="0"/>
          <w:sz w:val="22"/>
          <w:szCs w:val="22"/>
          <w:lang w:val="en-US"/>
        </w:rPr>
        <w:t>Convention</w:t>
      </w:r>
      <w:r w:rsidRPr="7061647E" w:rsidR="1AC120DD">
        <w:rPr>
          <w:rFonts w:ascii="Calibri" w:hAnsi="Calibri" w:eastAsia="Calibri" w:cs="Calibri"/>
          <w:noProof w:val="0"/>
          <w:sz w:val="22"/>
          <w:szCs w:val="22"/>
          <w:lang w:val="en-US"/>
        </w:rPr>
        <w:t xml:space="preserve">. In addition, the provision of MLI Art. 12(2), which restricts the definition of independent agent to exclude persons acting exclusively or almost exclusively on behalf of one or more enterprises to which it is closely related, replaces Art. </w:t>
      </w:r>
      <w:r w:rsidRPr="7061647E" w:rsidR="0F725F1B">
        <w:rPr>
          <w:rFonts w:ascii="Calibri" w:hAnsi="Calibri" w:eastAsia="Calibri" w:cs="Calibri"/>
          <w:noProof w:val="0"/>
          <w:sz w:val="22"/>
          <w:szCs w:val="22"/>
          <w:lang w:val="en-US"/>
        </w:rPr>
        <w:t>5(</w:t>
      </w:r>
      <w:r w:rsidRPr="7061647E" w:rsidR="1AC120DD">
        <w:rPr>
          <w:rFonts w:ascii="Calibri" w:hAnsi="Calibri" w:eastAsia="Calibri" w:cs="Calibri"/>
          <w:noProof w:val="0"/>
          <w:sz w:val="22"/>
          <w:szCs w:val="22"/>
          <w:lang w:val="en-US"/>
        </w:rPr>
        <w:t>7</w:t>
      </w:r>
      <w:r w:rsidRPr="7061647E" w:rsidR="46494F51">
        <w:rPr>
          <w:rFonts w:ascii="Calibri" w:hAnsi="Calibri" w:eastAsia="Calibri" w:cs="Calibri"/>
          <w:noProof w:val="0"/>
          <w:sz w:val="22"/>
          <w:szCs w:val="22"/>
          <w:lang w:val="en-US"/>
        </w:rPr>
        <w:t>)</w:t>
      </w:r>
      <w:r w:rsidRPr="7061647E" w:rsidR="1AC120DD">
        <w:rPr>
          <w:rFonts w:ascii="Calibri" w:hAnsi="Calibri" w:eastAsia="Calibri" w:cs="Calibri"/>
          <w:noProof w:val="0"/>
          <w:sz w:val="22"/>
          <w:szCs w:val="22"/>
          <w:lang w:val="en-US"/>
        </w:rPr>
        <w:t xml:space="preserve"> of this </w:t>
      </w:r>
      <w:r w:rsidRPr="7061647E" w:rsidR="1AC120DD">
        <w:rPr>
          <w:rFonts w:ascii="Calibri" w:hAnsi="Calibri" w:eastAsia="Calibri" w:cs="Calibri"/>
          <w:noProof w:val="0"/>
          <w:sz w:val="22"/>
          <w:szCs w:val="22"/>
          <w:lang w:val="en-US"/>
        </w:rPr>
        <w:t>Convention</w:t>
      </w:r>
      <w:r w:rsidRPr="7061647E" w:rsidR="1AC120DD">
        <w:rPr>
          <w:rFonts w:ascii="Calibri" w:hAnsi="Calibri" w:eastAsia="Calibri" w:cs="Calibri"/>
          <w:noProof w:val="0"/>
          <w:sz w:val="22"/>
          <w:szCs w:val="22"/>
          <w:lang w:val="en-US"/>
        </w:rPr>
        <w:t>.</w:t>
      </w:r>
    </w:p>
    <w:p w:rsidR="7B4A8CE2" w:rsidP="7061647E" w:rsidRDefault="7B4A8CE2" w14:paraId="4E1CF02F" w14:textId="4B2C9CC5">
      <w:pPr>
        <w:pStyle w:val="Normal"/>
        <w:spacing w:line="247" w:lineRule="auto"/>
        <w:rPr>
          <w:rFonts w:ascii="Calibri" w:hAnsi="Calibri" w:eastAsia="Calibri" w:cs="Calibri"/>
          <w:noProof w:val="0"/>
          <w:sz w:val="22"/>
          <w:szCs w:val="22"/>
          <w:lang w:val="en-US"/>
        </w:rPr>
      </w:pPr>
      <w:r w:rsidRPr="7061647E" w:rsidR="7B4A8CE2">
        <w:rPr>
          <w:rFonts w:ascii="Calibri" w:hAnsi="Calibri" w:eastAsia="Calibri" w:cs="Calibri"/>
          <w:b w:val="1"/>
          <w:bCs w:val="1"/>
          <w:noProof w:val="0"/>
          <w:sz w:val="22"/>
          <w:szCs w:val="22"/>
          <w:lang w:val="en-US"/>
        </w:rPr>
        <w:t>Artificial Avoidance of Permanent Establishment Status through the Specific Activity Exemptions (MLI Article 13)</w:t>
      </w:r>
    </w:p>
    <w:p w:rsidR="7B4A8CE2" w:rsidP="7061647E" w:rsidRDefault="7B4A8CE2" w14:paraId="510124E9" w14:textId="5BC124D7">
      <w:pPr>
        <w:pStyle w:val="Normal"/>
        <w:spacing w:line="247" w:lineRule="auto"/>
        <w:rPr>
          <w:rFonts w:ascii="Calibri" w:hAnsi="Calibri" w:eastAsia="Calibri" w:cs="Calibri"/>
          <w:noProof w:val="0"/>
          <w:sz w:val="22"/>
          <w:szCs w:val="22"/>
          <w:lang w:val="en-US"/>
        </w:rPr>
      </w:pPr>
      <w:r w:rsidRPr="7061647E" w:rsidR="7B4A8CE2">
        <w:rPr>
          <w:rFonts w:ascii="Calibri" w:hAnsi="Calibri" w:eastAsia="Calibri" w:cs="Calibri"/>
          <w:noProof w:val="0"/>
          <w:sz w:val="22"/>
          <w:szCs w:val="22"/>
          <w:lang w:val="en-US"/>
        </w:rPr>
        <w:t xml:space="preserve">According to MLI Art. 13(5)(a), </w:t>
      </w:r>
      <w:r w:rsidRPr="7061647E" w:rsidR="7B4A8CE2">
        <w:rPr>
          <w:rFonts w:ascii="Calibri" w:hAnsi="Calibri" w:eastAsia="Calibri" w:cs="Calibri"/>
          <w:noProof w:val="0"/>
          <w:sz w:val="22"/>
          <w:szCs w:val="22"/>
          <w:lang w:val="en-US"/>
        </w:rPr>
        <w:t>Option</w:t>
      </w:r>
      <w:r w:rsidRPr="7061647E" w:rsidR="7B4A8CE2">
        <w:rPr>
          <w:rFonts w:ascii="Calibri" w:hAnsi="Calibri" w:eastAsia="Calibri" w:cs="Calibri"/>
          <w:noProof w:val="0"/>
          <w:sz w:val="22"/>
          <w:szCs w:val="22"/>
          <w:lang w:val="en-US"/>
        </w:rPr>
        <w:t xml:space="preserve"> A under MLI Art. 13(2), which preserves the specific activity exempt</w:t>
      </w:r>
      <w:r w:rsidRPr="7061647E" w:rsidR="7B4A8CE2">
        <w:rPr>
          <w:rFonts w:ascii="Calibri" w:hAnsi="Calibri" w:eastAsia="Calibri" w:cs="Calibri"/>
          <w:noProof w:val="0"/>
          <w:sz w:val="22"/>
          <w:szCs w:val="22"/>
          <w:lang w:val="en-US"/>
        </w:rPr>
        <w:t>ions only if the specific activity or, where there is a combination of such activities, the overall activity, is of a preparatory or auxiliary character applies, changing the application of Art</w:t>
      </w:r>
      <w:r w:rsidRPr="7061647E" w:rsidR="7B4A8CE2">
        <w:rPr>
          <w:rFonts w:ascii="Calibri" w:hAnsi="Calibri" w:eastAsia="Calibri" w:cs="Calibri"/>
          <w:noProof w:val="0"/>
          <w:sz w:val="22"/>
          <w:szCs w:val="22"/>
          <w:lang w:val="en-US"/>
        </w:rPr>
        <w:t>. 5(4)</w:t>
      </w:r>
      <w:r w:rsidRPr="7061647E" w:rsidR="7B4A8CE2">
        <w:rPr>
          <w:rFonts w:ascii="Calibri" w:hAnsi="Calibri" w:eastAsia="Calibri" w:cs="Calibri"/>
          <w:noProof w:val="0"/>
          <w:sz w:val="22"/>
          <w:szCs w:val="22"/>
          <w:lang w:val="en-US"/>
        </w:rPr>
        <w:t xml:space="preserve"> </w:t>
      </w:r>
      <w:r w:rsidRPr="7061647E" w:rsidR="7B4A8CE2">
        <w:rPr>
          <w:rFonts w:ascii="Calibri" w:hAnsi="Calibri" w:eastAsia="Calibri" w:cs="Calibri"/>
          <w:noProof w:val="0"/>
          <w:sz w:val="22"/>
          <w:szCs w:val="22"/>
          <w:lang w:val="en-US"/>
        </w:rPr>
        <w:t>of</w:t>
      </w:r>
      <w:r w:rsidRPr="7061647E" w:rsidR="7B4A8CE2">
        <w:rPr>
          <w:rFonts w:ascii="Calibri" w:hAnsi="Calibri" w:eastAsia="Calibri" w:cs="Calibri"/>
          <w:noProof w:val="0"/>
          <w:sz w:val="22"/>
          <w:szCs w:val="22"/>
          <w:lang w:val="en-US"/>
        </w:rPr>
        <w:t xml:space="preserve"> this </w:t>
      </w:r>
      <w:r w:rsidRPr="7061647E" w:rsidR="7B4A8CE2">
        <w:rPr>
          <w:rFonts w:ascii="Calibri" w:hAnsi="Calibri" w:eastAsia="Calibri" w:cs="Calibri"/>
          <w:noProof w:val="0"/>
          <w:sz w:val="22"/>
          <w:szCs w:val="22"/>
          <w:lang w:val="en-US"/>
        </w:rPr>
        <w:t>Convention</w:t>
      </w:r>
      <w:r w:rsidRPr="7061647E" w:rsidR="7B4A8CE2">
        <w:rPr>
          <w:rFonts w:ascii="Calibri" w:hAnsi="Calibri" w:eastAsia="Calibri" w:cs="Calibri"/>
          <w:noProof w:val="0"/>
          <w:sz w:val="22"/>
          <w:szCs w:val="22"/>
          <w:lang w:val="en-US"/>
        </w:rPr>
        <w:t>.</w:t>
      </w:r>
    </w:p>
    <w:p w:rsidR="7B4A8CE2" w:rsidP="7061647E" w:rsidRDefault="7B4A8CE2" w14:paraId="32E68238" w14:textId="332406AA">
      <w:pPr>
        <w:pStyle w:val="Normal"/>
        <w:spacing w:line="247" w:lineRule="auto"/>
        <w:rPr>
          <w:rFonts w:ascii="Calibri" w:hAnsi="Calibri" w:eastAsia="Calibri" w:cs="Calibri"/>
          <w:noProof w:val="0"/>
          <w:sz w:val="22"/>
          <w:szCs w:val="22"/>
          <w:lang w:val="en-US"/>
        </w:rPr>
      </w:pPr>
      <w:r w:rsidRPr="7061647E" w:rsidR="7B4A8CE2">
        <w:rPr>
          <w:rFonts w:ascii="Calibri" w:hAnsi="Calibri" w:eastAsia="Calibri" w:cs="Calibri"/>
          <w:noProof w:val="0"/>
          <w:sz w:val="22"/>
          <w:szCs w:val="22"/>
          <w:lang w:val="en-US"/>
        </w:rPr>
        <w:t>According to MLI Art. 13(5)(b), the anti-fragmentation rule of MLI Art. 13(4) applies, changing the application of Art. 5(</w:t>
      </w:r>
      <w:r w:rsidRPr="7061647E" w:rsidR="7B4A8CE2">
        <w:rPr>
          <w:rFonts w:ascii="Calibri" w:hAnsi="Calibri" w:eastAsia="Calibri" w:cs="Calibri"/>
          <w:noProof w:val="0"/>
          <w:sz w:val="22"/>
          <w:szCs w:val="22"/>
          <w:lang w:val="en-US"/>
        </w:rPr>
        <w:t>4)</w:t>
      </w:r>
      <w:r w:rsidRPr="7061647E" w:rsidR="7B4A8CE2">
        <w:rPr>
          <w:rFonts w:ascii="Calibri" w:hAnsi="Calibri" w:eastAsia="Calibri" w:cs="Calibri"/>
          <w:noProof w:val="0"/>
          <w:sz w:val="22"/>
          <w:szCs w:val="22"/>
          <w:lang w:val="en-US"/>
        </w:rPr>
        <w:t xml:space="preserve"> </w:t>
      </w:r>
      <w:r w:rsidRPr="7061647E" w:rsidR="7B4A8CE2">
        <w:rPr>
          <w:rFonts w:ascii="Calibri" w:hAnsi="Calibri" w:eastAsia="Calibri" w:cs="Calibri"/>
          <w:noProof w:val="0"/>
          <w:sz w:val="22"/>
          <w:szCs w:val="22"/>
          <w:lang w:val="en-US"/>
        </w:rPr>
        <w:t xml:space="preserve">of </w:t>
      </w:r>
      <w:r w:rsidRPr="7061647E" w:rsidR="7B4A8CE2">
        <w:rPr>
          <w:rFonts w:ascii="Calibri" w:hAnsi="Calibri" w:eastAsia="Calibri" w:cs="Calibri"/>
          <w:noProof w:val="0"/>
          <w:sz w:val="22"/>
          <w:szCs w:val="22"/>
          <w:lang w:val="en-US"/>
        </w:rPr>
        <w:t xml:space="preserve">this </w:t>
      </w:r>
      <w:r w:rsidRPr="7061647E" w:rsidR="7B4A8CE2">
        <w:rPr>
          <w:rFonts w:ascii="Calibri" w:hAnsi="Calibri" w:eastAsia="Calibri" w:cs="Calibri"/>
          <w:noProof w:val="0"/>
          <w:sz w:val="22"/>
          <w:szCs w:val="22"/>
          <w:lang w:val="en-US"/>
        </w:rPr>
        <w:t>Convention</w:t>
      </w:r>
      <w:r w:rsidRPr="7061647E" w:rsidR="7B4A8CE2">
        <w:rPr>
          <w:rFonts w:ascii="Calibri" w:hAnsi="Calibri" w:eastAsia="Calibri" w:cs="Calibri"/>
          <w:noProof w:val="0"/>
          <w:sz w:val="22"/>
          <w:szCs w:val="22"/>
          <w:lang w:val="en-US"/>
        </w:rPr>
        <w:t xml:space="preserve"> without replacing it.</w:t>
      </w:r>
    </w:p>
    <w:p w:rsidR="78BBA44D" w:rsidP="7061647E" w:rsidRDefault="78BBA44D" w14:paraId="047EDF85" w14:textId="5F1A772C">
      <w:pPr>
        <w:pStyle w:val="Normal"/>
        <w:spacing w:line="247" w:lineRule="auto"/>
        <w:rPr>
          <w:rFonts w:ascii="Calibri" w:hAnsi="Calibri" w:eastAsia="Calibri" w:cs="Calibri"/>
          <w:b w:val="1"/>
          <w:bCs w:val="1"/>
          <w:noProof w:val="0"/>
          <w:sz w:val="22"/>
          <w:szCs w:val="22"/>
          <w:lang w:val="en-US"/>
        </w:rPr>
      </w:pPr>
      <w:r w:rsidRPr="7061647E" w:rsidR="78BBA44D">
        <w:rPr>
          <w:rFonts w:ascii="Calibri" w:hAnsi="Calibri" w:eastAsia="Calibri" w:cs="Calibri"/>
          <w:b w:val="1"/>
          <w:bCs w:val="1"/>
          <w:noProof w:val="0"/>
          <w:sz w:val="22"/>
          <w:szCs w:val="22"/>
          <w:lang w:val="en-US"/>
        </w:rPr>
        <w:t>Definition of a Person Closely Related to an Enterprise (MLI Article 15)</w:t>
      </w:r>
    </w:p>
    <w:p w:rsidR="78BBA44D" w:rsidP="7061647E" w:rsidRDefault="78BBA44D" w14:paraId="7371E791" w14:textId="620855A3">
      <w:pPr>
        <w:pStyle w:val="Normal"/>
        <w:spacing w:line="247" w:lineRule="auto"/>
        <w:rPr>
          <w:rFonts w:ascii="Calibri" w:hAnsi="Calibri" w:eastAsia="Calibri" w:cs="Calibri"/>
          <w:noProof w:val="0"/>
          <w:sz w:val="22"/>
          <w:szCs w:val="22"/>
          <w:lang w:val="en-US"/>
        </w:rPr>
      </w:pPr>
      <w:r w:rsidRPr="7061647E" w:rsidR="78BBA44D">
        <w:rPr>
          <w:rFonts w:ascii="Calibri" w:hAnsi="Calibri" w:eastAsia="Calibri" w:cs="Calibri"/>
          <w:noProof w:val="0"/>
          <w:sz w:val="22"/>
          <w:szCs w:val="22"/>
          <w:lang w:val="en-US"/>
        </w:rPr>
        <w:t xml:space="preserve">The definition of a person closely related to enterprise in MLI Art. 15(1) applies for the purposes of Art. 5(4) of this </w:t>
      </w:r>
      <w:r w:rsidRPr="7061647E" w:rsidR="78BBA44D">
        <w:rPr>
          <w:rFonts w:ascii="Calibri" w:hAnsi="Calibri" w:eastAsia="Calibri" w:cs="Calibri"/>
          <w:noProof w:val="0"/>
          <w:color w:val="000000" w:themeColor="text1" w:themeTint="FF" w:themeShade="FF"/>
          <w:sz w:val="22"/>
          <w:szCs w:val="22"/>
          <w:lang w:val="en-US"/>
        </w:rPr>
        <w:t>Convention</w:t>
      </w:r>
      <w:r w:rsidRPr="7061647E" w:rsidR="78BBA44D">
        <w:rPr>
          <w:rFonts w:ascii="Calibri" w:hAnsi="Calibri" w:eastAsia="Calibri" w:cs="Calibri"/>
          <w:noProof w:val="0"/>
          <w:sz w:val="22"/>
          <w:szCs w:val="22"/>
          <w:lang w:val="en-US"/>
        </w:rPr>
        <w:t xml:space="preserve"> (as modified by the anti-fragmentation rule of MLI Art. 13(4)) and Art</w:t>
      </w:r>
      <w:r w:rsidRPr="7061647E" w:rsidR="6F282AA9">
        <w:rPr>
          <w:rFonts w:ascii="Calibri" w:hAnsi="Calibri" w:eastAsia="Calibri" w:cs="Calibri"/>
          <w:noProof w:val="0"/>
          <w:sz w:val="22"/>
          <w:szCs w:val="22"/>
          <w:lang w:val="en-US"/>
        </w:rPr>
        <w:t>. 5(7)</w:t>
      </w:r>
      <w:r w:rsidRPr="7061647E" w:rsidR="78BBA44D">
        <w:rPr>
          <w:rFonts w:ascii="Calibri" w:hAnsi="Calibri" w:eastAsia="Calibri" w:cs="Calibri"/>
          <w:noProof w:val="0"/>
          <w:sz w:val="22"/>
          <w:szCs w:val="22"/>
          <w:lang w:val="en-US"/>
        </w:rPr>
        <w:t xml:space="preserve"> of this </w:t>
      </w:r>
      <w:r w:rsidRPr="7061647E" w:rsidR="78BBA44D">
        <w:rPr>
          <w:rFonts w:ascii="Calibri" w:hAnsi="Calibri" w:eastAsia="Calibri" w:cs="Calibri"/>
          <w:noProof w:val="0"/>
          <w:color w:val="000000" w:themeColor="text1" w:themeTint="FF" w:themeShade="FF"/>
          <w:sz w:val="22"/>
          <w:szCs w:val="22"/>
          <w:lang w:val="en-US"/>
        </w:rPr>
        <w:t>Convention</w:t>
      </w:r>
      <w:r w:rsidRPr="7061647E" w:rsidR="78BBA44D">
        <w:rPr>
          <w:rFonts w:ascii="Calibri" w:hAnsi="Calibri" w:eastAsia="Calibri" w:cs="Calibri"/>
          <w:noProof w:val="0"/>
          <w:sz w:val="22"/>
          <w:szCs w:val="22"/>
          <w:lang w:val="en-US"/>
        </w:rPr>
        <w:t xml:space="preserve"> (as modified by the provision addressing independent agents, acting in the ordinary course of their business of MLI Art. 12(2)).</w:t>
      </w:r>
    </w:p>
    <w:p w:rsidRPr="00353F57" w:rsidR="00140ADC" w:rsidP="65EE6D46" w:rsidRDefault="00140ADC" w14:paraId="7CE96494" w14:textId="049B467C">
      <w:pPr>
        <w:spacing w:line="247" w:lineRule="auto"/>
        <w:rPr>
          <w:rFonts w:cs="Calibri" w:cstheme="minorAscii"/>
        </w:rPr>
      </w:pPr>
      <w:r w:rsidRPr="7061647E" w:rsidR="00140ADC">
        <w:rPr>
          <w:rFonts w:cs="Calibri" w:cstheme="minorAscii"/>
          <w:b w:val="1"/>
          <w:bCs w:val="1"/>
        </w:rPr>
        <w:t>Mutual Agreement Procedure (MLI Article 16)</w:t>
      </w:r>
    </w:p>
    <w:p w:rsidRPr="00353F57" w:rsidR="003E51DA" w:rsidP="7061647E" w:rsidRDefault="00F33411" w14:paraId="7BC8B89E" w14:textId="2F9AC25F">
      <w:pPr>
        <w:pStyle w:val="Normal"/>
        <w:spacing w:line="247" w:lineRule="auto"/>
        <w:rPr>
          <w:rFonts w:ascii="Calibri" w:hAnsi="Calibri" w:eastAsia="Calibri" w:cs="Calibri"/>
          <w:noProof w:val="0"/>
          <w:sz w:val="22"/>
          <w:szCs w:val="22"/>
          <w:shd w:val="clear" w:color="auto" w:fill="FFFFFF"/>
          <w:lang w:val="en-US"/>
        </w:rPr>
      </w:pPr>
      <w:r w:rsidRPr="7061647E" w:rsidR="7B985C43">
        <w:rPr>
          <w:rFonts w:ascii="Calibri" w:hAnsi="Calibri" w:eastAsia="Calibri" w:cs="Calibri"/>
          <w:noProof w:val="0"/>
          <w:color w:val="000000" w:themeColor="text1" w:themeTint="FF" w:themeShade="FF"/>
          <w:sz w:val="22"/>
          <w:szCs w:val="22"/>
          <w:lang w:val="en-US"/>
        </w:rPr>
        <w:t xml:space="preserve">The first sentence of MLI Art. 16(1), providing that a person may present a case to the competent authority of either </w:t>
      </w:r>
      <w:r w:rsidRPr="7061647E" w:rsidR="7B985C43">
        <w:rPr>
          <w:rFonts w:ascii="Calibri" w:hAnsi="Calibri" w:eastAsia="Calibri" w:cs="Calibri"/>
          <w:noProof w:val="0"/>
          <w:color w:val="000000" w:themeColor="text1" w:themeTint="FF" w:themeShade="FF"/>
          <w:sz w:val="22"/>
          <w:szCs w:val="22"/>
          <w:lang w:val="en-US"/>
        </w:rPr>
        <w:t>jurisdiction</w:t>
      </w:r>
      <w:r w:rsidRPr="7061647E" w:rsidR="7B985C43">
        <w:rPr>
          <w:rFonts w:ascii="Calibri" w:hAnsi="Calibri" w:eastAsia="Calibri" w:cs="Calibri"/>
          <w:noProof w:val="0"/>
          <w:color w:val="000000" w:themeColor="text1" w:themeTint="FF" w:themeShade="FF"/>
          <w:sz w:val="22"/>
          <w:szCs w:val="22"/>
          <w:lang w:val="en-US"/>
        </w:rPr>
        <w:t>, does</w:t>
      </w:r>
      <w:r w:rsidRPr="7061647E" w:rsidR="7B985C43">
        <w:rPr>
          <w:rFonts w:ascii="Calibri" w:hAnsi="Calibri" w:eastAsia="Calibri" w:cs="Calibri"/>
          <w:noProof w:val="0"/>
          <w:color w:val="000000" w:themeColor="text1" w:themeTint="FF" w:themeShade="FF"/>
          <w:sz w:val="22"/>
          <w:szCs w:val="22"/>
          <w:lang w:val="en-US"/>
        </w:rPr>
        <w:t xml:space="preserve"> not apply as </w:t>
      </w:r>
      <w:r w:rsidRPr="7061647E" w:rsidR="7B985C43">
        <w:rPr>
          <w:rFonts w:ascii="Calibri" w:hAnsi="Calibri" w:eastAsia="Calibri" w:cs="Calibri"/>
          <w:noProof w:val="0"/>
          <w:color w:val="000000" w:themeColor="text1" w:themeTint="FF" w:themeShade="FF"/>
          <w:sz w:val="22"/>
          <w:szCs w:val="22"/>
          <w:lang w:val="en-US"/>
        </w:rPr>
        <w:t>both</w:t>
      </w:r>
      <w:r w:rsidRPr="7061647E" w:rsidR="7B985C43">
        <w:rPr>
          <w:rFonts w:ascii="Calibri" w:hAnsi="Calibri" w:eastAsia="Calibri" w:cs="Calibri"/>
          <w:noProof w:val="0"/>
          <w:color w:val="000000" w:themeColor="text1" w:themeTint="FF" w:themeShade="FF"/>
          <w:sz w:val="22"/>
          <w:szCs w:val="22"/>
          <w:lang w:val="en-US"/>
        </w:rPr>
        <w:t xml:space="preserve"> Serbia </w:t>
      </w:r>
      <w:r w:rsidRPr="7061647E" w:rsidR="7B985C43">
        <w:rPr>
          <w:rFonts w:ascii="Calibri" w:hAnsi="Calibri" w:eastAsia="Calibri" w:cs="Calibri"/>
          <w:noProof w:val="0"/>
          <w:color w:val="000000" w:themeColor="text1" w:themeTint="FF" w:themeShade="FF"/>
          <w:sz w:val="22"/>
          <w:szCs w:val="22"/>
          <w:lang w:val="en-US"/>
        </w:rPr>
        <w:t>and Vietnam</w:t>
      </w:r>
      <w:r w:rsidRPr="7061647E" w:rsidR="7B985C43">
        <w:rPr>
          <w:rFonts w:ascii="Calibri" w:hAnsi="Calibri" w:eastAsia="Calibri" w:cs="Calibri"/>
          <w:noProof w:val="0"/>
          <w:color w:val="000000" w:themeColor="text1" w:themeTint="FF" w:themeShade="FF"/>
          <w:sz w:val="22"/>
          <w:szCs w:val="22"/>
          <w:lang w:val="en-US"/>
        </w:rPr>
        <w:t xml:space="preserve"> intend to meet the </w:t>
      </w:r>
      <w:r w:rsidRPr="7061647E" w:rsidR="7B985C43">
        <w:rPr>
          <w:rFonts w:ascii="Calibri" w:hAnsi="Calibri" w:eastAsia="Calibri" w:cs="Calibri"/>
          <w:noProof w:val="0"/>
          <w:color w:val="000000" w:themeColor="text1" w:themeTint="FF" w:themeShade="FF"/>
          <w:sz w:val="22"/>
          <w:szCs w:val="22"/>
          <w:lang w:val="en-US"/>
        </w:rPr>
        <w:t>minimum</w:t>
      </w:r>
      <w:r w:rsidRPr="7061647E" w:rsidR="7B985C43">
        <w:rPr>
          <w:rFonts w:ascii="Calibri" w:hAnsi="Calibri" w:eastAsia="Calibri" w:cs="Calibri"/>
          <w:noProof w:val="0"/>
          <w:color w:val="000000" w:themeColor="text1" w:themeTint="FF" w:themeShade="FF"/>
          <w:sz w:val="22"/>
          <w:szCs w:val="22"/>
          <w:lang w:val="en-US"/>
        </w:rPr>
        <w:t xml:space="preserve"> standard through other measures.</w:t>
      </w:r>
    </w:p>
    <w:p w:rsidR="0F5C219B" w:rsidP="2A1B6384" w:rsidRDefault="0F5C219B" w14:paraId="7F35F1FE" w14:textId="13A3DD4D">
      <w:pPr>
        <w:pStyle w:val="Normal"/>
        <w:spacing w:line="247" w:lineRule="auto"/>
        <w:rPr>
          <w:rFonts w:ascii="Calibri" w:hAnsi="Calibri" w:eastAsia="Calibri" w:cs="Calibri"/>
          <w:noProof w:val="0"/>
          <w:sz w:val="22"/>
          <w:szCs w:val="22"/>
          <w:lang w:val="en-US"/>
        </w:rPr>
      </w:pPr>
      <w:r w:rsidRPr="7061647E" w:rsidR="182C1A3A">
        <w:rPr>
          <w:rFonts w:ascii="Calibri" w:hAnsi="Calibri" w:eastAsia="Calibri" w:cs="Calibri"/>
          <w:noProof w:val="0"/>
          <w:color w:val="000000" w:themeColor="text1" w:themeTint="FF" w:themeShade="FF"/>
          <w:sz w:val="22"/>
          <w:szCs w:val="22"/>
          <w:lang w:val="en-US"/>
        </w:rPr>
        <w:t>The remaining provision</w:t>
      </w:r>
      <w:r w:rsidRPr="7061647E" w:rsidR="182C1A3A">
        <w:rPr>
          <w:rFonts w:ascii="Calibri" w:hAnsi="Calibri" w:eastAsia="Calibri" w:cs="Calibri"/>
          <w:noProof w:val="0"/>
          <w:color w:val="000000" w:themeColor="text1" w:themeTint="FF" w:themeShade="FF"/>
          <w:sz w:val="22"/>
          <w:szCs w:val="22"/>
          <w:lang w:val="en-US"/>
        </w:rPr>
        <w:t xml:space="preserve">s of this </w:t>
      </w:r>
      <w:r w:rsidRPr="7061647E" w:rsidR="182C1A3A">
        <w:rPr>
          <w:rFonts w:ascii="Calibri" w:hAnsi="Calibri" w:eastAsia="Calibri" w:cs="Calibri"/>
          <w:noProof w:val="0"/>
          <w:color w:val="000000" w:themeColor="text1" w:themeTint="FF" w:themeShade="FF"/>
          <w:sz w:val="22"/>
          <w:szCs w:val="22"/>
          <w:lang w:val="en-US"/>
        </w:rPr>
        <w:t>Convention</w:t>
      </w:r>
      <w:r w:rsidRPr="7061647E" w:rsidR="182C1A3A">
        <w:rPr>
          <w:rFonts w:ascii="Calibri" w:hAnsi="Calibri" w:eastAsia="Calibri" w:cs="Calibri"/>
          <w:noProof w:val="0"/>
          <w:color w:val="000000" w:themeColor="text1" w:themeTint="FF" w:themeShade="FF"/>
          <w:sz w:val="22"/>
          <w:szCs w:val="22"/>
          <w:lang w:val="en-US"/>
        </w:rPr>
        <w:t xml:space="preserve"> relating to dispute resolution are </w:t>
      </w:r>
      <w:r w:rsidRPr="7061647E" w:rsidR="182C1A3A">
        <w:rPr>
          <w:rFonts w:ascii="Calibri" w:hAnsi="Calibri" w:eastAsia="Calibri" w:cs="Calibri"/>
          <w:noProof w:val="0"/>
          <w:color w:val="000000" w:themeColor="text1" w:themeTint="FF" w:themeShade="FF"/>
          <w:sz w:val="22"/>
          <w:szCs w:val="22"/>
          <w:lang w:val="en-US"/>
        </w:rPr>
        <w:t>r</w:t>
      </w:r>
      <w:r w:rsidRPr="7061647E" w:rsidR="182C1A3A">
        <w:rPr>
          <w:rFonts w:ascii="Calibri" w:hAnsi="Calibri" w:eastAsia="Calibri" w:cs="Calibri"/>
          <w:noProof w:val="0"/>
          <w:color w:val="000000" w:themeColor="text1" w:themeTint="FF" w:themeShade="FF"/>
          <w:sz w:val="22"/>
          <w:szCs w:val="22"/>
          <w:lang w:val="en-US"/>
        </w:rPr>
        <w:t>etained</w:t>
      </w:r>
      <w:r w:rsidRPr="7061647E" w:rsidR="182C1A3A">
        <w:rPr>
          <w:rFonts w:ascii="Calibri" w:hAnsi="Calibri" w:eastAsia="Calibri" w:cs="Calibri"/>
          <w:noProof w:val="0"/>
          <w:color w:val="000000" w:themeColor="text1" w:themeTint="FF" w:themeShade="FF"/>
          <w:sz w:val="22"/>
          <w:szCs w:val="22"/>
          <w:lang w:val="en-US"/>
        </w:rPr>
        <w:t xml:space="preserve"> </w:t>
      </w:r>
      <w:r w:rsidRPr="7061647E" w:rsidR="182C1A3A">
        <w:rPr>
          <w:rFonts w:ascii="Calibri" w:hAnsi="Calibri" w:eastAsia="Calibri" w:cs="Calibri"/>
          <w:noProof w:val="0"/>
          <w:color w:val="000000" w:themeColor="text1" w:themeTint="FF" w:themeShade="FF"/>
          <w:sz w:val="22"/>
          <w:szCs w:val="22"/>
          <w:lang w:val="en-US"/>
        </w:rPr>
        <w:t>a</w:t>
      </w:r>
      <w:r w:rsidRPr="7061647E" w:rsidR="182C1A3A">
        <w:rPr>
          <w:rFonts w:ascii="Calibri" w:hAnsi="Calibri" w:eastAsia="Calibri" w:cs="Calibri"/>
          <w:noProof w:val="0"/>
          <w:color w:val="000000" w:themeColor="text1" w:themeTint="FF" w:themeShade="FF"/>
          <w:sz w:val="22"/>
          <w:szCs w:val="22"/>
          <w:lang w:val="en-US"/>
        </w:rPr>
        <w:t>s they a</w:t>
      </w:r>
      <w:r w:rsidRPr="7061647E" w:rsidR="182C1A3A">
        <w:rPr>
          <w:rFonts w:ascii="Calibri" w:hAnsi="Calibri" w:eastAsia="Calibri" w:cs="Calibri"/>
          <w:noProof w:val="0"/>
          <w:color w:val="000000" w:themeColor="text1" w:themeTint="FF" w:themeShade="FF"/>
          <w:sz w:val="22"/>
          <w:szCs w:val="22"/>
          <w:lang w:val="en-US"/>
        </w:rPr>
        <w:t xml:space="preserve">re considered consistent in content with the provisions </w:t>
      </w:r>
      <w:r w:rsidRPr="7061647E" w:rsidR="182C1A3A">
        <w:rPr>
          <w:rFonts w:ascii="Calibri" w:hAnsi="Calibri" w:eastAsia="Calibri" w:cs="Calibri"/>
          <w:noProof w:val="0"/>
          <w:color w:val="000000" w:themeColor="text1" w:themeTint="FF" w:themeShade="FF"/>
          <w:sz w:val="22"/>
          <w:szCs w:val="22"/>
          <w:lang w:val="en-US"/>
        </w:rPr>
        <w:t>o</w:t>
      </w:r>
      <w:r w:rsidRPr="7061647E" w:rsidR="182C1A3A">
        <w:rPr>
          <w:rFonts w:ascii="Calibri" w:hAnsi="Calibri" w:eastAsia="Calibri" w:cs="Calibri"/>
          <w:noProof w:val="0"/>
          <w:color w:val="000000" w:themeColor="text1" w:themeTint="FF" w:themeShade="FF"/>
          <w:sz w:val="22"/>
          <w:szCs w:val="22"/>
          <w:lang w:val="en-US"/>
        </w:rPr>
        <w:t>f MLI Art. 16(</w:t>
      </w:r>
      <w:r w:rsidRPr="7061647E" w:rsidR="182C1A3A">
        <w:rPr>
          <w:rFonts w:ascii="Calibri" w:hAnsi="Calibri" w:eastAsia="Calibri" w:cs="Calibri"/>
          <w:noProof w:val="0"/>
          <w:color w:val="000000" w:themeColor="text1" w:themeTint="FF" w:themeShade="FF"/>
          <w:sz w:val="22"/>
          <w:szCs w:val="22"/>
          <w:lang w:val="en-US"/>
        </w:rPr>
        <w:t>1</w:t>
      </w:r>
      <w:r w:rsidRPr="7061647E" w:rsidR="182C1A3A">
        <w:rPr>
          <w:rFonts w:ascii="Calibri" w:hAnsi="Calibri" w:eastAsia="Calibri" w:cs="Calibri"/>
          <w:noProof w:val="0"/>
          <w:color w:val="000000" w:themeColor="text1" w:themeTint="FF" w:themeShade="FF"/>
          <w:sz w:val="22"/>
          <w:szCs w:val="22"/>
          <w:lang w:val="en-US"/>
        </w:rPr>
        <w:t>)(</w:t>
      </w:r>
      <w:r w:rsidRPr="7061647E" w:rsidR="182C1A3A">
        <w:rPr>
          <w:rFonts w:ascii="Calibri" w:hAnsi="Calibri" w:eastAsia="Calibri" w:cs="Calibri"/>
          <w:noProof w:val="0"/>
          <w:color w:val="000000" w:themeColor="text1" w:themeTint="FF" w:themeShade="FF"/>
          <w:sz w:val="22"/>
          <w:szCs w:val="22"/>
          <w:lang w:val="en-US"/>
        </w:rPr>
        <w:t>s</w:t>
      </w:r>
      <w:r w:rsidRPr="7061647E" w:rsidR="182C1A3A">
        <w:rPr>
          <w:rFonts w:ascii="Calibri" w:hAnsi="Calibri" w:eastAsia="Calibri" w:cs="Calibri"/>
          <w:noProof w:val="0"/>
          <w:color w:val="000000" w:themeColor="text1" w:themeTint="FF" w:themeShade="FF"/>
          <w:sz w:val="22"/>
          <w:szCs w:val="22"/>
          <w:lang w:val="en-US"/>
        </w:rPr>
        <w:t xml:space="preserve">econd </w:t>
      </w:r>
      <w:r w:rsidRPr="7061647E" w:rsidR="182C1A3A">
        <w:rPr>
          <w:rFonts w:ascii="Calibri" w:hAnsi="Calibri" w:eastAsia="Calibri" w:cs="Calibri"/>
          <w:noProof w:val="0"/>
          <w:color w:val="000000" w:themeColor="text1" w:themeTint="FF" w:themeShade="FF"/>
          <w:sz w:val="22"/>
          <w:szCs w:val="22"/>
          <w:lang w:val="en-US"/>
        </w:rPr>
        <w:t>sen</w:t>
      </w:r>
      <w:r w:rsidRPr="7061647E" w:rsidR="182C1A3A">
        <w:rPr>
          <w:rFonts w:ascii="Calibri" w:hAnsi="Calibri" w:eastAsia="Calibri" w:cs="Calibri"/>
          <w:noProof w:val="0"/>
          <w:color w:val="000000" w:themeColor="text1" w:themeTint="FF" w:themeShade="FF"/>
          <w:sz w:val="22"/>
          <w:szCs w:val="22"/>
          <w:lang w:val="en-US"/>
        </w:rPr>
        <w:t xml:space="preserve">tence), MLI Art. 16(2), and MLI Art. 16(3), and meet the </w:t>
      </w:r>
      <w:r w:rsidRPr="7061647E" w:rsidR="182C1A3A">
        <w:rPr>
          <w:rFonts w:ascii="Calibri" w:hAnsi="Calibri" w:eastAsia="Calibri" w:cs="Calibri"/>
          <w:noProof w:val="0"/>
          <w:color w:val="000000" w:themeColor="text1" w:themeTint="FF" w:themeShade="FF"/>
          <w:sz w:val="22"/>
          <w:szCs w:val="22"/>
          <w:lang w:val="en-US"/>
        </w:rPr>
        <w:t>m</w:t>
      </w:r>
      <w:r w:rsidRPr="7061647E" w:rsidR="182C1A3A">
        <w:rPr>
          <w:rFonts w:ascii="Calibri" w:hAnsi="Calibri" w:eastAsia="Calibri" w:cs="Calibri"/>
          <w:noProof w:val="0"/>
          <w:color w:val="000000" w:themeColor="text1" w:themeTint="FF" w:themeShade="FF"/>
          <w:sz w:val="22"/>
          <w:szCs w:val="22"/>
          <w:lang w:val="en-US"/>
        </w:rPr>
        <w:t>inimum</w:t>
      </w:r>
      <w:r w:rsidRPr="7061647E" w:rsidR="182C1A3A">
        <w:rPr>
          <w:rFonts w:ascii="Calibri" w:hAnsi="Calibri" w:eastAsia="Calibri" w:cs="Calibri"/>
          <w:noProof w:val="0"/>
          <w:color w:val="000000" w:themeColor="text1" w:themeTint="FF" w:themeShade="FF"/>
          <w:sz w:val="22"/>
          <w:szCs w:val="22"/>
          <w:lang w:val="en-US"/>
        </w:rPr>
        <w:t xml:space="preserve"> </w:t>
      </w:r>
      <w:r w:rsidRPr="7061647E" w:rsidR="182C1A3A">
        <w:rPr>
          <w:rFonts w:ascii="Calibri" w:hAnsi="Calibri" w:eastAsia="Calibri" w:cs="Calibri"/>
          <w:noProof w:val="0"/>
          <w:color w:val="000000" w:themeColor="text1" w:themeTint="FF" w:themeShade="FF"/>
          <w:sz w:val="22"/>
          <w:szCs w:val="22"/>
          <w:lang w:val="en-US"/>
        </w:rPr>
        <w:t>st</w:t>
      </w:r>
      <w:r w:rsidRPr="7061647E" w:rsidR="182C1A3A">
        <w:rPr>
          <w:rFonts w:ascii="Calibri" w:hAnsi="Calibri" w:eastAsia="Calibri" w:cs="Calibri"/>
          <w:noProof w:val="0"/>
          <w:color w:val="000000" w:themeColor="text1" w:themeTint="FF" w:themeShade="FF"/>
          <w:sz w:val="22"/>
          <w:szCs w:val="22"/>
          <w:lang w:val="en-US"/>
        </w:rPr>
        <w:t>andard.</w:t>
      </w:r>
    </w:p>
    <w:sectPr w:rsidRPr="00353F57" w:rsidR="003E51DA">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DC"/>
    <w:rsid w:val="00085660"/>
    <w:rsid w:val="000D0D49"/>
    <w:rsid w:val="000F60B2"/>
    <w:rsid w:val="00140ADC"/>
    <w:rsid w:val="00141FB2"/>
    <w:rsid w:val="001479C8"/>
    <w:rsid w:val="0020336C"/>
    <w:rsid w:val="00225409"/>
    <w:rsid w:val="0026236C"/>
    <w:rsid w:val="00267CAA"/>
    <w:rsid w:val="00281280"/>
    <w:rsid w:val="002D594C"/>
    <w:rsid w:val="002E4962"/>
    <w:rsid w:val="0033510A"/>
    <w:rsid w:val="00353F57"/>
    <w:rsid w:val="00373483"/>
    <w:rsid w:val="003E51DA"/>
    <w:rsid w:val="00437F4A"/>
    <w:rsid w:val="0046659F"/>
    <w:rsid w:val="00525566"/>
    <w:rsid w:val="00562F57"/>
    <w:rsid w:val="005B21C5"/>
    <w:rsid w:val="006828AF"/>
    <w:rsid w:val="006E4299"/>
    <w:rsid w:val="006E6A10"/>
    <w:rsid w:val="007029F9"/>
    <w:rsid w:val="0076268D"/>
    <w:rsid w:val="007970ED"/>
    <w:rsid w:val="007A6331"/>
    <w:rsid w:val="00812355"/>
    <w:rsid w:val="00883886"/>
    <w:rsid w:val="00916E5B"/>
    <w:rsid w:val="00931988"/>
    <w:rsid w:val="009B3E4D"/>
    <w:rsid w:val="009C0655"/>
    <w:rsid w:val="009E2DDA"/>
    <w:rsid w:val="00A7555C"/>
    <w:rsid w:val="00AC1ECE"/>
    <w:rsid w:val="00AD4EAF"/>
    <w:rsid w:val="00B91BC0"/>
    <w:rsid w:val="00C3AED8"/>
    <w:rsid w:val="00C46322"/>
    <w:rsid w:val="00C54181"/>
    <w:rsid w:val="00CC7E6D"/>
    <w:rsid w:val="00D01A5A"/>
    <w:rsid w:val="00DE41E6"/>
    <w:rsid w:val="00E12FCF"/>
    <w:rsid w:val="00E5232E"/>
    <w:rsid w:val="00E66629"/>
    <w:rsid w:val="00E90990"/>
    <w:rsid w:val="00F33411"/>
    <w:rsid w:val="014C2DC5"/>
    <w:rsid w:val="019D92CD"/>
    <w:rsid w:val="03B60904"/>
    <w:rsid w:val="04B24D61"/>
    <w:rsid w:val="06339B92"/>
    <w:rsid w:val="0AAED94E"/>
    <w:rsid w:val="0ACA3100"/>
    <w:rsid w:val="0B3B04BF"/>
    <w:rsid w:val="0B3B18D0"/>
    <w:rsid w:val="0CFFE23D"/>
    <w:rsid w:val="0D185C4D"/>
    <w:rsid w:val="0F5C219B"/>
    <w:rsid w:val="0F725F1B"/>
    <w:rsid w:val="116A66FA"/>
    <w:rsid w:val="1216332C"/>
    <w:rsid w:val="1235F459"/>
    <w:rsid w:val="13029480"/>
    <w:rsid w:val="13A29A70"/>
    <w:rsid w:val="140E814F"/>
    <w:rsid w:val="1419FE13"/>
    <w:rsid w:val="15D50875"/>
    <w:rsid w:val="16A4D718"/>
    <w:rsid w:val="182C1A3A"/>
    <w:rsid w:val="18764C8A"/>
    <w:rsid w:val="1A3B76ED"/>
    <w:rsid w:val="1A53E305"/>
    <w:rsid w:val="1A81CC00"/>
    <w:rsid w:val="1AC120DD"/>
    <w:rsid w:val="1BE87A16"/>
    <w:rsid w:val="1CE7D9A9"/>
    <w:rsid w:val="1E54CACB"/>
    <w:rsid w:val="1E8E8CB4"/>
    <w:rsid w:val="1F2541E9"/>
    <w:rsid w:val="200F2EC2"/>
    <w:rsid w:val="21E3D090"/>
    <w:rsid w:val="21FF553F"/>
    <w:rsid w:val="232E7053"/>
    <w:rsid w:val="25822940"/>
    <w:rsid w:val="25B1A230"/>
    <w:rsid w:val="269A7D2E"/>
    <w:rsid w:val="2937BDD7"/>
    <w:rsid w:val="293ABC50"/>
    <w:rsid w:val="2A1B6384"/>
    <w:rsid w:val="2A5968B3"/>
    <w:rsid w:val="2B1606EA"/>
    <w:rsid w:val="2BAD79A9"/>
    <w:rsid w:val="2D6189D7"/>
    <w:rsid w:val="2E2A7942"/>
    <w:rsid w:val="2EB83541"/>
    <w:rsid w:val="2F29D127"/>
    <w:rsid w:val="2F4204D3"/>
    <w:rsid w:val="2FC97C2F"/>
    <w:rsid w:val="3013B78B"/>
    <w:rsid w:val="31120E3D"/>
    <w:rsid w:val="3154EAC7"/>
    <w:rsid w:val="31B1536A"/>
    <w:rsid w:val="3307C649"/>
    <w:rsid w:val="3397303C"/>
    <w:rsid w:val="3555CD1D"/>
    <w:rsid w:val="355FF5D7"/>
    <w:rsid w:val="3573A58E"/>
    <w:rsid w:val="3614C070"/>
    <w:rsid w:val="36BFB29A"/>
    <w:rsid w:val="36E8CDB8"/>
    <w:rsid w:val="37446841"/>
    <w:rsid w:val="382E10F2"/>
    <w:rsid w:val="3938C59F"/>
    <w:rsid w:val="3A77BF77"/>
    <w:rsid w:val="3CB22F54"/>
    <w:rsid w:val="3E3B0AF3"/>
    <w:rsid w:val="3EEC4CB9"/>
    <w:rsid w:val="3FCC0747"/>
    <w:rsid w:val="44CA7DAC"/>
    <w:rsid w:val="45822440"/>
    <w:rsid w:val="45926674"/>
    <w:rsid w:val="45F3B7DC"/>
    <w:rsid w:val="46494F51"/>
    <w:rsid w:val="46F3C878"/>
    <w:rsid w:val="4895BAF4"/>
    <w:rsid w:val="4ADAF806"/>
    <w:rsid w:val="4B08D555"/>
    <w:rsid w:val="4BD3F1F7"/>
    <w:rsid w:val="4CBF5F62"/>
    <w:rsid w:val="4D1EF9CB"/>
    <w:rsid w:val="4D72BACB"/>
    <w:rsid w:val="4DDF8F33"/>
    <w:rsid w:val="4F3B1450"/>
    <w:rsid w:val="544A7F0B"/>
    <w:rsid w:val="54FEEEFA"/>
    <w:rsid w:val="5553A81A"/>
    <w:rsid w:val="566994D7"/>
    <w:rsid w:val="56C332A2"/>
    <w:rsid w:val="56D57672"/>
    <w:rsid w:val="57F13AD6"/>
    <w:rsid w:val="5811E31B"/>
    <w:rsid w:val="5AACD188"/>
    <w:rsid w:val="5B1A6DC9"/>
    <w:rsid w:val="5BC010A1"/>
    <w:rsid w:val="5CBA029A"/>
    <w:rsid w:val="5CF956B2"/>
    <w:rsid w:val="5CF95E5E"/>
    <w:rsid w:val="5D6B7467"/>
    <w:rsid w:val="6081CCCE"/>
    <w:rsid w:val="6211B850"/>
    <w:rsid w:val="6301AB9E"/>
    <w:rsid w:val="63CA27A9"/>
    <w:rsid w:val="658F03E2"/>
    <w:rsid w:val="65EE6D46"/>
    <w:rsid w:val="6670D41D"/>
    <w:rsid w:val="67BD7FCA"/>
    <w:rsid w:val="68308652"/>
    <w:rsid w:val="685E8704"/>
    <w:rsid w:val="688D5531"/>
    <w:rsid w:val="6973DA94"/>
    <w:rsid w:val="6A0EDA93"/>
    <w:rsid w:val="6AEE754A"/>
    <w:rsid w:val="6E00FCA1"/>
    <w:rsid w:val="6F282AA9"/>
    <w:rsid w:val="6FDCAEC1"/>
    <w:rsid w:val="70531C55"/>
    <w:rsid w:val="7061647E"/>
    <w:rsid w:val="72DF6362"/>
    <w:rsid w:val="73D8862F"/>
    <w:rsid w:val="74461E0D"/>
    <w:rsid w:val="75E75501"/>
    <w:rsid w:val="7626F7BF"/>
    <w:rsid w:val="7809ACB0"/>
    <w:rsid w:val="780C74F8"/>
    <w:rsid w:val="78BBA44D"/>
    <w:rsid w:val="7996CDDA"/>
    <w:rsid w:val="799829D6"/>
    <w:rsid w:val="79B88AEF"/>
    <w:rsid w:val="79EBD700"/>
    <w:rsid w:val="7A376001"/>
    <w:rsid w:val="7B4A8CE2"/>
    <w:rsid w:val="7B83697D"/>
    <w:rsid w:val="7B985C43"/>
    <w:rsid w:val="7ED2AD68"/>
    <w:rsid w:val="7F3A0A80"/>
    <w:rsid w:val="7F4F1CC8"/>
    <w:rsid w:val="7FAF9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4C8E"/>
  <w15:chartTrackingRefBased/>
  <w15:docId w15:val="{9AEE2A89-CD80-4A1A-92E1-21A48439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0ADC"/>
    <w:rPr>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140ADC"/>
    <w:rPr>
      <w:color w:val="0563C1" w:themeColor="hyperlink"/>
      <w:u w:val="single"/>
    </w:rPr>
  </w:style>
  <w:style w:type="paragraph" w:styleId="NoSpacing">
    <w:name w:val="No Spacing"/>
    <w:uiPriority w:val="1"/>
    <w:qFormat/>
    <w:rsid w:val="00140ADC"/>
    <w:pPr>
      <w:spacing w:after="0" w:line="240" w:lineRule="auto"/>
    </w:pPr>
    <w:rPr>
      <w:kern w:val="0"/>
      <w14:ligatures w14:val="none"/>
    </w:rPr>
  </w:style>
  <w:style w:type="paragraph" w:styleId="NormalWeb">
    <w:name w:val="Normal (Web)"/>
    <w:basedOn w:val="Normal"/>
    <w:uiPriority w:val="99"/>
    <w:unhideWhenUsed/>
    <w:rsid w:val="00140ADC"/>
    <w:pPr>
      <w:spacing w:before="100" w:beforeAutospacing="1" w:after="100" w:afterAutospacing="1" w:line="240" w:lineRule="auto"/>
    </w:pPr>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140ADC"/>
    <w:rPr>
      <w:sz w:val="16"/>
      <w:szCs w:val="16"/>
    </w:rPr>
  </w:style>
  <w:style w:type="paragraph" w:styleId="CommentText">
    <w:name w:val="annotation text"/>
    <w:basedOn w:val="Normal"/>
    <w:link w:val="CommentTextChar"/>
    <w:uiPriority w:val="99"/>
    <w:unhideWhenUsed/>
    <w:rsid w:val="00140ADC"/>
    <w:pPr>
      <w:spacing w:line="240" w:lineRule="auto"/>
    </w:pPr>
    <w:rPr>
      <w:sz w:val="20"/>
      <w:szCs w:val="20"/>
    </w:rPr>
  </w:style>
  <w:style w:type="character" w:styleId="CommentTextChar" w:customStyle="1">
    <w:name w:val="Comment Text Char"/>
    <w:basedOn w:val="DefaultParagraphFont"/>
    <w:link w:val="CommentText"/>
    <w:uiPriority w:val="99"/>
    <w:rsid w:val="00140AD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6659F"/>
    <w:rPr>
      <w:b/>
      <w:bCs/>
    </w:rPr>
  </w:style>
  <w:style w:type="character" w:styleId="CommentSubjectChar" w:customStyle="1">
    <w:name w:val="Comment Subject Char"/>
    <w:basedOn w:val="CommentTextChar"/>
    <w:link w:val="CommentSubject"/>
    <w:uiPriority w:val="99"/>
    <w:semiHidden/>
    <w:rsid w:val="0046659F"/>
    <w:rPr>
      <w:b/>
      <w:bCs/>
      <w:kern w:val="0"/>
      <w:sz w:val="20"/>
      <w:szCs w:val="20"/>
      <w14:ligatures w14:val="none"/>
    </w:rPr>
  </w:style>
  <w:style w:type="paragraph" w:styleId="Revision">
    <w:name w:val="Revision"/>
    <w:hidden/>
    <w:uiPriority w:val="99"/>
    <w:semiHidden/>
    <w:rsid w:val="00E5232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webSettings" Target="webSettings.xml" Id="rId3" /><Relationship Type="http://schemas.microsoft.com/office/2016/09/relationships/commentsIds" Target="commentsIds.xml" Id="rId7" /><Relationship Type="http://schemas.openxmlformats.org/officeDocument/2006/relationships/customXml" Target="../customXml/item1.xml" Id="rId12" /><Relationship Type="http://schemas.openxmlformats.org/officeDocument/2006/relationships/settings" Target="settings.xml" Id="rId2" /><Relationship Type="http://schemas.openxmlformats.org/officeDocument/2006/relationships/styles" Target="styles.xml" Id="rId1" /><Relationship Type="http://schemas.microsoft.com/office/2011/relationships/commentsExtended" Target="commentsExtended.xml" Id="rId6" /><Relationship Type="http://schemas.openxmlformats.org/officeDocument/2006/relationships/theme" Target="theme/theme1.xml" Id="rId11" /><Relationship Type="http://schemas.microsoft.com/office/2011/relationships/people" Target="people.xml" Id="rId10" /><Relationship Type="http://schemas.openxmlformats.org/officeDocument/2006/relationships/fontTable" Target="fontTable.xml" Id="rId9" /><Relationship Type="http://schemas.openxmlformats.org/officeDocument/2006/relationships/customXml" Target="../customXml/item3.xml" Id="rId14" /><Relationship Type="http://schemas.openxmlformats.org/officeDocument/2006/relationships/hyperlink" Target="https://www.bloomberglaw.com/product/tax/page/MLI_watch" TargetMode="External" Id="R27ceaa508b9c49f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045C6645180C49B5F3BF356B510BE9" ma:contentTypeVersion="17" ma:contentTypeDescription="Create a new document." ma:contentTypeScope="" ma:versionID="2c6bca6ae87860cc664dcbd0daa72b8e">
  <xsd:schema xmlns:xsd="http://www.w3.org/2001/XMLSchema" xmlns:xs="http://www.w3.org/2001/XMLSchema" xmlns:p="http://schemas.microsoft.com/office/2006/metadata/properties" xmlns:ns1="http://schemas.microsoft.com/sharepoint/v3" xmlns:ns2="51449d4f-8e51-4d4e-9219-a2af429b1568" xmlns:ns3="c7bd160f-8f9f-4a57-9297-bc564d29ee4c" targetNamespace="http://schemas.microsoft.com/office/2006/metadata/properties" ma:root="true" ma:fieldsID="d019ddc29850bebcffe0c463fdaac375" ns1:_="" ns2:_="" ns3:_="">
    <xsd:import namespace="http://schemas.microsoft.com/sharepoint/v3"/>
    <xsd:import namespace="51449d4f-8e51-4d4e-9219-a2af429b1568"/>
    <xsd:import namespace="c7bd160f-8f9f-4a57-9297-bc564d29ee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49d4f-8e51-4d4e-9219-a2af429b1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1f6d0e-4965-4b60-ae9c-964c369ac52e}" ma:internalName="TaxCatchAll" ma:showField="CatchAllData" ma:web="51449d4f-8e51-4d4e-9219-a2af429b1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bd160f-8f9f-4a57-9297-bc564d29ee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f3d206-2968-46ac-ad56-95a95c2927a7"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449d4f-8e51-4d4e-9219-a2af429b1568" xsi:nil="true"/>
    <lcf76f155ced4ddcb4097134ff3c332f xmlns="c7bd160f-8f9f-4a57-9297-bc564d29ee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2AAE77-6B46-45FE-9ACD-3A8454A4AE9A}"/>
</file>

<file path=customXml/itemProps2.xml><?xml version="1.0" encoding="utf-8"?>
<ds:datastoreItem xmlns:ds="http://schemas.openxmlformats.org/officeDocument/2006/customXml" ds:itemID="{F44B9173-CB3E-420D-8BA4-4B2FF337C489}"/>
</file>

<file path=customXml/itemProps3.xml><?xml version="1.0" encoding="utf-8"?>
<ds:datastoreItem xmlns:ds="http://schemas.openxmlformats.org/officeDocument/2006/customXml" ds:itemID="{31C9E96B-646F-4E4D-8391-D44BE7D54103}"/>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Stolzman, Merve</dc:creator>
  <keywords/>
  <dc:description/>
  <lastModifiedBy>Stolzman, Merve</lastModifiedBy>
  <revision>11</revision>
  <dcterms:created xsi:type="dcterms:W3CDTF">2023-12-14T16:11:00.0000000Z</dcterms:created>
  <dcterms:modified xsi:type="dcterms:W3CDTF">2024-10-18T13:33:00.4974626Z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86616f-5bb4-45d1-b9c4-7a19bded0f1d_Enabled">
    <vt:lpwstr>true</vt:lpwstr>
  </property>
  <property fmtid="{D5CDD505-2E9C-101B-9397-08002B2CF9AE}" pid="3" name="MSIP_Label_f786616f-5bb4-45d1-b9c4-7a19bded0f1d_SetDate">
    <vt:lpwstr>2023-11-02T15:41:09Z</vt:lpwstr>
  </property>
  <property fmtid="{D5CDD505-2E9C-101B-9397-08002B2CF9AE}" pid="4" name="MSIP_Label_f786616f-5bb4-45d1-b9c4-7a19bded0f1d_Method">
    <vt:lpwstr>Standard</vt:lpwstr>
  </property>
  <property fmtid="{D5CDD505-2E9C-101B-9397-08002B2CF9AE}" pid="5" name="MSIP_Label_f786616f-5bb4-45d1-b9c4-7a19bded0f1d_Name">
    <vt:lpwstr>Public</vt:lpwstr>
  </property>
  <property fmtid="{D5CDD505-2E9C-101B-9397-08002B2CF9AE}" pid="6" name="MSIP_Label_f786616f-5bb4-45d1-b9c4-7a19bded0f1d_SiteId">
    <vt:lpwstr>97be21fd-c601-4b16-9920-f5accc69da65</vt:lpwstr>
  </property>
  <property fmtid="{D5CDD505-2E9C-101B-9397-08002B2CF9AE}" pid="7" name="MSIP_Label_f786616f-5bb4-45d1-b9c4-7a19bded0f1d_ActionId">
    <vt:lpwstr>104b2123-1cee-4e16-b11a-0cb4e6b5e98a</vt:lpwstr>
  </property>
  <property fmtid="{D5CDD505-2E9C-101B-9397-08002B2CF9AE}" pid="8" name="MSIP_Label_f786616f-5bb4-45d1-b9c4-7a19bded0f1d_ContentBits">
    <vt:lpwstr>0</vt:lpwstr>
  </property>
  <property fmtid="{D5CDD505-2E9C-101B-9397-08002B2CF9AE}" pid="9" name="ContentTypeId">
    <vt:lpwstr>0x01010074045C6645180C49B5F3BF356B510BE9</vt:lpwstr>
  </property>
  <property fmtid="{D5CDD505-2E9C-101B-9397-08002B2CF9AE}" pid="10" name="MediaServiceImageTags">
    <vt:lpwstr/>
  </property>
</Properties>
</file>