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E05" w14:textId="7F97D6E9" w:rsidR="00E07F96" w:rsidRPr="00AD42D5" w:rsidRDefault="000D06BB" w:rsidP="001C58FA">
      <w:pPr>
        <w:pStyle w:val="cpCountryName"/>
      </w:pPr>
      <w:r>
        <w:t>Portugal</w:t>
      </w:r>
    </w:p>
    <w:p w14:paraId="2C2E4B83" w14:textId="21549C5B" w:rsidR="00E07F96" w:rsidRPr="00AD42D5" w:rsidRDefault="00E07F96" w:rsidP="00FE2BED">
      <w:pPr>
        <w:pStyle w:val="cpPillarTwo-TopHead"/>
        <w:ind w:left="-403"/>
        <w:rPr>
          <w:color w:val="auto"/>
          <w:spacing w:val="-2"/>
          <w:sz w:val="40"/>
          <w:szCs w:val="40"/>
        </w:rPr>
      </w:pPr>
      <w:r w:rsidRPr="00AD42D5">
        <w:rPr>
          <w:color w:val="auto"/>
          <w:spacing w:val="-2"/>
          <w:sz w:val="40"/>
          <w:szCs w:val="40"/>
        </w:rPr>
        <w:t xml:space="preserve">Pillar Two </w:t>
      </w:r>
      <w:r w:rsidR="000A40FA" w:rsidRPr="00AD42D5">
        <w:rPr>
          <w:color w:val="auto"/>
          <w:spacing w:val="-2"/>
          <w:sz w:val="40"/>
          <w:szCs w:val="40"/>
        </w:rPr>
        <w:t xml:space="preserve">Implementation </w:t>
      </w:r>
      <w:r w:rsidRPr="00AD42D5">
        <w:rPr>
          <w:color w:val="auto"/>
          <w:spacing w:val="-2"/>
          <w:sz w:val="40"/>
          <w:szCs w:val="40"/>
        </w:rPr>
        <w:t>Summary</w:t>
      </w:r>
    </w:p>
    <w:p w14:paraId="41BDD9FF" w14:textId="2C1D280C" w:rsidR="002347EC" w:rsidRPr="009E2ECD" w:rsidRDefault="002347EC" w:rsidP="008A21A5">
      <w:pPr>
        <w:pStyle w:val="cpsection-head--purplebar1st"/>
        <w:pBdr>
          <w:top w:val="single" w:sz="36" w:space="1" w:color="5E5397"/>
        </w:pBdr>
        <w:rPr>
          <w:spacing w:val="10"/>
        </w:rPr>
      </w:pPr>
      <w:proofErr w:type="spellStart"/>
      <w:r w:rsidRPr="009E2ECD">
        <w:rPr>
          <w:spacing w:val="10"/>
        </w:rPr>
        <w:t>GloBE</w:t>
      </w:r>
      <w:proofErr w:type="spellEnd"/>
      <w:r w:rsidRPr="009E2ECD">
        <w:rPr>
          <w:spacing w:val="10"/>
        </w:rPr>
        <w:t xml:space="preserve"> </w:t>
      </w:r>
      <w:r w:rsidR="009E2ECD" w:rsidRPr="009E2ECD">
        <w:rPr>
          <w:spacing w:val="10"/>
        </w:rPr>
        <w:t xml:space="preserve">RULES – GENERAL </w:t>
      </w:r>
    </w:p>
    <w:p w14:paraId="2B60EA93" w14:textId="52E07DE8" w:rsidR="002347EC" w:rsidRPr="00AD07EA" w:rsidRDefault="002347EC" w:rsidP="00D3088D">
      <w:pPr>
        <w:pStyle w:val="cpsectionHead-1st"/>
        <w:spacing w:before="120"/>
      </w:pPr>
      <w:r>
        <w:t>Law/Regulations/Guidance</w:t>
      </w:r>
      <w:r w:rsidR="2419011F">
        <w:t>.</w:t>
      </w:r>
    </w:p>
    <w:bookmarkStart w:id="0" w:name="_Hlk187917559"/>
    <w:p w14:paraId="3E1A3372" w14:textId="3A41C759" w:rsidR="00DC453C" w:rsidRPr="00AD07EA" w:rsidRDefault="00DC453C" w:rsidP="00D3088D">
      <w:pPr>
        <w:pStyle w:val="cpnormal"/>
        <w:numPr>
          <w:ilvl w:val="0"/>
          <w:numId w:val="27"/>
        </w:numPr>
        <w:spacing w:before="0"/>
      </w:pPr>
      <w:r w:rsidRPr="00AD07EA">
        <w:rPr>
          <w:bCs w:val="0"/>
        </w:rPr>
        <w:fldChar w:fldCharType="begin"/>
      </w:r>
      <w:r w:rsidRPr="00AD07EA">
        <w:rPr>
          <w:bCs w:val="0"/>
        </w:rPr>
        <w:instrText>HYPERLINK "https://diariodarepublica.pt/dr/detalhe/lei/41-2024-895990687"</w:instrText>
      </w:r>
      <w:r w:rsidRPr="00AD07EA">
        <w:rPr>
          <w:bCs w:val="0"/>
        </w:rPr>
      </w:r>
      <w:r w:rsidRPr="00AD07EA">
        <w:rPr>
          <w:bCs w:val="0"/>
        </w:rPr>
        <w:fldChar w:fldCharType="separate"/>
      </w:r>
      <w:r w:rsidR="1AF559BD" w:rsidRPr="00AD07EA">
        <w:rPr>
          <w:rStyle w:val="Hyperlink"/>
        </w:rPr>
        <w:t xml:space="preserve">Law No. 41/2024 of </w:t>
      </w:r>
      <w:r w:rsidR="0789D732" w:rsidRPr="00AD07EA">
        <w:rPr>
          <w:rStyle w:val="Hyperlink"/>
        </w:rPr>
        <w:t xml:space="preserve">8 </w:t>
      </w:r>
      <w:r w:rsidR="1AF559BD" w:rsidRPr="00AD07EA">
        <w:rPr>
          <w:rStyle w:val="Hyperlink"/>
        </w:rPr>
        <w:t>November</w:t>
      </w:r>
      <w:r w:rsidRPr="00AD07EA">
        <w:rPr>
          <w:bCs w:val="0"/>
        </w:rPr>
        <w:fldChar w:fldCharType="end"/>
      </w:r>
      <w:bookmarkEnd w:id="0"/>
      <w:r w:rsidR="1AF559BD" w:rsidRPr="00AD07EA">
        <w:t xml:space="preserve"> (2024)</w:t>
      </w:r>
      <w:r w:rsidR="6CE6588A" w:rsidRPr="00AD07EA">
        <w:t>.</w:t>
      </w:r>
    </w:p>
    <w:p w14:paraId="6B315230" w14:textId="2C3AF3BB" w:rsidR="00471671" w:rsidRPr="001F3113" w:rsidRDefault="00840B0A" w:rsidP="00D3088D">
      <w:pPr>
        <w:pStyle w:val="cpnormal"/>
      </w:pPr>
      <w:r w:rsidRPr="6C38B6F4">
        <w:rPr>
          <w:rStyle w:val="cprun-inHead--purple"/>
        </w:rPr>
        <w:t>Revenue Threshold</w:t>
      </w:r>
      <w:r w:rsidR="5B438913" w:rsidRPr="6C38B6F4">
        <w:rPr>
          <w:rStyle w:val="cprun-inHead--purple"/>
        </w:rPr>
        <w:t>.</w:t>
      </w:r>
      <w:r>
        <w:t xml:space="preserve"> </w:t>
      </w:r>
      <w:r w:rsidR="1AF559BD">
        <w:t xml:space="preserve">MNE groups (or large domestic groups) with consolidated annual revenues equal to or exceeding €750 million for at least two of the four </w:t>
      </w:r>
      <w:r w:rsidR="51FA7921">
        <w:t xml:space="preserve">fiscal </w:t>
      </w:r>
      <w:r w:rsidR="1AF559BD">
        <w:t xml:space="preserve">years preceding the relevant </w:t>
      </w:r>
      <w:r w:rsidR="51FA7921">
        <w:t>fiscal</w:t>
      </w:r>
      <w:r w:rsidR="1AF559BD">
        <w:t xml:space="preserve"> year.</w:t>
      </w:r>
    </w:p>
    <w:p w14:paraId="5E2ADFEA" w14:textId="4C2E3DD3" w:rsidR="00471671" w:rsidRPr="00F549A2" w:rsidRDefault="00840B0A" w:rsidP="73C267C6">
      <w:pPr>
        <w:pStyle w:val="cpnormal"/>
        <w:rPr>
          <w:b/>
          <w:u w:val="single"/>
        </w:rPr>
      </w:pPr>
      <w:r w:rsidRPr="6C38B6F4">
        <w:rPr>
          <w:rStyle w:val="cprun-inHead--purple"/>
        </w:rPr>
        <w:t>OECD Guidelines/EU Directive</w:t>
      </w:r>
      <w:r w:rsidR="5B438913" w:rsidRPr="6C38B6F4">
        <w:rPr>
          <w:rStyle w:val="cprun-inHead--purple"/>
        </w:rPr>
        <w:t>.</w:t>
      </w:r>
      <w:r w:rsidRPr="6C38B6F4">
        <w:rPr>
          <w:i/>
          <w:iCs/>
        </w:rPr>
        <w:t xml:space="preserve"> </w:t>
      </w:r>
      <w:r w:rsidR="1AF559BD">
        <w:t>Generally, in line with the OECD model rules and the EU Directive.</w:t>
      </w:r>
    </w:p>
    <w:p w14:paraId="12F608F8" w14:textId="4CDB0F79" w:rsidR="00471671" w:rsidRPr="002F16AD" w:rsidRDefault="00840B0A" w:rsidP="73C267C6">
      <w:pPr>
        <w:pStyle w:val="cpnormal"/>
        <w:rPr>
          <w:rStyle w:val="cprun-inHead--purple"/>
          <w:b w:val="0"/>
          <w:bCs w:val="0"/>
          <w:color w:val="auto"/>
        </w:rPr>
      </w:pPr>
      <w:r w:rsidRPr="6C38B6F4">
        <w:rPr>
          <w:rStyle w:val="cprun-inHead--purple"/>
        </w:rPr>
        <w:t xml:space="preserve">Safe </w:t>
      </w:r>
      <w:proofErr w:type="spellStart"/>
      <w:r w:rsidRPr="6C38B6F4">
        <w:rPr>
          <w:rStyle w:val="cprun-inHead--purple"/>
        </w:rPr>
        <w:t>Harbours</w:t>
      </w:r>
      <w:proofErr w:type="spellEnd"/>
      <w:r w:rsidR="7F3419BB" w:rsidRPr="6C38B6F4">
        <w:rPr>
          <w:rStyle w:val="cprun-inHead--purple"/>
        </w:rPr>
        <w:t>.</w:t>
      </w:r>
    </w:p>
    <w:p w14:paraId="03C2C4AD" w14:textId="7E0AAB4D" w:rsidR="00471671" w:rsidRPr="00E8522E" w:rsidRDefault="00840B0A" w:rsidP="00D3088D">
      <w:pPr>
        <w:pStyle w:val="cpbullet"/>
        <w:rPr>
          <w:u w:val="single"/>
        </w:rPr>
      </w:pPr>
      <w:r w:rsidRPr="73C267C6">
        <w:rPr>
          <w:i/>
          <w:iCs/>
        </w:rPr>
        <w:t xml:space="preserve">Transitional CbCR Safe </w:t>
      </w:r>
      <w:proofErr w:type="spellStart"/>
      <w:r w:rsidRPr="73C267C6">
        <w:rPr>
          <w:i/>
          <w:iCs/>
        </w:rPr>
        <w:t>Harbour</w:t>
      </w:r>
      <w:proofErr w:type="spellEnd"/>
      <w:r w:rsidRPr="73C267C6">
        <w:rPr>
          <w:i/>
          <w:iCs/>
        </w:rPr>
        <w:t>:</w:t>
      </w:r>
      <w:r>
        <w:t xml:space="preserve"> </w:t>
      </w:r>
      <w:r w:rsidR="22DEA6E1" w:rsidRPr="73C267C6">
        <w:rPr>
          <w:rStyle w:val="cprun-inHead--purple"/>
          <w:b w:val="0"/>
          <w:bCs w:val="0"/>
          <w:color w:val="auto"/>
        </w:rPr>
        <w:t>A</w:t>
      </w:r>
      <w:r w:rsidR="1AF559BD" w:rsidRPr="73C267C6">
        <w:rPr>
          <w:rStyle w:val="cprun-inHead--purple"/>
          <w:b w:val="0"/>
          <w:bCs w:val="0"/>
          <w:color w:val="auto"/>
        </w:rPr>
        <w:t>dopted</w:t>
      </w:r>
      <w:r w:rsidR="79DCE292" w:rsidRPr="73C267C6">
        <w:rPr>
          <w:rStyle w:val="cprun-inHead--purple"/>
          <w:b w:val="0"/>
          <w:bCs w:val="0"/>
          <w:color w:val="auto"/>
        </w:rPr>
        <w:t xml:space="preserve"> (Law No. 41/2024)</w:t>
      </w:r>
      <w:r w:rsidR="72CE5B6D" w:rsidRPr="73C267C6">
        <w:rPr>
          <w:rStyle w:val="cprun-inHead--purple"/>
          <w:b w:val="0"/>
          <w:bCs w:val="0"/>
          <w:color w:val="auto"/>
        </w:rPr>
        <w:t>.</w:t>
      </w:r>
    </w:p>
    <w:p w14:paraId="61FFC543" w14:textId="1FE2CEE7" w:rsidR="00471671" w:rsidRPr="00401760" w:rsidRDefault="00840B0A" w:rsidP="00D3088D">
      <w:pPr>
        <w:pStyle w:val="cpbullet"/>
        <w:rPr>
          <w:u w:val="single"/>
        </w:rPr>
      </w:pPr>
      <w:r w:rsidRPr="73C267C6">
        <w:rPr>
          <w:i/>
          <w:iCs/>
        </w:rPr>
        <w:t xml:space="preserve">Transitional UTPR Safe </w:t>
      </w:r>
      <w:proofErr w:type="spellStart"/>
      <w:r w:rsidRPr="73C267C6">
        <w:rPr>
          <w:i/>
          <w:iCs/>
        </w:rPr>
        <w:t>Harbour</w:t>
      </w:r>
      <w:proofErr w:type="spellEnd"/>
      <w:r w:rsidRPr="73C267C6">
        <w:rPr>
          <w:i/>
          <w:iCs/>
        </w:rPr>
        <w:t>:</w:t>
      </w:r>
      <w:r>
        <w:t xml:space="preserve"> </w:t>
      </w:r>
      <w:r w:rsidR="1AF559BD" w:rsidRPr="73C267C6">
        <w:rPr>
          <w:rStyle w:val="cprun-inHead--purple"/>
          <w:b w:val="0"/>
          <w:bCs w:val="0"/>
          <w:color w:val="auto"/>
        </w:rPr>
        <w:t>Adopted</w:t>
      </w:r>
      <w:r w:rsidR="51DEC1D8" w:rsidRPr="73C267C6">
        <w:rPr>
          <w:rStyle w:val="cprun-inHead--purple"/>
          <w:b w:val="0"/>
          <w:bCs w:val="0"/>
          <w:color w:val="auto"/>
        </w:rPr>
        <w:t xml:space="preserve"> </w:t>
      </w:r>
      <w:r w:rsidR="18B9D5D7" w:rsidRPr="73C267C6">
        <w:rPr>
          <w:rStyle w:val="cprun-inHead--purple"/>
          <w:b w:val="0"/>
          <w:bCs w:val="0"/>
          <w:color w:val="auto"/>
        </w:rPr>
        <w:t>(Law No. 41/2024)</w:t>
      </w:r>
      <w:r w:rsidR="51DEC1D8" w:rsidRPr="73C267C6">
        <w:rPr>
          <w:rStyle w:val="cprun-inHead--purple"/>
          <w:b w:val="0"/>
          <w:bCs w:val="0"/>
          <w:color w:val="auto"/>
        </w:rPr>
        <w:t>.</w:t>
      </w:r>
    </w:p>
    <w:p w14:paraId="2C3F7FD2" w14:textId="6D3E513D" w:rsidR="00471671" w:rsidRPr="00656358" w:rsidRDefault="00840B0A" w:rsidP="00D3088D">
      <w:pPr>
        <w:pStyle w:val="cpbullet"/>
        <w:rPr>
          <w:rStyle w:val="cprun-inHead--purple"/>
          <w:b w:val="0"/>
          <w:bCs w:val="0"/>
          <w:color w:val="auto"/>
        </w:rPr>
      </w:pPr>
      <w:r w:rsidRPr="73C267C6">
        <w:rPr>
          <w:i/>
          <w:iCs/>
        </w:rPr>
        <w:t xml:space="preserve">QDMTT Safe </w:t>
      </w:r>
      <w:proofErr w:type="spellStart"/>
      <w:r w:rsidRPr="73C267C6">
        <w:rPr>
          <w:i/>
          <w:iCs/>
        </w:rPr>
        <w:t>Harbour</w:t>
      </w:r>
      <w:proofErr w:type="spellEnd"/>
      <w:r w:rsidRPr="73C267C6">
        <w:rPr>
          <w:i/>
          <w:iCs/>
        </w:rPr>
        <w:t>:</w:t>
      </w:r>
      <w:r>
        <w:t xml:space="preserve"> </w:t>
      </w:r>
      <w:r w:rsidR="1AF559BD" w:rsidRPr="73C267C6">
        <w:rPr>
          <w:rStyle w:val="cprun-inHead--purple"/>
          <w:b w:val="0"/>
          <w:bCs w:val="0"/>
          <w:color w:val="auto"/>
        </w:rPr>
        <w:t>Adopted</w:t>
      </w:r>
      <w:r w:rsidR="55ED711B" w:rsidRPr="73C267C6">
        <w:rPr>
          <w:rStyle w:val="cprun-inHead--purple"/>
          <w:b w:val="0"/>
          <w:bCs w:val="0"/>
          <w:color w:val="auto"/>
        </w:rPr>
        <w:t xml:space="preserve"> </w:t>
      </w:r>
      <w:r w:rsidR="18B9D5D7" w:rsidRPr="73C267C6">
        <w:rPr>
          <w:rStyle w:val="cprun-inHead--purple"/>
          <w:b w:val="0"/>
          <w:bCs w:val="0"/>
          <w:color w:val="auto"/>
        </w:rPr>
        <w:t>(Law No. 41/2024</w:t>
      </w:r>
      <w:r w:rsidR="41D674CA" w:rsidRPr="73C267C6">
        <w:rPr>
          <w:rStyle w:val="cprun-inHead--purple"/>
          <w:b w:val="0"/>
          <w:bCs w:val="0"/>
          <w:color w:val="auto"/>
        </w:rPr>
        <w:t>)</w:t>
      </w:r>
      <w:r w:rsidR="7B7B364C" w:rsidRPr="73C267C6">
        <w:rPr>
          <w:rStyle w:val="cprun-inHead--purple"/>
          <w:b w:val="0"/>
          <w:bCs w:val="0"/>
          <w:color w:val="auto"/>
        </w:rPr>
        <w:t>.</w:t>
      </w:r>
    </w:p>
    <w:p w14:paraId="487E17F6" w14:textId="25A49FF1" w:rsidR="0065090E" w:rsidRPr="00EF78D7" w:rsidRDefault="005F8B61" w:rsidP="00D3088D">
      <w:pPr>
        <w:pStyle w:val="cpbullet"/>
        <w:rPr>
          <w:u w:val="single"/>
        </w:rPr>
      </w:pPr>
      <w:r w:rsidRPr="73C267C6">
        <w:rPr>
          <w:i/>
          <w:iCs/>
        </w:rPr>
        <w:t xml:space="preserve">Simplified Calculations Safe </w:t>
      </w:r>
      <w:proofErr w:type="spellStart"/>
      <w:r w:rsidRPr="73C267C6">
        <w:rPr>
          <w:i/>
          <w:iCs/>
        </w:rPr>
        <w:t>Harbour</w:t>
      </w:r>
      <w:proofErr w:type="spellEnd"/>
      <w:r w:rsidRPr="73C267C6">
        <w:rPr>
          <w:i/>
          <w:iCs/>
        </w:rPr>
        <w:t xml:space="preserve"> (</w:t>
      </w:r>
      <w:r w:rsidR="29358FFB" w:rsidRPr="73C267C6">
        <w:rPr>
          <w:i/>
          <w:iCs/>
        </w:rPr>
        <w:t>for</w:t>
      </w:r>
      <w:r w:rsidRPr="73C267C6">
        <w:rPr>
          <w:i/>
          <w:iCs/>
        </w:rPr>
        <w:t xml:space="preserve"> non-material constituent entities)</w:t>
      </w:r>
      <w:r w:rsidR="00840B0A" w:rsidRPr="73C267C6">
        <w:rPr>
          <w:i/>
          <w:iCs/>
        </w:rPr>
        <w:t>:</w:t>
      </w:r>
      <w:r w:rsidR="00840B0A">
        <w:t xml:space="preserve"> </w:t>
      </w:r>
      <w:r w:rsidR="1AF559BD" w:rsidRPr="73C267C6">
        <w:rPr>
          <w:rStyle w:val="cprun-inHead--purple"/>
          <w:b w:val="0"/>
          <w:bCs w:val="0"/>
          <w:color w:val="auto"/>
        </w:rPr>
        <w:t>Adopted</w:t>
      </w:r>
      <w:r w:rsidR="2B24636D" w:rsidRPr="73C267C6">
        <w:rPr>
          <w:rStyle w:val="cprun-inHead--purple"/>
          <w:b w:val="0"/>
          <w:bCs w:val="0"/>
          <w:color w:val="auto"/>
        </w:rPr>
        <w:t xml:space="preserve"> (Law No. 41/2024)</w:t>
      </w:r>
      <w:r w:rsidRPr="73C267C6">
        <w:rPr>
          <w:rStyle w:val="cprun-inHead--purple"/>
          <w:b w:val="0"/>
          <w:bCs w:val="0"/>
          <w:color w:val="auto"/>
        </w:rPr>
        <w:t>.</w:t>
      </w:r>
      <w:r w:rsidR="29358FFB" w:rsidRPr="73C267C6">
        <w:rPr>
          <w:rStyle w:val="cprun-inHead--purple"/>
          <w:b w:val="0"/>
          <w:bCs w:val="0"/>
          <w:color w:val="auto"/>
        </w:rPr>
        <w:t xml:space="preserve"> </w:t>
      </w:r>
    </w:p>
    <w:p w14:paraId="51D1DD6E" w14:textId="77777777" w:rsidR="008146FA" w:rsidRDefault="5AB1C6FA" w:rsidP="008146FA">
      <w:pPr>
        <w:pStyle w:val="cpbullet"/>
        <w:numPr>
          <w:ilvl w:val="0"/>
          <w:numId w:val="0"/>
        </w:numPr>
        <w:spacing w:after="0"/>
      </w:pPr>
      <w:r w:rsidRPr="73C267C6">
        <w:rPr>
          <w:b/>
          <w:color w:val="5E5397"/>
        </w:rPr>
        <w:t>Registration.</w:t>
      </w:r>
      <w:r w:rsidRPr="00F56768">
        <w:t xml:space="preserve"> </w:t>
      </w:r>
      <w:r w:rsidR="4652AE49" w:rsidRPr="00F56768">
        <w:t>Each</w:t>
      </w:r>
      <w:r w:rsidRPr="00F56768">
        <w:t xml:space="preserve"> constituent entity located in </w:t>
      </w:r>
      <w:r w:rsidR="39CD886B" w:rsidRPr="00F56768">
        <w:t>Portugal</w:t>
      </w:r>
      <w:r w:rsidRPr="00F56768">
        <w:t xml:space="preserve"> </w:t>
      </w:r>
      <w:r w:rsidR="7DAE405B">
        <w:t xml:space="preserve">and </w:t>
      </w:r>
      <w:r w:rsidRPr="00F56768">
        <w:t xml:space="preserve">subject to the </w:t>
      </w:r>
      <w:r w:rsidR="7DAE405B" w:rsidRPr="73C267C6">
        <w:t>Global Minimum Tax Regime</w:t>
      </w:r>
      <w:r w:rsidR="7DAE405B">
        <w:t xml:space="preserve"> </w:t>
      </w:r>
      <w:r w:rsidRPr="00F56768">
        <w:t xml:space="preserve">must register </w:t>
      </w:r>
      <w:r w:rsidR="7967D944" w:rsidRPr="73C267C6">
        <w:t>its status as a reporting constituent entity</w:t>
      </w:r>
      <w:r w:rsidR="221D292A" w:rsidRPr="73C267C6">
        <w:t xml:space="preserve"> or</w:t>
      </w:r>
      <w:r w:rsidR="3B900208" w:rsidRPr="73C267C6">
        <w:t>, if applicable,</w:t>
      </w:r>
      <w:r w:rsidR="4B70FEAA" w:rsidRPr="73C267C6">
        <w:t xml:space="preserve"> </w:t>
      </w:r>
      <w:r w:rsidR="221D292A" w:rsidRPr="73C267C6">
        <w:t xml:space="preserve">the constituent </w:t>
      </w:r>
      <w:r w:rsidR="4B70FEAA" w:rsidRPr="73C267C6">
        <w:t>entity</w:t>
      </w:r>
      <w:r w:rsidR="221D292A" w:rsidRPr="73C267C6">
        <w:t xml:space="preserve"> of the group corresponding to the designated local entity</w:t>
      </w:r>
      <w:r w:rsidR="0D4BB798" w:rsidRPr="73C267C6">
        <w:t xml:space="preserve">.  </w:t>
      </w:r>
      <w:r w:rsidR="31057FB1" w:rsidRPr="73C267C6">
        <w:t>The</w:t>
      </w:r>
      <w:r w:rsidR="1D7138BE" w:rsidRPr="73C267C6">
        <w:t xml:space="preserve"> ultimate parent entity or the designated reporting entity (as well as the jurisd</w:t>
      </w:r>
      <w:r w:rsidR="19F9854F" w:rsidRPr="73C267C6">
        <w:t>i</w:t>
      </w:r>
      <w:r w:rsidR="1D7138BE" w:rsidRPr="73C267C6">
        <w:t>ct</w:t>
      </w:r>
      <w:r w:rsidR="19F9854F" w:rsidRPr="73C267C6">
        <w:t>i</w:t>
      </w:r>
      <w:r w:rsidR="1D7138BE" w:rsidRPr="73C267C6">
        <w:t xml:space="preserve">on </w:t>
      </w:r>
      <w:r w:rsidR="19F9854F" w:rsidRPr="73C267C6">
        <w:t>in which the entity is located)</w:t>
      </w:r>
      <w:r w:rsidR="433E98BA" w:rsidRPr="73C267C6">
        <w:t xml:space="preserve"> must </w:t>
      </w:r>
      <w:r w:rsidR="31057FB1" w:rsidRPr="73C267C6">
        <w:t xml:space="preserve">also </w:t>
      </w:r>
      <w:r w:rsidR="433E98BA" w:rsidRPr="73C267C6">
        <w:t>be registered, if relevant</w:t>
      </w:r>
      <w:r w:rsidR="19F9854F" w:rsidRPr="73C267C6">
        <w:t>.</w:t>
      </w:r>
      <w:r w:rsidR="0007322A" w:rsidRPr="73C267C6">
        <w:rPr>
          <w:rStyle w:val="FootnoteReference"/>
        </w:rPr>
        <w:footnoteReference w:id="2"/>
      </w:r>
      <w:r w:rsidR="6ED61965">
        <w:t xml:space="preserve"> </w:t>
      </w:r>
      <w:r w:rsidR="6C1B02E9">
        <w:t xml:space="preserve">Subsequent changes </w:t>
      </w:r>
    </w:p>
    <w:p w14:paraId="6FEBC8CC" w14:textId="6F9ACE98" w:rsidR="00683710" w:rsidRDefault="6C1B02E9" w:rsidP="008146FA">
      <w:pPr>
        <w:pStyle w:val="cpbullet"/>
        <w:numPr>
          <w:ilvl w:val="0"/>
          <w:numId w:val="0"/>
        </w:numPr>
        <w:spacing w:after="0"/>
      </w:pPr>
      <w:r>
        <w:t>must be notified.</w:t>
      </w:r>
      <w:r w:rsidR="19F9854F" w:rsidRPr="00F56768">
        <w:t xml:space="preserve">  </w:t>
      </w:r>
      <w:r w:rsidR="7A022FC9">
        <w:t xml:space="preserve"> </w:t>
      </w:r>
      <w:r w:rsidR="6E26731B">
        <w:t xml:space="preserve">    </w:t>
      </w:r>
    </w:p>
    <w:p w14:paraId="5119E200" w14:textId="02202DAD" w:rsidR="00683710" w:rsidRPr="002D27C1" w:rsidRDefault="5AB1C6FA" w:rsidP="73C267C6">
      <w:pPr>
        <w:pStyle w:val="cpbullet"/>
      </w:pPr>
      <w:r w:rsidRPr="73C267C6">
        <w:rPr>
          <w:i/>
          <w:iCs/>
        </w:rPr>
        <w:t>Form/Filing Instruction</w:t>
      </w:r>
      <w:r>
        <w:t xml:space="preserve">: </w:t>
      </w:r>
      <w:r w:rsidR="4EC7BFC3">
        <w:t>Filed electronically via an official form to be approved by ministerial order</w:t>
      </w:r>
      <w:r w:rsidR="39EB16A7">
        <w:t>.</w:t>
      </w:r>
    </w:p>
    <w:p w14:paraId="32C7E7D3" w14:textId="4F58EE9B" w:rsidR="00D253E9" w:rsidRPr="0048626B" w:rsidRDefault="5AB1C6FA" w:rsidP="73C267C6">
      <w:pPr>
        <w:pStyle w:val="cpbullet"/>
      </w:pPr>
      <w:r w:rsidRPr="73C267C6">
        <w:rPr>
          <w:i/>
          <w:iCs/>
        </w:rPr>
        <w:t>Deadline</w:t>
      </w:r>
      <w:r w:rsidR="3F3E2F79" w:rsidRPr="73C267C6">
        <w:rPr>
          <w:i/>
          <w:iCs/>
        </w:rPr>
        <w:t xml:space="preserve"> for Filing</w:t>
      </w:r>
      <w:r>
        <w:t xml:space="preserve">: Within </w:t>
      </w:r>
      <w:r w:rsidR="1092D28C">
        <w:t>9</w:t>
      </w:r>
      <w:r>
        <w:t xml:space="preserve"> months from the end of the relevant </w:t>
      </w:r>
      <w:r w:rsidR="7B00A5FC">
        <w:t>fiscal</w:t>
      </w:r>
      <w:r>
        <w:t xml:space="preserve"> year; however, for the first year, the deadline is extended to </w:t>
      </w:r>
      <w:r w:rsidR="4AECEF62">
        <w:t>12</w:t>
      </w:r>
      <w:r>
        <w:t xml:space="preserve"> months from the end of the relevant </w:t>
      </w:r>
      <w:r w:rsidR="7B00A5FC">
        <w:t>fiscal</w:t>
      </w:r>
      <w:r>
        <w:t xml:space="preserve"> year.</w:t>
      </w:r>
      <w:r w:rsidR="0C7AF9A0">
        <w:t xml:space="preserve"> </w:t>
      </w:r>
    </w:p>
    <w:p w14:paraId="39BD8E5E" w14:textId="34E913A5" w:rsidR="00DC7D25" w:rsidRDefault="00840B0A" w:rsidP="00D3088D">
      <w:pPr>
        <w:pStyle w:val="cpnormal"/>
      </w:pPr>
      <w:proofErr w:type="spellStart"/>
      <w:r w:rsidRPr="73C267C6">
        <w:rPr>
          <w:rStyle w:val="cprun-inHead--purple"/>
        </w:rPr>
        <w:t>GloBE</w:t>
      </w:r>
      <w:proofErr w:type="spellEnd"/>
      <w:r w:rsidRPr="73C267C6">
        <w:rPr>
          <w:rStyle w:val="cprun-inHead--purple"/>
        </w:rPr>
        <w:t xml:space="preserve"> Information Return (GIR)</w:t>
      </w:r>
      <w:r w:rsidR="48F2F3BE" w:rsidRPr="73C267C6">
        <w:rPr>
          <w:rStyle w:val="cprun-inHead--purple"/>
        </w:rPr>
        <w:t>.</w:t>
      </w:r>
      <w:r w:rsidRPr="73C267C6">
        <w:rPr>
          <w:rStyle w:val="cprun-inHead--purple"/>
        </w:rPr>
        <w:t xml:space="preserve"> </w:t>
      </w:r>
      <w:r w:rsidR="0A134313">
        <w:t>Each constituent entity located in Portugal</w:t>
      </w:r>
      <w:r w:rsidR="03D5C86C">
        <w:t xml:space="preserve"> </w:t>
      </w:r>
      <w:r w:rsidR="0A134313">
        <w:t xml:space="preserve">is required to file the </w:t>
      </w:r>
      <w:r w:rsidR="2345F143">
        <w:t>Complementary Tax Information Declaration (</w:t>
      </w:r>
      <w:proofErr w:type="spellStart"/>
      <w:r w:rsidR="0A134313">
        <w:t>GloBE</w:t>
      </w:r>
      <w:proofErr w:type="spellEnd"/>
      <w:r w:rsidR="0A134313">
        <w:t xml:space="preserve"> Information Return </w:t>
      </w:r>
      <w:r w:rsidR="2345F143">
        <w:t xml:space="preserve">or </w:t>
      </w:r>
      <w:r w:rsidR="0A134313">
        <w:t xml:space="preserve">GIR). If a group has multiple </w:t>
      </w:r>
      <w:r w:rsidR="03D5C86C">
        <w:t>Portug</w:t>
      </w:r>
      <w:r w:rsidR="52C84BBE">
        <w:t>uese</w:t>
      </w:r>
      <w:r w:rsidR="0A134313">
        <w:t xml:space="preserve"> constituent entities, </w:t>
      </w:r>
      <w:r w:rsidR="6BB1A32B">
        <w:t xml:space="preserve">a </w:t>
      </w:r>
      <w:r w:rsidR="12BF8EE3">
        <w:t xml:space="preserve">designated </w:t>
      </w:r>
      <w:r w:rsidR="6BB1A32B">
        <w:t>local entity</w:t>
      </w:r>
      <w:r w:rsidR="0A134313">
        <w:t xml:space="preserve"> can be </w:t>
      </w:r>
      <w:r w:rsidR="12BF8EE3">
        <w:t>assigned</w:t>
      </w:r>
      <w:r w:rsidR="0A134313">
        <w:t xml:space="preserve"> to file the return on behalf of the other constituent entities. </w:t>
      </w:r>
    </w:p>
    <w:p w14:paraId="76DB17D5" w14:textId="374B0070" w:rsidR="00825EE5" w:rsidRDefault="0A134313" w:rsidP="00D3088D">
      <w:pPr>
        <w:pStyle w:val="cpnormal"/>
      </w:pPr>
      <w:r>
        <w:t xml:space="preserve">A </w:t>
      </w:r>
      <w:r w:rsidR="03D5C86C">
        <w:t>Portug</w:t>
      </w:r>
      <w:r w:rsidR="17557304">
        <w:t>uese</w:t>
      </w:r>
      <w:r>
        <w:t xml:space="preserve"> constituent entity is not required to file a GIR if the return is filed by the ultimate parent entity or designated filing entity located in a jurisdiction </w:t>
      </w:r>
      <w:r w:rsidR="6A3869C4">
        <w:t xml:space="preserve">in which a </w:t>
      </w:r>
      <w:r w:rsidR="17E831CE">
        <w:t xml:space="preserve">qualified </w:t>
      </w:r>
      <w:r w:rsidR="0572F822">
        <w:t xml:space="preserve">competent authority </w:t>
      </w:r>
      <w:r w:rsidR="17E831CE">
        <w:t>agreement</w:t>
      </w:r>
      <w:r w:rsidR="6A3869C4">
        <w:t xml:space="preserve"> entered into by the Portuguese competent authority is in force</w:t>
      </w:r>
      <w:r w:rsidR="02560233">
        <w:t xml:space="preserve"> </w:t>
      </w:r>
      <w:r>
        <w:t>for the relevant fiscal year.</w:t>
      </w:r>
      <w:r w:rsidR="17E831CE">
        <w:t xml:space="preserve"> </w:t>
      </w:r>
    </w:p>
    <w:p w14:paraId="4E2E2D41" w14:textId="2FD85D62" w:rsidR="00825EE5" w:rsidRPr="00D61762" w:rsidRDefault="49186D4C" w:rsidP="00D3088D">
      <w:pPr>
        <w:pStyle w:val="cpnormal"/>
        <w:numPr>
          <w:ilvl w:val="0"/>
          <w:numId w:val="27"/>
        </w:numPr>
        <w:spacing w:before="0"/>
      </w:pPr>
      <w:r w:rsidRPr="73C267C6">
        <w:rPr>
          <w:i/>
          <w:iCs/>
        </w:rPr>
        <w:t>Form/Filing Instructions:</w:t>
      </w:r>
      <w:r>
        <w:t xml:space="preserve"> </w:t>
      </w:r>
      <w:r w:rsidR="139FCD16">
        <w:t xml:space="preserve">Filed </w:t>
      </w:r>
      <w:r w:rsidR="5E0E2D0C">
        <w:t>electronically</w:t>
      </w:r>
      <w:r w:rsidR="139FCD16">
        <w:t xml:space="preserve"> via a</w:t>
      </w:r>
      <w:r w:rsidR="7416E2DA">
        <w:t>n official</w:t>
      </w:r>
      <w:r w:rsidR="139FCD16">
        <w:t xml:space="preserve"> form to be approved by </w:t>
      </w:r>
      <w:r w:rsidR="5E0E2D0C">
        <w:t>ministerial</w:t>
      </w:r>
      <w:r w:rsidR="7416E2DA">
        <w:t xml:space="preserve"> order</w:t>
      </w:r>
      <w:r w:rsidR="139FCD16">
        <w:t>.</w:t>
      </w:r>
    </w:p>
    <w:p w14:paraId="2FDD9A35" w14:textId="32E0C6F7" w:rsidR="00825EE5" w:rsidRPr="00B63105" w:rsidRDefault="49186D4C" w:rsidP="00D3088D">
      <w:pPr>
        <w:pStyle w:val="cpnormal"/>
        <w:numPr>
          <w:ilvl w:val="0"/>
          <w:numId w:val="27"/>
        </w:numPr>
        <w:spacing w:before="0"/>
      </w:pPr>
      <w:r w:rsidRPr="73C267C6">
        <w:rPr>
          <w:i/>
          <w:iCs/>
        </w:rPr>
        <w:t>Deadline for Filing:</w:t>
      </w:r>
      <w:r>
        <w:t xml:space="preserve"> Within 15 months from the end of the relevant fiscal year; however, for the first year, the deadline is extended to 18 months from the end of the relevant fiscal year.  </w:t>
      </w:r>
    </w:p>
    <w:p w14:paraId="71F04C4B" w14:textId="7B49CA6C" w:rsidR="00681B4C" w:rsidRPr="008E04CD" w:rsidRDefault="3F95CC1A" w:rsidP="00D3088D">
      <w:pPr>
        <w:pStyle w:val="cpnormal"/>
      </w:pPr>
      <w:r w:rsidRPr="73C267C6">
        <w:rPr>
          <w:rStyle w:val="cprun-inHead--purple"/>
        </w:rPr>
        <w:lastRenderedPageBreak/>
        <w:t>Notification of Filing Entity.</w:t>
      </w:r>
      <w:r>
        <w:t xml:space="preserve"> If the GIR is filed by the ultimate parent entity or designated filing entity located in a jurisdiction </w:t>
      </w:r>
      <w:r w:rsidR="28960272">
        <w:t xml:space="preserve">with </w:t>
      </w:r>
      <w:r w:rsidR="3FE1B109">
        <w:t xml:space="preserve">a qualified competent authority agreement </w:t>
      </w:r>
      <w:r w:rsidR="06413375">
        <w:t>with Portugal</w:t>
      </w:r>
      <w:r>
        <w:t xml:space="preserve">, </w:t>
      </w:r>
      <w:r w:rsidR="2ED76CB5">
        <w:t xml:space="preserve">the ultimate parent entity or the designated reporting entity (as well as the jurisdiction in which the entity is located) must be registered </w:t>
      </w:r>
      <w:r>
        <w:t>with the Portugal tax authorities.</w:t>
      </w:r>
      <w:r w:rsidR="3F1CE9C0">
        <w:t xml:space="preserve"> </w:t>
      </w:r>
      <w:r>
        <w:t> </w:t>
      </w:r>
    </w:p>
    <w:p w14:paraId="2AABBAE1" w14:textId="07CB284B" w:rsidR="00681B4C" w:rsidRPr="00FF1FCB" w:rsidRDefault="00681B4C" w:rsidP="00D3088D">
      <w:pPr>
        <w:pStyle w:val="cpnormal"/>
        <w:numPr>
          <w:ilvl w:val="0"/>
          <w:numId w:val="27"/>
        </w:numPr>
        <w:spacing w:before="0"/>
      </w:pPr>
      <w:r w:rsidRPr="00FF1FCB">
        <w:rPr>
          <w:i/>
          <w:iCs/>
        </w:rPr>
        <w:t>Form/Filing Instructions:</w:t>
      </w:r>
      <w:r w:rsidRPr="00FF1FCB">
        <w:t xml:space="preserve"> </w:t>
      </w:r>
      <w:r w:rsidR="00FF1FCB" w:rsidRPr="00FF1FCB">
        <w:t>Filed electronically via an official form to be approved by ministerial order</w:t>
      </w:r>
      <w:r w:rsidRPr="00FF1FCB">
        <w:t>.</w:t>
      </w:r>
    </w:p>
    <w:p w14:paraId="192D174B" w14:textId="19548DB1" w:rsidR="00681B4C" w:rsidRPr="00C06984" w:rsidRDefault="3F95CC1A" w:rsidP="00D3088D">
      <w:pPr>
        <w:pStyle w:val="cpnormal"/>
        <w:numPr>
          <w:ilvl w:val="0"/>
          <w:numId w:val="27"/>
        </w:numPr>
        <w:spacing w:before="0"/>
      </w:pPr>
      <w:r w:rsidRPr="73C267C6">
        <w:rPr>
          <w:i/>
          <w:iCs/>
        </w:rPr>
        <w:t>Deadline for Filing:</w:t>
      </w:r>
      <w:r>
        <w:t xml:space="preserve"> Within </w:t>
      </w:r>
      <w:r w:rsidR="23B0D699">
        <w:t>9</w:t>
      </w:r>
      <w:r>
        <w:t xml:space="preserve"> months from the end of the relevant fiscal year; however, for the first year, the deadline is extended to 1</w:t>
      </w:r>
      <w:r w:rsidR="23B0D699">
        <w:t>2</w:t>
      </w:r>
      <w:r>
        <w:t xml:space="preserve"> months from the end of the relevant fiscal year.  </w:t>
      </w:r>
    </w:p>
    <w:p w14:paraId="43CD92BA" w14:textId="0F9373FC" w:rsidR="00224DDC" w:rsidRPr="00953878" w:rsidRDefault="0A134313" w:rsidP="00D3088D">
      <w:pPr>
        <w:pStyle w:val="cpnormal"/>
        <w:rPr>
          <w:rFonts w:ascii="Roboto" w:hAnsi="Roboto"/>
          <w:color w:val="272B30"/>
          <w:sz w:val="21"/>
          <w:szCs w:val="21"/>
          <w:shd w:val="clear" w:color="auto" w:fill="FFFFFF"/>
        </w:rPr>
      </w:pPr>
      <w:r w:rsidRPr="73C267C6">
        <w:rPr>
          <w:b/>
          <w:color w:val="5E5397"/>
        </w:rPr>
        <w:t>Penalties</w:t>
      </w:r>
      <w:r w:rsidR="2C8098DA" w:rsidRPr="73C267C6">
        <w:rPr>
          <w:b/>
          <w:color w:val="5E5397"/>
        </w:rPr>
        <w:t>.</w:t>
      </w:r>
      <w:r w:rsidRPr="00953878">
        <w:t xml:space="preserve"> </w:t>
      </w:r>
      <w:bookmarkStart w:id="1" w:name="_Hlk188533596"/>
      <w:r w:rsidR="51389BF9" w:rsidRPr="002F2EF9">
        <w:t>In general, a</w:t>
      </w:r>
      <w:r w:rsidRPr="002F2EF9">
        <w:t>dministrative penalties</w:t>
      </w:r>
      <w:r w:rsidR="703848E5" w:rsidRPr="002F2EF9">
        <w:t xml:space="preserve"> </w:t>
      </w:r>
      <w:r w:rsidR="5E95B710">
        <w:t xml:space="preserve">of </w:t>
      </w:r>
      <w:r w:rsidR="703848E5" w:rsidRPr="002F2EF9">
        <w:t>€5</w:t>
      </w:r>
      <w:r w:rsidR="5E95B710">
        <w:t>,</w:t>
      </w:r>
      <w:r w:rsidR="703848E5" w:rsidRPr="002F2EF9">
        <w:t xml:space="preserve">000 </w:t>
      </w:r>
      <w:r w:rsidR="5E95B710">
        <w:t>to</w:t>
      </w:r>
      <w:r w:rsidR="703848E5" w:rsidRPr="002F2EF9">
        <w:t xml:space="preserve"> </w:t>
      </w:r>
      <w:r w:rsidR="249C47D9">
        <w:t>€</w:t>
      </w:r>
      <w:r w:rsidR="703848E5" w:rsidRPr="002F2EF9">
        <w:t>100</w:t>
      </w:r>
      <w:r w:rsidR="5E95B710">
        <w:t>,</w:t>
      </w:r>
      <w:r w:rsidR="703848E5" w:rsidRPr="002F2EF9">
        <w:t>000</w:t>
      </w:r>
      <w:r w:rsidR="5E95B710">
        <w:t xml:space="preserve"> (</w:t>
      </w:r>
      <w:r w:rsidR="703848E5" w:rsidRPr="002F2EF9">
        <w:t>plus 5% for each day of delay</w:t>
      </w:r>
      <w:r w:rsidR="5E95B710">
        <w:t>)</w:t>
      </w:r>
      <w:r w:rsidR="703848E5" w:rsidRPr="002F2EF9">
        <w:t xml:space="preserve"> </w:t>
      </w:r>
      <w:r w:rsidRPr="002F2EF9">
        <w:t xml:space="preserve">may apply for the failure to </w:t>
      </w:r>
      <w:r w:rsidR="61EB6511" w:rsidRPr="73C267C6">
        <w:t>timely</w:t>
      </w:r>
      <w:r w:rsidR="61EB6511" w:rsidRPr="002F2EF9">
        <w:t xml:space="preserve"> </w:t>
      </w:r>
      <w:r w:rsidRPr="002F2EF9">
        <w:t xml:space="preserve">file </w:t>
      </w:r>
      <w:r w:rsidR="247EC1EC" w:rsidRPr="00CF2390">
        <w:t xml:space="preserve">the </w:t>
      </w:r>
      <w:r w:rsidR="7A9C8F57" w:rsidRPr="73C267C6">
        <w:t>registrations</w:t>
      </w:r>
      <w:r w:rsidR="7397794E" w:rsidRPr="73C267C6">
        <w:t>, notifications,</w:t>
      </w:r>
      <w:r w:rsidR="5CE0EA7D" w:rsidRPr="73C267C6">
        <w:t xml:space="preserve"> and</w:t>
      </w:r>
      <w:r w:rsidR="247EC1EC" w:rsidRPr="73C267C6">
        <w:t xml:space="preserve"> </w:t>
      </w:r>
      <w:r w:rsidR="623983E4">
        <w:t>report</w:t>
      </w:r>
      <w:r w:rsidR="26F0CF58" w:rsidRPr="002F2EF9">
        <w:t>.</w:t>
      </w:r>
      <w:r w:rsidR="7C3EDC10" w:rsidRPr="002F2EF9">
        <w:t xml:space="preserve"> Omissions or inaccuracies that do not constitute a tax offence or administrative offence</w:t>
      </w:r>
      <w:r w:rsidR="4BE9983A" w:rsidRPr="002F2EF9">
        <w:t xml:space="preserve"> </w:t>
      </w:r>
      <w:r w:rsidR="52F0506D">
        <w:t xml:space="preserve">(under the General Regime of Tax Offences) </w:t>
      </w:r>
      <w:r w:rsidR="4BE9983A" w:rsidRPr="002F2EF9">
        <w:t>are punishable by</w:t>
      </w:r>
      <w:r w:rsidR="194F31F3" w:rsidRPr="002F2EF9">
        <w:t xml:space="preserve"> a fine of </w:t>
      </w:r>
      <w:r w:rsidR="2CDAD9A7">
        <w:t>€</w:t>
      </w:r>
      <w:r w:rsidR="194F31F3" w:rsidRPr="002F2EF9">
        <w:t xml:space="preserve">500 to </w:t>
      </w:r>
      <w:r w:rsidR="2CDAD9A7">
        <w:t>€</w:t>
      </w:r>
      <w:r w:rsidR="6B47A725" w:rsidRPr="008146FA">
        <w:rPr>
          <w:shd w:val="clear" w:color="auto" w:fill="FFFFFF"/>
        </w:rPr>
        <w:t>23,500</w:t>
      </w:r>
      <w:r w:rsidR="6B47A725" w:rsidRPr="003F4EA0">
        <w:rPr>
          <w:shd w:val="clear" w:color="auto" w:fill="FFFFFF"/>
        </w:rPr>
        <w:t>.</w:t>
      </w:r>
    </w:p>
    <w:p w14:paraId="299C2C3C" w14:textId="7AB9F213" w:rsidR="00DC7D25" w:rsidRPr="007E6A97" w:rsidRDefault="6B47A725" w:rsidP="00D3088D">
      <w:pPr>
        <w:pStyle w:val="cpnormal"/>
      </w:pPr>
      <w:r>
        <w:t>However, f</w:t>
      </w:r>
      <w:r w:rsidR="0A134313">
        <w:t xml:space="preserve">or the transitional period (i.e., fiscal years beginning on or before December 31, 2026 and ending prior to July 1, 2028), administrative penalties may not apply if it is demonstrated that </w:t>
      </w:r>
      <w:r w:rsidR="08ACAA26">
        <w:t>“</w:t>
      </w:r>
      <w:r w:rsidR="0B740BAF">
        <w:t xml:space="preserve">the entity acted in good faith, supported by a plausible interpretation of this regime and having taken the appropriate measures for the correct fulfillment of its obligations, or that the infraction does not result in a reduction in the amount of the </w:t>
      </w:r>
      <w:r w:rsidR="7722F119">
        <w:t>complementary</w:t>
      </w:r>
      <w:r w:rsidR="0B740BAF">
        <w:t xml:space="preserve"> tax due in that or in subsequent fiscal years</w:t>
      </w:r>
      <w:r w:rsidR="08ACAA26">
        <w:t>”</w:t>
      </w:r>
      <w:r w:rsidR="270F23DF">
        <w:t xml:space="preserve"> (Art. 51, para. 3 of Law No. 41/2024)</w:t>
      </w:r>
      <w:r w:rsidR="0B740BAF">
        <w:t>.</w:t>
      </w:r>
      <w:r w:rsidR="0A134313">
        <w:t xml:space="preserve">  </w:t>
      </w:r>
    </w:p>
    <w:bookmarkEnd w:id="1"/>
    <w:p w14:paraId="365FEE86" w14:textId="4162A2E8" w:rsidR="00AD0218" w:rsidRPr="009E2ECD" w:rsidRDefault="2015BA50" w:rsidP="009E2ECD">
      <w:pPr>
        <w:pStyle w:val="cpsection-head--purplebar"/>
        <w:rPr>
          <w:spacing w:val="10"/>
        </w:rPr>
      </w:pPr>
      <w:r w:rsidRPr="009E2ECD">
        <w:rPr>
          <w:spacing w:val="10"/>
        </w:rPr>
        <w:t xml:space="preserve">INCOME INCLUSION RULE </w:t>
      </w:r>
      <w:r w:rsidR="04D80DB1">
        <w:rPr>
          <w:spacing w:val="10"/>
        </w:rPr>
        <w:t>(</w:t>
      </w:r>
      <w:r w:rsidR="04D80DB1" w:rsidRPr="73C267C6">
        <w:rPr>
          <w:spacing w:val="10"/>
        </w:rPr>
        <w:t>IIR</w:t>
      </w:r>
      <w:r w:rsidR="3E2E9824" w:rsidRPr="73C267C6">
        <w:rPr>
          <w:spacing w:val="10"/>
        </w:rPr>
        <w:t xml:space="preserve"> or </w:t>
      </w:r>
      <w:r w:rsidR="7722F119" w:rsidRPr="73C267C6">
        <w:rPr>
          <w:spacing w:val="10"/>
        </w:rPr>
        <w:t xml:space="preserve">Complementary </w:t>
      </w:r>
      <w:r w:rsidR="3E2E9824" w:rsidRPr="73C267C6">
        <w:rPr>
          <w:spacing w:val="10"/>
        </w:rPr>
        <w:t>Tax by IIR</w:t>
      </w:r>
      <w:r w:rsidR="04D80DB1">
        <w:rPr>
          <w:spacing w:val="10"/>
        </w:rPr>
        <w:t>)</w:t>
      </w:r>
      <w:r w:rsidR="3CEF3EF8">
        <w:rPr>
          <w:spacing w:val="10"/>
        </w:rPr>
        <w:t xml:space="preserve"> </w:t>
      </w:r>
    </w:p>
    <w:p w14:paraId="6EEEFC3F" w14:textId="09EC19EB" w:rsidR="0048409F" w:rsidRPr="006D233C" w:rsidRDefault="0E9AEF04" w:rsidP="73C267C6">
      <w:pPr>
        <w:pStyle w:val="cpEffectiveDate-boxandhead"/>
        <w:spacing w:before="120" w:after="60"/>
        <w:rPr>
          <w:b w:val="0"/>
          <w:color w:val="auto"/>
        </w:rPr>
      </w:pPr>
      <w:r w:rsidRPr="73C267C6">
        <w:rPr>
          <w:rStyle w:val="cprun-inHead--purple"/>
          <w:b/>
          <w:bCs/>
        </w:rPr>
        <w:t>Effective Date.</w:t>
      </w:r>
      <w:r>
        <w:t xml:space="preserve"> </w:t>
      </w:r>
      <w:r w:rsidR="33D2E2C1" w:rsidRPr="73C267C6">
        <w:rPr>
          <w:b w:val="0"/>
          <w:color w:val="auto"/>
        </w:rPr>
        <w:t xml:space="preserve">Fiscal years beginning </w:t>
      </w:r>
      <w:r w:rsidR="1966A75C" w:rsidRPr="73C267C6">
        <w:rPr>
          <w:b w:val="0"/>
          <w:color w:val="auto"/>
        </w:rPr>
        <w:t xml:space="preserve">on or </w:t>
      </w:r>
      <w:r w:rsidR="33D2E2C1" w:rsidRPr="73C267C6">
        <w:rPr>
          <w:b w:val="0"/>
          <w:color w:val="auto"/>
        </w:rPr>
        <w:t xml:space="preserve">after </w:t>
      </w:r>
      <w:r w:rsidR="06A89CAC" w:rsidRPr="73C267C6">
        <w:rPr>
          <w:b w:val="0"/>
          <w:color w:val="auto"/>
        </w:rPr>
        <w:t>January 1, 2024</w:t>
      </w:r>
      <w:r w:rsidR="33D2E2C1" w:rsidRPr="73C267C6">
        <w:rPr>
          <w:b w:val="0"/>
          <w:color w:val="auto"/>
        </w:rPr>
        <w:t>.</w:t>
      </w:r>
      <w:r w:rsidR="06A89CAC" w:rsidRPr="73C267C6">
        <w:rPr>
          <w:b w:val="0"/>
          <w:color w:val="auto"/>
        </w:rPr>
        <w:t xml:space="preserve"> </w:t>
      </w:r>
    </w:p>
    <w:p w14:paraId="7B93B981" w14:textId="5814711C" w:rsidR="00191989" w:rsidRDefault="61842A31" w:rsidP="73C267C6">
      <w:pPr>
        <w:pStyle w:val="cpsectionHead-1st"/>
        <w:spacing w:before="120"/>
        <w:rPr>
          <w:b w:val="0"/>
          <w:color w:val="auto"/>
        </w:rPr>
      </w:pPr>
      <w:r>
        <w:t>Top-up Tax Return</w:t>
      </w:r>
      <w:r w:rsidR="76324142">
        <w:t xml:space="preserve"> and Payment</w:t>
      </w:r>
      <w:r w:rsidR="348F4F3D">
        <w:t xml:space="preserve"> of Tax</w:t>
      </w:r>
      <w:r w:rsidR="76324142">
        <w:t>.</w:t>
      </w:r>
      <w:r w:rsidR="17080FC6">
        <w:t xml:space="preserve">  </w:t>
      </w:r>
      <w:r w:rsidR="5D0C4C42" w:rsidRPr="73C267C6">
        <w:rPr>
          <w:b w:val="0"/>
          <w:color w:val="auto"/>
        </w:rPr>
        <w:t xml:space="preserve">Each constituent entity located in Portugal </w:t>
      </w:r>
      <w:r w:rsidR="6F533892" w:rsidRPr="73C267C6">
        <w:rPr>
          <w:b w:val="0"/>
          <w:color w:val="auto"/>
        </w:rPr>
        <w:t>is required to file a tax assessment declaration</w:t>
      </w:r>
      <w:r w:rsidR="7B4F1335" w:rsidRPr="73C267C6">
        <w:rPr>
          <w:b w:val="0"/>
          <w:color w:val="auto"/>
        </w:rPr>
        <w:t xml:space="preserve"> </w:t>
      </w:r>
      <w:r w:rsidR="422AA0ED" w:rsidRPr="73C267C6">
        <w:rPr>
          <w:b w:val="0"/>
          <w:color w:val="auto"/>
        </w:rPr>
        <w:t xml:space="preserve">if </w:t>
      </w:r>
      <w:r w:rsidR="1C96E556" w:rsidRPr="73C267C6">
        <w:rPr>
          <w:b w:val="0"/>
          <w:color w:val="auto"/>
        </w:rPr>
        <w:t>i</w:t>
      </w:r>
      <w:r w:rsidR="187F7CE1" w:rsidRPr="73C267C6">
        <w:rPr>
          <w:b w:val="0"/>
          <w:color w:val="auto"/>
        </w:rPr>
        <w:t xml:space="preserve">t determines </w:t>
      </w:r>
      <w:r w:rsidR="7B4F1335" w:rsidRPr="73C267C6">
        <w:rPr>
          <w:b w:val="0"/>
          <w:color w:val="auto"/>
        </w:rPr>
        <w:t>the complementary tax must be paid</w:t>
      </w:r>
      <w:r w:rsidR="3A1E6807" w:rsidRPr="73C267C6">
        <w:rPr>
          <w:b w:val="0"/>
          <w:color w:val="auto"/>
        </w:rPr>
        <w:t xml:space="preserve"> for the year.  </w:t>
      </w:r>
    </w:p>
    <w:p w14:paraId="6D40948E" w14:textId="71A2389A" w:rsidR="00191989" w:rsidRPr="00FF1FCB" w:rsidRDefault="61842A31" w:rsidP="00D3088D">
      <w:pPr>
        <w:pStyle w:val="cpbullet"/>
      </w:pPr>
      <w:r w:rsidRPr="73C267C6">
        <w:rPr>
          <w:rStyle w:val="cprun-inhead--ital"/>
        </w:rPr>
        <w:t>Form/Filing Instructions:</w:t>
      </w:r>
      <w:r>
        <w:t xml:space="preserve"> </w:t>
      </w:r>
      <w:bookmarkStart w:id="2" w:name="_Hlk188533801"/>
      <w:r w:rsidR="5E0E2D0C">
        <w:t>Filed electronically via an official form to be approved by ministerial order</w:t>
      </w:r>
      <w:r w:rsidR="4BBC7CFC">
        <w:t xml:space="preserve">.    </w:t>
      </w:r>
      <w:bookmarkEnd w:id="2"/>
    </w:p>
    <w:p w14:paraId="618FEDD1" w14:textId="27565644" w:rsidR="00191989" w:rsidRPr="00D87B9B" w:rsidRDefault="61842A31" w:rsidP="00D3088D">
      <w:pPr>
        <w:pStyle w:val="cpbullet"/>
      </w:pPr>
      <w:r w:rsidRPr="73C267C6">
        <w:rPr>
          <w:rStyle w:val="cprun-inhead--ital"/>
        </w:rPr>
        <w:t>Deadline for Filing</w:t>
      </w:r>
      <w:r w:rsidR="348F4F3D" w:rsidRPr="73C267C6">
        <w:rPr>
          <w:rStyle w:val="cprun-inhead--ital"/>
        </w:rPr>
        <w:t xml:space="preserve"> and Payment of Tax</w:t>
      </w:r>
      <w:r w:rsidRPr="73C267C6">
        <w:rPr>
          <w:rStyle w:val="cprun-inhead--ital"/>
        </w:rPr>
        <w:t>:</w:t>
      </w:r>
      <w:r>
        <w:t xml:space="preserve"> </w:t>
      </w:r>
      <w:bookmarkStart w:id="3" w:name="_Hlk188533846"/>
      <w:r w:rsidR="24EF70E9">
        <w:t xml:space="preserve">Within 15 months from the end of the relevant fiscal year; however, for the first year, the deadline is extended to 18 months from the end of the relevant fiscal year.  </w:t>
      </w:r>
      <w:bookmarkEnd w:id="3"/>
    </w:p>
    <w:p w14:paraId="04B88A28" w14:textId="77777777" w:rsidR="00767FAA" w:rsidRDefault="512B65E0" w:rsidP="00767FAA">
      <w:pPr>
        <w:pStyle w:val="cpbullet"/>
        <w:numPr>
          <w:ilvl w:val="0"/>
          <w:numId w:val="0"/>
        </w:numPr>
        <w:spacing w:after="0"/>
      </w:pPr>
      <w:r w:rsidRPr="73C267C6">
        <w:rPr>
          <w:b/>
          <w:color w:val="5E5397"/>
        </w:rPr>
        <w:t>Penalties.</w:t>
      </w:r>
      <w:r w:rsidRPr="00953878">
        <w:t xml:space="preserve"> </w:t>
      </w:r>
      <w:r w:rsidRPr="002F2EF9">
        <w:t xml:space="preserve">In general, administrative penalties </w:t>
      </w:r>
      <w:r>
        <w:t xml:space="preserve">of </w:t>
      </w:r>
      <w:r w:rsidRPr="002F2EF9">
        <w:t>€5</w:t>
      </w:r>
      <w:r>
        <w:t>,</w:t>
      </w:r>
      <w:r w:rsidRPr="002F2EF9">
        <w:t xml:space="preserve">000 </w:t>
      </w:r>
      <w:r>
        <w:t>to</w:t>
      </w:r>
      <w:r w:rsidRPr="002F2EF9">
        <w:t xml:space="preserve"> </w:t>
      </w:r>
      <w:r>
        <w:t>€</w:t>
      </w:r>
      <w:r w:rsidRPr="002F2EF9">
        <w:t>100</w:t>
      </w:r>
      <w:r>
        <w:t>,</w:t>
      </w:r>
      <w:r w:rsidRPr="002F2EF9">
        <w:t>000</w:t>
      </w:r>
      <w:r>
        <w:t xml:space="preserve"> (</w:t>
      </w:r>
      <w:r w:rsidRPr="002F2EF9">
        <w:t>plus 5% for each day of delay</w:t>
      </w:r>
      <w:r>
        <w:t>)</w:t>
      </w:r>
      <w:r w:rsidRPr="002F2EF9">
        <w:t xml:space="preserve"> may apply for the failure to </w:t>
      </w:r>
      <w:r w:rsidRPr="73C267C6">
        <w:t>timely</w:t>
      </w:r>
      <w:r w:rsidRPr="002F2EF9">
        <w:t xml:space="preserve"> file </w:t>
      </w:r>
      <w:r w:rsidRPr="00CF2390">
        <w:t xml:space="preserve">the </w:t>
      </w:r>
      <w:r w:rsidR="075A11D9" w:rsidRPr="73C267C6">
        <w:t xml:space="preserve">tax </w:t>
      </w:r>
      <w:r w:rsidR="2E1A89FC" w:rsidRPr="73C267C6">
        <w:t>assessment</w:t>
      </w:r>
      <w:r w:rsidR="075A11D9" w:rsidRPr="73C267C6">
        <w:t xml:space="preserve"> declaration</w:t>
      </w:r>
      <w:r w:rsidRPr="002F2EF9">
        <w:t xml:space="preserve">. Omissions or inaccuracies that do not constitute a tax offence or administrative offence </w:t>
      </w:r>
      <w:r>
        <w:t xml:space="preserve">(under the General Regime of Tax Offences) </w:t>
      </w:r>
      <w:r w:rsidRPr="002F2EF9">
        <w:t xml:space="preserve">are punishable by a fine of </w:t>
      </w:r>
      <w:r>
        <w:t>€</w:t>
      </w:r>
      <w:r w:rsidRPr="002F2EF9">
        <w:t xml:space="preserve">500 </w:t>
      </w:r>
    </w:p>
    <w:p w14:paraId="7208B2D3" w14:textId="20F49854" w:rsidR="00F821D4" w:rsidRPr="00953878" w:rsidRDefault="512B65E0" w:rsidP="00767FAA">
      <w:pPr>
        <w:pStyle w:val="cpbullet"/>
        <w:numPr>
          <w:ilvl w:val="0"/>
          <w:numId w:val="0"/>
        </w:numPr>
        <w:spacing w:after="0"/>
        <w:rPr>
          <w:rFonts w:ascii="Roboto" w:hAnsi="Roboto"/>
          <w:color w:val="272B30"/>
          <w:sz w:val="21"/>
          <w:szCs w:val="21"/>
          <w:shd w:val="clear" w:color="auto" w:fill="FFFFFF"/>
        </w:rPr>
      </w:pPr>
      <w:r w:rsidRPr="002F2EF9">
        <w:t xml:space="preserve">to </w:t>
      </w:r>
      <w:r>
        <w:t>€</w:t>
      </w:r>
      <w:r w:rsidRPr="00767FAA">
        <w:rPr>
          <w:shd w:val="clear" w:color="auto" w:fill="FFFFFF"/>
        </w:rPr>
        <w:t>23,500</w:t>
      </w:r>
      <w:r w:rsidRPr="003F4EA0">
        <w:rPr>
          <w:shd w:val="clear" w:color="auto" w:fill="FFFFFF"/>
        </w:rPr>
        <w:t>.</w:t>
      </w:r>
    </w:p>
    <w:p w14:paraId="69A349DC" w14:textId="06FF7D20" w:rsidR="00191989" w:rsidRPr="004838F6" w:rsidRDefault="24EF70E9" w:rsidP="00D3088D">
      <w:pPr>
        <w:pStyle w:val="cpnormal"/>
      </w:pPr>
      <w:r>
        <w:t xml:space="preserve">However, for the transitional period (i.e., fiscal years beginning on or before December 31, 2026 and ending prior to July 1, 2028), administrative penalties may not apply if it is demonstrated that </w:t>
      </w:r>
      <w:r w:rsidR="006658D3">
        <w:t xml:space="preserve">“the entity acted in good faith, supported by a plausible interpretation of this regime and having taken the appropriate measures for the correct fulfillment of its obligations, or that the infraction does not result in a reduction in the amount of the </w:t>
      </w:r>
      <w:r w:rsidR="4A12DDEB">
        <w:t>complementary</w:t>
      </w:r>
      <w:r w:rsidR="006658D3">
        <w:t xml:space="preserve"> tax due in that or in subsequent fiscal years”</w:t>
      </w:r>
      <w:r w:rsidR="270F23DF">
        <w:t xml:space="preserve"> (Art. 51, para. 3 of Law No. 41/2024)</w:t>
      </w:r>
      <w:r w:rsidR="006658D3">
        <w:t xml:space="preserve">. </w:t>
      </w:r>
    </w:p>
    <w:p w14:paraId="5FC68021" w14:textId="12CE8EE6" w:rsidR="002347EC" w:rsidRPr="009E2ECD" w:rsidRDefault="71EB39AA" w:rsidP="009E2ECD">
      <w:pPr>
        <w:pStyle w:val="cpsection-head--purplebar"/>
        <w:rPr>
          <w:spacing w:val="10"/>
        </w:rPr>
      </w:pPr>
      <w:r>
        <w:rPr>
          <w:spacing w:val="10"/>
        </w:rPr>
        <w:t>UNDERTAXED PROFITS RULE (</w:t>
      </w:r>
      <w:r w:rsidR="34865F0A" w:rsidRPr="73C267C6">
        <w:rPr>
          <w:spacing w:val="10"/>
        </w:rPr>
        <w:t>UTPR</w:t>
      </w:r>
      <w:r w:rsidR="3CEF3EF8" w:rsidRPr="73C267C6">
        <w:rPr>
          <w:spacing w:val="10"/>
        </w:rPr>
        <w:t xml:space="preserve"> or </w:t>
      </w:r>
      <w:r w:rsidR="4A12DDEB" w:rsidRPr="73C267C6">
        <w:rPr>
          <w:spacing w:val="10"/>
        </w:rPr>
        <w:t>Complementary</w:t>
      </w:r>
      <w:r w:rsidR="3CEF3EF8" w:rsidRPr="73C267C6">
        <w:rPr>
          <w:spacing w:val="10"/>
        </w:rPr>
        <w:t xml:space="preserve"> Tax by UTPR</w:t>
      </w:r>
      <w:r>
        <w:rPr>
          <w:spacing w:val="10"/>
        </w:rPr>
        <w:t>)</w:t>
      </w:r>
      <w:r w:rsidR="34865F0A" w:rsidRPr="009E2ECD">
        <w:rPr>
          <w:spacing w:val="10"/>
        </w:rPr>
        <w:t xml:space="preserve"> </w:t>
      </w:r>
    </w:p>
    <w:p w14:paraId="0CCE6777" w14:textId="0EB838A9" w:rsidR="006934EB" w:rsidRDefault="1F677A37" w:rsidP="00D3088D">
      <w:pPr>
        <w:pStyle w:val="cpnormal"/>
      </w:pPr>
      <w:r w:rsidRPr="73C267C6">
        <w:rPr>
          <w:rStyle w:val="cprun-inHead--purple"/>
        </w:rPr>
        <w:t>Effective Date.</w:t>
      </w:r>
      <w:r>
        <w:t xml:space="preserve"> </w:t>
      </w:r>
      <w:r w:rsidR="0F5FC842">
        <w:t>In general, f</w:t>
      </w:r>
      <w:r w:rsidR="33D2E2C1">
        <w:t xml:space="preserve">iscal years beginning </w:t>
      </w:r>
      <w:r w:rsidR="1966A75C">
        <w:t xml:space="preserve">on or </w:t>
      </w:r>
      <w:r w:rsidR="33D2E2C1">
        <w:t xml:space="preserve">after </w:t>
      </w:r>
      <w:r w:rsidR="6450ED45">
        <w:t>January 1, 2025</w:t>
      </w:r>
      <w:r w:rsidR="33D2E2C1">
        <w:t>.</w:t>
      </w:r>
      <w:r w:rsidR="3CEF3EF8">
        <w:t xml:space="preserve"> </w:t>
      </w:r>
    </w:p>
    <w:p w14:paraId="53CF1A44" w14:textId="1AD2909D" w:rsidR="007E27B3" w:rsidRDefault="0F5FC842" w:rsidP="00D3088D">
      <w:pPr>
        <w:pStyle w:val="cpnormal"/>
      </w:pPr>
      <w:r>
        <w:t xml:space="preserve">For constituent entities located in the Portugal and belonging to a group with an ultimate parent entity located in Estonia, Latvia, Lithuania, Malta, or Slovakia (i.e., a jurisdiction that has delayed </w:t>
      </w:r>
      <w:r>
        <w:lastRenderedPageBreak/>
        <w:t>implementation of the IIR and UTPR under Article 50 of the EU Minimum Tax directive), the UTPR is effective for fiscal years beginning on or after January 1, 2024.</w:t>
      </w:r>
      <w:r w:rsidR="6B6EA7FA">
        <w:t xml:space="preserve"> </w:t>
      </w:r>
    </w:p>
    <w:p w14:paraId="7B8DEDC0" w14:textId="3FC69A87" w:rsidR="00AD335C" w:rsidRPr="00FF1FCB" w:rsidRDefault="456CFBEC" w:rsidP="73C267C6">
      <w:pPr>
        <w:pStyle w:val="cpsectionHead"/>
        <w:rPr>
          <w:b w:val="0"/>
          <w:color w:val="auto"/>
        </w:rPr>
      </w:pPr>
      <w:r>
        <w:t>Top-up Tax Return</w:t>
      </w:r>
      <w:r w:rsidR="348F4F3D">
        <w:t xml:space="preserve"> and Payment of Tax</w:t>
      </w:r>
      <w:r w:rsidR="73E5ECBE">
        <w:t>.</w:t>
      </w:r>
      <w:r w:rsidR="781F6A71">
        <w:t xml:space="preserve"> </w:t>
      </w:r>
      <w:r w:rsidR="781F6A71" w:rsidRPr="73C267C6">
        <w:rPr>
          <w:b w:val="0"/>
          <w:color w:val="auto"/>
        </w:rPr>
        <w:t xml:space="preserve">Each constituent entity located in Portugal is required to file a tax assessment declaration </w:t>
      </w:r>
      <w:r w:rsidR="70AF95D6" w:rsidRPr="73C267C6">
        <w:rPr>
          <w:b w:val="0"/>
          <w:color w:val="auto"/>
        </w:rPr>
        <w:t xml:space="preserve">if </w:t>
      </w:r>
      <w:r w:rsidR="781F6A71" w:rsidRPr="73C267C6">
        <w:rPr>
          <w:b w:val="0"/>
          <w:color w:val="auto"/>
        </w:rPr>
        <w:t>it determines the complementary tax must be paid for the year.</w:t>
      </w:r>
    </w:p>
    <w:p w14:paraId="0EE6CD93" w14:textId="3C31DC43" w:rsidR="00AD335C" w:rsidRPr="00FF1FCB" w:rsidRDefault="456CFBEC" w:rsidP="00D3088D">
      <w:pPr>
        <w:pStyle w:val="cpbullet"/>
      </w:pPr>
      <w:r w:rsidRPr="73C267C6">
        <w:rPr>
          <w:i/>
          <w:iCs/>
        </w:rPr>
        <w:t>Form/Filing Instructions:</w:t>
      </w:r>
      <w:r>
        <w:t xml:space="preserve"> </w:t>
      </w:r>
      <w:r w:rsidR="5E0E2D0C">
        <w:t>Filed electronically via an official form to be approved by ministerial order</w:t>
      </w:r>
      <w:r w:rsidR="57539F3A">
        <w:t>.</w:t>
      </w:r>
    </w:p>
    <w:p w14:paraId="10B192BC" w14:textId="0BBC4CEF" w:rsidR="6B5D033C" w:rsidRPr="00D87B9B" w:rsidRDefault="2AED8F20" w:rsidP="00D3088D">
      <w:pPr>
        <w:pStyle w:val="cpbullet"/>
      </w:pPr>
      <w:r w:rsidRPr="73C267C6">
        <w:rPr>
          <w:rStyle w:val="cprun-inhead--ital"/>
        </w:rPr>
        <w:t>Deadline for Filing</w:t>
      </w:r>
      <w:r w:rsidR="348F4F3D" w:rsidRPr="73C267C6">
        <w:rPr>
          <w:rStyle w:val="cprun-inhead--ital"/>
        </w:rPr>
        <w:t xml:space="preserve"> and Payment of Tax</w:t>
      </w:r>
      <w:r w:rsidRPr="73C267C6">
        <w:rPr>
          <w:rStyle w:val="cprun-inhead--ital"/>
        </w:rPr>
        <w:t>:</w:t>
      </w:r>
      <w:r>
        <w:t xml:space="preserve"> Within 15 months from the end of the relevant fiscal year; however, for the first year, the deadline is extended to 18 months from the end of the relevant fiscal year.  </w:t>
      </w:r>
    </w:p>
    <w:p w14:paraId="6D34F80F" w14:textId="77777777" w:rsidR="00767FAA" w:rsidRDefault="075A11D9" w:rsidP="00767FAA">
      <w:pPr>
        <w:pStyle w:val="cpbullet"/>
        <w:numPr>
          <w:ilvl w:val="0"/>
          <w:numId w:val="0"/>
        </w:numPr>
        <w:spacing w:after="0"/>
      </w:pPr>
      <w:r w:rsidRPr="73C267C6">
        <w:rPr>
          <w:b/>
          <w:color w:val="5E5397"/>
        </w:rPr>
        <w:t>Penalties.</w:t>
      </w:r>
      <w:r w:rsidRPr="00953878">
        <w:t xml:space="preserve"> </w:t>
      </w:r>
      <w:r w:rsidRPr="002F2EF9">
        <w:t xml:space="preserve">In general, administrative penalties </w:t>
      </w:r>
      <w:r>
        <w:t xml:space="preserve">of </w:t>
      </w:r>
      <w:r w:rsidRPr="002F2EF9">
        <w:t>€5</w:t>
      </w:r>
      <w:r>
        <w:t>,</w:t>
      </w:r>
      <w:r w:rsidRPr="002F2EF9">
        <w:t xml:space="preserve">000 </w:t>
      </w:r>
      <w:r>
        <w:t>to</w:t>
      </w:r>
      <w:r w:rsidRPr="002F2EF9">
        <w:t xml:space="preserve"> </w:t>
      </w:r>
      <w:r>
        <w:t>€</w:t>
      </w:r>
      <w:r w:rsidRPr="002F2EF9">
        <w:t>100</w:t>
      </w:r>
      <w:r>
        <w:t>,</w:t>
      </w:r>
      <w:r w:rsidRPr="002F2EF9">
        <w:t>000</w:t>
      </w:r>
      <w:r>
        <w:t xml:space="preserve"> (</w:t>
      </w:r>
      <w:r w:rsidRPr="002F2EF9">
        <w:t>plus 5% for each day of delay</w:t>
      </w:r>
      <w:r>
        <w:t>)</w:t>
      </w:r>
      <w:r w:rsidRPr="002F2EF9">
        <w:t xml:space="preserve"> may apply for the failure to </w:t>
      </w:r>
      <w:r w:rsidRPr="73C267C6">
        <w:t>timely</w:t>
      </w:r>
      <w:r w:rsidRPr="002F2EF9">
        <w:t xml:space="preserve"> file </w:t>
      </w:r>
      <w:r w:rsidRPr="00CF2390">
        <w:t xml:space="preserve">the </w:t>
      </w:r>
      <w:r w:rsidRPr="73C267C6">
        <w:t xml:space="preserve">tax </w:t>
      </w:r>
      <w:r w:rsidR="2E1A89FC" w:rsidRPr="73C267C6">
        <w:t>assessment</w:t>
      </w:r>
      <w:r w:rsidRPr="73C267C6">
        <w:t xml:space="preserve"> declaration</w:t>
      </w:r>
      <w:r w:rsidRPr="002F2EF9">
        <w:t xml:space="preserve">. Omissions or inaccuracies that do not constitute a tax offence or administrative offence </w:t>
      </w:r>
      <w:r>
        <w:t xml:space="preserve">(under the General Regime of Tax Offences) </w:t>
      </w:r>
      <w:r w:rsidRPr="002F2EF9">
        <w:t xml:space="preserve">are punishable by a fine of </w:t>
      </w:r>
      <w:r>
        <w:t>€</w:t>
      </w:r>
      <w:r w:rsidRPr="002F2EF9">
        <w:t xml:space="preserve">500 </w:t>
      </w:r>
    </w:p>
    <w:p w14:paraId="486E7B23" w14:textId="628492C6" w:rsidR="00897E1C" w:rsidRPr="00953878" w:rsidRDefault="075A11D9" w:rsidP="00767FAA">
      <w:pPr>
        <w:pStyle w:val="cpbullet"/>
        <w:numPr>
          <w:ilvl w:val="0"/>
          <w:numId w:val="0"/>
        </w:numPr>
        <w:spacing w:after="0"/>
        <w:rPr>
          <w:rFonts w:ascii="Roboto" w:hAnsi="Roboto"/>
          <w:color w:val="272B30"/>
          <w:sz w:val="21"/>
          <w:szCs w:val="21"/>
          <w:shd w:val="clear" w:color="auto" w:fill="FFFFFF"/>
        </w:rPr>
      </w:pPr>
      <w:r w:rsidRPr="002F2EF9">
        <w:t xml:space="preserve">to </w:t>
      </w:r>
      <w:r>
        <w:t>€</w:t>
      </w:r>
      <w:r w:rsidRPr="00767FAA">
        <w:rPr>
          <w:shd w:val="clear" w:color="auto" w:fill="FFFFFF"/>
        </w:rPr>
        <w:t>23,500</w:t>
      </w:r>
      <w:r w:rsidRPr="00A4532C">
        <w:rPr>
          <w:shd w:val="clear" w:color="auto" w:fill="FFFFFF"/>
        </w:rPr>
        <w:t>.</w:t>
      </w:r>
    </w:p>
    <w:p w14:paraId="27F2A7B1" w14:textId="3B31E434" w:rsidR="00AD335C" w:rsidRPr="004838F6" w:rsidRDefault="4F651E21" w:rsidP="00D3088D">
      <w:pPr>
        <w:pStyle w:val="cpnormal"/>
      </w:pPr>
      <w:r>
        <w:t xml:space="preserve">However, for the transitional period (i.e., fiscal years beginning on or before December 31, </w:t>
      </w:r>
      <w:r w:rsidR="66BC5963">
        <w:t>2026,</w:t>
      </w:r>
      <w:r>
        <w:t xml:space="preserve"> and ending prior to July 1, 2028), administrative penalties may not apply if it is demonstrated that </w:t>
      </w:r>
      <w:r w:rsidR="006658D3">
        <w:t xml:space="preserve">“the entity acted in good faith, supported by a plausible interpretation of this regime and having taken the appropriate measures for the correct fulfillment of its obligations, or that the infraction does not result in a reduction in the amount of the </w:t>
      </w:r>
      <w:r w:rsidR="098BEC6C">
        <w:t>complementary</w:t>
      </w:r>
      <w:r w:rsidR="006658D3">
        <w:t xml:space="preserve"> tax due in that or in subsequent fiscal years”</w:t>
      </w:r>
      <w:r w:rsidR="06C99AF3">
        <w:t xml:space="preserve"> (</w:t>
      </w:r>
      <w:r w:rsidR="14AF6A4A">
        <w:t xml:space="preserve">Art. 51, para. 3 of </w:t>
      </w:r>
      <w:r w:rsidR="06C99AF3">
        <w:t>Law No. 41/2024</w:t>
      </w:r>
      <w:r w:rsidR="25F1DFC1">
        <w:t>)</w:t>
      </w:r>
      <w:r w:rsidR="006658D3">
        <w:t>.</w:t>
      </w:r>
    </w:p>
    <w:p w14:paraId="6CF2A0C7" w14:textId="5012711E" w:rsidR="002347EC" w:rsidRPr="002D3A51" w:rsidRDefault="66D1B9D5" w:rsidP="009E2ECD">
      <w:pPr>
        <w:pStyle w:val="cpsection-head--purplebar"/>
      </w:pPr>
      <w:r>
        <w:t>D</w:t>
      </w:r>
      <w:r w:rsidR="1DD52F8B">
        <w:t>OMESTIC MINIMUM TOP-UP TAX</w:t>
      </w:r>
      <w:r w:rsidR="34865F0A">
        <w:t xml:space="preserve"> </w:t>
      </w:r>
      <w:r w:rsidR="2015BA50">
        <w:t>(</w:t>
      </w:r>
      <w:r w:rsidR="1DD52F8B">
        <w:t xml:space="preserve">Qualified National </w:t>
      </w:r>
      <w:r w:rsidR="098BEC6C">
        <w:t>Complementary</w:t>
      </w:r>
      <w:r w:rsidR="1DD52F8B">
        <w:t xml:space="preserve"> Tax or ICNQ-PT</w:t>
      </w:r>
      <w:r w:rsidR="2015BA50">
        <w:t>)</w:t>
      </w:r>
    </w:p>
    <w:p w14:paraId="1362B339" w14:textId="5C6A5EB6" w:rsidR="003F161A" w:rsidRDefault="6FFABA07" w:rsidP="73C267C6">
      <w:pPr>
        <w:pStyle w:val="cpEffectiveDate-boxandhead"/>
        <w:spacing w:before="120" w:after="60"/>
        <w:rPr>
          <w:b w:val="0"/>
          <w:color w:val="auto"/>
        </w:rPr>
      </w:pPr>
      <w:r>
        <w:t>Effective Date</w:t>
      </w:r>
      <w:r w:rsidR="436FBB8E">
        <w:t>.</w:t>
      </w:r>
      <w:r>
        <w:t xml:space="preserve"> </w:t>
      </w:r>
      <w:r w:rsidR="61D37B9E" w:rsidRPr="73C267C6">
        <w:rPr>
          <w:b w:val="0"/>
          <w:color w:val="auto"/>
        </w:rPr>
        <w:t xml:space="preserve">Fiscal years beginning </w:t>
      </w:r>
      <w:r w:rsidR="6450ED45" w:rsidRPr="73C267C6">
        <w:rPr>
          <w:b w:val="0"/>
          <w:color w:val="auto"/>
        </w:rPr>
        <w:t xml:space="preserve">on or </w:t>
      </w:r>
      <w:r w:rsidR="61D37B9E" w:rsidRPr="73C267C6">
        <w:rPr>
          <w:b w:val="0"/>
          <w:color w:val="auto"/>
        </w:rPr>
        <w:t xml:space="preserve">after </w:t>
      </w:r>
      <w:r w:rsidR="6450ED45" w:rsidRPr="73C267C6">
        <w:rPr>
          <w:b w:val="0"/>
          <w:color w:val="auto"/>
        </w:rPr>
        <w:t>January 1, 2024</w:t>
      </w:r>
      <w:r w:rsidR="61D37B9E" w:rsidRPr="73C267C6">
        <w:rPr>
          <w:b w:val="0"/>
          <w:color w:val="auto"/>
        </w:rPr>
        <w:t>.</w:t>
      </w:r>
    </w:p>
    <w:p w14:paraId="47B78EC1" w14:textId="77777777" w:rsidR="00C568E0" w:rsidRDefault="6664E01D" w:rsidP="00C568E0">
      <w:pPr>
        <w:pStyle w:val="cpnormal"/>
        <w:spacing w:before="0" w:after="0"/>
      </w:pPr>
      <w:r w:rsidRPr="73C267C6">
        <w:rPr>
          <w:rStyle w:val="cprun-inHead--purple"/>
        </w:rPr>
        <w:t>Qualified Status of Legislation.</w:t>
      </w:r>
      <w:r w:rsidRPr="73C267C6">
        <w:rPr>
          <w:i/>
          <w:iCs/>
        </w:rPr>
        <w:t xml:space="preserve"> </w:t>
      </w:r>
      <w:r w:rsidR="03C59601">
        <w:t xml:space="preserve">Legislation intended to meet qualified status for purposes of applying the </w:t>
      </w:r>
    </w:p>
    <w:p w14:paraId="0522803A" w14:textId="24A0CBCF" w:rsidR="006B0836" w:rsidRPr="008875A9" w:rsidRDefault="03C59601" w:rsidP="00C568E0">
      <w:pPr>
        <w:pStyle w:val="cpnormal"/>
        <w:spacing w:before="0" w:after="0"/>
      </w:pPr>
      <w:r>
        <w:t>rule order.  </w:t>
      </w:r>
    </w:p>
    <w:p w14:paraId="179DE779" w14:textId="2BBAC82A" w:rsidR="006B0836" w:rsidRPr="008875A9" w:rsidRDefault="6664E01D" w:rsidP="73C267C6">
      <w:pPr>
        <w:pStyle w:val="cpnormal"/>
        <w:rPr>
          <w:i/>
          <w:iCs/>
          <w:u w:val="single"/>
        </w:rPr>
      </w:pPr>
      <w:r w:rsidRPr="73C267C6">
        <w:rPr>
          <w:rStyle w:val="cprun-inHead--purple"/>
        </w:rPr>
        <w:t xml:space="preserve">Eligibility for the QDMTT Safe </w:t>
      </w:r>
      <w:proofErr w:type="spellStart"/>
      <w:r w:rsidRPr="73C267C6">
        <w:rPr>
          <w:rStyle w:val="cprun-inHead--purple"/>
        </w:rPr>
        <w:t>Harbour</w:t>
      </w:r>
      <w:proofErr w:type="spellEnd"/>
      <w:r w:rsidR="436FBB8E" w:rsidRPr="73C267C6">
        <w:rPr>
          <w:rStyle w:val="cprun-inHead--purple"/>
        </w:rPr>
        <w:t>.</w:t>
      </w:r>
      <w:r w:rsidR="2540491D">
        <w:t xml:space="preserve"> </w:t>
      </w:r>
      <w:r w:rsidR="436FBB8E">
        <w:t xml:space="preserve">Legislation intended to qualify for the QDMTT safe </w:t>
      </w:r>
      <w:proofErr w:type="spellStart"/>
      <w:r w:rsidR="436FBB8E">
        <w:t>harbour</w:t>
      </w:r>
      <w:proofErr w:type="spellEnd"/>
      <w:r w:rsidR="436FBB8E">
        <w:t>.   </w:t>
      </w:r>
    </w:p>
    <w:p w14:paraId="7FB67C87" w14:textId="4EA51717" w:rsidR="006B0836" w:rsidRDefault="6664E01D" w:rsidP="00D3088D">
      <w:pPr>
        <w:pStyle w:val="cpnormal"/>
      </w:pPr>
      <w:r w:rsidRPr="73C267C6">
        <w:rPr>
          <w:rStyle w:val="cprun-inHead--purple"/>
        </w:rPr>
        <w:t>Financial Data.</w:t>
      </w:r>
      <w:r>
        <w:t xml:space="preserve">  </w:t>
      </w:r>
      <w:r w:rsidR="1052D115">
        <w:t>Data based on the financial accounting standard used in preparing the consolidated financial statements of the ultimate parent entity</w:t>
      </w:r>
      <w:r w:rsidR="40C4A2FF">
        <w:t xml:space="preserve">, </w:t>
      </w:r>
      <w:r w:rsidR="6F9E764D">
        <w:t>unless not reasonably practicable</w:t>
      </w:r>
      <w:r w:rsidR="40C4A2FF">
        <w:t xml:space="preserve">. </w:t>
      </w:r>
    </w:p>
    <w:p w14:paraId="16D44A3F" w14:textId="16AB03E8" w:rsidR="006B0836" w:rsidRPr="00FF1FCB" w:rsidRDefault="6664E01D" w:rsidP="73C267C6">
      <w:pPr>
        <w:pStyle w:val="cpsectionHead"/>
        <w:rPr>
          <w:b w:val="0"/>
          <w:color w:val="auto"/>
        </w:rPr>
      </w:pPr>
      <w:r>
        <w:t>DMTT Return</w:t>
      </w:r>
      <w:r w:rsidR="516E6CD2">
        <w:t xml:space="preserve"> and Payment of Tax</w:t>
      </w:r>
      <w:r w:rsidR="5642BA34">
        <w:t>.</w:t>
      </w:r>
      <w:r w:rsidR="094E2D5D">
        <w:t xml:space="preserve"> </w:t>
      </w:r>
      <w:r w:rsidR="094E2D5D" w:rsidRPr="73C267C6">
        <w:rPr>
          <w:b w:val="0"/>
          <w:color w:val="auto"/>
        </w:rPr>
        <w:t xml:space="preserve">Each constituent entity located in Portugal is required to file a tax assessment declaration </w:t>
      </w:r>
      <w:r w:rsidR="70AF95D6" w:rsidRPr="73C267C6">
        <w:rPr>
          <w:b w:val="0"/>
          <w:color w:val="auto"/>
        </w:rPr>
        <w:t xml:space="preserve">if </w:t>
      </w:r>
      <w:r w:rsidR="094E2D5D" w:rsidRPr="73C267C6">
        <w:rPr>
          <w:b w:val="0"/>
          <w:color w:val="auto"/>
        </w:rPr>
        <w:t>it determines the complementary tax must be paid for the year.</w:t>
      </w:r>
    </w:p>
    <w:p w14:paraId="69310875" w14:textId="0B30B007" w:rsidR="006B0836" w:rsidRPr="00FF1FCB" w:rsidRDefault="6664E01D" w:rsidP="00D3088D">
      <w:pPr>
        <w:pStyle w:val="cpbullet"/>
      </w:pPr>
      <w:r w:rsidRPr="73C267C6">
        <w:rPr>
          <w:i/>
          <w:iCs/>
        </w:rPr>
        <w:t>Form/Filing Instructions:</w:t>
      </w:r>
      <w:r>
        <w:t xml:space="preserve"> </w:t>
      </w:r>
      <w:r w:rsidR="5E0E2D0C">
        <w:t>Filed electronically via an official form to be approved by ministerial order</w:t>
      </w:r>
      <w:r w:rsidR="436FBB8E">
        <w:t xml:space="preserve">.    </w:t>
      </w:r>
    </w:p>
    <w:p w14:paraId="191E6BD7" w14:textId="5AA7F64A" w:rsidR="006B0836" w:rsidRPr="00A40065" w:rsidRDefault="6664E01D" w:rsidP="00D3088D">
      <w:pPr>
        <w:pStyle w:val="cpbullet"/>
      </w:pPr>
      <w:r w:rsidRPr="73C267C6">
        <w:rPr>
          <w:i/>
          <w:iCs/>
        </w:rPr>
        <w:t>Deadline for Filing</w:t>
      </w:r>
      <w:r w:rsidR="516E6CD2" w:rsidRPr="73C267C6">
        <w:rPr>
          <w:i/>
          <w:iCs/>
        </w:rPr>
        <w:t xml:space="preserve"> and Payment of Tax</w:t>
      </w:r>
      <w:r w:rsidRPr="73C267C6">
        <w:rPr>
          <w:i/>
          <w:iCs/>
        </w:rPr>
        <w:t>:</w:t>
      </w:r>
      <w:r>
        <w:t xml:space="preserve"> </w:t>
      </w:r>
      <w:r w:rsidR="436FBB8E">
        <w:t xml:space="preserve">Within 15 months from the end of the relevant fiscal year; however, for the first year, the deadline is extended to 18 months from the end of the relevant fiscal year.  </w:t>
      </w:r>
    </w:p>
    <w:p w14:paraId="384F8454" w14:textId="5BA55014" w:rsidR="00897E1C" w:rsidRPr="00953878" w:rsidRDefault="075A11D9" w:rsidP="00D3088D">
      <w:pPr>
        <w:pStyle w:val="cpbullet"/>
        <w:numPr>
          <w:ilvl w:val="0"/>
          <w:numId w:val="0"/>
        </w:numPr>
        <w:spacing w:before="120"/>
        <w:rPr>
          <w:rFonts w:ascii="Roboto" w:hAnsi="Roboto"/>
          <w:color w:val="272B30"/>
          <w:sz w:val="21"/>
          <w:szCs w:val="21"/>
          <w:shd w:val="clear" w:color="auto" w:fill="FFFFFF"/>
        </w:rPr>
      </w:pPr>
      <w:r w:rsidRPr="73C267C6">
        <w:rPr>
          <w:b/>
          <w:color w:val="5E5397"/>
        </w:rPr>
        <w:t>Penalties.</w:t>
      </w:r>
      <w:r w:rsidRPr="00953878">
        <w:t xml:space="preserve"> </w:t>
      </w:r>
      <w:r w:rsidRPr="002F2EF9">
        <w:t xml:space="preserve">In general, administrative penalties </w:t>
      </w:r>
      <w:r>
        <w:t xml:space="preserve">of </w:t>
      </w:r>
      <w:r w:rsidRPr="002F2EF9">
        <w:t>€5</w:t>
      </w:r>
      <w:r>
        <w:t>,</w:t>
      </w:r>
      <w:r w:rsidRPr="002F2EF9">
        <w:t xml:space="preserve">000 </w:t>
      </w:r>
      <w:r>
        <w:t>to</w:t>
      </w:r>
      <w:r w:rsidRPr="002F2EF9">
        <w:t xml:space="preserve"> </w:t>
      </w:r>
      <w:r>
        <w:t>€</w:t>
      </w:r>
      <w:r w:rsidRPr="002F2EF9">
        <w:t>100</w:t>
      </w:r>
      <w:r>
        <w:t>,</w:t>
      </w:r>
      <w:r w:rsidRPr="002F2EF9">
        <w:t>000</w:t>
      </w:r>
      <w:r>
        <w:t xml:space="preserve"> (</w:t>
      </w:r>
      <w:r w:rsidRPr="002F2EF9">
        <w:t>plus 5% for each day of delay</w:t>
      </w:r>
      <w:r>
        <w:t>)</w:t>
      </w:r>
      <w:r w:rsidRPr="002F2EF9">
        <w:t xml:space="preserve"> may apply for the failure to </w:t>
      </w:r>
      <w:r w:rsidRPr="73C267C6">
        <w:t>timely</w:t>
      </w:r>
      <w:r w:rsidRPr="002F2EF9">
        <w:t xml:space="preserve"> file </w:t>
      </w:r>
      <w:r w:rsidRPr="00CF2390">
        <w:t xml:space="preserve">the </w:t>
      </w:r>
      <w:r w:rsidRPr="73C267C6">
        <w:t xml:space="preserve">tax </w:t>
      </w:r>
      <w:r w:rsidR="2E1A89FC" w:rsidRPr="73C267C6">
        <w:t xml:space="preserve">assessment </w:t>
      </w:r>
      <w:r w:rsidRPr="73C267C6">
        <w:t>declaration</w:t>
      </w:r>
      <w:r w:rsidRPr="002F2EF9">
        <w:t xml:space="preserve">. Omissions or inaccuracies that do not constitute a tax offence or administrative offence </w:t>
      </w:r>
      <w:r>
        <w:t xml:space="preserve">(under the General Regime of Tax Offences) </w:t>
      </w:r>
      <w:r w:rsidRPr="002F2EF9">
        <w:t xml:space="preserve">are punishable by a fine of </w:t>
      </w:r>
      <w:r>
        <w:t>€</w:t>
      </w:r>
      <w:r w:rsidRPr="002F2EF9">
        <w:t>500</w:t>
      </w:r>
      <w:r w:rsidR="00D47F74">
        <w:br/>
      </w:r>
      <w:r w:rsidRPr="002F2EF9">
        <w:t xml:space="preserve">to </w:t>
      </w:r>
      <w:r>
        <w:t>€</w:t>
      </w:r>
      <w:r w:rsidRPr="00C568E0">
        <w:rPr>
          <w:shd w:val="clear" w:color="auto" w:fill="FFFFFF"/>
        </w:rPr>
        <w:t>23,500</w:t>
      </w:r>
      <w:r w:rsidRPr="00DD02AD">
        <w:rPr>
          <w:shd w:val="clear" w:color="auto" w:fill="FFFFFF"/>
        </w:rPr>
        <w:t>.</w:t>
      </w:r>
    </w:p>
    <w:p w14:paraId="3F1BC9D5" w14:textId="0EAC1D48" w:rsidR="006B0836" w:rsidRPr="004838F6" w:rsidRDefault="4F651E21" w:rsidP="00D3088D">
      <w:pPr>
        <w:pStyle w:val="cpnormal"/>
      </w:pPr>
      <w:r>
        <w:t xml:space="preserve">However, for the transitional period (i.e., fiscal years beginning on or before December 31, </w:t>
      </w:r>
      <w:r w:rsidR="513BB25A">
        <w:t>2026,</w:t>
      </w:r>
      <w:r>
        <w:t xml:space="preserve"> and ending prior to July 1, 2028), administrative penalties may not apply if it is demonstrated that </w:t>
      </w:r>
      <w:r w:rsidR="006658D3">
        <w:t xml:space="preserve">“the entity acted in good faith, supported by a plausible interpretation of this regime and having taken the </w:t>
      </w:r>
      <w:r w:rsidR="006658D3">
        <w:lastRenderedPageBreak/>
        <w:t xml:space="preserve">appropriate measures for the correct fulfillment of its obligations, or that the infraction does not result in a reduction in the amount of the </w:t>
      </w:r>
      <w:r w:rsidR="098BEC6C">
        <w:t>complemen</w:t>
      </w:r>
      <w:r w:rsidR="363C9C1E">
        <w:t>tary</w:t>
      </w:r>
      <w:r w:rsidR="006658D3">
        <w:t xml:space="preserve"> tax due in that or in subsequent fiscal years”</w:t>
      </w:r>
      <w:r w:rsidR="14AF6A4A">
        <w:t xml:space="preserve"> (Art. 51, para. 3 of Law No. 41/2024)</w:t>
      </w:r>
      <w:r w:rsidR="006658D3">
        <w:t xml:space="preserve">. </w:t>
      </w:r>
      <w:r>
        <w:t xml:space="preserve">   </w:t>
      </w:r>
    </w:p>
    <w:p w14:paraId="7C708E2A" w14:textId="6A3478AC" w:rsidR="00153401" w:rsidRPr="009E2ECD" w:rsidRDefault="1A533C35" w:rsidP="009E2ECD">
      <w:pPr>
        <w:pStyle w:val="cpsection-head--purplebar"/>
        <w:rPr>
          <w:spacing w:val="10"/>
        </w:rPr>
      </w:pPr>
      <w:r w:rsidRPr="009E2ECD">
        <w:rPr>
          <w:spacing w:val="10"/>
        </w:rPr>
        <w:t>ADDITIONAL BLOOMBERG TAX RESOURCES</w:t>
      </w:r>
    </w:p>
    <w:p w14:paraId="2ECB7316" w14:textId="649AA085" w:rsidR="00E35561" w:rsidRPr="00404475" w:rsidRDefault="22D08F1C" w:rsidP="00E35561">
      <w:pPr>
        <w:pStyle w:val="cpbullet"/>
      </w:pPr>
      <w:r>
        <w:t xml:space="preserve">Bloomberg Tax, </w:t>
      </w:r>
      <w:hyperlink r:id="rId10">
        <w:r w:rsidRPr="73C267C6">
          <w:rPr>
            <w:rStyle w:val="Hyperlink"/>
          </w:rPr>
          <w:t>Portfolio 7450-2</w:t>
        </w:r>
        <w:r w:rsidRPr="73C267C6">
          <w:rPr>
            <w:rStyle w:val="Hyperlink"/>
            <w:vertAlign w:val="superscript"/>
          </w:rPr>
          <w:t>nd</w:t>
        </w:r>
        <w:r w:rsidRPr="73C267C6">
          <w:rPr>
            <w:rStyle w:val="Hyperlink"/>
          </w:rPr>
          <w:t>: Business Operations in the European Union – Taxation (VIII. European Union Secondary Legislation: Business Taxation, I. Pillar Two Directive).</w:t>
        </w:r>
      </w:hyperlink>
      <w:r>
        <w:t>   </w:t>
      </w:r>
    </w:p>
    <w:p w14:paraId="4E0AE783" w14:textId="7FC6F787" w:rsidR="00E35561" w:rsidRPr="003A0B95" w:rsidRDefault="22D08F1C" w:rsidP="00E35561">
      <w:pPr>
        <w:pStyle w:val="cpbullet"/>
      </w:pPr>
      <w:r>
        <w:t xml:space="preserve">Bloomberg Tax, Country Guides – </w:t>
      </w:r>
      <w:hyperlink r:id="rId11">
        <w:r w:rsidR="02723AB2" w:rsidRPr="73C267C6">
          <w:rPr>
            <w:rStyle w:val="Hyperlink"/>
          </w:rPr>
          <w:t>Portugal</w:t>
        </w:r>
        <w:r w:rsidRPr="73C267C6">
          <w:rPr>
            <w:rStyle w:val="Hyperlink"/>
          </w:rPr>
          <w:t>, (Section 9.4 - Miscellaneous Taxes)</w:t>
        </w:r>
      </w:hyperlink>
      <w:r>
        <w:t>.   </w:t>
      </w:r>
    </w:p>
    <w:p w14:paraId="64B8C8BC" w14:textId="454CCFC4" w:rsidR="0041720A" w:rsidRPr="004838F6" w:rsidRDefault="0041720A" w:rsidP="00E35561">
      <w:pPr>
        <w:pStyle w:val="cpbullet"/>
        <w:numPr>
          <w:ilvl w:val="0"/>
          <w:numId w:val="0"/>
        </w:numPr>
        <w:ind w:left="274"/>
      </w:pPr>
    </w:p>
    <w:sectPr w:rsidR="0041720A" w:rsidRPr="004838F6" w:rsidSect="00287D7F">
      <w:headerReference w:type="default" r:id="rId12"/>
      <w:footerReference w:type="default" r:id="rId13"/>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359A" w14:textId="77777777" w:rsidR="002E7545" w:rsidRDefault="002E7545" w:rsidP="00161A6C">
      <w:pPr>
        <w:spacing w:after="0"/>
      </w:pPr>
      <w:r>
        <w:separator/>
      </w:r>
    </w:p>
  </w:endnote>
  <w:endnote w:type="continuationSeparator" w:id="0">
    <w:p w14:paraId="0B17FCCB" w14:textId="77777777" w:rsidR="002E7545" w:rsidRDefault="002E7545" w:rsidP="00161A6C">
      <w:pPr>
        <w:spacing w:after="0"/>
      </w:pPr>
      <w:r>
        <w:continuationSeparator/>
      </w:r>
    </w:p>
  </w:endnote>
  <w:endnote w:type="continuationNotice" w:id="1">
    <w:p w14:paraId="5048AF39" w14:textId="77777777" w:rsidR="002E7545" w:rsidRDefault="002E75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P for BBG">
    <w:altName w:val="Calibri"/>
    <w:panose1 w:val="020B0503020202020204"/>
    <w:charset w:val="00"/>
    <w:family w:val="swiss"/>
    <w:notTrueType/>
    <w:pitch w:val="variable"/>
    <w:sig w:usb0="A00002AF" w:usb1="4000205B"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2DD" w14:textId="20994536" w:rsidR="0046793E" w:rsidRPr="009C69A6" w:rsidRDefault="0046793E" w:rsidP="0046793E">
    <w:pPr>
      <w:pStyle w:val="Footer"/>
      <w:tabs>
        <w:tab w:val="clear" w:pos="9360"/>
        <w:tab w:val="right" w:pos="10440"/>
        <w:tab w:val="left" w:pos="10530"/>
        <w:tab w:val="left" w:pos="10980"/>
        <w:tab w:val="right" w:pos="11070"/>
      </w:tabs>
      <w:ind w:left="-432"/>
      <w:rPr>
        <w:b/>
        <w:sz w:val="24"/>
        <w:szCs w:val="24"/>
      </w:rPr>
    </w:pPr>
    <w:r>
      <w:rPr>
        <w:noProof/>
      </w:rPr>
      <mc:AlternateContent>
        <mc:Choice Requires="wps">
          <w:drawing>
            <wp:anchor distT="4294967295" distB="4294967295" distL="114300" distR="114300" simplePos="0" relativeHeight="251658243" behindDoc="0" locked="0" layoutInCell="1" allowOverlap="1" wp14:anchorId="31461BF1" wp14:editId="69AAB65A">
              <wp:simplePos x="0" y="0"/>
              <wp:positionH relativeFrom="margin">
                <wp:posOffset>-838200</wp:posOffset>
              </wp:positionH>
              <wp:positionV relativeFrom="paragraph">
                <wp:posOffset>280669</wp:posOffset>
              </wp:positionV>
              <wp:extent cx="8244840" cy="0"/>
              <wp:effectExtent l="0" t="38100" r="60960" b="57150"/>
              <wp:wrapNone/>
              <wp:docPr id="13384372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4840" cy="0"/>
                      </a:xfrm>
                      <a:prstGeom prst="line">
                        <a:avLst/>
                      </a:prstGeom>
                      <a:ln w="101600" cmpd="sng">
                        <a:solidFill>
                          <a:srgbClr val="5E5397"/>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3" style="position:absolute;z-index:25166029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spid="_x0000_s1026" strokecolor="#5e5397" strokeweight="8pt" from="-66pt,22.1pt" to="583.2pt,22.1pt" w14:anchorId="7A6E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">
              <v:stroke joinstyle="miter"/>
              <o:lock v:ext="edit" shapetype="f"/>
              <w10:wrap anchorx="margin"/>
            </v:line>
          </w:pict>
        </mc:Fallback>
      </mc:AlternateContent>
    </w:r>
    <w:r w:rsidRPr="008D79D9">
      <w:t>Copyright © 202</w:t>
    </w:r>
    <w:r w:rsidR="00EA518F">
      <w:t>5</w:t>
    </w:r>
    <w:r w:rsidRPr="008D79D9">
      <w:t xml:space="preserve"> </w:t>
    </w:r>
    <w:r>
      <w:t>Bloomberg Industry Group, Inc.</w:t>
    </w:r>
    <w:r>
      <w:tab/>
    </w:r>
    <w:r>
      <w:tab/>
    </w:r>
    <w:r w:rsidRPr="007274C4">
      <w:rPr>
        <w:b/>
        <w:bCs w:val="0"/>
        <w:sz w:val="24"/>
        <w:szCs w:val="24"/>
      </w:rPr>
      <w:fldChar w:fldCharType="begin"/>
    </w:r>
    <w:r w:rsidRPr="007274C4">
      <w:rPr>
        <w:b/>
        <w:bCs w:val="0"/>
        <w:sz w:val="24"/>
        <w:szCs w:val="24"/>
      </w:rPr>
      <w:instrText xml:space="preserve"> PAGE   \* MERGEFORMAT </w:instrText>
    </w:r>
    <w:r w:rsidRPr="007274C4">
      <w:rPr>
        <w:b/>
        <w:bCs w:val="0"/>
        <w:sz w:val="24"/>
        <w:szCs w:val="24"/>
      </w:rPr>
      <w:fldChar w:fldCharType="separate"/>
    </w:r>
    <w:r>
      <w:rPr>
        <w:b/>
        <w:bCs w:val="0"/>
        <w:sz w:val="24"/>
        <w:szCs w:val="24"/>
      </w:rPr>
      <w:t>1</w:t>
    </w:r>
    <w:r w:rsidRPr="007274C4">
      <w:rPr>
        <w:b/>
        <w:bCs w:val="0"/>
        <w:noProof/>
        <w:sz w:val="24"/>
        <w:szCs w:val="24"/>
      </w:rPr>
      <w:fldChar w:fldCharType="end"/>
    </w:r>
  </w:p>
  <w:p w14:paraId="69D538B7" w14:textId="77777777" w:rsidR="002D1AD5" w:rsidRPr="0046793E" w:rsidRDefault="002D1AD5" w:rsidP="00467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BD35" w14:textId="71CD6F7D" w:rsidR="00EB43A0" w:rsidRPr="009C69A6" w:rsidRDefault="00EB43A0" w:rsidP="00EC33B0">
    <w:pPr>
      <w:pStyle w:val="Footer"/>
      <w:tabs>
        <w:tab w:val="clear" w:pos="9360"/>
        <w:tab w:val="right" w:pos="10440"/>
        <w:tab w:val="left" w:pos="10530"/>
        <w:tab w:val="left" w:pos="10980"/>
        <w:tab w:val="right" w:pos="11070"/>
      </w:tabs>
      <w:ind w:left="-432"/>
      <w:rPr>
        <w:b/>
        <w:sz w:val="24"/>
        <w:szCs w:val="24"/>
      </w:rPr>
    </w:pPr>
    <w:r>
      <w:rPr>
        <w:noProof/>
      </w:rPr>
      <mc:AlternateContent>
        <mc:Choice Requires="wps">
          <w:drawing>
            <wp:anchor distT="4294967295" distB="4294967295" distL="114300" distR="114300" simplePos="0" relativeHeight="251658240" behindDoc="0" locked="0" layoutInCell="1" allowOverlap="1" wp14:anchorId="3C32C74C" wp14:editId="031482D5">
              <wp:simplePos x="0" y="0"/>
              <wp:positionH relativeFrom="margin">
                <wp:posOffset>-838200</wp:posOffset>
              </wp:positionH>
              <wp:positionV relativeFrom="paragraph">
                <wp:posOffset>280669</wp:posOffset>
              </wp:positionV>
              <wp:extent cx="8244840" cy="0"/>
              <wp:effectExtent l="0" t="38100" r="60960" b="57150"/>
              <wp:wrapNone/>
              <wp:docPr id="106030476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4840" cy="0"/>
                      </a:xfrm>
                      <a:prstGeom prst="line">
                        <a:avLst/>
                      </a:prstGeom>
                      <a:ln w="101600" cmpd="sng">
                        <a:solidFill>
                          <a:srgbClr val="5E5397"/>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3"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spid="_x0000_s1026" strokecolor="#5e5397" strokeweight="8pt" from="-66pt,22.1pt" to="583.2pt,22.1pt" w14:anchorId="421E2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">
              <v:stroke joinstyle="miter"/>
              <o:lock v:ext="edit" shapetype="f"/>
              <w10:wrap anchorx="margin"/>
            </v:line>
          </w:pict>
        </mc:Fallback>
      </mc:AlternateContent>
    </w:r>
    <w:r w:rsidRPr="008D79D9">
      <w:t>Copyright © 202</w:t>
    </w:r>
    <w:r w:rsidR="00EA518F">
      <w:t>5</w:t>
    </w:r>
    <w:r w:rsidRPr="008D79D9">
      <w:t xml:space="preserve"> </w:t>
    </w:r>
    <w:r>
      <w:t>Bloomberg Industry Group, Inc.</w:t>
    </w:r>
    <w:r>
      <w:tab/>
    </w:r>
    <w:r>
      <w:tab/>
    </w:r>
    <w:r w:rsidRPr="007274C4">
      <w:rPr>
        <w:b/>
        <w:bCs w:val="0"/>
        <w:sz w:val="24"/>
        <w:szCs w:val="24"/>
      </w:rPr>
      <w:fldChar w:fldCharType="begin"/>
    </w:r>
    <w:r w:rsidRPr="007274C4">
      <w:rPr>
        <w:b/>
        <w:bCs w:val="0"/>
        <w:sz w:val="24"/>
        <w:szCs w:val="24"/>
      </w:rPr>
      <w:instrText xml:space="preserve"> PAGE   \* MERGEFORMAT </w:instrText>
    </w:r>
    <w:r w:rsidRPr="007274C4">
      <w:rPr>
        <w:b/>
        <w:bCs w:val="0"/>
        <w:sz w:val="24"/>
        <w:szCs w:val="24"/>
      </w:rPr>
      <w:fldChar w:fldCharType="separate"/>
    </w:r>
    <w:r>
      <w:rPr>
        <w:b/>
        <w:bCs w:val="0"/>
        <w:sz w:val="24"/>
        <w:szCs w:val="24"/>
      </w:rPr>
      <w:t>1</w:t>
    </w:r>
    <w:r w:rsidRPr="007274C4">
      <w:rPr>
        <w:b/>
        <w:bCs w:val="0"/>
        <w:noProof/>
        <w:sz w:val="24"/>
        <w:szCs w:val="24"/>
      </w:rPr>
      <w:fldChar w:fldCharType="end"/>
    </w:r>
  </w:p>
  <w:p w14:paraId="1A655321" w14:textId="77777777" w:rsidR="00EB43A0" w:rsidRDefault="00EB43A0" w:rsidP="00EB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19B5" w14:textId="77777777" w:rsidR="002E7545" w:rsidRDefault="002E7545" w:rsidP="00161A6C">
      <w:pPr>
        <w:spacing w:after="0"/>
      </w:pPr>
      <w:r>
        <w:separator/>
      </w:r>
    </w:p>
  </w:footnote>
  <w:footnote w:type="continuationSeparator" w:id="0">
    <w:p w14:paraId="2291156F" w14:textId="77777777" w:rsidR="002E7545" w:rsidRDefault="002E7545" w:rsidP="00161A6C">
      <w:pPr>
        <w:spacing w:after="0"/>
      </w:pPr>
      <w:r>
        <w:continuationSeparator/>
      </w:r>
    </w:p>
  </w:footnote>
  <w:footnote w:type="continuationNotice" w:id="1">
    <w:p w14:paraId="3ADBE825" w14:textId="77777777" w:rsidR="002E7545" w:rsidRDefault="002E7545">
      <w:pPr>
        <w:spacing w:after="0"/>
      </w:pPr>
    </w:p>
  </w:footnote>
  <w:footnote w:id="2">
    <w:p w14:paraId="667CA4F5" w14:textId="3D7ECC01" w:rsidR="0007322A" w:rsidRPr="001B6C3F" w:rsidRDefault="0007322A">
      <w:pPr>
        <w:pStyle w:val="FootnoteText"/>
        <w:rPr>
          <w:sz w:val="18"/>
          <w:szCs w:val="18"/>
        </w:rPr>
      </w:pPr>
      <w:r w:rsidRPr="00767FAA">
        <w:rPr>
          <w:rStyle w:val="FootnoteReference"/>
          <w:sz w:val="18"/>
          <w:szCs w:val="18"/>
        </w:rPr>
        <w:footnoteRef/>
      </w:r>
      <w:r w:rsidRPr="00767FAA">
        <w:rPr>
          <w:sz w:val="18"/>
          <w:szCs w:val="18"/>
        </w:rPr>
        <w:t xml:space="preserve"> </w:t>
      </w:r>
      <w:r w:rsidR="00621E45" w:rsidRPr="00767FAA">
        <w:rPr>
          <w:sz w:val="18"/>
          <w:szCs w:val="18"/>
        </w:rPr>
        <w:t xml:space="preserve">The group must also </w:t>
      </w:r>
      <w:r w:rsidR="003D01BC" w:rsidRPr="00767FAA">
        <w:rPr>
          <w:sz w:val="18"/>
          <w:szCs w:val="18"/>
        </w:rPr>
        <w:t>register</w:t>
      </w:r>
      <w:r w:rsidR="00621E45" w:rsidRPr="00767FAA">
        <w:rPr>
          <w:sz w:val="18"/>
          <w:szCs w:val="18"/>
        </w:rPr>
        <w:t xml:space="preserve"> the beginning of the initial phase of international activity of the group, in cases where the group is </w:t>
      </w:r>
      <w:r w:rsidR="00322C3B" w:rsidRPr="00767FAA">
        <w:rPr>
          <w:sz w:val="18"/>
          <w:szCs w:val="18"/>
        </w:rPr>
        <w:t xml:space="preserve">applying </w:t>
      </w:r>
      <w:r w:rsidR="001B6C3F" w:rsidRPr="00767FAA">
        <w:rPr>
          <w:sz w:val="18"/>
          <w:szCs w:val="18"/>
        </w:rPr>
        <w:t xml:space="preserve">this exclusion from </w:t>
      </w:r>
      <w:r w:rsidR="00D9190D" w:rsidRPr="00767FAA">
        <w:rPr>
          <w:sz w:val="18"/>
          <w:szCs w:val="18"/>
        </w:rPr>
        <w:t xml:space="preserve">the </w:t>
      </w:r>
      <w:r w:rsidR="001B6C3F" w:rsidRPr="00767FAA">
        <w:rPr>
          <w:sz w:val="18"/>
          <w:szCs w:val="18"/>
        </w:rPr>
        <w:t>IIR and UTPR.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A4B4" w14:textId="77777777" w:rsidR="00C92D7D" w:rsidRPr="007274C4" w:rsidRDefault="00C92D7D" w:rsidP="00C92D7D">
    <w:pPr>
      <w:pStyle w:val="Header"/>
      <w:tabs>
        <w:tab w:val="clear" w:pos="4680"/>
        <w:tab w:val="clear" w:pos="9360"/>
        <w:tab w:val="left" w:pos="9336"/>
      </w:tabs>
      <w:rPr>
        <w:color w:val="5E5397"/>
      </w:rPr>
    </w:pPr>
    <w:r w:rsidRPr="007274C4">
      <w:rPr>
        <w:bCs w:val="0"/>
        <w:noProof/>
        <w:color w:val="5E5397"/>
        <w:sz w:val="20"/>
        <w:szCs w:val="20"/>
      </w:rPr>
      <w:drawing>
        <wp:anchor distT="0" distB="0" distL="114300" distR="114300" simplePos="0" relativeHeight="251658242" behindDoc="1" locked="0" layoutInCell="1" allowOverlap="1" wp14:anchorId="6E449442" wp14:editId="0C4BF138">
          <wp:simplePos x="0" y="0"/>
          <wp:positionH relativeFrom="column">
            <wp:posOffset>4762500</wp:posOffset>
          </wp:positionH>
          <wp:positionV relativeFrom="paragraph">
            <wp:posOffset>38735</wp:posOffset>
          </wp:positionV>
          <wp:extent cx="1579880" cy="289560"/>
          <wp:effectExtent l="0" t="0" r="0" b="0"/>
          <wp:wrapNone/>
          <wp:docPr id="2057302546" name="Picture 205730254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pic:cNvPicPr preferRelativeResize="0"/>
                </pic:nvPicPr>
                <pic:blipFill rotWithShape="1">
                  <a:blip r:embed="rId1">
                    <a:extLst>
                      <a:ext uri="{28A0092B-C50C-407E-A947-70E740481C1C}">
                        <a14:useLocalDpi xmlns:a14="http://schemas.microsoft.com/office/drawing/2010/main" val="0"/>
                      </a:ext>
                    </a:extLst>
                  </a:blip>
                  <a:srcRect t="19252" b="19773"/>
                  <a:stretch/>
                </pic:blipFill>
                <pic:spPr bwMode="auto">
                  <a:xfrm>
                    <a:off x="0" y="0"/>
                    <a:ext cx="1579880" cy="289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5E5397"/>
      </w:rPr>
      <w:tab/>
    </w:r>
  </w:p>
  <w:p w14:paraId="325F6522" w14:textId="03D97312" w:rsidR="00C92D7D" w:rsidRDefault="00C92D7D" w:rsidP="00C92D7D">
    <w:pPr>
      <w:pStyle w:val="Header"/>
      <w:pBdr>
        <w:bottom w:val="single" w:sz="12" w:space="1" w:color="5E5397"/>
      </w:pBdr>
      <w:ind w:left="-432" w:right="-432"/>
      <w:rPr>
        <w:color w:val="5E5397"/>
      </w:rPr>
    </w:pPr>
    <w:r w:rsidRPr="007274C4">
      <w:rPr>
        <w:color w:val="5E5397"/>
      </w:rPr>
      <w:t xml:space="preserve">PILLAR TWO </w:t>
    </w:r>
    <w:r>
      <w:rPr>
        <w:color w:val="5E5397"/>
      </w:rPr>
      <w:t xml:space="preserve">IMPLEMENTATION </w:t>
    </w:r>
    <w:r w:rsidRPr="007274C4">
      <w:rPr>
        <w:color w:val="5E5397"/>
      </w:rPr>
      <w:t xml:space="preserve">SUMMARY: </w:t>
    </w:r>
    <w:r w:rsidR="000D06BB">
      <w:rPr>
        <w:color w:val="5E5397"/>
      </w:rPr>
      <w:t>PORTUGAL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6E25" w14:textId="092D5FDC" w:rsidR="00C92D7D" w:rsidRPr="007274C4" w:rsidRDefault="00C92D7D" w:rsidP="00C92D7D">
    <w:pPr>
      <w:pStyle w:val="Header"/>
      <w:tabs>
        <w:tab w:val="clear" w:pos="4680"/>
        <w:tab w:val="clear" w:pos="9360"/>
        <w:tab w:val="left" w:pos="9336"/>
      </w:tabs>
      <w:rPr>
        <w:color w:val="5E5397"/>
      </w:rPr>
    </w:pPr>
    <w:r w:rsidRPr="007274C4">
      <w:rPr>
        <w:bCs w:val="0"/>
        <w:noProof/>
        <w:color w:val="5E5397"/>
        <w:sz w:val="20"/>
        <w:szCs w:val="20"/>
      </w:rPr>
      <w:drawing>
        <wp:anchor distT="0" distB="0" distL="114300" distR="114300" simplePos="0" relativeHeight="251658241" behindDoc="1" locked="0" layoutInCell="1" allowOverlap="1" wp14:anchorId="20C05908" wp14:editId="37BDDC48">
          <wp:simplePos x="0" y="0"/>
          <wp:positionH relativeFrom="column">
            <wp:posOffset>4617720</wp:posOffset>
          </wp:positionH>
          <wp:positionV relativeFrom="paragraph">
            <wp:posOffset>-170815</wp:posOffset>
          </wp:positionV>
          <wp:extent cx="1581912" cy="475488"/>
          <wp:effectExtent l="0" t="0" r="0" b="0"/>
          <wp:wrapNone/>
          <wp:docPr id="5"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581912" cy="475488"/>
                  </a:xfrm>
                  <a:prstGeom prst="rect">
                    <a:avLst/>
                  </a:prstGeom>
                </pic:spPr>
              </pic:pic>
            </a:graphicData>
          </a:graphic>
          <wp14:sizeRelH relativeFrom="page">
            <wp14:pctWidth>0</wp14:pctWidth>
          </wp14:sizeRelH>
          <wp14:sizeRelV relativeFrom="page">
            <wp14:pctHeight>0</wp14:pctHeight>
          </wp14:sizeRelV>
        </wp:anchor>
      </w:drawing>
    </w:r>
    <w:r>
      <w:rPr>
        <w:color w:val="5E5397"/>
      </w:rPr>
      <w:tab/>
    </w:r>
  </w:p>
  <w:p w14:paraId="37F5F43C" w14:textId="77777777" w:rsidR="00C92D7D" w:rsidRDefault="00C92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F75"/>
    <w:multiLevelType w:val="hybridMultilevel"/>
    <w:tmpl w:val="1B4ECEBE"/>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585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3E6927"/>
    <w:multiLevelType w:val="hybridMultilevel"/>
    <w:tmpl w:val="C526C612"/>
    <w:lvl w:ilvl="0" w:tplc="3C641E82">
      <w:start w:val="1"/>
      <w:numFmt w:val="bullet"/>
      <w:lvlText w:val=""/>
      <w:lvlJc w:val="left"/>
      <w:pPr>
        <w:ind w:left="720" w:hanging="360"/>
      </w:pPr>
      <w:rPr>
        <w:rFonts w:ascii="Wingdings" w:hAnsi="Wingdings" w:hint="default"/>
      </w:rPr>
    </w:lvl>
    <w:lvl w:ilvl="1" w:tplc="DC9CFEDA">
      <w:start w:val="1"/>
      <w:numFmt w:val="bullet"/>
      <w:lvlText w:val=""/>
      <w:lvlJc w:val="left"/>
      <w:pPr>
        <w:ind w:left="1440" w:hanging="360"/>
      </w:pPr>
      <w:rPr>
        <w:rFonts w:ascii="Wingdings" w:hAnsi="Wingdings" w:hint="default"/>
      </w:rPr>
    </w:lvl>
    <w:lvl w:ilvl="2" w:tplc="B2ECAE30">
      <w:start w:val="1"/>
      <w:numFmt w:val="bullet"/>
      <w:lvlText w:val=""/>
      <w:lvlJc w:val="left"/>
      <w:pPr>
        <w:ind w:left="2160" w:hanging="360"/>
      </w:pPr>
      <w:rPr>
        <w:rFonts w:ascii="Wingdings" w:hAnsi="Wingdings" w:hint="default"/>
      </w:rPr>
    </w:lvl>
    <w:lvl w:ilvl="3" w:tplc="DE8A1912">
      <w:start w:val="1"/>
      <w:numFmt w:val="bullet"/>
      <w:lvlText w:val=""/>
      <w:lvlJc w:val="left"/>
      <w:pPr>
        <w:ind w:left="2880" w:hanging="360"/>
      </w:pPr>
      <w:rPr>
        <w:rFonts w:ascii="Symbol" w:hAnsi="Symbol" w:hint="default"/>
      </w:rPr>
    </w:lvl>
    <w:lvl w:ilvl="4" w:tplc="49DE281A">
      <w:start w:val="1"/>
      <w:numFmt w:val="bullet"/>
      <w:lvlText w:val="o"/>
      <w:lvlJc w:val="left"/>
      <w:pPr>
        <w:ind w:left="3600" w:hanging="360"/>
      </w:pPr>
      <w:rPr>
        <w:rFonts w:ascii="Courier New" w:hAnsi="Courier New" w:hint="default"/>
      </w:rPr>
    </w:lvl>
    <w:lvl w:ilvl="5" w:tplc="D6D8DE08">
      <w:start w:val="1"/>
      <w:numFmt w:val="bullet"/>
      <w:lvlText w:val=""/>
      <w:lvlJc w:val="left"/>
      <w:pPr>
        <w:ind w:left="4320" w:hanging="360"/>
      </w:pPr>
      <w:rPr>
        <w:rFonts w:ascii="Wingdings" w:hAnsi="Wingdings" w:hint="default"/>
      </w:rPr>
    </w:lvl>
    <w:lvl w:ilvl="6" w:tplc="9C2E3F3A">
      <w:start w:val="1"/>
      <w:numFmt w:val="bullet"/>
      <w:lvlText w:val=""/>
      <w:lvlJc w:val="left"/>
      <w:pPr>
        <w:ind w:left="5040" w:hanging="360"/>
      </w:pPr>
      <w:rPr>
        <w:rFonts w:ascii="Symbol" w:hAnsi="Symbol" w:hint="default"/>
      </w:rPr>
    </w:lvl>
    <w:lvl w:ilvl="7" w:tplc="23DAB194">
      <w:start w:val="1"/>
      <w:numFmt w:val="bullet"/>
      <w:lvlText w:val="o"/>
      <w:lvlJc w:val="left"/>
      <w:pPr>
        <w:ind w:left="5760" w:hanging="360"/>
      </w:pPr>
      <w:rPr>
        <w:rFonts w:ascii="Courier New" w:hAnsi="Courier New" w:hint="default"/>
      </w:rPr>
    </w:lvl>
    <w:lvl w:ilvl="8" w:tplc="218C7B3A">
      <w:start w:val="1"/>
      <w:numFmt w:val="bullet"/>
      <w:lvlText w:val=""/>
      <w:lvlJc w:val="left"/>
      <w:pPr>
        <w:ind w:left="6480" w:hanging="360"/>
      </w:pPr>
      <w:rPr>
        <w:rFonts w:ascii="Wingdings" w:hAnsi="Wingdings" w:hint="default"/>
      </w:rPr>
    </w:lvl>
  </w:abstractNum>
  <w:abstractNum w:abstractNumId="2" w15:restartNumberingAfterBreak="0">
    <w:nsid w:val="12AC0C02"/>
    <w:multiLevelType w:val="hybridMultilevel"/>
    <w:tmpl w:val="B784B918"/>
    <w:lvl w:ilvl="0" w:tplc="03483CB0">
      <w:start w:val="1"/>
      <w:numFmt w:val="bullet"/>
      <w:lvlText w:val=""/>
      <w:lvlJc w:val="left"/>
      <w:pPr>
        <w:ind w:left="720" w:hanging="360"/>
      </w:pPr>
      <w:rPr>
        <w:rFonts w:ascii="Wingdings" w:hAnsi="Wingdings" w:hint="default"/>
        <w:color w:val="5E539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871"/>
    <w:multiLevelType w:val="hybridMultilevel"/>
    <w:tmpl w:val="0FBE4C66"/>
    <w:lvl w:ilvl="0" w:tplc="03483CB0">
      <w:start w:val="1"/>
      <w:numFmt w:val="bullet"/>
      <w:lvlText w:val=""/>
      <w:lvlJc w:val="left"/>
      <w:pPr>
        <w:ind w:left="720" w:hanging="360"/>
      </w:pPr>
      <w:rPr>
        <w:rFonts w:ascii="Wingdings" w:hAnsi="Wingdings" w:hint="default"/>
        <w:color w:val="5E5397"/>
        <w:sz w:val="24"/>
      </w:rPr>
    </w:lvl>
    <w:lvl w:ilvl="1" w:tplc="FFFFFFFF">
      <w:start w:val="1"/>
      <w:numFmt w:val="bullet"/>
      <w:lvlText w:val=""/>
      <w:lvlJc w:val="left"/>
      <w:pPr>
        <w:ind w:left="1440" w:hanging="360"/>
      </w:pPr>
      <w:rPr>
        <w:rFonts w:ascii="Wingdings" w:hAnsi="Wingdings" w:hint="default"/>
        <w:color w:val="5E5397"/>
        <w:sz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B26A7E"/>
    <w:multiLevelType w:val="hybridMultilevel"/>
    <w:tmpl w:val="7500F356"/>
    <w:lvl w:ilvl="0" w:tplc="D75A54F4">
      <w:start w:val="1"/>
      <w:numFmt w:val="bullet"/>
      <w:lvlText w:val=""/>
      <w:lvlJc w:val="left"/>
      <w:pPr>
        <w:ind w:left="720" w:hanging="360"/>
      </w:pPr>
      <w:rPr>
        <w:rFonts w:ascii="Symbol" w:hAnsi="Symbol" w:hint="default"/>
      </w:rPr>
    </w:lvl>
    <w:lvl w:ilvl="1" w:tplc="666A8828">
      <w:start w:val="1"/>
      <w:numFmt w:val="bullet"/>
      <w:lvlText w:val="o"/>
      <w:lvlJc w:val="left"/>
      <w:pPr>
        <w:ind w:left="1440" w:hanging="360"/>
      </w:pPr>
      <w:rPr>
        <w:rFonts w:ascii="Courier New" w:hAnsi="Courier New" w:hint="default"/>
      </w:rPr>
    </w:lvl>
    <w:lvl w:ilvl="2" w:tplc="0B563C66">
      <w:start w:val="1"/>
      <w:numFmt w:val="bullet"/>
      <w:lvlText w:val=""/>
      <w:lvlJc w:val="left"/>
      <w:pPr>
        <w:ind w:left="2160" w:hanging="360"/>
      </w:pPr>
      <w:rPr>
        <w:rFonts w:ascii="Wingdings" w:hAnsi="Wingdings" w:hint="default"/>
      </w:rPr>
    </w:lvl>
    <w:lvl w:ilvl="3" w:tplc="80B63AB8">
      <w:start w:val="1"/>
      <w:numFmt w:val="bullet"/>
      <w:lvlText w:val=""/>
      <w:lvlJc w:val="left"/>
      <w:pPr>
        <w:ind w:left="2880" w:hanging="360"/>
      </w:pPr>
      <w:rPr>
        <w:rFonts w:ascii="Symbol" w:hAnsi="Symbol" w:hint="default"/>
      </w:rPr>
    </w:lvl>
    <w:lvl w:ilvl="4" w:tplc="01FEC1D2">
      <w:start w:val="1"/>
      <w:numFmt w:val="bullet"/>
      <w:lvlText w:val="o"/>
      <w:lvlJc w:val="left"/>
      <w:pPr>
        <w:ind w:left="3600" w:hanging="360"/>
      </w:pPr>
      <w:rPr>
        <w:rFonts w:ascii="Courier New" w:hAnsi="Courier New" w:hint="default"/>
      </w:rPr>
    </w:lvl>
    <w:lvl w:ilvl="5" w:tplc="23DE6EA4">
      <w:start w:val="1"/>
      <w:numFmt w:val="bullet"/>
      <w:lvlText w:val=""/>
      <w:lvlJc w:val="left"/>
      <w:pPr>
        <w:ind w:left="4320" w:hanging="360"/>
      </w:pPr>
      <w:rPr>
        <w:rFonts w:ascii="Wingdings" w:hAnsi="Wingdings" w:hint="default"/>
      </w:rPr>
    </w:lvl>
    <w:lvl w:ilvl="6" w:tplc="0406C384">
      <w:start w:val="1"/>
      <w:numFmt w:val="bullet"/>
      <w:lvlText w:val=""/>
      <w:lvlJc w:val="left"/>
      <w:pPr>
        <w:ind w:left="5040" w:hanging="360"/>
      </w:pPr>
      <w:rPr>
        <w:rFonts w:ascii="Symbol" w:hAnsi="Symbol" w:hint="default"/>
      </w:rPr>
    </w:lvl>
    <w:lvl w:ilvl="7" w:tplc="27C62D9E">
      <w:start w:val="1"/>
      <w:numFmt w:val="bullet"/>
      <w:lvlText w:val="o"/>
      <w:lvlJc w:val="left"/>
      <w:pPr>
        <w:ind w:left="5760" w:hanging="360"/>
      </w:pPr>
      <w:rPr>
        <w:rFonts w:ascii="Courier New" w:hAnsi="Courier New" w:hint="default"/>
      </w:rPr>
    </w:lvl>
    <w:lvl w:ilvl="8" w:tplc="635648F0">
      <w:start w:val="1"/>
      <w:numFmt w:val="bullet"/>
      <w:lvlText w:val=""/>
      <w:lvlJc w:val="left"/>
      <w:pPr>
        <w:ind w:left="6480" w:hanging="360"/>
      </w:pPr>
      <w:rPr>
        <w:rFonts w:ascii="Wingdings" w:hAnsi="Wingdings" w:hint="default"/>
      </w:rPr>
    </w:lvl>
  </w:abstractNum>
  <w:abstractNum w:abstractNumId="5" w15:restartNumberingAfterBreak="0">
    <w:nsid w:val="19A0537E"/>
    <w:multiLevelType w:val="multilevel"/>
    <w:tmpl w:val="982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E0A78"/>
    <w:multiLevelType w:val="hybridMultilevel"/>
    <w:tmpl w:val="8432DAA0"/>
    <w:lvl w:ilvl="0" w:tplc="03483CB0">
      <w:start w:val="1"/>
      <w:numFmt w:val="bullet"/>
      <w:lvlText w:val=""/>
      <w:lvlJc w:val="left"/>
      <w:pPr>
        <w:ind w:left="720" w:hanging="360"/>
      </w:pPr>
      <w:rPr>
        <w:rFonts w:ascii="Wingdings" w:hAnsi="Wingdings" w:hint="default"/>
        <w:color w:val="5E539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A619F"/>
    <w:multiLevelType w:val="multilevel"/>
    <w:tmpl w:val="D804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BD06B4"/>
    <w:multiLevelType w:val="hybridMultilevel"/>
    <w:tmpl w:val="6820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B5F77"/>
    <w:multiLevelType w:val="hybridMultilevel"/>
    <w:tmpl w:val="73367182"/>
    <w:lvl w:ilvl="0" w:tplc="F27E6EA8">
      <w:start w:val="1"/>
      <w:numFmt w:val="bullet"/>
      <w:lvlText w:val=""/>
      <w:lvlJc w:val="left"/>
      <w:pPr>
        <w:ind w:left="720" w:hanging="360"/>
      </w:pPr>
      <w:rPr>
        <w:rFonts w:ascii="Wingdings" w:hAnsi="Wingdings" w:hint="default"/>
      </w:rPr>
    </w:lvl>
    <w:lvl w:ilvl="1" w:tplc="7B4485E6">
      <w:start w:val="1"/>
      <w:numFmt w:val="bullet"/>
      <w:lvlText w:val=""/>
      <w:lvlJc w:val="left"/>
      <w:pPr>
        <w:ind w:left="1440" w:hanging="360"/>
      </w:pPr>
      <w:rPr>
        <w:rFonts w:ascii="Wingdings" w:hAnsi="Wingdings" w:hint="default"/>
      </w:rPr>
    </w:lvl>
    <w:lvl w:ilvl="2" w:tplc="35B603B0">
      <w:start w:val="1"/>
      <w:numFmt w:val="bullet"/>
      <w:lvlText w:val=""/>
      <w:lvlJc w:val="left"/>
      <w:pPr>
        <w:ind w:left="2160" w:hanging="360"/>
      </w:pPr>
      <w:rPr>
        <w:rFonts w:ascii="Wingdings" w:hAnsi="Wingdings" w:hint="default"/>
      </w:rPr>
    </w:lvl>
    <w:lvl w:ilvl="3" w:tplc="BB80D4D8">
      <w:start w:val="1"/>
      <w:numFmt w:val="bullet"/>
      <w:lvlText w:val=""/>
      <w:lvlJc w:val="left"/>
      <w:pPr>
        <w:ind w:left="2880" w:hanging="360"/>
      </w:pPr>
      <w:rPr>
        <w:rFonts w:ascii="Symbol" w:hAnsi="Symbol" w:hint="default"/>
      </w:rPr>
    </w:lvl>
    <w:lvl w:ilvl="4" w:tplc="DCB24DB4">
      <w:start w:val="1"/>
      <w:numFmt w:val="bullet"/>
      <w:lvlText w:val="o"/>
      <w:lvlJc w:val="left"/>
      <w:pPr>
        <w:ind w:left="3600" w:hanging="360"/>
      </w:pPr>
      <w:rPr>
        <w:rFonts w:ascii="Courier New" w:hAnsi="Courier New" w:hint="default"/>
      </w:rPr>
    </w:lvl>
    <w:lvl w:ilvl="5" w:tplc="4B4274A0">
      <w:start w:val="1"/>
      <w:numFmt w:val="bullet"/>
      <w:lvlText w:val=""/>
      <w:lvlJc w:val="left"/>
      <w:pPr>
        <w:ind w:left="4320" w:hanging="360"/>
      </w:pPr>
      <w:rPr>
        <w:rFonts w:ascii="Wingdings" w:hAnsi="Wingdings" w:hint="default"/>
      </w:rPr>
    </w:lvl>
    <w:lvl w:ilvl="6" w:tplc="B906A680">
      <w:start w:val="1"/>
      <w:numFmt w:val="bullet"/>
      <w:lvlText w:val=""/>
      <w:lvlJc w:val="left"/>
      <w:pPr>
        <w:ind w:left="5040" w:hanging="360"/>
      </w:pPr>
      <w:rPr>
        <w:rFonts w:ascii="Symbol" w:hAnsi="Symbol" w:hint="default"/>
      </w:rPr>
    </w:lvl>
    <w:lvl w:ilvl="7" w:tplc="E4C88554">
      <w:start w:val="1"/>
      <w:numFmt w:val="bullet"/>
      <w:lvlText w:val="o"/>
      <w:lvlJc w:val="left"/>
      <w:pPr>
        <w:ind w:left="5760" w:hanging="360"/>
      </w:pPr>
      <w:rPr>
        <w:rFonts w:ascii="Courier New" w:hAnsi="Courier New" w:hint="default"/>
      </w:rPr>
    </w:lvl>
    <w:lvl w:ilvl="8" w:tplc="72967BD0">
      <w:start w:val="1"/>
      <w:numFmt w:val="bullet"/>
      <w:lvlText w:val=""/>
      <w:lvlJc w:val="left"/>
      <w:pPr>
        <w:ind w:left="6480" w:hanging="360"/>
      </w:pPr>
      <w:rPr>
        <w:rFonts w:ascii="Wingdings" w:hAnsi="Wingdings" w:hint="default"/>
      </w:rPr>
    </w:lvl>
  </w:abstractNum>
  <w:abstractNum w:abstractNumId="10" w15:restartNumberingAfterBreak="0">
    <w:nsid w:val="34D80283"/>
    <w:multiLevelType w:val="hybridMultilevel"/>
    <w:tmpl w:val="6E66BDD6"/>
    <w:lvl w:ilvl="0" w:tplc="03483CB0">
      <w:start w:val="1"/>
      <w:numFmt w:val="bullet"/>
      <w:lvlText w:val=""/>
      <w:lvlJc w:val="left"/>
      <w:pPr>
        <w:ind w:left="360" w:hanging="360"/>
      </w:pPr>
      <w:rPr>
        <w:rFonts w:ascii="Wingdings" w:hAnsi="Wingdings" w:hint="default"/>
        <w:color w:val="5E5397"/>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A7572D"/>
    <w:multiLevelType w:val="multilevel"/>
    <w:tmpl w:val="1DB6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BF69EF"/>
    <w:multiLevelType w:val="hybridMultilevel"/>
    <w:tmpl w:val="C9CC253C"/>
    <w:lvl w:ilvl="0" w:tplc="FFFFFFFF">
      <w:start w:val="1"/>
      <w:numFmt w:val="bullet"/>
      <w:lvlText w:val=""/>
      <w:lvlJc w:val="left"/>
      <w:pPr>
        <w:ind w:left="720" w:hanging="360"/>
      </w:pPr>
      <w:rPr>
        <w:rFonts w:ascii="Symbol" w:hAnsi="Symbol" w:hint="default"/>
      </w:rPr>
    </w:lvl>
    <w:lvl w:ilvl="1" w:tplc="0AF240C2">
      <w:start w:val="1"/>
      <w:numFmt w:val="bullet"/>
      <w:pStyle w:val="cplistpara"/>
      <w:lvlText w:val=""/>
      <w:lvlJc w:val="left"/>
      <w:pPr>
        <w:ind w:left="1440" w:hanging="360"/>
      </w:pPr>
      <w:rPr>
        <w:rFonts w:ascii="Wingdings" w:hAnsi="Wingdings" w:hint="default"/>
        <w:color w:val="5E5397"/>
        <w:sz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A45710"/>
    <w:multiLevelType w:val="hybridMultilevel"/>
    <w:tmpl w:val="94B8E4F6"/>
    <w:lvl w:ilvl="0" w:tplc="FFFFFFFF">
      <w:start w:val="1"/>
      <w:numFmt w:val="bullet"/>
      <w:lvlText w:val=""/>
      <w:lvlJc w:val="left"/>
      <w:pPr>
        <w:ind w:left="720" w:hanging="360"/>
      </w:pPr>
      <w:rPr>
        <w:rFonts w:ascii="Symbol" w:hAnsi="Symbol" w:hint="default"/>
      </w:rPr>
    </w:lvl>
    <w:lvl w:ilvl="1" w:tplc="03483CB0">
      <w:start w:val="1"/>
      <w:numFmt w:val="bullet"/>
      <w:lvlText w:val=""/>
      <w:lvlJc w:val="left"/>
      <w:pPr>
        <w:ind w:left="1800" w:hanging="360"/>
      </w:pPr>
      <w:rPr>
        <w:rFonts w:ascii="Wingdings" w:hAnsi="Wingdings" w:hint="default"/>
        <w:color w:val="5E5397"/>
        <w:sz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AC71E6"/>
    <w:multiLevelType w:val="multilevel"/>
    <w:tmpl w:val="A990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80029"/>
    <w:multiLevelType w:val="hybridMultilevel"/>
    <w:tmpl w:val="C2EA35E8"/>
    <w:lvl w:ilvl="0" w:tplc="03483CB0">
      <w:start w:val="1"/>
      <w:numFmt w:val="bullet"/>
      <w:lvlText w:val=""/>
      <w:lvlJc w:val="left"/>
      <w:pPr>
        <w:ind w:left="720" w:hanging="360"/>
      </w:pPr>
      <w:rPr>
        <w:rFonts w:ascii="Wingdings" w:hAnsi="Wingdings" w:hint="default"/>
        <w:color w:val="5E539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E4064"/>
    <w:multiLevelType w:val="hybridMultilevel"/>
    <w:tmpl w:val="85FC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90113"/>
    <w:multiLevelType w:val="hybridMultilevel"/>
    <w:tmpl w:val="8232368E"/>
    <w:lvl w:ilvl="0" w:tplc="FFFFFFFF">
      <w:start w:val="1"/>
      <w:numFmt w:val="bullet"/>
      <w:lvlText w:val=""/>
      <w:lvlJc w:val="left"/>
      <w:pPr>
        <w:ind w:left="720" w:hanging="360"/>
      </w:pPr>
      <w:rPr>
        <w:rFonts w:ascii="Symbol" w:hAnsi="Symbol" w:hint="default"/>
      </w:rPr>
    </w:lvl>
    <w:lvl w:ilvl="1" w:tplc="03483CB0">
      <w:start w:val="1"/>
      <w:numFmt w:val="bullet"/>
      <w:lvlText w:val=""/>
      <w:lvlJc w:val="left"/>
      <w:pPr>
        <w:ind w:left="720" w:hanging="360"/>
      </w:pPr>
      <w:rPr>
        <w:rFonts w:ascii="Wingdings" w:hAnsi="Wingdings" w:hint="default"/>
        <w:color w:val="5E5397"/>
        <w:sz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403BCC"/>
    <w:multiLevelType w:val="multilevel"/>
    <w:tmpl w:val="99F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3CA697"/>
    <w:multiLevelType w:val="hybridMultilevel"/>
    <w:tmpl w:val="2E3E473C"/>
    <w:lvl w:ilvl="0" w:tplc="43B6EDF8">
      <w:start w:val="1"/>
      <w:numFmt w:val="bullet"/>
      <w:lvlText w:val=""/>
      <w:lvlJc w:val="left"/>
      <w:pPr>
        <w:ind w:left="720" w:hanging="360"/>
      </w:pPr>
      <w:rPr>
        <w:rFonts w:ascii="Wingdings" w:hAnsi="Wingdings" w:hint="default"/>
      </w:rPr>
    </w:lvl>
    <w:lvl w:ilvl="1" w:tplc="04C415FA">
      <w:start w:val="1"/>
      <w:numFmt w:val="bullet"/>
      <w:lvlText w:val=""/>
      <w:lvlJc w:val="left"/>
      <w:pPr>
        <w:ind w:left="1440" w:hanging="360"/>
      </w:pPr>
      <w:rPr>
        <w:rFonts w:ascii="Wingdings" w:hAnsi="Wingdings" w:hint="default"/>
      </w:rPr>
    </w:lvl>
    <w:lvl w:ilvl="2" w:tplc="77E2A3EE">
      <w:start w:val="1"/>
      <w:numFmt w:val="bullet"/>
      <w:lvlText w:val=""/>
      <w:lvlJc w:val="left"/>
      <w:pPr>
        <w:ind w:left="2160" w:hanging="360"/>
      </w:pPr>
      <w:rPr>
        <w:rFonts w:ascii="Wingdings" w:hAnsi="Wingdings" w:hint="default"/>
      </w:rPr>
    </w:lvl>
    <w:lvl w:ilvl="3" w:tplc="6C022348">
      <w:start w:val="1"/>
      <w:numFmt w:val="bullet"/>
      <w:lvlText w:val=""/>
      <w:lvlJc w:val="left"/>
      <w:pPr>
        <w:ind w:left="2880" w:hanging="360"/>
      </w:pPr>
      <w:rPr>
        <w:rFonts w:ascii="Symbol" w:hAnsi="Symbol" w:hint="default"/>
      </w:rPr>
    </w:lvl>
    <w:lvl w:ilvl="4" w:tplc="0952EE9E">
      <w:start w:val="1"/>
      <w:numFmt w:val="bullet"/>
      <w:lvlText w:val="o"/>
      <w:lvlJc w:val="left"/>
      <w:pPr>
        <w:ind w:left="3600" w:hanging="360"/>
      </w:pPr>
      <w:rPr>
        <w:rFonts w:ascii="Courier New" w:hAnsi="Courier New" w:hint="default"/>
      </w:rPr>
    </w:lvl>
    <w:lvl w:ilvl="5" w:tplc="D1E28696">
      <w:start w:val="1"/>
      <w:numFmt w:val="bullet"/>
      <w:lvlText w:val=""/>
      <w:lvlJc w:val="left"/>
      <w:pPr>
        <w:ind w:left="4320" w:hanging="360"/>
      </w:pPr>
      <w:rPr>
        <w:rFonts w:ascii="Wingdings" w:hAnsi="Wingdings" w:hint="default"/>
      </w:rPr>
    </w:lvl>
    <w:lvl w:ilvl="6" w:tplc="BE8A601A">
      <w:start w:val="1"/>
      <w:numFmt w:val="bullet"/>
      <w:lvlText w:val=""/>
      <w:lvlJc w:val="left"/>
      <w:pPr>
        <w:ind w:left="5040" w:hanging="360"/>
      </w:pPr>
      <w:rPr>
        <w:rFonts w:ascii="Symbol" w:hAnsi="Symbol" w:hint="default"/>
      </w:rPr>
    </w:lvl>
    <w:lvl w:ilvl="7" w:tplc="2C7AD43C">
      <w:start w:val="1"/>
      <w:numFmt w:val="bullet"/>
      <w:lvlText w:val="o"/>
      <w:lvlJc w:val="left"/>
      <w:pPr>
        <w:ind w:left="5760" w:hanging="360"/>
      </w:pPr>
      <w:rPr>
        <w:rFonts w:ascii="Courier New" w:hAnsi="Courier New" w:hint="default"/>
      </w:rPr>
    </w:lvl>
    <w:lvl w:ilvl="8" w:tplc="891ED966">
      <w:start w:val="1"/>
      <w:numFmt w:val="bullet"/>
      <w:lvlText w:val=""/>
      <w:lvlJc w:val="left"/>
      <w:pPr>
        <w:ind w:left="6480" w:hanging="360"/>
      </w:pPr>
      <w:rPr>
        <w:rFonts w:ascii="Wingdings" w:hAnsi="Wingdings" w:hint="default"/>
      </w:rPr>
    </w:lvl>
  </w:abstractNum>
  <w:abstractNum w:abstractNumId="20" w15:restartNumberingAfterBreak="0">
    <w:nsid w:val="562F1FCD"/>
    <w:multiLevelType w:val="hybridMultilevel"/>
    <w:tmpl w:val="83D6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A384F"/>
    <w:multiLevelType w:val="hybridMultilevel"/>
    <w:tmpl w:val="4E5A2F7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A0F67"/>
    <w:multiLevelType w:val="hybridMultilevel"/>
    <w:tmpl w:val="B1B89382"/>
    <w:lvl w:ilvl="0" w:tplc="03483CB0">
      <w:start w:val="1"/>
      <w:numFmt w:val="bullet"/>
      <w:lvlText w:val=""/>
      <w:lvlJc w:val="left"/>
      <w:pPr>
        <w:ind w:left="1268" w:hanging="360"/>
      </w:pPr>
      <w:rPr>
        <w:rFonts w:ascii="Wingdings" w:hAnsi="Wingdings" w:hint="default"/>
        <w:color w:val="5E5397"/>
        <w:sz w:val="24"/>
      </w:rPr>
    </w:lvl>
    <w:lvl w:ilvl="1" w:tplc="FFFFFFFF" w:tentative="1">
      <w:start w:val="1"/>
      <w:numFmt w:val="bullet"/>
      <w:lvlText w:val="o"/>
      <w:lvlJc w:val="left"/>
      <w:pPr>
        <w:ind w:left="1988" w:hanging="360"/>
      </w:pPr>
      <w:rPr>
        <w:rFonts w:ascii="Courier New" w:hAnsi="Courier New" w:cs="Courier New" w:hint="default"/>
      </w:rPr>
    </w:lvl>
    <w:lvl w:ilvl="2" w:tplc="FFFFFFFF" w:tentative="1">
      <w:start w:val="1"/>
      <w:numFmt w:val="bullet"/>
      <w:lvlText w:val=""/>
      <w:lvlJc w:val="left"/>
      <w:pPr>
        <w:ind w:left="2708" w:hanging="360"/>
      </w:pPr>
      <w:rPr>
        <w:rFonts w:ascii="Wingdings" w:hAnsi="Wingdings" w:hint="default"/>
      </w:rPr>
    </w:lvl>
    <w:lvl w:ilvl="3" w:tplc="FFFFFFFF" w:tentative="1">
      <w:start w:val="1"/>
      <w:numFmt w:val="bullet"/>
      <w:lvlText w:val=""/>
      <w:lvlJc w:val="left"/>
      <w:pPr>
        <w:ind w:left="3428" w:hanging="360"/>
      </w:pPr>
      <w:rPr>
        <w:rFonts w:ascii="Symbol" w:hAnsi="Symbol" w:hint="default"/>
      </w:rPr>
    </w:lvl>
    <w:lvl w:ilvl="4" w:tplc="FFFFFFFF" w:tentative="1">
      <w:start w:val="1"/>
      <w:numFmt w:val="bullet"/>
      <w:lvlText w:val="o"/>
      <w:lvlJc w:val="left"/>
      <w:pPr>
        <w:ind w:left="4148" w:hanging="360"/>
      </w:pPr>
      <w:rPr>
        <w:rFonts w:ascii="Courier New" w:hAnsi="Courier New" w:cs="Courier New" w:hint="default"/>
      </w:rPr>
    </w:lvl>
    <w:lvl w:ilvl="5" w:tplc="FFFFFFFF" w:tentative="1">
      <w:start w:val="1"/>
      <w:numFmt w:val="bullet"/>
      <w:lvlText w:val=""/>
      <w:lvlJc w:val="left"/>
      <w:pPr>
        <w:ind w:left="4868" w:hanging="360"/>
      </w:pPr>
      <w:rPr>
        <w:rFonts w:ascii="Wingdings" w:hAnsi="Wingdings" w:hint="default"/>
      </w:rPr>
    </w:lvl>
    <w:lvl w:ilvl="6" w:tplc="FFFFFFFF" w:tentative="1">
      <w:start w:val="1"/>
      <w:numFmt w:val="bullet"/>
      <w:lvlText w:val=""/>
      <w:lvlJc w:val="left"/>
      <w:pPr>
        <w:ind w:left="5588" w:hanging="360"/>
      </w:pPr>
      <w:rPr>
        <w:rFonts w:ascii="Symbol" w:hAnsi="Symbol" w:hint="default"/>
      </w:rPr>
    </w:lvl>
    <w:lvl w:ilvl="7" w:tplc="FFFFFFFF" w:tentative="1">
      <w:start w:val="1"/>
      <w:numFmt w:val="bullet"/>
      <w:lvlText w:val="o"/>
      <w:lvlJc w:val="left"/>
      <w:pPr>
        <w:ind w:left="6308" w:hanging="360"/>
      </w:pPr>
      <w:rPr>
        <w:rFonts w:ascii="Courier New" w:hAnsi="Courier New" w:cs="Courier New" w:hint="default"/>
      </w:rPr>
    </w:lvl>
    <w:lvl w:ilvl="8" w:tplc="FFFFFFFF" w:tentative="1">
      <w:start w:val="1"/>
      <w:numFmt w:val="bullet"/>
      <w:lvlText w:val=""/>
      <w:lvlJc w:val="left"/>
      <w:pPr>
        <w:ind w:left="7028" w:hanging="360"/>
      </w:pPr>
      <w:rPr>
        <w:rFonts w:ascii="Wingdings" w:hAnsi="Wingdings" w:hint="default"/>
      </w:rPr>
    </w:lvl>
  </w:abstractNum>
  <w:abstractNum w:abstractNumId="23" w15:restartNumberingAfterBreak="0">
    <w:nsid w:val="60125769"/>
    <w:multiLevelType w:val="hybridMultilevel"/>
    <w:tmpl w:val="4AC6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C1785"/>
    <w:multiLevelType w:val="hybridMultilevel"/>
    <w:tmpl w:val="26A0504C"/>
    <w:lvl w:ilvl="0" w:tplc="F69E9BCA">
      <w:start w:val="1"/>
      <w:numFmt w:val="bullet"/>
      <w:lvlText w:val=""/>
      <w:lvlJc w:val="left"/>
      <w:pPr>
        <w:ind w:left="720" w:hanging="360"/>
      </w:pPr>
      <w:rPr>
        <w:rFonts w:ascii="Symbol" w:hAnsi="Symbol" w:hint="default"/>
      </w:rPr>
    </w:lvl>
    <w:lvl w:ilvl="1" w:tplc="0E4A808A">
      <w:start w:val="1"/>
      <w:numFmt w:val="bullet"/>
      <w:lvlText w:val="o"/>
      <w:lvlJc w:val="left"/>
      <w:pPr>
        <w:ind w:left="1440" w:hanging="360"/>
      </w:pPr>
      <w:rPr>
        <w:rFonts w:ascii="Courier New" w:hAnsi="Courier New" w:hint="default"/>
      </w:rPr>
    </w:lvl>
    <w:lvl w:ilvl="2" w:tplc="8D3E231C">
      <w:start w:val="1"/>
      <w:numFmt w:val="bullet"/>
      <w:lvlText w:val=""/>
      <w:lvlJc w:val="left"/>
      <w:pPr>
        <w:ind w:left="2160" w:hanging="360"/>
      </w:pPr>
      <w:rPr>
        <w:rFonts w:ascii="Wingdings" w:hAnsi="Wingdings" w:hint="default"/>
      </w:rPr>
    </w:lvl>
    <w:lvl w:ilvl="3" w:tplc="58146C5E">
      <w:start w:val="1"/>
      <w:numFmt w:val="bullet"/>
      <w:lvlText w:val=""/>
      <w:lvlJc w:val="left"/>
      <w:pPr>
        <w:ind w:left="2880" w:hanging="360"/>
      </w:pPr>
      <w:rPr>
        <w:rFonts w:ascii="Symbol" w:hAnsi="Symbol" w:hint="default"/>
      </w:rPr>
    </w:lvl>
    <w:lvl w:ilvl="4" w:tplc="AD5AD6BE">
      <w:start w:val="1"/>
      <w:numFmt w:val="bullet"/>
      <w:lvlText w:val="o"/>
      <w:lvlJc w:val="left"/>
      <w:pPr>
        <w:ind w:left="3600" w:hanging="360"/>
      </w:pPr>
      <w:rPr>
        <w:rFonts w:ascii="Courier New" w:hAnsi="Courier New" w:hint="default"/>
      </w:rPr>
    </w:lvl>
    <w:lvl w:ilvl="5" w:tplc="B4187944">
      <w:start w:val="1"/>
      <w:numFmt w:val="bullet"/>
      <w:lvlText w:val=""/>
      <w:lvlJc w:val="left"/>
      <w:pPr>
        <w:ind w:left="4320" w:hanging="360"/>
      </w:pPr>
      <w:rPr>
        <w:rFonts w:ascii="Wingdings" w:hAnsi="Wingdings" w:hint="default"/>
      </w:rPr>
    </w:lvl>
    <w:lvl w:ilvl="6" w:tplc="88D4C6DC">
      <w:start w:val="1"/>
      <w:numFmt w:val="bullet"/>
      <w:lvlText w:val=""/>
      <w:lvlJc w:val="left"/>
      <w:pPr>
        <w:ind w:left="5040" w:hanging="360"/>
      </w:pPr>
      <w:rPr>
        <w:rFonts w:ascii="Symbol" w:hAnsi="Symbol" w:hint="default"/>
      </w:rPr>
    </w:lvl>
    <w:lvl w:ilvl="7" w:tplc="6F1CF1DA">
      <w:start w:val="1"/>
      <w:numFmt w:val="bullet"/>
      <w:lvlText w:val="o"/>
      <w:lvlJc w:val="left"/>
      <w:pPr>
        <w:ind w:left="5760" w:hanging="360"/>
      </w:pPr>
      <w:rPr>
        <w:rFonts w:ascii="Courier New" w:hAnsi="Courier New" w:hint="default"/>
      </w:rPr>
    </w:lvl>
    <w:lvl w:ilvl="8" w:tplc="F85EC094">
      <w:start w:val="1"/>
      <w:numFmt w:val="bullet"/>
      <w:lvlText w:val=""/>
      <w:lvlJc w:val="left"/>
      <w:pPr>
        <w:ind w:left="6480" w:hanging="360"/>
      </w:pPr>
      <w:rPr>
        <w:rFonts w:ascii="Wingdings" w:hAnsi="Wingdings" w:hint="default"/>
      </w:rPr>
    </w:lvl>
  </w:abstractNum>
  <w:abstractNum w:abstractNumId="25" w15:restartNumberingAfterBreak="0">
    <w:nsid w:val="625D6042"/>
    <w:multiLevelType w:val="hybridMultilevel"/>
    <w:tmpl w:val="2B5A869A"/>
    <w:lvl w:ilvl="0" w:tplc="03483CB0">
      <w:start w:val="1"/>
      <w:numFmt w:val="bullet"/>
      <w:lvlText w:val=""/>
      <w:lvlJc w:val="left"/>
      <w:pPr>
        <w:ind w:left="1800" w:hanging="360"/>
      </w:pPr>
      <w:rPr>
        <w:rFonts w:ascii="Wingdings" w:hAnsi="Wingdings" w:hint="default"/>
        <w:color w:val="5E5397"/>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87353C"/>
    <w:multiLevelType w:val="hybridMultilevel"/>
    <w:tmpl w:val="0C6860B8"/>
    <w:lvl w:ilvl="0" w:tplc="FFFFFFFF">
      <w:start w:val="1"/>
      <w:numFmt w:val="bullet"/>
      <w:lvlText w:val=""/>
      <w:lvlJc w:val="left"/>
      <w:pPr>
        <w:ind w:left="720" w:hanging="360"/>
      </w:pPr>
      <w:rPr>
        <w:rFonts w:ascii="Symbol" w:hAnsi="Symbol" w:hint="default"/>
      </w:rPr>
    </w:lvl>
    <w:lvl w:ilvl="1" w:tplc="D7E610D2">
      <w:start w:val="1"/>
      <w:numFmt w:val="bullet"/>
      <w:lvlText w:val=""/>
      <w:lvlJc w:val="left"/>
      <w:pPr>
        <w:ind w:left="1440" w:hanging="360"/>
      </w:pPr>
      <w:rPr>
        <w:rFonts w:ascii="Wingdings" w:hAnsi="Wingdings" w:hint="default"/>
        <w:color w:val="5E5397"/>
        <w:sz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045FF7"/>
    <w:multiLevelType w:val="hybridMultilevel"/>
    <w:tmpl w:val="A9803874"/>
    <w:lvl w:ilvl="0" w:tplc="03483CB0">
      <w:start w:val="1"/>
      <w:numFmt w:val="bullet"/>
      <w:lvlText w:val=""/>
      <w:lvlJc w:val="left"/>
      <w:pPr>
        <w:ind w:left="1800" w:hanging="360"/>
      </w:pPr>
      <w:rPr>
        <w:rFonts w:ascii="Wingdings" w:hAnsi="Wingdings" w:hint="default"/>
        <w:color w:val="5E5397"/>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8E31CB3"/>
    <w:multiLevelType w:val="hybridMultilevel"/>
    <w:tmpl w:val="AF781CAE"/>
    <w:lvl w:ilvl="0" w:tplc="941A5374">
      <w:start w:val="1"/>
      <w:numFmt w:val="bullet"/>
      <w:pStyle w:val="cpbullet"/>
      <w:lvlText w:val=""/>
      <w:lvlJc w:val="left"/>
      <w:pPr>
        <w:ind w:left="994" w:hanging="360"/>
      </w:pPr>
      <w:rPr>
        <w:rFonts w:ascii="Wingdings" w:hAnsi="Wingdings" w:hint="default"/>
        <w:color w:val="5E5397"/>
        <w:sz w:val="24"/>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9" w15:restartNumberingAfterBreak="0">
    <w:nsid w:val="71022C42"/>
    <w:multiLevelType w:val="hybridMultilevel"/>
    <w:tmpl w:val="1624BC0C"/>
    <w:lvl w:ilvl="0" w:tplc="03483CB0">
      <w:start w:val="1"/>
      <w:numFmt w:val="bullet"/>
      <w:lvlText w:val=""/>
      <w:lvlJc w:val="left"/>
      <w:pPr>
        <w:ind w:left="720" w:hanging="360"/>
      </w:pPr>
      <w:rPr>
        <w:rFonts w:ascii="Wingdings" w:hAnsi="Wingdings" w:hint="default"/>
        <w:color w:val="5E539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E501A"/>
    <w:multiLevelType w:val="hybridMultilevel"/>
    <w:tmpl w:val="6524A61C"/>
    <w:lvl w:ilvl="0" w:tplc="03483CB0">
      <w:start w:val="1"/>
      <w:numFmt w:val="bullet"/>
      <w:lvlText w:val=""/>
      <w:lvlJc w:val="left"/>
      <w:pPr>
        <w:ind w:left="720" w:hanging="360"/>
      </w:pPr>
      <w:rPr>
        <w:rFonts w:ascii="Wingdings" w:hAnsi="Wingdings" w:hint="default"/>
        <w:color w:val="5E5397"/>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09216C"/>
    <w:multiLevelType w:val="hybridMultilevel"/>
    <w:tmpl w:val="CEF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153224">
    <w:abstractNumId w:val="21"/>
  </w:num>
  <w:num w:numId="2" w16cid:durableId="958072061">
    <w:abstractNumId w:val="16"/>
  </w:num>
  <w:num w:numId="3" w16cid:durableId="2075279117">
    <w:abstractNumId w:val="8"/>
  </w:num>
  <w:num w:numId="4" w16cid:durableId="638418147">
    <w:abstractNumId w:val="20"/>
  </w:num>
  <w:num w:numId="5" w16cid:durableId="832725221">
    <w:abstractNumId w:val="31"/>
  </w:num>
  <w:num w:numId="6" w16cid:durableId="1343237900">
    <w:abstractNumId w:val="12"/>
  </w:num>
  <w:num w:numId="7" w16cid:durableId="1890535396">
    <w:abstractNumId w:val="26"/>
  </w:num>
  <w:num w:numId="8" w16cid:durableId="1508985354">
    <w:abstractNumId w:val="15"/>
  </w:num>
  <w:num w:numId="9" w16cid:durableId="1834223927">
    <w:abstractNumId w:val="17"/>
  </w:num>
  <w:num w:numId="10" w16cid:durableId="123037672">
    <w:abstractNumId w:val="3"/>
  </w:num>
  <w:num w:numId="11" w16cid:durableId="1197885738">
    <w:abstractNumId w:val="1"/>
  </w:num>
  <w:num w:numId="12" w16cid:durableId="1172841383">
    <w:abstractNumId w:val="9"/>
  </w:num>
  <w:num w:numId="13" w16cid:durableId="2033263476">
    <w:abstractNumId w:val="25"/>
  </w:num>
  <w:num w:numId="14" w16cid:durableId="1958485723">
    <w:abstractNumId w:val="28"/>
  </w:num>
  <w:num w:numId="15" w16cid:durableId="720401574">
    <w:abstractNumId w:val="27"/>
  </w:num>
  <w:num w:numId="16" w16cid:durableId="1177842153">
    <w:abstractNumId w:val="13"/>
  </w:num>
  <w:num w:numId="17" w16cid:durableId="1188133013">
    <w:abstractNumId w:val="19"/>
  </w:num>
  <w:num w:numId="18" w16cid:durableId="2091190598">
    <w:abstractNumId w:val="4"/>
  </w:num>
  <w:num w:numId="19" w16cid:durableId="230626248">
    <w:abstractNumId w:val="6"/>
  </w:num>
  <w:num w:numId="20" w16cid:durableId="1461994842">
    <w:abstractNumId w:val="23"/>
  </w:num>
  <w:num w:numId="21" w16cid:durableId="1122380990">
    <w:abstractNumId w:val="30"/>
  </w:num>
  <w:num w:numId="22" w16cid:durableId="300814148">
    <w:abstractNumId w:val="22"/>
  </w:num>
  <w:num w:numId="23" w16cid:durableId="325087836">
    <w:abstractNumId w:val="2"/>
  </w:num>
  <w:num w:numId="24" w16cid:durableId="1464157384">
    <w:abstractNumId w:val="29"/>
  </w:num>
  <w:num w:numId="25" w16cid:durableId="997462946">
    <w:abstractNumId w:val="24"/>
  </w:num>
  <w:num w:numId="26" w16cid:durableId="1653289987">
    <w:abstractNumId w:val="0"/>
  </w:num>
  <w:num w:numId="27" w16cid:durableId="1660420717">
    <w:abstractNumId w:val="10"/>
  </w:num>
  <w:num w:numId="28" w16cid:durableId="1235312283">
    <w:abstractNumId w:val="11"/>
  </w:num>
  <w:num w:numId="29" w16cid:durableId="777258991">
    <w:abstractNumId w:val="7"/>
  </w:num>
  <w:num w:numId="30" w16cid:durableId="625164478">
    <w:abstractNumId w:val="5"/>
  </w:num>
  <w:num w:numId="31" w16cid:durableId="1912080438">
    <w:abstractNumId w:val="18"/>
  </w:num>
  <w:num w:numId="32" w16cid:durableId="1366755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EC"/>
    <w:rsid w:val="000060C3"/>
    <w:rsid w:val="000068EA"/>
    <w:rsid w:val="00011679"/>
    <w:rsid w:val="00017890"/>
    <w:rsid w:val="00017CE0"/>
    <w:rsid w:val="00033EEE"/>
    <w:rsid w:val="00034E40"/>
    <w:rsid w:val="00037684"/>
    <w:rsid w:val="00042B0F"/>
    <w:rsid w:val="00042EC7"/>
    <w:rsid w:val="00051392"/>
    <w:rsid w:val="00067F5C"/>
    <w:rsid w:val="000728E5"/>
    <w:rsid w:val="0007322A"/>
    <w:rsid w:val="000777D8"/>
    <w:rsid w:val="000870B6"/>
    <w:rsid w:val="000A40FA"/>
    <w:rsid w:val="000A7927"/>
    <w:rsid w:val="000D06BB"/>
    <w:rsid w:val="000D13FC"/>
    <w:rsid w:val="000E2109"/>
    <w:rsid w:val="000F0215"/>
    <w:rsid w:val="000F517F"/>
    <w:rsid w:val="000F52E6"/>
    <w:rsid w:val="000F5BAC"/>
    <w:rsid w:val="00100399"/>
    <w:rsid w:val="00100DBA"/>
    <w:rsid w:val="001069A8"/>
    <w:rsid w:val="001123CE"/>
    <w:rsid w:val="001165D5"/>
    <w:rsid w:val="00123160"/>
    <w:rsid w:val="0014717A"/>
    <w:rsid w:val="00153401"/>
    <w:rsid w:val="00155563"/>
    <w:rsid w:val="00160A51"/>
    <w:rsid w:val="00161A6C"/>
    <w:rsid w:val="00165C4B"/>
    <w:rsid w:val="001730B2"/>
    <w:rsid w:val="00180CC7"/>
    <w:rsid w:val="00182734"/>
    <w:rsid w:val="00191989"/>
    <w:rsid w:val="00192AC9"/>
    <w:rsid w:val="001A43A7"/>
    <w:rsid w:val="001B3492"/>
    <w:rsid w:val="001B6C3F"/>
    <w:rsid w:val="001B75F7"/>
    <w:rsid w:val="001B7EB8"/>
    <w:rsid w:val="001C0977"/>
    <w:rsid w:val="001C58FA"/>
    <w:rsid w:val="001C5F26"/>
    <w:rsid w:val="001C6553"/>
    <w:rsid w:val="001C65FA"/>
    <w:rsid w:val="001C6696"/>
    <w:rsid w:val="001D2F5F"/>
    <w:rsid w:val="001D3CA2"/>
    <w:rsid w:val="001F3113"/>
    <w:rsid w:val="001F53F6"/>
    <w:rsid w:val="00200EE1"/>
    <w:rsid w:val="00201CAA"/>
    <w:rsid w:val="00210788"/>
    <w:rsid w:val="002117D5"/>
    <w:rsid w:val="00224DDC"/>
    <w:rsid w:val="002347EC"/>
    <w:rsid w:val="00252E81"/>
    <w:rsid w:val="002551AA"/>
    <w:rsid w:val="00257BCD"/>
    <w:rsid w:val="00257DCC"/>
    <w:rsid w:val="002646A5"/>
    <w:rsid w:val="002657BB"/>
    <w:rsid w:val="00267734"/>
    <w:rsid w:val="00287D7F"/>
    <w:rsid w:val="00293D4D"/>
    <w:rsid w:val="002A0936"/>
    <w:rsid w:val="002A7F94"/>
    <w:rsid w:val="002B0605"/>
    <w:rsid w:val="002B4FAA"/>
    <w:rsid w:val="002D1AD5"/>
    <w:rsid w:val="002D27C1"/>
    <w:rsid w:val="002D3A51"/>
    <w:rsid w:val="002E34FD"/>
    <w:rsid w:val="002E3A97"/>
    <w:rsid w:val="002E52C6"/>
    <w:rsid w:val="002E6B08"/>
    <w:rsid w:val="002E7545"/>
    <w:rsid w:val="002F16AD"/>
    <w:rsid w:val="002F2EF9"/>
    <w:rsid w:val="002F6569"/>
    <w:rsid w:val="0031260A"/>
    <w:rsid w:val="003144FC"/>
    <w:rsid w:val="00315AF5"/>
    <w:rsid w:val="00316C7E"/>
    <w:rsid w:val="00320E47"/>
    <w:rsid w:val="00321E7D"/>
    <w:rsid w:val="00322C3B"/>
    <w:rsid w:val="00333B79"/>
    <w:rsid w:val="003411B8"/>
    <w:rsid w:val="003453D2"/>
    <w:rsid w:val="00354DF5"/>
    <w:rsid w:val="00363E64"/>
    <w:rsid w:val="00365F38"/>
    <w:rsid w:val="003824AE"/>
    <w:rsid w:val="003829B3"/>
    <w:rsid w:val="00382CB8"/>
    <w:rsid w:val="00385688"/>
    <w:rsid w:val="003A0B95"/>
    <w:rsid w:val="003B0EB8"/>
    <w:rsid w:val="003C430E"/>
    <w:rsid w:val="003D01BC"/>
    <w:rsid w:val="003D102B"/>
    <w:rsid w:val="003D23D7"/>
    <w:rsid w:val="003D7814"/>
    <w:rsid w:val="003E4502"/>
    <w:rsid w:val="003E5D73"/>
    <w:rsid w:val="003E67A3"/>
    <w:rsid w:val="003F161A"/>
    <w:rsid w:val="003F4EA0"/>
    <w:rsid w:val="003F680C"/>
    <w:rsid w:val="003F7860"/>
    <w:rsid w:val="00401760"/>
    <w:rsid w:val="00404475"/>
    <w:rsid w:val="00410D85"/>
    <w:rsid w:val="00412F65"/>
    <w:rsid w:val="004149C6"/>
    <w:rsid w:val="00414D6F"/>
    <w:rsid w:val="0041547B"/>
    <w:rsid w:val="0041720A"/>
    <w:rsid w:val="00420F5B"/>
    <w:rsid w:val="0042144E"/>
    <w:rsid w:val="00423B76"/>
    <w:rsid w:val="00425863"/>
    <w:rsid w:val="00425AF4"/>
    <w:rsid w:val="00430A00"/>
    <w:rsid w:val="00442A87"/>
    <w:rsid w:val="004467DC"/>
    <w:rsid w:val="004544F6"/>
    <w:rsid w:val="0046793E"/>
    <w:rsid w:val="004706CF"/>
    <w:rsid w:val="00471671"/>
    <w:rsid w:val="00474264"/>
    <w:rsid w:val="004826D1"/>
    <w:rsid w:val="004838F6"/>
    <w:rsid w:val="0048409F"/>
    <w:rsid w:val="0048626B"/>
    <w:rsid w:val="00493514"/>
    <w:rsid w:val="00495ACC"/>
    <w:rsid w:val="0049794F"/>
    <w:rsid w:val="004A07C3"/>
    <w:rsid w:val="004A340D"/>
    <w:rsid w:val="004A65FB"/>
    <w:rsid w:val="004B247F"/>
    <w:rsid w:val="004B2BAD"/>
    <w:rsid w:val="004B585D"/>
    <w:rsid w:val="004B62A4"/>
    <w:rsid w:val="004B6678"/>
    <w:rsid w:val="004C3E09"/>
    <w:rsid w:val="004D7462"/>
    <w:rsid w:val="004E4020"/>
    <w:rsid w:val="004F5C10"/>
    <w:rsid w:val="00505D0D"/>
    <w:rsid w:val="00517E99"/>
    <w:rsid w:val="005258FF"/>
    <w:rsid w:val="00535DB0"/>
    <w:rsid w:val="00537186"/>
    <w:rsid w:val="00547A37"/>
    <w:rsid w:val="0055452E"/>
    <w:rsid w:val="0055728A"/>
    <w:rsid w:val="005650DD"/>
    <w:rsid w:val="00573AF0"/>
    <w:rsid w:val="005760FF"/>
    <w:rsid w:val="00577CA2"/>
    <w:rsid w:val="00585FE4"/>
    <w:rsid w:val="00590B7A"/>
    <w:rsid w:val="00596728"/>
    <w:rsid w:val="00597BEE"/>
    <w:rsid w:val="005A6547"/>
    <w:rsid w:val="005A7625"/>
    <w:rsid w:val="005C440E"/>
    <w:rsid w:val="005C4E1E"/>
    <w:rsid w:val="005C7ACC"/>
    <w:rsid w:val="005D35AC"/>
    <w:rsid w:val="005D5F35"/>
    <w:rsid w:val="005D7476"/>
    <w:rsid w:val="005E75CF"/>
    <w:rsid w:val="005F8B61"/>
    <w:rsid w:val="00600C58"/>
    <w:rsid w:val="00605DF8"/>
    <w:rsid w:val="00607141"/>
    <w:rsid w:val="00612F46"/>
    <w:rsid w:val="006210B0"/>
    <w:rsid w:val="00621E45"/>
    <w:rsid w:val="006220A3"/>
    <w:rsid w:val="00622261"/>
    <w:rsid w:val="006248D3"/>
    <w:rsid w:val="00625B6D"/>
    <w:rsid w:val="00627A3C"/>
    <w:rsid w:val="006468FB"/>
    <w:rsid w:val="0065013E"/>
    <w:rsid w:val="0065090E"/>
    <w:rsid w:val="00656358"/>
    <w:rsid w:val="00656D0D"/>
    <w:rsid w:val="00663195"/>
    <w:rsid w:val="006648F5"/>
    <w:rsid w:val="00665746"/>
    <w:rsid w:val="006658D3"/>
    <w:rsid w:val="0067308B"/>
    <w:rsid w:val="00681B4C"/>
    <w:rsid w:val="00683710"/>
    <w:rsid w:val="006867EF"/>
    <w:rsid w:val="006934EB"/>
    <w:rsid w:val="006956AB"/>
    <w:rsid w:val="006A11F2"/>
    <w:rsid w:val="006B0836"/>
    <w:rsid w:val="006B20BE"/>
    <w:rsid w:val="006B5A06"/>
    <w:rsid w:val="006B77F0"/>
    <w:rsid w:val="006C5A63"/>
    <w:rsid w:val="006C6505"/>
    <w:rsid w:val="006D233C"/>
    <w:rsid w:val="006D489A"/>
    <w:rsid w:val="006F2E72"/>
    <w:rsid w:val="00701B7F"/>
    <w:rsid w:val="00706074"/>
    <w:rsid w:val="00720875"/>
    <w:rsid w:val="00721592"/>
    <w:rsid w:val="0072395A"/>
    <w:rsid w:val="007274C4"/>
    <w:rsid w:val="00732689"/>
    <w:rsid w:val="00742ADB"/>
    <w:rsid w:val="00754590"/>
    <w:rsid w:val="0075525E"/>
    <w:rsid w:val="00761C9E"/>
    <w:rsid w:val="00762252"/>
    <w:rsid w:val="007632D3"/>
    <w:rsid w:val="00767683"/>
    <w:rsid w:val="00767FAA"/>
    <w:rsid w:val="00771AB1"/>
    <w:rsid w:val="007746D3"/>
    <w:rsid w:val="00790653"/>
    <w:rsid w:val="00790C1D"/>
    <w:rsid w:val="00791CC0"/>
    <w:rsid w:val="00793BA8"/>
    <w:rsid w:val="00795B0B"/>
    <w:rsid w:val="007A0ABE"/>
    <w:rsid w:val="007A1A80"/>
    <w:rsid w:val="007A4228"/>
    <w:rsid w:val="007A4A91"/>
    <w:rsid w:val="007A56BC"/>
    <w:rsid w:val="007B3B6C"/>
    <w:rsid w:val="007B5C67"/>
    <w:rsid w:val="007C1E2F"/>
    <w:rsid w:val="007C3CC3"/>
    <w:rsid w:val="007C44C1"/>
    <w:rsid w:val="007E27B3"/>
    <w:rsid w:val="007E2A66"/>
    <w:rsid w:val="007E6A97"/>
    <w:rsid w:val="00807FA5"/>
    <w:rsid w:val="008102DD"/>
    <w:rsid w:val="00812392"/>
    <w:rsid w:val="008146FA"/>
    <w:rsid w:val="00825EE5"/>
    <w:rsid w:val="00833599"/>
    <w:rsid w:val="00833EA9"/>
    <w:rsid w:val="0083777C"/>
    <w:rsid w:val="00840B0A"/>
    <w:rsid w:val="008436F1"/>
    <w:rsid w:val="00844B97"/>
    <w:rsid w:val="008453F5"/>
    <w:rsid w:val="0084638F"/>
    <w:rsid w:val="00851FAF"/>
    <w:rsid w:val="00852606"/>
    <w:rsid w:val="008543C6"/>
    <w:rsid w:val="0086774A"/>
    <w:rsid w:val="00867D6E"/>
    <w:rsid w:val="008703C0"/>
    <w:rsid w:val="00876EF5"/>
    <w:rsid w:val="00881444"/>
    <w:rsid w:val="008850DF"/>
    <w:rsid w:val="008875A9"/>
    <w:rsid w:val="0089512F"/>
    <w:rsid w:val="008952DD"/>
    <w:rsid w:val="008971AE"/>
    <w:rsid w:val="00897E1C"/>
    <w:rsid w:val="008A21A5"/>
    <w:rsid w:val="008A2CF4"/>
    <w:rsid w:val="008B09AC"/>
    <w:rsid w:val="008C1901"/>
    <w:rsid w:val="008C3D43"/>
    <w:rsid w:val="008C3EF8"/>
    <w:rsid w:val="008C6C5F"/>
    <w:rsid w:val="008D19AB"/>
    <w:rsid w:val="008D1A2D"/>
    <w:rsid w:val="008D1A32"/>
    <w:rsid w:val="008D2179"/>
    <w:rsid w:val="008D411A"/>
    <w:rsid w:val="008D5E8B"/>
    <w:rsid w:val="008D7048"/>
    <w:rsid w:val="008E04CD"/>
    <w:rsid w:val="008E11E1"/>
    <w:rsid w:val="008E7951"/>
    <w:rsid w:val="008F06E6"/>
    <w:rsid w:val="008F2587"/>
    <w:rsid w:val="00900066"/>
    <w:rsid w:val="009076EC"/>
    <w:rsid w:val="00921D78"/>
    <w:rsid w:val="00930791"/>
    <w:rsid w:val="00935D9D"/>
    <w:rsid w:val="009410C2"/>
    <w:rsid w:val="00941C04"/>
    <w:rsid w:val="0095054F"/>
    <w:rsid w:val="00953878"/>
    <w:rsid w:val="00953DAB"/>
    <w:rsid w:val="00953EB5"/>
    <w:rsid w:val="00955587"/>
    <w:rsid w:val="00963DED"/>
    <w:rsid w:val="00965BD6"/>
    <w:rsid w:val="00986452"/>
    <w:rsid w:val="00995D3B"/>
    <w:rsid w:val="00997F67"/>
    <w:rsid w:val="009A4259"/>
    <w:rsid w:val="009A42E6"/>
    <w:rsid w:val="009A47FC"/>
    <w:rsid w:val="009C38E0"/>
    <w:rsid w:val="009C6045"/>
    <w:rsid w:val="009E0708"/>
    <w:rsid w:val="009E2ECD"/>
    <w:rsid w:val="009F28A7"/>
    <w:rsid w:val="009F6D0D"/>
    <w:rsid w:val="00A25973"/>
    <w:rsid w:val="00A36B13"/>
    <w:rsid w:val="00A40065"/>
    <w:rsid w:val="00A42776"/>
    <w:rsid w:val="00A44198"/>
    <w:rsid w:val="00A4532C"/>
    <w:rsid w:val="00A45B6D"/>
    <w:rsid w:val="00A4718B"/>
    <w:rsid w:val="00A54CBF"/>
    <w:rsid w:val="00A60052"/>
    <w:rsid w:val="00A66C62"/>
    <w:rsid w:val="00A71AF1"/>
    <w:rsid w:val="00A76DF2"/>
    <w:rsid w:val="00AA0DA2"/>
    <w:rsid w:val="00AA77CF"/>
    <w:rsid w:val="00AC1F7E"/>
    <w:rsid w:val="00AC2C2B"/>
    <w:rsid w:val="00AC359F"/>
    <w:rsid w:val="00AD0218"/>
    <w:rsid w:val="00AD07EA"/>
    <w:rsid w:val="00AD335C"/>
    <w:rsid w:val="00AD42D5"/>
    <w:rsid w:val="00AD42F5"/>
    <w:rsid w:val="00AE0A30"/>
    <w:rsid w:val="00AE2552"/>
    <w:rsid w:val="00AE4A06"/>
    <w:rsid w:val="00AE6D5D"/>
    <w:rsid w:val="00AF1EB9"/>
    <w:rsid w:val="00AF77A1"/>
    <w:rsid w:val="00B024FB"/>
    <w:rsid w:val="00B06DB5"/>
    <w:rsid w:val="00B130C4"/>
    <w:rsid w:val="00B16EC8"/>
    <w:rsid w:val="00B1731A"/>
    <w:rsid w:val="00B24E43"/>
    <w:rsid w:val="00B4132A"/>
    <w:rsid w:val="00B417DE"/>
    <w:rsid w:val="00B42BA3"/>
    <w:rsid w:val="00B62B20"/>
    <w:rsid w:val="00B63105"/>
    <w:rsid w:val="00B665AD"/>
    <w:rsid w:val="00B6727E"/>
    <w:rsid w:val="00B715DB"/>
    <w:rsid w:val="00B71CD2"/>
    <w:rsid w:val="00B8513F"/>
    <w:rsid w:val="00B85EED"/>
    <w:rsid w:val="00B86F73"/>
    <w:rsid w:val="00B90964"/>
    <w:rsid w:val="00B9110F"/>
    <w:rsid w:val="00B93ED3"/>
    <w:rsid w:val="00B94563"/>
    <w:rsid w:val="00B97ADE"/>
    <w:rsid w:val="00BA3E7B"/>
    <w:rsid w:val="00BA4429"/>
    <w:rsid w:val="00BB2FA4"/>
    <w:rsid w:val="00BB5342"/>
    <w:rsid w:val="00BC3CDD"/>
    <w:rsid w:val="00BC4409"/>
    <w:rsid w:val="00BC6C7D"/>
    <w:rsid w:val="00BD0A9E"/>
    <w:rsid w:val="00BD6D73"/>
    <w:rsid w:val="00BD775F"/>
    <w:rsid w:val="00BE5359"/>
    <w:rsid w:val="00BE5BF3"/>
    <w:rsid w:val="00BE65C2"/>
    <w:rsid w:val="00BE6EA6"/>
    <w:rsid w:val="00BF0A8A"/>
    <w:rsid w:val="00BF7CC4"/>
    <w:rsid w:val="00BF7EDA"/>
    <w:rsid w:val="00C06984"/>
    <w:rsid w:val="00C121E1"/>
    <w:rsid w:val="00C15932"/>
    <w:rsid w:val="00C170E5"/>
    <w:rsid w:val="00C31BFA"/>
    <w:rsid w:val="00C40760"/>
    <w:rsid w:val="00C51047"/>
    <w:rsid w:val="00C52CC6"/>
    <w:rsid w:val="00C539C8"/>
    <w:rsid w:val="00C568E0"/>
    <w:rsid w:val="00C60B00"/>
    <w:rsid w:val="00C664AE"/>
    <w:rsid w:val="00C72551"/>
    <w:rsid w:val="00C72D59"/>
    <w:rsid w:val="00C743C5"/>
    <w:rsid w:val="00C92D7D"/>
    <w:rsid w:val="00CA3237"/>
    <w:rsid w:val="00CA4878"/>
    <w:rsid w:val="00CA5F46"/>
    <w:rsid w:val="00CB0FBD"/>
    <w:rsid w:val="00CB3D1A"/>
    <w:rsid w:val="00CB6AAF"/>
    <w:rsid w:val="00CC2D21"/>
    <w:rsid w:val="00CD46F9"/>
    <w:rsid w:val="00CD7876"/>
    <w:rsid w:val="00CE1377"/>
    <w:rsid w:val="00CE4FED"/>
    <w:rsid w:val="00CE768A"/>
    <w:rsid w:val="00CF2390"/>
    <w:rsid w:val="00CF3E1C"/>
    <w:rsid w:val="00CF4612"/>
    <w:rsid w:val="00CF7DA6"/>
    <w:rsid w:val="00D1380D"/>
    <w:rsid w:val="00D22A4D"/>
    <w:rsid w:val="00D253E9"/>
    <w:rsid w:val="00D3088D"/>
    <w:rsid w:val="00D4263B"/>
    <w:rsid w:val="00D47797"/>
    <w:rsid w:val="00D47F74"/>
    <w:rsid w:val="00D56B11"/>
    <w:rsid w:val="00D61762"/>
    <w:rsid w:val="00D62AB9"/>
    <w:rsid w:val="00D72658"/>
    <w:rsid w:val="00D8264E"/>
    <w:rsid w:val="00D87B9B"/>
    <w:rsid w:val="00D917B4"/>
    <w:rsid w:val="00D9190D"/>
    <w:rsid w:val="00DA067D"/>
    <w:rsid w:val="00DA2E6D"/>
    <w:rsid w:val="00DA5144"/>
    <w:rsid w:val="00DB10BB"/>
    <w:rsid w:val="00DB3849"/>
    <w:rsid w:val="00DB5DB1"/>
    <w:rsid w:val="00DC35DF"/>
    <w:rsid w:val="00DC453C"/>
    <w:rsid w:val="00DC633D"/>
    <w:rsid w:val="00DC7D25"/>
    <w:rsid w:val="00DD02AD"/>
    <w:rsid w:val="00DD1A2E"/>
    <w:rsid w:val="00DE767E"/>
    <w:rsid w:val="00DF001A"/>
    <w:rsid w:val="00DF0A0E"/>
    <w:rsid w:val="00DF3D60"/>
    <w:rsid w:val="00E019B9"/>
    <w:rsid w:val="00E02AB4"/>
    <w:rsid w:val="00E02E96"/>
    <w:rsid w:val="00E07874"/>
    <w:rsid w:val="00E07F96"/>
    <w:rsid w:val="00E12257"/>
    <w:rsid w:val="00E22A91"/>
    <w:rsid w:val="00E23599"/>
    <w:rsid w:val="00E263A7"/>
    <w:rsid w:val="00E30C7A"/>
    <w:rsid w:val="00E35561"/>
    <w:rsid w:val="00E42005"/>
    <w:rsid w:val="00E5446A"/>
    <w:rsid w:val="00E5478B"/>
    <w:rsid w:val="00E6572B"/>
    <w:rsid w:val="00E70367"/>
    <w:rsid w:val="00E73469"/>
    <w:rsid w:val="00E76B8E"/>
    <w:rsid w:val="00E81EBE"/>
    <w:rsid w:val="00E828AB"/>
    <w:rsid w:val="00E846DC"/>
    <w:rsid w:val="00E84B5E"/>
    <w:rsid w:val="00E8522E"/>
    <w:rsid w:val="00EA518F"/>
    <w:rsid w:val="00EB43A0"/>
    <w:rsid w:val="00EB521B"/>
    <w:rsid w:val="00EB79AE"/>
    <w:rsid w:val="00EC19FA"/>
    <w:rsid w:val="00EC3327"/>
    <w:rsid w:val="00EC33B0"/>
    <w:rsid w:val="00EC5368"/>
    <w:rsid w:val="00EC5D96"/>
    <w:rsid w:val="00ED0C70"/>
    <w:rsid w:val="00ED444C"/>
    <w:rsid w:val="00EE1AAD"/>
    <w:rsid w:val="00EF1B31"/>
    <w:rsid w:val="00EF3F82"/>
    <w:rsid w:val="00EF78D7"/>
    <w:rsid w:val="00F001B5"/>
    <w:rsid w:val="00F0478E"/>
    <w:rsid w:val="00F10393"/>
    <w:rsid w:val="00F31644"/>
    <w:rsid w:val="00F33883"/>
    <w:rsid w:val="00F44724"/>
    <w:rsid w:val="00F54153"/>
    <w:rsid w:val="00F54295"/>
    <w:rsid w:val="00F549A2"/>
    <w:rsid w:val="00F56768"/>
    <w:rsid w:val="00F74C72"/>
    <w:rsid w:val="00F813AA"/>
    <w:rsid w:val="00F821D4"/>
    <w:rsid w:val="00F8369B"/>
    <w:rsid w:val="00FA5359"/>
    <w:rsid w:val="00FB12E1"/>
    <w:rsid w:val="00FB2647"/>
    <w:rsid w:val="00FB40CB"/>
    <w:rsid w:val="00FC4766"/>
    <w:rsid w:val="00FC7244"/>
    <w:rsid w:val="00FD5DB1"/>
    <w:rsid w:val="00FD6B77"/>
    <w:rsid w:val="00FE220E"/>
    <w:rsid w:val="00FE2BED"/>
    <w:rsid w:val="00FF1FCB"/>
    <w:rsid w:val="02560233"/>
    <w:rsid w:val="02723AB2"/>
    <w:rsid w:val="03C59601"/>
    <w:rsid w:val="03D5C86C"/>
    <w:rsid w:val="04A67F4E"/>
    <w:rsid w:val="04D80DB1"/>
    <w:rsid w:val="0572F822"/>
    <w:rsid w:val="05F15BE3"/>
    <w:rsid w:val="06413375"/>
    <w:rsid w:val="06A89CAC"/>
    <w:rsid w:val="06C99AF3"/>
    <w:rsid w:val="0706810C"/>
    <w:rsid w:val="075A11D9"/>
    <w:rsid w:val="0789D732"/>
    <w:rsid w:val="08ACAA26"/>
    <w:rsid w:val="0938131D"/>
    <w:rsid w:val="094E2D5D"/>
    <w:rsid w:val="098BEC6C"/>
    <w:rsid w:val="09D7DD6E"/>
    <w:rsid w:val="0A134313"/>
    <w:rsid w:val="0B740BAF"/>
    <w:rsid w:val="0C7AF9A0"/>
    <w:rsid w:val="0D4BB798"/>
    <w:rsid w:val="0E9AEF04"/>
    <w:rsid w:val="0F5FC842"/>
    <w:rsid w:val="1052D115"/>
    <w:rsid w:val="1092D28C"/>
    <w:rsid w:val="11543980"/>
    <w:rsid w:val="12760736"/>
    <w:rsid w:val="12BF8EE3"/>
    <w:rsid w:val="139FCD16"/>
    <w:rsid w:val="1473A110"/>
    <w:rsid w:val="14AF6A4A"/>
    <w:rsid w:val="162839D8"/>
    <w:rsid w:val="17080FC6"/>
    <w:rsid w:val="17557304"/>
    <w:rsid w:val="17E831CE"/>
    <w:rsid w:val="187F7CE1"/>
    <w:rsid w:val="18B9D5D7"/>
    <w:rsid w:val="194F31F3"/>
    <w:rsid w:val="1966A75C"/>
    <w:rsid w:val="19F9854F"/>
    <w:rsid w:val="1A533C35"/>
    <w:rsid w:val="1AF559BD"/>
    <w:rsid w:val="1C6911F9"/>
    <w:rsid w:val="1C96E556"/>
    <w:rsid w:val="1CB2AAF1"/>
    <w:rsid w:val="1D7138BE"/>
    <w:rsid w:val="1DD52F8B"/>
    <w:rsid w:val="1E0403D5"/>
    <w:rsid w:val="1F677A37"/>
    <w:rsid w:val="2015BA50"/>
    <w:rsid w:val="219A6CD5"/>
    <w:rsid w:val="221D292A"/>
    <w:rsid w:val="22D08F1C"/>
    <w:rsid w:val="22DEA6E1"/>
    <w:rsid w:val="2345F143"/>
    <w:rsid w:val="23B0D699"/>
    <w:rsid w:val="2419011F"/>
    <w:rsid w:val="247EC1EC"/>
    <w:rsid w:val="249C47D9"/>
    <w:rsid w:val="24EF70E9"/>
    <w:rsid w:val="2540491D"/>
    <w:rsid w:val="25F1DFC1"/>
    <w:rsid w:val="263DAA40"/>
    <w:rsid w:val="26F0CF58"/>
    <w:rsid w:val="270F23DF"/>
    <w:rsid w:val="28960272"/>
    <w:rsid w:val="29358FFB"/>
    <w:rsid w:val="2AED8F20"/>
    <w:rsid w:val="2B24636D"/>
    <w:rsid w:val="2C8098DA"/>
    <w:rsid w:val="2CB0AEE8"/>
    <w:rsid w:val="2CDAD9A7"/>
    <w:rsid w:val="2E1A89FC"/>
    <w:rsid w:val="2ED76CB5"/>
    <w:rsid w:val="2FBCF04A"/>
    <w:rsid w:val="31057FB1"/>
    <w:rsid w:val="319D7353"/>
    <w:rsid w:val="3272D7BF"/>
    <w:rsid w:val="32ACDDC8"/>
    <w:rsid w:val="33D2E2C1"/>
    <w:rsid w:val="34865F0A"/>
    <w:rsid w:val="348F4F3D"/>
    <w:rsid w:val="363C9C1E"/>
    <w:rsid w:val="39CD886B"/>
    <w:rsid w:val="39EB16A7"/>
    <w:rsid w:val="3A1E6807"/>
    <w:rsid w:val="3B900208"/>
    <w:rsid w:val="3C1ADEA9"/>
    <w:rsid w:val="3CEF3EF8"/>
    <w:rsid w:val="3DF9B0E9"/>
    <w:rsid w:val="3E2602F4"/>
    <w:rsid w:val="3E2E9824"/>
    <w:rsid w:val="3E6A3D90"/>
    <w:rsid w:val="3F1CE9C0"/>
    <w:rsid w:val="3F3E2F79"/>
    <w:rsid w:val="3F95CC1A"/>
    <w:rsid w:val="3FE1B109"/>
    <w:rsid w:val="40C4A2FF"/>
    <w:rsid w:val="410E036D"/>
    <w:rsid w:val="412B1677"/>
    <w:rsid w:val="41D674CA"/>
    <w:rsid w:val="422AA0ED"/>
    <w:rsid w:val="42489D73"/>
    <w:rsid w:val="433E98BA"/>
    <w:rsid w:val="436FBB8E"/>
    <w:rsid w:val="456CFBEC"/>
    <w:rsid w:val="4652AE49"/>
    <w:rsid w:val="48F2F3BE"/>
    <w:rsid w:val="49186D4C"/>
    <w:rsid w:val="4A12DDEB"/>
    <w:rsid w:val="4AECEF62"/>
    <w:rsid w:val="4B70FEAA"/>
    <w:rsid w:val="4BBC7CFC"/>
    <w:rsid w:val="4BE9983A"/>
    <w:rsid w:val="4D219183"/>
    <w:rsid w:val="4EC7BFC3"/>
    <w:rsid w:val="4F651E21"/>
    <w:rsid w:val="512B65E0"/>
    <w:rsid w:val="51389BF9"/>
    <w:rsid w:val="513BB25A"/>
    <w:rsid w:val="516E6CD2"/>
    <w:rsid w:val="519C8A72"/>
    <w:rsid w:val="51DEC1D8"/>
    <w:rsid w:val="51FA7921"/>
    <w:rsid w:val="52C84BBE"/>
    <w:rsid w:val="52F0506D"/>
    <w:rsid w:val="555D2979"/>
    <w:rsid w:val="55ED711B"/>
    <w:rsid w:val="5642BA34"/>
    <w:rsid w:val="57539F3A"/>
    <w:rsid w:val="5AB1C6FA"/>
    <w:rsid w:val="5B438913"/>
    <w:rsid w:val="5B8BC9BD"/>
    <w:rsid w:val="5CE0EA7D"/>
    <w:rsid w:val="5D0C4C42"/>
    <w:rsid w:val="5DC2FF4A"/>
    <w:rsid w:val="5E0E2D0C"/>
    <w:rsid w:val="5E921423"/>
    <w:rsid w:val="5E95B710"/>
    <w:rsid w:val="5F78F16B"/>
    <w:rsid w:val="61842A31"/>
    <w:rsid w:val="61D37B9E"/>
    <w:rsid w:val="61EB6511"/>
    <w:rsid w:val="623983E4"/>
    <w:rsid w:val="6450ED45"/>
    <w:rsid w:val="66421EBA"/>
    <w:rsid w:val="6664E01D"/>
    <w:rsid w:val="66BC5963"/>
    <w:rsid w:val="66D1B9D5"/>
    <w:rsid w:val="68213EA2"/>
    <w:rsid w:val="6A3869C4"/>
    <w:rsid w:val="6A431903"/>
    <w:rsid w:val="6B47A725"/>
    <w:rsid w:val="6B5D033C"/>
    <w:rsid w:val="6B6EA7FA"/>
    <w:rsid w:val="6BB1A32B"/>
    <w:rsid w:val="6C1B02E9"/>
    <w:rsid w:val="6C38B6F4"/>
    <w:rsid w:val="6CE6588A"/>
    <w:rsid w:val="6E26731B"/>
    <w:rsid w:val="6E85808C"/>
    <w:rsid w:val="6ED61965"/>
    <w:rsid w:val="6F533892"/>
    <w:rsid w:val="6F9E764D"/>
    <w:rsid w:val="6FFABA07"/>
    <w:rsid w:val="703848E5"/>
    <w:rsid w:val="70AF95D6"/>
    <w:rsid w:val="710B3BBB"/>
    <w:rsid w:val="71EB39AA"/>
    <w:rsid w:val="7250C176"/>
    <w:rsid w:val="72740B9C"/>
    <w:rsid w:val="72C709D0"/>
    <w:rsid w:val="72CE5B6D"/>
    <w:rsid w:val="7397794E"/>
    <w:rsid w:val="73C267C6"/>
    <w:rsid w:val="73E5ECBE"/>
    <w:rsid w:val="7416E2DA"/>
    <w:rsid w:val="76324142"/>
    <w:rsid w:val="7722F119"/>
    <w:rsid w:val="781F6A71"/>
    <w:rsid w:val="7967D944"/>
    <w:rsid w:val="79DCE292"/>
    <w:rsid w:val="7A022FC9"/>
    <w:rsid w:val="7A9C8F57"/>
    <w:rsid w:val="7B00A5FC"/>
    <w:rsid w:val="7B4F1335"/>
    <w:rsid w:val="7B7B364C"/>
    <w:rsid w:val="7C3EDC10"/>
    <w:rsid w:val="7DAE405B"/>
    <w:rsid w:val="7F3419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E37D9"/>
  <w15:chartTrackingRefBased/>
  <w15:docId w15:val="{29796C6E-2F99-4463-980B-B9ECC540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79"/>
    <w:pPr>
      <w:spacing w:after="60" w:line="240" w:lineRule="auto"/>
    </w:pPr>
    <w:rPr>
      <w:rFonts w:ascii="Avenir Next P for BBG" w:hAnsi="Avenir Next P for BBG" w:cs="Times New Roman"/>
      <w:bCs/>
      <w:sz w:val="18"/>
      <w:szCs w:val="18"/>
    </w:rPr>
  </w:style>
  <w:style w:type="paragraph" w:styleId="Heading1">
    <w:name w:val="heading 1"/>
    <w:basedOn w:val="Normal"/>
    <w:next w:val="Normal"/>
    <w:link w:val="Heading1Char"/>
    <w:uiPriority w:val="9"/>
    <w:qFormat/>
    <w:rsid w:val="00234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7EC"/>
    <w:rPr>
      <w:rFonts w:eastAsiaTheme="majorEastAsia" w:cstheme="majorBidi"/>
      <w:color w:val="272727" w:themeColor="text1" w:themeTint="D8"/>
    </w:rPr>
  </w:style>
  <w:style w:type="paragraph" w:styleId="Title">
    <w:name w:val="Title"/>
    <w:basedOn w:val="Normal"/>
    <w:next w:val="Normal"/>
    <w:link w:val="TitleChar"/>
    <w:uiPriority w:val="10"/>
    <w:qFormat/>
    <w:rsid w:val="00234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7EC"/>
    <w:pPr>
      <w:spacing w:before="160"/>
      <w:jc w:val="center"/>
    </w:pPr>
    <w:rPr>
      <w:i/>
      <w:iCs/>
      <w:color w:val="404040" w:themeColor="text1" w:themeTint="BF"/>
    </w:rPr>
  </w:style>
  <w:style w:type="character" w:customStyle="1" w:styleId="QuoteChar">
    <w:name w:val="Quote Char"/>
    <w:basedOn w:val="DefaultParagraphFont"/>
    <w:link w:val="Quote"/>
    <w:uiPriority w:val="29"/>
    <w:rsid w:val="002347EC"/>
    <w:rPr>
      <w:i/>
      <w:iCs/>
      <w:color w:val="404040" w:themeColor="text1" w:themeTint="BF"/>
    </w:rPr>
  </w:style>
  <w:style w:type="paragraph" w:styleId="ListParagraph">
    <w:name w:val="List Paragraph"/>
    <w:basedOn w:val="Normal"/>
    <w:uiPriority w:val="34"/>
    <w:qFormat/>
    <w:rsid w:val="002347EC"/>
    <w:pPr>
      <w:ind w:left="720"/>
      <w:contextualSpacing/>
    </w:pPr>
  </w:style>
  <w:style w:type="character" w:styleId="IntenseEmphasis">
    <w:name w:val="Intense Emphasis"/>
    <w:basedOn w:val="DefaultParagraphFont"/>
    <w:uiPriority w:val="21"/>
    <w:qFormat/>
    <w:rsid w:val="002347EC"/>
    <w:rPr>
      <w:i/>
      <w:iCs/>
      <w:color w:val="0F4761" w:themeColor="accent1" w:themeShade="BF"/>
    </w:rPr>
  </w:style>
  <w:style w:type="paragraph" w:styleId="IntenseQuote">
    <w:name w:val="Intense Quote"/>
    <w:basedOn w:val="Normal"/>
    <w:next w:val="Normal"/>
    <w:link w:val="IntenseQuoteChar"/>
    <w:uiPriority w:val="30"/>
    <w:qFormat/>
    <w:rsid w:val="00234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7EC"/>
    <w:rPr>
      <w:i/>
      <w:iCs/>
      <w:color w:val="0F4761" w:themeColor="accent1" w:themeShade="BF"/>
    </w:rPr>
  </w:style>
  <w:style w:type="character" w:styleId="IntenseReference">
    <w:name w:val="Intense Reference"/>
    <w:basedOn w:val="DefaultParagraphFont"/>
    <w:uiPriority w:val="32"/>
    <w:qFormat/>
    <w:rsid w:val="002347EC"/>
    <w:rPr>
      <w:b/>
      <w:bCs/>
      <w:smallCaps/>
      <w:color w:val="0F4761" w:themeColor="accent1" w:themeShade="BF"/>
      <w:spacing w:val="5"/>
    </w:rPr>
  </w:style>
  <w:style w:type="character" w:styleId="Hyperlink">
    <w:name w:val="Hyperlink"/>
    <w:basedOn w:val="DefaultParagraphFont"/>
    <w:uiPriority w:val="99"/>
    <w:unhideWhenUsed/>
    <w:rsid w:val="002347EC"/>
    <w:rPr>
      <w:color w:val="467886" w:themeColor="hyperlink"/>
      <w:u w:val="single"/>
    </w:rPr>
  </w:style>
  <w:style w:type="character" w:styleId="CommentReference">
    <w:name w:val="annotation reference"/>
    <w:basedOn w:val="DefaultParagraphFont"/>
    <w:uiPriority w:val="99"/>
    <w:semiHidden/>
    <w:unhideWhenUsed/>
    <w:rsid w:val="002347EC"/>
    <w:rPr>
      <w:sz w:val="16"/>
      <w:szCs w:val="16"/>
    </w:rPr>
  </w:style>
  <w:style w:type="paragraph" w:styleId="CommentText">
    <w:name w:val="annotation text"/>
    <w:basedOn w:val="Normal"/>
    <w:link w:val="CommentTextChar"/>
    <w:uiPriority w:val="99"/>
    <w:unhideWhenUsed/>
    <w:rsid w:val="002347EC"/>
    <w:rPr>
      <w:kern w:val="0"/>
      <w:sz w:val="20"/>
      <w:szCs w:val="20"/>
      <w14:ligatures w14:val="none"/>
    </w:rPr>
  </w:style>
  <w:style w:type="character" w:customStyle="1" w:styleId="CommentTextChar">
    <w:name w:val="Comment Text Char"/>
    <w:basedOn w:val="DefaultParagraphFont"/>
    <w:link w:val="CommentText"/>
    <w:uiPriority w:val="99"/>
    <w:rsid w:val="002347EC"/>
    <w:rPr>
      <w:kern w:val="0"/>
      <w:sz w:val="20"/>
      <w:szCs w:val="20"/>
      <w14:ligatures w14:val="none"/>
    </w:rPr>
  </w:style>
  <w:style w:type="table" w:styleId="TableGrid">
    <w:name w:val="Table Grid"/>
    <w:basedOn w:val="TableNormal"/>
    <w:uiPriority w:val="39"/>
    <w:rsid w:val="00234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listpara">
    <w:name w:val="cp_listpara"/>
    <w:basedOn w:val="ListParagraph"/>
    <w:qFormat/>
    <w:rsid w:val="008D2179"/>
    <w:pPr>
      <w:numPr>
        <w:ilvl w:val="1"/>
        <w:numId w:val="6"/>
      </w:numPr>
    </w:pPr>
  </w:style>
  <w:style w:type="paragraph" w:customStyle="1" w:styleId="cpsectionHead">
    <w:name w:val="cp_sectionHead"/>
    <w:basedOn w:val="Normal"/>
    <w:qFormat/>
    <w:rsid w:val="00100DBA"/>
    <w:pPr>
      <w:spacing w:before="120"/>
    </w:pPr>
    <w:rPr>
      <w:b/>
      <w:bCs w:val="0"/>
      <w:color w:val="5E5397"/>
      <w:sz w:val="20"/>
      <w:szCs w:val="20"/>
    </w:rPr>
  </w:style>
  <w:style w:type="character" w:customStyle="1" w:styleId="cphead1char">
    <w:name w:val="cp_head1_char"/>
    <w:basedOn w:val="DefaultParagraphFont"/>
    <w:uiPriority w:val="1"/>
    <w:qFormat/>
    <w:rsid w:val="00C72551"/>
    <w:rPr>
      <w:b/>
      <w:color w:val="5E5397"/>
    </w:rPr>
  </w:style>
  <w:style w:type="paragraph" w:customStyle="1" w:styleId="cpsection-head--purplebar">
    <w:name w:val="cp_section-head -- purple bar"/>
    <w:basedOn w:val="Normal"/>
    <w:qFormat/>
    <w:rsid w:val="009E2ECD"/>
    <w:pPr>
      <w:pBdr>
        <w:top w:val="single" w:sz="36" w:space="1" w:color="5E5397"/>
        <w:left w:val="single" w:sz="36" w:space="0" w:color="5E5397"/>
        <w:bottom w:val="single" w:sz="12" w:space="1" w:color="5E5397"/>
      </w:pBdr>
      <w:shd w:val="clear" w:color="auto" w:fill="5E5397"/>
      <w:tabs>
        <w:tab w:val="left" w:pos="288"/>
      </w:tabs>
      <w:spacing w:before="240"/>
      <w:ind w:left="-288"/>
    </w:pPr>
    <w:rPr>
      <w:b/>
      <w:bCs w:val="0"/>
      <w:color w:val="FFFFFF" w:themeColor="background1"/>
      <w:sz w:val="20"/>
      <w:szCs w:val="20"/>
    </w:rPr>
  </w:style>
  <w:style w:type="paragraph" w:styleId="Header">
    <w:name w:val="header"/>
    <w:basedOn w:val="Normal"/>
    <w:link w:val="HeaderChar"/>
    <w:uiPriority w:val="99"/>
    <w:unhideWhenUsed/>
    <w:rsid w:val="00161A6C"/>
    <w:pPr>
      <w:tabs>
        <w:tab w:val="center" w:pos="4680"/>
        <w:tab w:val="right" w:pos="9360"/>
      </w:tabs>
      <w:spacing w:after="0"/>
    </w:pPr>
  </w:style>
  <w:style w:type="character" w:customStyle="1" w:styleId="HeaderChar">
    <w:name w:val="Header Char"/>
    <w:basedOn w:val="DefaultParagraphFont"/>
    <w:link w:val="Header"/>
    <w:uiPriority w:val="99"/>
    <w:rsid w:val="00161A6C"/>
    <w:rPr>
      <w:rFonts w:ascii="Avenir Next P for BBG" w:hAnsi="Avenir Next P for BBG" w:cs="Times New Roman"/>
      <w:bCs/>
      <w:sz w:val="18"/>
      <w:szCs w:val="18"/>
    </w:rPr>
  </w:style>
  <w:style w:type="paragraph" w:styleId="Footer">
    <w:name w:val="footer"/>
    <w:basedOn w:val="Normal"/>
    <w:link w:val="FooterChar"/>
    <w:uiPriority w:val="99"/>
    <w:unhideWhenUsed/>
    <w:rsid w:val="00161A6C"/>
    <w:pPr>
      <w:tabs>
        <w:tab w:val="center" w:pos="4680"/>
        <w:tab w:val="right" w:pos="9360"/>
      </w:tabs>
      <w:spacing w:after="0"/>
    </w:pPr>
  </w:style>
  <w:style w:type="character" w:customStyle="1" w:styleId="FooterChar">
    <w:name w:val="Footer Char"/>
    <w:basedOn w:val="DefaultParagraphFont"/>
    <w:link w:val="Footer"/>
    <w:uiPriority w:val="99"/>
    <w:rsid w:val="00161A6C"/>
    <w:rPr>
      <w:rFonts w:ascii="Avenir Next P for BBG" w:hAnsi="Avenir Next P for BBG" w:cs="Times New Roman"/>
      <w:bCs/>
      <w:sz w:val="18"/>
      <w:szCs w:val="18"/>
    </w:rPr>
  </w:style>
  <w:style w:type="character" w:styleId="UnresolvedMention">
    <w:name w:val="Unresolved Mention"/>
    <w:basedOn w:val="DefaultParagraphFont"/>
    <w:uiPriority w:val="99"/>
    <w:semiHidden/>
    <w:unhideWhenUsed/>
    <w:rsid w:val="00471671"/>
    <w:rPr>
      <w:color w:val="605E5C"/>
      <w:shd w:val="clear" w:color="auto" w:fill="E1DFDD"/>
    </w:rPr>
  </w:style>
  <w:style w:type="paragraph" w:styleId="FootnoteText">
    <w:name w:val="footnote text"/>
    <w:basedOn w:val="Normal"/>
    <w:link w:val="FootnoteTextChar"/>
    <w:uiPriority w:val="99"/>
    <w:semiHidden/>
    <w:unhideWhenUsed/>
    <w:rsid w:val="00625B6D"/>
    <w:pPr>
      <w:spacing w:after="0"/>
    </w:pPr>
    <w:rPr>
      <w:rFonts w:asciiTheme="minorHAnsi" w:hAnsiTheme="minorHAnsi" w:cstheme="minorBidi"/>
      <w:bCs w:val="0"/>
      <w:kern w:val="0"/>
      <w:sz w:val="20"/>
      <w:szCs w:val="20"/>
      <w14:ligatures w14:val="none"/>
    </w:rPr>
  </w:style>
  <w:style w:type="character" w:customStyle="1" w:styleId="FootnoteTextChar">
    <w:name w:val="Footnote Text Char"/>
    <w:basedOn w:val="DefaultParagraphFont"/>
    <w:link w:val="FootnoteText"/>
    <w:uiPriority w:val="99"/>
    <w:semiHidden/>
    <w:rsid w:val="00625B6D"/>
    <w:rPr>
      <w:kern w:val="0"/>
      <w:sz w:val="20"/>
      <w:szCs w:val="20"/>
      <w14:ligatures w14:val="none"/>
    </w:rPr>
  </w:style>
  <w:style w:type="character" w:styleId="FootnoteReference">
    <w:name w:val="footnote reference"/>
    <w:basedOn w:val="DefaultParagraphFont"/>
    <w:uiPriority w:val="99"/>
    <w:semiHidden/>
    <w:unhideWhenUsed/>
    <w:rsid w:val="00625B6D"/>
    <w:rPr>
      <w:vertAlign w:val="superscript"/>
    </w:rPr>
  </w:style>
  <w:style w:type="paragraph" w:customStyle="1" w:styleId="cpCountryName">
    <w:name w:val="cp_CountryName"/>
    <w:basedOn w:val="Normal"/>
    <w:next w:val="Normal"/>
    <w:qFormat/>
    <w:rsid w:val="00CE4FED"/>
    <w:pPr>
      <w:spacing w:before="960" w:after="0"/>
      <w:ind w:left="-403"/>
    </w:pPr>
    <w:rPr>
      <w:b/>
      <w:color w:val="5E5397"/>
      <w:sz w:val="52"/>
      <w:szCs w:val="52"/>
    </w:rPr>
  </w:style>
  <w:style w:type="paragraph" w:customStyle="1" w:styleId="cpPillarTwo-TopHead">
    <w:name w:val="cp_PillarTwo-TopHead"/>
    <w:basedOn w:val="Normal"/>
    <w:qFormat/>
    <w:rsid w:val="00CD7876"/>
    <w:pPr>
      <w:spacing w:after="0"/>
    </w:pPr>
    <w:rPr>
      <w:b/>
      <w:color w:val="5E5397"/>
      <w:sz w:val="48"/>
      <w:szCs w:val="48"/>
    </w:rPr>
  </w:style>
  <w:style w:type="character" w:customStyle="1" w:styleId="cprun-inHead--purple">
    <w:name w:val="cp_run-in Head -- purple"/>
    <w:basedOn w:val="DefaultParagraphFont"/>
    <w:uiPriority w:val="1"/>
    <w:qFormat/>
    <w:rsid w:val="00EC3327"/>
    <w:rPr>
      <w:b/>
      <w:color w:val="5E5397"/>
      <w:sz w:val="20"/>
      <w:szCs w:val="20"/>
    </w:rPr>
  </w:style>
  <w:style w:type="paragraph" w:customStyle="1" w:styleId="cpsectionHead-1st">
    <w:name w:val="cp_sectionHead-1st"/>
    <w:basedOn w:val="cpsectionHead"/>
    <w:qFormat/>
    <w:rsid w:val="00AC2C2B"/>
    <w:pPr>
      <w:spacing w:before="60"/>
    </w:pPr>
  </w:style>
  <w:style w:type="paragraph" w:customStyle="1" w:styleId="cpsection-head--purplebar1st">
    <w:name w:val="cp_section-head -- purple bar 1st"/>
    <w:basedOn w:val="cpsection-head--purplebar"/>
    <w:qFormat/>
    <w:rsid w:val="00790C1D"/>
    <w:pPr>
      <w:pBdr>
        <w:top w:val="single" w:sz="48" w:space="1" w:color="5E5397"/>
      </w:pBdr>
      <w:spacing w:before="0"/>
    </w:pPr>
  </w:style>
  <w:style w:type="paragraph" w:customStyle="1" w:styleId="cpEffectiveDate-boxandhead">
    <w:name w:val="cp_EffectiveDate-box and head"/>
    <w:basedOn w:val="Normal"/>
    <w:qFormat/>
    <w:rsid w:val="00155563"/>
    <w:pPr>
      <w:spacing w:before="40" w:after="40"/>
    </w:pPr>
    <w:rPr>
      <w:b/>
      <w:bCs w:val="0"/>
      <w:iCs/>
      <w:color w:val="5E5397"/>
      <w:sz w:val="20"/>
      <w:szCs w:val="20"/>
    </w:rPr>
  </w:style>
  <w:style w:type="paragraph" w:customStyle="1" w:styleId="cpnormal">
    <w:name w:val="cp_normal"/>
    <w:basedOn w:val="Normal"/>
    <w:qFormat/>
    <w:rsid w:val="000728E5"/>
    <w:pPr>
      <w:spacing w:before="120"/>
    </w:pPr>
    <w:rPr>
      <w:sz w:val="20"/>
      <w:szCs w:val="20"/>
    </w:rPr>
  </w:style>
  <w:style w:type="paragraph" w:customStyle="1" w:styleId="cpbullet">
    <w:name w:val="cp_bullet"/>
    <w:basedOn w:val="ListParagraph"/>
    <w:qFormat/>
    <w:rsid w:val="0041720A"/>
    <w:pPr>
      <w:numPr>
        <w:numId w:val="14"/>
      </w:numPr>
      <w:ind w:left="274" w:hanging="274"/>
      <w:contextualSpacing w:val="0"/>
    </w:pPr>
    <w:rPr>
      <w:sz w:val="20"/>
      <w:szCs w:val="20"/>
    </w:rPr>
  </w:style>
  <w:style w:type="character" w:customStyle="1" w:styleId="cprun-inhead--ital">
    <w:name w:val="cp_run-in head -- ital"/>
    <w:basedOn w:val="DefaultParagraphFont"/>
    <w:uiPriority w:val="1"/>
    <w:qFormat/>
    <w:rsid w:val="007C1E2F"/>
    <w:rPr>
      <w:i/>
      <w:iCs/>
    </w:rPr>
  </w:style>
  <w:style w:type="paragraph" w:customStyle="1" w:styleId="cpindent-specalpara">
    <w:name w:val="cp_indent-specal para"/>
    <w:basedOn w:val="Normal"/>
    <w:qFormat/>
    <w:rsid w:val="00AD42D5"/>
    <w:pPr>
      <w:spacing w:before="120"/>
      <w:ind w:left="720" w:right="720"/>
    </w:pPr>
    <w:rPr>
      <w:i/>
      <w:iCs/>
    </w:rPr>
  </w:style>
  <w:style w:type="paragraph" w:styleId="CommentSubject">
    <w:name w:val="annotation subject"/>
    <w:basedOn w:val="CommentText"/>
    <w:next w:val="CommentText"/>
    <w:link w:val="CommentSubjectChar"/>
    <w:uiPriority w:val="99"/>
    <w:semiHidden/>
    <w:unhideWhenUsed/>
    <w:rsid w:val="00612F46"/>
    <w:rPr>
      <w:b/>
      <w:kern w:val="2"/>
      <w14:ligatures w14:val="standardContextual"/>
    </w:rPr>
  </w:style>
  <w:style w:type="character" w:customStyle="1" w:styleId="CommentSubjectChar">
    <w:name w:val="Comment Subject Char"/>
    <w:basedOn w:val="CommentTextChar"/>
    <w:link w:val="CommentSubject"/>
    <w:uiPriority w:val="99"/>
    <w:semiHidden/>
    <w:rsid w:val="00612F46"/>
    <w:rPr>
      <w:rFonts w:ascii="Avenir Next P for BBG" w:hAnsi="Avenir Next P for BBG" w:cs="Times New Roman"/>
      <w:b/>
      <w:bCs/>
      <w:kern w:val="0"/>
      <w:sz w:val="20"/>
      <w:szCs w:val="20"/>
      <w14:ligatures w14:val="none"/>
    </w:rPr>
  </w:style>
  <w:style w:type="character" w:styleId="FollowedHyperlink">
    <w:name w:val="FollowedHyperlink"/>
    <w:basedOn w:val="DefaultParagraphFont"/>
    <w:uiPriority w:val="99"/>
    <w:semiHidden/>
    <w:unhideWhenUsed/>
    <w:rsid w:val="008875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211">
      <w:bodyDiv w:val="1"/>
      <w:marLeft w:val="0"/>
      <w:marRight w:val="0"/>
      <w:marTop w:val="0"/>
      <w:marBottom w:val="0"/>
      <w:divBdr>
        <w:top w:val="none" w:sz="0" w:space="0" w:color="auto"/>
        <w:left w:val="none" w:sz="0" w:space="0" w:color="auto"/>
        <w:bottom w:val="none" w:sz="0" w:space="0" w:color="auto"/>
        <w:right w:val="none" w:sz="0" w:space="0" w:color="auto"/>
      </w:divBdr>
    </w:div>
    <w:div w:id="1292206074">
      <w:bodyDiv w:val="1"/>
      <w:marLeft w:val="0"/>
      <w:marRight w:val="0"/>
      <w:marTop w:val="0"/>
      <w:marBottom w:val="0"/>
      <w:divBdr>
        <w:top w:val="none" w:sz="0" w:space="0" w:color="auto"/>
        <w:left w:val="none" w:sz="0" w:space="0" w:color="auto"/>
        <w:bottom w:val="none" w:sz="0" w:space="0" w:color="auto"/>
        <w:right w:val="none" w:sz="0" w:space="0" w:color="auto"/>
      </w:divBdr>
    </w:div>
    <w:div w:id="1397783887">
      <w:bodyDiv w:val="1"/>
      <w:marLeft w:val="0"/>
      <w:marRight w:val="0"/>
      <w:marTop w:val="0"/>
      <w:marBottom w:val="0"/>
      <w:divBdr>
        <w:top w:val="none" w:sz="0" w:space="0" w:color="auto"/>
        <w:left w:val="none" w:sz="0" w:space="0" w:color="auto"/>
        <w:bottom w:val="none" w:sz="0" w:space="0" w:color="auto"/>
        <w:right w:val="none" w:sz="0" w:space="0" w:color="auto"/>
      </w:divBdr>
    </w:div>
    <w:div w:id="1690909897">
      <w:bodyDiv w:val="1"/>
      <w:marLeft w:val="0"/>
      <w:marRight w:val="0"/>
      <w:marTop w:val="0"/>
      <w:marBottom w:val="0"/>
      <w:divBdr>
        <w:top w:val="none" w:sz="0" w:space="0" w:color="auto"/>
        <w:left w:val="none" w:sz="0" w:space="0" w:color="auto"/>
        <w:bottom w:val="none" w:sz="0" w:space="0" w:color="auto"/>
        <w:right w:val="none" w:sz="0" w:space="0" w:color="auto"/>
      </w:divBdr>
    </w:div>
    <w:div w:id="18421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oomberglaw.com/product/tax/document/XNQLS218?criteria_id=d138a7a324d4d349f8f6aaaf72b0a2b4&amp;navCriteriaId=8b0b0a74311777d1a92dadee9d4f4973&amp;searchGuid=22baba6e-08f5-4f76-aa2b-414477bc805c&amp;search32=cfxOcJhzKQ08XsYJ0F0WbA==M06IzvPKXKY7EoWe7wswU0x9CZlDc5RtajTscQZF8NWgokauf7s_QnwI2zpCfLm2CyvbMpgIuBN0MhkpgNJKn7J5oAQrceRp3erkygY3T08="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go.bloombergtax.com/product/tax/document/spa/336666327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F3B6C-34B7-4EDE-A69B-5CB5BE6D77E3}">
  <ds:schemaRefs>
    <ds:schemaRef ds:uri="http://schemas.openxmlformats.org/officeDocument/2006/bibliography"/>
  </ds:schemaRefs>
</ds:datastoreItem>
</file>

<file path=customXml/itemProps2.xml><?xml version="1.0" encoding="utf-8"?>
<ds:datastoreItem xmlns:ds="http://schemas.openxmlformats.org/officeDocument/2006/customXml" ds:itemID="{A08074D2-DF12-49FC-8504-AF95CAA2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87D25-316E-4860-89E7-EE7EAD3497FC}">
  <ds:schemaRefs>
    <ds:schemaRef ds:uri="http://schemas.microsoft.com/sharepoint/v3/contenttype/form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Sally</dc:creator>
  <cp:keywords/>
  <dc:description/>
  <cp:lastModifiedBy>Cruz, Ricky</cp:lastModifiedBy>
  <cp:revision>2</cp:revision>
  <dcterms:created xsi:type="dcterms:W3CDTF">2025-09-15T18:04:00Z</dcterms:created>
  <dcterms:modified xsi:type="dcterms:W3CDTF">2025-09-15T18:04:00Z</dcterms:modified>
</cp:coreProperties>
</file>