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AB0D" w14:textId="77777777" w:rsidR="0090429E" w:rsidRDefault="0055205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4AAB21" wp14:editId="0D4AAB22">
                <wp:simplePos x="0" y="0"/>
                <wp:positionH relativeFrom="page">
                  <wp:posOffset>317450</wp:posOffset>
                </wp:positionH>
                <wp:positionV relativeFrom="paragraph">
                  <wp:posOffset>322085</wp:posOffset>
                </wp:positionV>
                <wp:extent cx="69494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8944" y="0"/>
                              </a:lnTo>
                            </a:path>
                          </a:pathLst>
                        </a:custGeom>
                        <a:ln w="488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EAE7A9D" id="Graphic 4" o:spid="_x0000_s1026" style="position:absolute;margin-left:25pt;margin-top:25.35pt;width:547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" path="m,l6948944,e" filled="f" strokeweight="1.3564mm">
                <v:path arrowok="t"/>
                <w10:wrap anchorx="page"/>
              </v:shape>
            </w:pict>
          </mc:Fallback>
        </mc:AlternateContent>
      </w:r>
      <w:r>
        <w:rPr>
          <w:color w:val="1A498A"/>
        </w:rPr>
        <w:t>Malaysia-</w:t>
      </w:r>
      <w:r>
        <w:rPr>
          <w:color w:val="1A498A"/>
          <w:spacing w:val="-2"/>
        </w:rPr>
        <w:t>Poland</w:t>
      </w:r>
    </w:p>
    <w:p w14:paraId="0D4AAB0E" w14:textId="77777777" w:rsidR="0090429E" w:rsidRDefault="0090429E">
      <w:pPr>
        <w:sectPr w:rsidR="0090429E">
          <w:headerReference w:type="default" r:id="rId7"/>
          <w:type w:val="continuous"/>
          <w:pgSz w:w="12240" w:h="15840"/>
          <w:pgMar w:top="840" w:right="620" w:bottom="280" w:left="520" w:header="378" w:footer="0" w:gutter="0"/>
          <w:pgNumType w:start="1"/>
          <w:cols w:space="720"/>
        </w:sectPr>
      </w:pPr>
    </w:p>
    <w:p w14:paraId="0D4AAB0F" w14:textId="77777777" w:rsidR="0090429E" w:rsidRDefault="0090429E">
      <w:pPr>
        <w:pStyle w:val="BodyText"/>
        <w:rPr>
          <w:b/>
        </w:rPr>
      </w:pPr>
    </w:p>
    <w:p w14:paraId="0D4AAB11" w14:textId="77777777" w:rsidR="0090429E" w:rsidRDefault="0090429E" w:rsidP="00552052">
      <w:pPr>
        <w:pStyle w:val="BodyText"/>
        <w:spacing w:before="141"/>
        <w:ind w:right="-720"/>
        <w:rPr>
          <w:b/>
        </w:rPr>
      </w:pPr>
    </w:p>
    <w:p w14:paraId="0D4AAB12" w14:textId="3F038B61" w:rsidR="0090429E" w:rsidRDefault="00552052" w:rsidP="00552052">
      <w:pPr>
        <w:pStyle w:val="Heading1"/>
        <w:ind w:left="101" w:right="-720"/>
        <w:rPr>
          <w:b w:val="0"/>
        </w:rPr>
      </w:pPr>
      <w:r>
        <w:rPr>
          <w:color w:val="050707"/>
          <w:w w:val="110"/>
        </w:rPr>
        <w:t>Date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this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Agreement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is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modified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by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the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(Enters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into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Force):</w:t>
      </w:r>
      <w:r>
        <w:rPr>
          <w:color w:val="050707"/>
          <w:spacing w:val="-13"/>
          <w:w w:val="110"/>
        </w:rPr>
        <w:t xml:space="preserve"> </w:t>
      </w:r>
      <w:r>
        <w:rPr>
          <w:b w:val="0"/>
          <w:color w:val="050707"/>
          <w:w w:val="110"/>
        </w:rPr>
        <w:t>January</w:t>
      </w:r>
      <w:r>
        <w:rPr>
          <w:b w:val="0"/>
          <w:color w:val="050707"/>
          <w:spacing w:val="-13"/>
          <w:w w:val="110"/>
        </w:rPr>
        <w:t xml:space="preserve"> </w:t>
      </w:r>
      <w:r>
        <w:rPr>
          <w:b w:val="0"/>
          <w:color w:val="050707"/>
          <w:w w:val="110"/>
          <w:sz w:val="18"/>
        </w:rPr>
        <w:t>12,</w:t>
      </w:r>
      <w:r>
        <w:rPr>
          <w:b w:val="0"/>
          <w:color w:val="050707"/>
          <w:spacing w:val="-5"/>
          <w:w w:val="110"/>
          <w:sz w:val="18"/>
        </w:rPr>
        <w:t xml:space="preserve"> 2</w:t>
      </w:r>
      <w:r>
        <w:rPr>
          <w:b w:val="0"/>
          <w:color w:val="050707"/>
          <w:spacing w:val="-4"/>
          <w:w w:val="110"/>
        </w:rPr>
        <w:t>023</w:t>
      </w:r>
    </w:p>
    <w:p w14:paraId="0D4AAB13" w14:textId="77777777" w:rsidR="0090429E" w:rsidRDefault="00552052" w:rsidP="00552052">
      <w:pPr>
        <w:spacing w:before="38"/>
        <w:ind w:left="107" w:right="-720"/>
        <w:rPr>
          <w:sz w:val="17"/>
        </w:rPr>
      </w:pPr>
      <w:r>
        <w:rPr>
          <w:b/>
          <w:color w:val="050707"/>
          <w:w w:val="105"/>
          <w:sz w:val="17"/>
        </w:rPr>
        <w:t>MLI</w:t>
      </w:r>
      <w:r>
        <w:rPr>
          <w:b/>
          <w:color w:val="050707"/>
          <w:spacing w:val="3"/>
          <w:w w:val="105"/>
          <w:sz w:val="17"/>
        </w:rPr>
        <w:t xml:space="preserve"> </w:t>
      </w:r>
      <w:r>
        <w:rPr>
          <w:b/>
          <w:color w:val="050707"/>
          <w:w w:val="105"/>
          <w:sz w:val="17"/>
        </w:rPr>
        <w:t>instrument</w:t>
      </w:r>
      <w:r>
        <w:rPr>
          <w:b/>
          <w:color w:val="050707"/>
          <w:spacing w:val="25"/>
          <w:w w:val="105"/>
          <w:sz w:val="17"/>
        </w:rPr>
        <w:t xml:space="preserve"> </w:t>
      </w:r>
      <w:r>
        <w:rPr>
          <w:b/>
          <w:color w:val="050707"/>
          <w:w w:val="105"/>
          <w:sz w:val="17"/>
        </w:rPr>
        <w:t>of</w:t>
      </w:r>
      <w:r>
        <w:rPr>
          <w:b/>
          <w:color w:val="050707"/>
          <w:spacing w:val="6"/>
          <w:w w:val="105"/>
          <w:sz w:val="17"/>
        </w:rPr>
        <w:t xml:space="preserve"> </w:t>
      </w:r>
      <w:r>
        <w:rPr>
          <w:b/>
          <w:color w:val="050707"/>
          <w:w w:val="105"/>
          <w:sz w:val="17"/>
        </w:rPr>
        <w:t>ratification</w:t>
      </w:r>
      <w:r>
        <w:rPr>
          <w:b/>
          <w:color w:val="050707"/>
          <w:spacing w:val="16"/>
          <w:w w:val="105"/>
          <w:sz w:val="17"/>
        </w:rPr>
        <w:t xml:space="preserve"> </w:t>
      </w:r>
      <w:r>
        <w:rPr>
          <w:b/>
          <w:color w:val="050707"/>
          <w:w w:val="105"/>
          <w:sz w:val="17"/>
        </w:rPr>
        <w:t>deposited</w:t>
      </w:r>
      <w:r>
        <w:rPr>
          <w:b/>
          <w:color w:val="050707"/>
          <w:spacing w:val="14"/>
          <w:w w:val="105"/>
          <w:sz w:val="17"/>
        </w:rPr>
        <w:t xml:space="preserve"> </w:t>
      </w:r>
      <w:r>
        <w:rPr>
          <w:b/>
          <w:color w:val="050707"/>
          <w:w w:val="105"/>
          <w:sz w:val="17"/>
        </w:rPr>
        <w:t>(Malaysia):</w:t>
      </w:r>
      <w:r>
        <w:rPr>
          <w:b/>
          <w:color w:val="050707"/>
          <w:spacing w:val="13"/>
          <w:w w:val="105"/>
          <w:sz w:val="17"/>
        </w:rPr>
        <w:t xml:space="preserve"> </w:t>
      </w:r>
      <w:r>
        <w:rPr>
          <w:color w:val="050707"/>
          <w:w w:val="105"/>
          <w:sz w:val="17"/>
        </w:rPr>
        <w:t>February</w:t>
      </w:r>
      <w:r>
        <w:rPr>
          <w:color w:val="050707"/>
          <w:spacing w:val="8"/>
          <w:w w:val="105"/>
          <w:sz w:val="17"/>
        </w:rPr>
        <w:t xml:space="preserve"> </w:t>
      </w:r>
      <w:r>
        <w:rPr>
          <w:color w:val="050707"/>
          <w:w w:val="105"/>
          <w:sz w:val="17"/>
        </w:rPr>
        <w:t>18,</w:t>
      </w:r>
      <w:r>
        <w:rPr>
          <w:color w:val="050707"/>
          <w:spacing w:val="11"/>
          <w:w w:val="105"/>
          <w:sz w:val="17"/>
        </w:rPr>
        <w:t xml:space="preserve"> </w:t>
      </w:r>
      <w:r>
        <w:rPr>
          <w:color w:val="050707"/>
          <w:spacing w:val="-4"/>
          <w:w w:val="105"/>
          <w:sz w:val="17"/>
        </w:rPr>
        <w:t>2021</w:t>
      </w:r>
    </w:p>
    <w:p w14:paraId="0D4AAB14" w14:textId="77777777" w:rsidR="0090429E" w:rsidRDefault="00552052" w:rsidP="00552052">
      <w:pPr>
        <w:spacing w:before="40"/>
        <w:ind w:left="107" w:right="-720"/>
        <w:rPr>
          <w:sz w:val="17"/>
        </w:rPr>
      </w:pPr>
      <w:r>
        <w:rPr>
          <w:b/>
          <w:color w:val="050707"/>
          <w:sz w:val="17"/>
        </w:rPr>
        <w:t>MLI</w:t>
      </w:r>
      <w:r>
        <w:rPr>
          <w:b/>
          <w:color w:val="050707"/>
          <w:spacing w:val="31"/>
          <w:sz w:val="17"/>
        </w:rPr>
        <w:t xml:space="preserve"> </w:t>
      </w:r>
      <w:r>
        <w:rPr>
          <w:b/>
          <w:color w:val="050707"/>
          <w:sz w:val="17"/>
        </w:rPr>
        <w:t>instrument</w:t>
      </w:r>
      <w:r>
        <w:rPr>
          <w:b/>
          <w:color w:val="050707"/>
          <w:spacing w:val="62"/>
          <w:sz w:val="17"/>
        </w:rPr>
        <w:t xml:space="preserve"> </w:t>
      </w:r>
      <w:r>
        <w:rPr>
          <w:b/>
          <w:color w:val="050707"/>
          <w:sz w:val="17"/>
        </w:rPr>
        <w:t>of</w:t>
      </w:r>
      <w:r>
        <w:rPr>
          <w:b/>
          <w:color w:val="050707"/>
          <w:spacing w:val="35"/>
          <w:sz w:val="17"/>
        </w:rPr>
        <w:t xml:space="preserve"> </w:t>
      </w:r>
      <w:r>
        <w:rPr>
          <w:b/>
          <w:color w:val="050707"/>
          <w:sz w:val="17"/>
        </w:rPr>
        <w:t>ratification</w:t>
      </w:r>
      <w:r>
        <w:rPr>
          <w:b/>
          <w:color w:val="050707"/>
          <w:spacing w:val="50"/>
          <w:sz w:val="17"/>
        </w:rPr>
        <w:t xml:space="preserve"> </w:t>
      </w:r>
      <w:r>
        <w:rPr>
          <w:b/>
          <w:color w:val="050707"/>
          <w:sz w:val="17"/>
        </w:rPr>
        <w:t>deposited</w:t>
      </w:r>
      <w:r>
        <w:rPr>
          <w:b/>
          <w:color w:val="050707"/>
          <w:spacing w:val="46"/>
          <w:sz w:val="17"/>
        </w:rPr>
        <w:t xml:space="preserve"> </w:t>
      </w:r>
      <w:r>
        <w:rPr>
          <w:b/>
          <w:color w:val="050707"/>
          <w:sz w:val="17"/>
        </w:rPr>
        <w:t>(Poland):</w:t>
      </w:r>
      <w:r>
        <w:rPr>
          <w:b/>
          <w:color w:val="050707"/>
          <w:spacing w:val="38"/>
          <w:sz w:val="17"/>
        </w:rPr>
        <w:t xml:space="preserve"> </w:t>
      </w:r>
      <w:r>
        <w:rPr>
          <w:color w:val="050707"/>
          <w:sz w:val="17"/>
        </w:rPr>
        <w:t>January</w:t>
      </w:r>
      <w:r>
        <w:rPr>
          <w:color w:val="050707"/>
          <w:spacing w:val="65"/>
          <w:sz w:val="17"/>
        </w:rPr>
        <w:t xml:space="preserve"> </w:t>
      </w:r>
      <w:r>
        <w:rPr>
          <w:color w:val="050707"/>
          <w:sz w:val="17"/>
        </w:rPr>
        <w:t>23,</w:t>
      </w:r>
      <w:r>
        <w:rPr>
          <w:color w:val="050707"/>
          <w:spacing w:val="35"/>
          <w:sz w:val="17"/>
        </w:rPr>
        <w:t xml:space="preserve"> </w:t>
      </w:r>
      <w:r>
        <w:rPr>
          <w:color w:val="050707"/>
          <w:spacing w:val="-4"/>
          <w:sz w:val="17"/>
        </w:rPr>
        <w:t>2018</w:t>
      </w:r>
    </w:p>
    <w:p w14:paraId="0D4AAB15" w14:textId="0B2C9375" w:rsidR="0090429E" w:rsidRDefault="00552052" w:rsidP="00552052">
      <w:pPr>
        <w:pStyle w:val="Heading1"/>
        <w:spacing w:before="30"/>
        <w:ind w:left="107" w:right="-720"/>
        <w:rPr>
          <w:b w:val="0"/>
        </w:rPr>
      </w:pP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effective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date,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withholding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taxes</w:t>
      </w:r>
      <w:r>
        <w:rPr>
          <w:color w:val="050707"/>
          <w:spacing w:val="-14"/>
          <w:w w:val="110"/>
        </w:rPr>
        <w:t xml:space="preserve"> </w:t>
      </w:r>
      <w:r>
        <w:rPr>
          <w:color w:val="050707"/>
          <w:w w:val="110"/>
        </w:rPr>
        <w:t>(Malaysia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and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Poland):</w:t>
      </w:r>
      <w:r>
        <w:rPr>
          <w:color w:val="050707"/>
          <w:spacing w:val="-13"/>
          <w:w w:val="110"/>
        </w:rPr>
        <w:t xml:space="preserve"> </w:t>
      </w:r>
      <w:r>
        <w:rPr>
          <w:b w:val="0"/>
          <w:color w:val="050707"/>
          <w:w w:val="110"/>
        </w:rPr>
        <w:t>January</w:t>
      </w:r>
      <w:r>
        <w:rPr>
          <w:b w:val="0"/>
          <w:color w:val="050707"/>
          <w:spacing w:val="-10"/>
          <w:w w:val="110"/>
        </w:rPr>
        <w:t xml:space="preserve"> </w:t>
      </w:r>
      <w:r w:rsidR="009E484D">
        <w:rPr>
          <w:b w:val="0"/>
          <w:color w:val="050707"/>
          <w:w w:val="110"/>
          <w:sz w:val="18"/>
        </w:rPr>
        <w:t>1</w:t>
      </w:r>
      <w:r>
        <w:rPr>
          <w:b w:val="0"/>
          <w:color w:val="050707"/>
          <w:w w:val="110"/>
          <w:sz w:val="18"/>
        </w:rPr>
        <w:t>,</w:t>
      </w:r>
      <w:r>
        <w:rPr>
          <w:b w:val="0"/>
          <w:color w:val="050707"/>
          <w:spacing w:val="2"/>
          <w:w w:val="110"/>
          <w:sz w:val="18"/>
        </w:rPr>
        <w:t xml:space="preserve"> </w:t>
      </w:r>
      <w:r>
        <w:rPr>
          <w:b w:val="0"/>
          <w:color w:val="050707"/>
          <w:spacing w:val="-4"/>
          <w:w w:val="110"/>
        </w:rPr>
        <w:t>2024</w:t>
      </w:r>
    </w:p>
    <w:p w14:paraId="0D4AAB16" w14:textId="67B52F3B" w:rsidR="0090429E" w:rsidRDefault="00552052" w:rsidP="00552052">
      <w:pPr>
        <w:spacing w:before="29"/>
        <w:ind w:left="107" w:right="-720"/>
        <w:rPr>
          <w:color w:val="050707"/>
          <w:spacing w:val="-4"/>
          <w:w w:val="110"/>
          <w:sz w:val="17"/>
        </w:rPr>
      </w:pPr>
      <w:r>
        <w:rPr>
          <w:b/>
          <w:color w:val="050707"/>
          <w:w w:val="110"/>
          <w:sz w:val="17"/>
        </w:rPr>
        <w:t>MLI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effective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date,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all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other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taxes</w:t>
      </w:r>
      <w:r>
        <w:rPr>
          <w:b/>
          <w:color w:val="050707"/>
          <w:spacing w:val="-14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(Malaysia</w:t>
      </w:r>
      <w:r>
        <w:rPr>
          <w:b/>
          <w:color w:val="050707"/>
          <w:spacing w:val="-12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and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b/>
          <w:color w:val="050707"/>
          <w:w w:val="110"/>
          <w:sz w:val="17"/>
        </w:rPr>
        <w:t>Poland):</w:t>
      </w:r>
      <w:r>
        <w:rPr>
          <w:b/>
          <w:color w:val="050707"/>
          <w:spacing w:val="-13"/>
          <w:w w:val="110"/>
          <w:sz w:val="17"/>
        </w:rPr>
        <w:t xml:space="preserve"> </w:t>
      </w:r>
      <w:r>
        <w:rPr>
          <w:color w:val="050707"/>
          <w:w w:val="110"/>
          <w:sz w:val="17"/>
        </w:rPr>
        <w:t>July 12</w:t>
      </w:r>
      <w:r>
        <w:rPr>
          <w:color w:val="050707"/>
          <w:w w:val="110"/>
          <w:sz w:val="18"/>
        </w:rPr>
        <w:t>,</w:t>
      </w:r>
      <w:r>
        <w:rPr>
          <w:color w:val="050707"/>
          <w:spacing w:val="-5"/>
          <w:w w:val="110"/>
          <w:sz w:val="18"/>
        </w:rPr>
        <w:t xml:space="preserve"> </w:t>
      </w:r>
      <w:r>
        <w:rPr>
          <w:color w:val="050707"/>
          <w:spacing w:val="-4"/>
          <w:w w:val="110"/>
          <w:sz w:val="17"/>
        </w:rPr>
        <w:t>2023</w:t>
      </w:r>
    </w:p>
    <w:p w14:paraId="347842BF" w14:textId="706AA946" w:rsidR="004B59E8" w:rsidRDefault="00EB0785" w:rsidP="00552052">
      <w:pPr>
        <w:spacing w:before="29"/>
        <w:ind w:left="107" w:right="-720"/>
        <w:rPr>
          <w:sz w:val="17"/>
        </w:rPr>
      </w:pPr>
      <w:r>
        <w:rPr>
          <w:sz w:val="17"/>
        </w:rPr>
        <w:br w:type="column"/>
      </w:r>
    </w:p>
    <w:p w14:paraId="0EC7B45E" w14:textId="77777777" w:rsidR="00EB0785" w:rsidRDefault="00EB0785" w:rsidP="00EB0785">
      <w:pPr>
        <w:shd w:val="clear" w:color="auto" w:fill="C6D9F1" w:themeFill="text2" w:themeFillTint="33"/>
        <w:spacing w:line="276" w:lineRule="auto"/>
        <w:ind w:left="106" w:right="318" w:firstLine="3"/>
        <w:rPr>
          <w:i/>
          <w:sz w:val="15"/>
        </w:rPr>
      </w:pPr>
      <w:r>
        <w:rPr>
          <w:b/>
          <w:i/>
          <w:color w:val="1A498A"/>
          <w:w w:val="105"/>
          <w:sz w:val="15"/>
        </w:rPr>
        <w:t xml:space="preserve">Editor's Note. </w:t>
      </w:r>
      <w:r>
        <w:rPr>
          <w:i/>
          <w:color w:val="050707"/>
          <w:w w:val="105"/>
          <w:sz w:val="15"/>
        </w:rPr>
        <w:t>This summary is based on the ML/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positions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submitted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to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the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Depositary upon the deposit of the ratification</w:t>
      </w:r>
      <w:r>
        <w:rPr>
          <w:i/>
          <w:color w:val="050707"/>
          <w:spacing w:val="36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instruments by Malaysia and Poland, and does not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constitute business, legal, tax, or other professional advice or services. It is intended only</w:t>
      </w:r>
      <w:r>
        <w:rPr>
          <w:i/>
          <w:color w:val="050707"/>
          <w:spacing w:val="28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to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provide</w:t>
      </w:r>
      <w:r>
        <w:rPr>
          <w:i/>
          <w:color w:val="050707"/>
          <w:spacing w:val="39"/>
          <w:w w:val="105"/>
          <w:sz w:val="15"/>
        </w:rPr>
        <w:t xml:space="preserve"> </w:t>
      </w:r>
      <w:r>
        <w:rPr>
          <w:i/>
          <w:color w:val="1C1C1F"/>
          <w:w w:val="105"/>
          <w:sz w:val="15"/>
        </w:rPr>
        <w:t>a</w:t>
      </w:r>
      <w:r>
        <w:rPr>
          <w:i/>
          <w:color w:val="1C1C1F"/>
          <w:spacing w:val="29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general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guide. In</w:t>
      </w:r>
      <w:r>
        <w:rPr>
          <w:i/>
          <w:color w:val="050707"/>
          <w:spacing w:val="37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applying the ML/</w:t>
      </w:r>
      <w:r>
        <w:rPr>
          <w:i/>
          <w:color w:val="050707"/>
          <w:spacing w:val="40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provisions to this treaty, researchers should ensure they review other relevant ML/ sources. Please see the</w:t>
      </w:r>
      <w:r>
        <w:rPr>
          <w:i/>
          <w:color w:val="050707"/>
          <w:spacing w:val="34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 xml:space="preserve">Bloomberg Tax </w:t>
      </w:r>
      <w:r>
        <w:rPr>
          <w:i/>
          <w:color w:val="185D9C"/>
          <w:w w:val="105"/>
          <w:sz w:val="15"/>
          <w:u w:val="thick" w:color="185D9C"/>
        </w:rPr>
        <w:t>ML/</w:t>
      </w:r>
      <w:r>
        <w:rPr>
          <w:i/>
          <w:color w:val="185D9C"/>
          <w:w w:val="105"/>
          <w:sz w:val="15"/>
        </w:rPr>
        <w:t xml:space="preserve"> </w:t>
      </w:r>
      <w:r>
        <w:rPr>
          <w:i/>
          <w:color w:val="185D9C"/>
          <w:w w:val="105"/>
          <w:sz w:val="15"/>
          <w:u w:val="thick" w:color="185D9C"/>
        </w:rPr>
        <w:t>Watch</w:t>
      </w:r>
      <w:r>
        <w:rPr>
          <w:i/>
          <w:color w:val="185D9C"/>
          <w:w w:val="105"/>
          <w:sz w:val="15"/>
        </w:rPr>
        <w:t xml:space="preserve"> </w:t>
      </w:r>
      <w:r>
        <w:rPr>
          <w:i/>
          <w:color w:val="050707"/>
          <w:w w:val="105"/>
          <w:sz w:val="15"/>
        </w:rPr>
        <w:t>page for further research.</w:t>
      </w:r>
    </w:p>
    <w:p w14:paraId="1E5F2E3A" w14:textId="5073B16D" w:rsidR="00EB0785" w:rsidRDefault="00EB0785" w:rsidP="00EB0785">
      <w:pPr>
        <w:spacing w:line="276" w:lineRule="auto"/>
        <w:rPr>
          <w:sz w:val="15"/>
        </w:rPr>
      </w:pPr>
    </w:p>
    <w:p w14:paraId="0D4AAB18" w14:textId="77B0B098" w:rsidR="005035D0" w:rsidRDefault="005035D0">
      <w:pPr>
        <w:spacing w:line="292" w:lineRule="auto"/>
        <w:rPr>
          <w:sz w:val="15"/>
        </w:rPr>
        <w:sectPr w:rsidR="005035D0">
          <w:type w:val="continuous"/>
          <w:pgSz w:w="12240" w:h="15840"/>
          <w:pgMar w:top="840" w:right="620" w:bottom="280" w:left="520" w:header="378" w:footer="0" w:gutter="0"/>
          <w:cols w:num="2" w:space="720" w:equalWidth="0">
            <w:col w:w="6767" w:space="535"/>
            <w:col w:w="3798"/>
          </w:cols>
        </w:sectPr>
      </w:pPr>
    </w:p>
    <w:p w14:paraId="0D4AAB19" w14:textId="77777777" w:rsidR="0090429E" w:rsidRDefault="00552052">
      <w:pPr>
        <w:pStyle w:val="BodyText"/>
        <w:spacing w:line="20" w:lineRule="exact"/>
        <w:ind w:left="-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4AAB23" wp14:editId="793089F0">
                <wp:extent cx="6949440" cy="52069"/>
                <wp:effectExtent l="28575" t="0" r="22859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52069"/>
                          <a:chOff x="0" y="0"/>
                          <a:chExt cx="6949440" cy="520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941"/>
                            <a:ext cx="694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>
                                <a:moveTo>
                                  <a:pt x="0" y="0"/>
                                </a:moveTo>
                                <a:lnTo>
                                  <a:pt x="6948944" y="0"/>
                                </a:lnTo>
                              </a:path>
                            </a:pathLst>
                          </a:custGeom>
                          <a:ln w="51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700A6" id="Group 5" o:spid="_x0000_s1026" style="width:547.2pt;height:4.1pt;mso-position-horizontal-relative:char;mso-position-vertical-relative:line" coordsize="69494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">
                <v:shape id="Graphic 6" o:spid="_x0000_s1027" style="position:absolute;top:259;width:69494;height:13;visibility:visible;mso-wrap-style:square;v-text-anchor:top" coordsize="694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" path="m,l6948944,e" filled="f" strokeweight="1.44119mm">
                  <v:path arrowok="t"/>
                </v:shape>
                <w10:anchorlock/>
              </v:group>
            </w:pict>
          </mc:Fallback>
        </mc:AlternateContent>
      </w:r>
    </w:p>
    <w:p w14:paraId="0D4AAB1A" w14:textId="77777777" w:rsidR="0090429E" w:rsidRDefault="0090429E">
      <w:pPr>
        <w:pStyle w:val="BodyText"/>
        <w:spacing w:before="3"/>
        <w:rPr>
          <w:i/>
          <w:sz w:val="18"/>
        </w:rPr>
      </w:pPr>
    </w:p>
    <w:p w14:paraId="0D4AAB1B" w14:textId="77777777" w:rsidR="0090429E" w:rsidRDefault="0090429E">
      <w:pPr>
        <w:rPr>
          <w:sz w:val="18"/>
        </w:rPr>
        <w:sectPr w:rsidR="0090429E">
          <w:type w:val="continuous"/>
          <w:pgSz w:w="12240" w:h="15840"/>
          <w:pgMar w:top="840" w:right="620" w:bottom="280" w:left="520" w:header="378" w:footer="0" w:gutter="0"/>
          <w:cols w:space="720"/>
        </w:sectPr>
      </w:pPr>
    </w:p>
    <w:p w14:paraId="0D4AAB1C" w14:textId="77777777" w:rsidR="0090429E" w:rsidRDefault="00552052">
      <w:pPr>
        <w:pStyle w:val="BodyText"/>
        <w:spacing w:before="94" w:line="290" w:lineRule="auto"/>
        <w:ind w:left="195" w:right="38" w:firstLine="6"/>
      </w:pPr>
      <w:r>
        <w:rPr>
          <w:b/>
          <w:color w:val="1A498A"/>
          <w:w w:val="110"/>
        </w:rPr>
        <w:t>Transparent Entities</w:t>
      </w:r>
      <w:r>
        <w:rPr>
          <w:b/>
          <w:color w:val="1A498A"/>
          <w:spacing w:val="-6"/>
          <w:w w:val="110"/>
        </w:rPr>
        <w:t xml:space="preserve"> </w:t>
      </w:r>
      <w:r>
        <w:rPr>
          <w:b/>
          <w:color w:val="1A498A"/>
          <w:w w:val="110"/>
        </w:rPr>
        <w:t xml:space="preserve">(MLI Article 3). </w:t>
      </w:r>
      <w:r>
        <w:rPr>
          <w:color w:val="050707"/>
          <w:w w:val="110"/>
        </w:rPr>
        <w:t>According to MLI Art. 3(6),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the</w:t>
      </w:r>
      <w:r>
        <w:rPr>
          <w:color w:val="050707"/>
          <w:spacing w:val="-7"/>
          <w:w w:val="110"/>
        </w:rPr>
        <w:t xml:space="preserve"> </w:t>
      </w:r>
      <w:r>
        <w:rPr>
          <w:color w:val="050707"/>
          <w:w w:val="110"/>
        </w:rPr>
        <w:t>provision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on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fiscally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transparent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entities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in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Art.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3(1) (as modified by MLI Art.</w:t>
      </w:r>
      <w:r>
        <w:rPr>
          <w:color w:val="050707"/>
          <w:spacing w:val="-1"/>
          <w:w w:val="110"/>
        </w:rPr>
        <w:t xml:space="preserve"> </w:t>
      </w:r>
      <w:r>
        <w:rPr>
          <w:color w:val="050707"/>
          <w:w w:val="110"/>
        </w:rPr>
        <w:t>3(3)) applies and supersedes the provisions of this Agreement to the extent of incompatibility (i.e.,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>MLI Art. 3(1) is added to this Agreement). According to MLI Art.</w:t>
      </w:r>
      <w:r>
        <w:rPr>
          <w:color w:val="050707"/>
          <w:spacing w:val="-8"/>
          <w:w w:val="110"/>
        </w:rPr>
        <w:t xml:space="preserve"> </w:t>
      </w:r>
      <w:r>
        <w:rPr>
          <w:color w:val="050707"/>
          <w:w w:val="110"/>
        </w:rPr>
        <w:t>3(3),</w:t>
      </w:r>
      <w:r>
        <w:rPr>
          <w:color w:val="050707"/>
          <w:spacing w:val="-12"/>
          <w:w w:val="110"/>
        </w:rPr>
        <w:t xml:space="preserve"> </w:t>
      </w:r>
      <w:r>
        <w:rPr>
          <w:color w:val="050707"/>
          <w:w w:val="110"/>
        </w:rPr>
        <w:t>the new provision does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>not affect</w:t>
      </w:r>
      <w:r>
        <w:rPr>
          <w:color w:val="050707"/>
          <w:spacing w:val="-3"/>
          <w:w w:val="110"/>
        </w:rPr>
        <w:t xml:space="preserve"> </w:t>
      </w:r>
      <w:proofErr w:type="gramStart"/>
      <w:r>
        <w:rPr>
          <w:color w:val="050707"/>
          <w:w w:val="110"/>
        </w:rPr>
        <w:t>a</w:t>
      </w:r>
      <w:r>
        <w:rPr>
          <w:color w:val="050707"/>
          <w:spacing w:val="-5"/>
          <w:w w:val="110"/>
        </w:rPr>
        <w:t xml:space="preserve"> </w:t>
      </w:r>
      <w:r>
        <w:rPr>
          <w:color w:val="050707"/>
          <w:w w:val="110"/>
        </w:rPr>
        <w:t>Jurisdiction's</w:t>
      </w:r>
      <w:proofErr w:type="gramEnd"/>
      <w:r>
        <w:rPr>
          <w:color w:val="050707"/>
          <w:w w:val="110"/>
        </w:rPr>
        <w:t xml:space="preserve"> right to tax its own residents. MLI Art. 3(2),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 xml:space="preserve">which modifies the application of the provisions related to methods for the elimination of double taxation, does not apply to this </w:t>
      </w:r>
      <w:r>
        <w:rPr>
          <w:color w:val="050707"/>
          <w:spacing w:val="-2"/>
          <w:w w:val="110"/>
        </w:rPr>
        <w:t>Agreement.</w:t>
      </w:r>
    </w:p>
    <w:p w14:paraId="0D4AAB1D" w14:textId="77777777" w:rsidR="0090429E" w:rsidRDefault="00552052">
      <w:pPr>
        <w:pStyle w:val="BodyText"/>
        <w:spacing w:before="115" w:line="290" w:lineRule="auto"/>
        <w:ind w:left="203" w:right="86" w:hanging="1"/>
      </w:pPr>
      <w:r>
        <w:rPr>
          <w:b/>
          <w:color w:val="1A498A"/>
          <w:w w:val="105"/>
        </w:rPr>
        <w:t xml:space="preserve">Purpose of a Covered Tax Agreement (MLI Article 6). </w:t>
      </w:r>
      <w:r>
        <w:rPr>
          <w:color w:val="050707"/>
          <w:w w:val="105"/>
        </w:rPr>
        <w:t>According to MLI Art. 6(2), to</w:t>
      </w:r>
      <w:r>
        <w:rPr>
          <w:color w:val="050707"/>
          <w:spacing w:val="37"/>
          <w:w w:val="105"/>
        </w:rPr>
        <w:t xml:space="preserve"> </w:t>
      </w:r>
      <w:r>
        <w:rPr>
          <w:color w:val="050707"/>
          <w:w w:val="105"/>
        </w:rPr>
        <w:t>meet the minimum standard, the text of MLI Art. 6(1), indicating the intent to eliminate double taxation without creating opportunities for non-taxation or</w:t>
      </w:r>
      <w:r>
        <w:rPr>
          <w:color w:val="050707"/>
          <w:spacing w:val="40"/>
          <w:w w:val="105"/>
        </w:rPr>
        <w:t xml:space="preserve"> </w:t>
      </w:r>
      <w:r>
        <w:rPr>
          <w:color w:val="050707"/>
          <w:w w:val="105"/>
        </w:rPr>
        <w:t>reduced taxation through tax evasion or avoidance, including through treaty shopping arrangements,</w:t>
      </w:r>
      <w:r>
        <w:rPr>
          <w:color w:val="050707"/>
          <w:spacing w:val="40"/>
          <w:w w:val="105"/>
        </w:rPr>
        <w:t xml:space="preserve"> </w:t>
      </w:r>
      <w:r>
        <w:rPr>
          <w:color w:val="050707"/>
          <w:w w:val="105"/>
        </w:rPr>
        <w:t>replaces the notified preamble language of this Agreement. The optional preamble</w:t>
      </w:r>
      <w:r>
        <w:rPr>
          <w:color w:val="050707"/>
          <w:spacing w:val="40"/>
          <w:w w:val="105"/>
        </w:rPr>
        <w:t xml:space="preserve"> </w:t>
      </w:r>
      <w:r>
        <w:rPr>
          <w:color w:val="050707"/>
          <w:w w:val="105"/>
        </w:rPr>
        <w:t>language of MLI Art. 6(3) does not apply.</w:t>
      </w:r>
    </w:p>
    <w:p w14:paraId="0D4AAB1E" w14:textId="77777777" w:rsidR="0090429E" w:rsidRDefault="00552052">
      <w:pPr>
        <w:spacing w:before="19"/>
        <w:rPr>
          <w:sz w:val="17"/>
        </w:rPr>
      </w:pPr>
      <w:r>
        <w:br w:type="column"/>
      </w:r>
    </w:p>
    <w:p w14:paraId="0D4AAB1F" w14:textId="77777777" w:rsidR="0090429E" w:rsidRDefault="00552052">
      <w:pPr>
        <w:pStyle w:val="BodyText"/>
        <w:spacing w:line="290" w:lineRule="auto"/>
        <w:ind w:left="195" w:right="102" w:firstLine="15"/>
      </w:pPr>
      <w:r>
        <w:rPr>
          <w:b/>
          <w:color w:val="1A498A"/>
          <w:w w:val="110"/>
        </w:rPr>
        <w:t>Prevention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of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Treaty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Abuse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(MLI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Article</w:t>
      </w:r>
      <w:r>
        <w:rPr>
          <w:b/>
          <w:color w:val="1A498A"/>
          <w:spacing w:val="-13"/>
          <w:w w:val="110"/>
        </w:rPr>
        <w:t xml:space="preserve"> </w:t>
      </w:r>
      <w:r>
        <w:rPr>
          <w:b/>
          <w:color w:val="1A498A"/>
          <w:w w:val="110"/>
        </w:rPr>
        <w:t>7).</w:t>
      </w:r>
      <w:r>
        <w:rPr>
          <w:b/>
          <w:color w:val="1A498A"/>
          <w:spacing w:val="-13"/>
          <w:w w:val="110"/>
        </w:rPr>
        <w:t xml:space="preserve"> </w:t>
      </w:r>
      <w:r>
        <w:rPr>
          <w:color w:val="050707"/>
          <w:w w:val="110"/>
        </w:rPr>
        <w:t>According</w:t>
      </w:r>
      <w:r>
        <w:rPr>
          <w:color w:val="050707"/>
          <w:spacing w:val="-10"/>
          <w:w w:val="110"/>
        </w:rPr>
        <w:t xml:space="preserve"> </w:t>
      </w:r>
      <w:r>
        <w:rPr>
          <w:color w:val="050707"/>
          <w:w w:val="110"/>
        </w:rPr>
        <w:t>to</w:t>
      </w:r>
      <w:r>
        <w:rPr>
          <w:color w:val="050707"/>
          <w:spacing w:val="-12"/>
          <w:w w:val="110"/>
        </w:rPr>
        <w:t xml:space="preserve"> </w:t>
      </w:r>
      <w:r>
        <w:rPr>
          <w:color w:val="050707"/>
          <w:w w:val="110"/>
        </w:rPr>
        <w:t>MLI Art.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7(2),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to</w:t>
      </w:r>
      <w:r>
        <w:rPr>
          <w:color w:val="050707"/>
          <w:spacing w:val="8"/>
          <w:w w:val="110"/>
        </w:rPr>
        <w:t xml:space="preserve"> </w:t>
      </w:r>
      <w:r>
        <w:rPr>
          <w:color w:val="050707"/>
          <w:w w:val="110"/>
        </w:rPr>
        <w:t>meet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the</w:t>
      </w:r>
      <w:r>
        <w:rPr>
          <w:color w:val="050707"/>
          <w:spacing w:val="-6"/>
          <w:w w:val="110"/>
        </w:rPr>
        <w:t xml:space="preserve"> </w:t>
      </w:r>
      <w:r>
        <w:rPr>
          <w:color w:val="050707"/>
          <w:w w:val="110"/>
        </w:rPr>
        <w:t>minimum</w:t>
      </w:r>
      <w:r>
        <w:rPr>
          <w:color w:val="050707"/>
          <w:spacing w:val="-5"/>
          <w:w w:val="110"/>
        </w:rPr>
        <w:t xml:space="preserve"> </w:t>
      </w:r>
      <w:r>
        <w:rPr>
          <w:color w:val="050707"/>
          <w:w w:val="110"/>
        </w:rPr>
        <w:t>standard,</w:t>
      </w:r>
      <w:r>
        <w:rPr>
          <w:color w:val="050707"/>
          <w:spacing w:val="-11"/>
          <w:w w:val="110"/>
        </w:rPr>
        <w:t xml:space="preserve"> </w:t>
      </w:r>
      <w:r>
        <w:rPr>
          <w:color w:val="050707"/>
          <w:w w:val="110"/>
        </w:rPr>
        <w:t>the</w:t>
      </w:r>
      <w:r>
        <w:rPr>
          <w:color w:val="050707"/>
          <w:spacing w:val="-5"/>
          <w:w w:val="110"/>
        </w:rPr>
        <w:t xml:space="preserve"> </w:t>
      </w:r>
      <w:r>
        <w:rPr>
          <w:color w:val="050707"/>
          <w:w w:val="110"/>
        </w:rPr>
        <w:t>Principal</w:t>
      </w:r>
      <w:r>
        <w:rPr>
          <w:color w:val="050707"/>
          <w:spacing w:val="-3"/>
          <w:w w:val="110"/>
        </w:rPr>
        <w:t xml:space="preserve"> </w:t>
      </w:r>
      <w:r>
        <w:rPr>
          <w:color w:val="050707"/>
          <w:w w:val="110"/>
        </w:rPr>
        <w:t>Purpose Test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(PPT)</w:t>
      </w:r>
      <w:r>
        <w:rPr>
          <w:color w:val="050707"/>
          <w:spacing w:val="-8"/>
          <w:w w:val="110"/>
        </w:rPr>
        <w:t xml:space="preserve"> </w:t>
      </w:r>
      <w:r>
        <w:rPr>
          <w:color w:val="050707"/>
          <w:w w:val="110"/>
        </w:rPr>
        <w:t>provision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>of</w:t>
      </w:r>
      <w:r>
        <w:rPr>
          <w:color w:val="050707"/>
          <w:spacing w:val="-3"/>
          <w:w w:val="110"/>
        </w:rPr>
        <w:t xml:space="preserve"> </w:t>
      </w:r>
      <w:r>
        <w:rPr>
          <w:color w:val="050707"/>
          <w:w w:val="110"/>
        </w:rPr>
        <w:t>MLI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>Art.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7(1),</w:t>
      </w:r>
      <w:r>
        <w:rPr>
          <w:color w:val="050707"/>
          <w:spacing w:val="-11"/>
          <w:w w:val="110"/>
        </w:rPr>
        <w:t xml:space="preserve"> </w:t>
      </w:r>
      <w:r>
        <w:rPr>
          <w:color w:val="050707"/>
          <w:w w:val="110"/>
        </w:rPr>
        <w:t>that</w:t>
      </w:r>
      <w:r>
        <w:rPr>
          <w:color w:val="050707"/>
          <w:spacing w:val="-8"/>
          <w:w w:val="110"/>
        </w:rPr>
        <w:t xml:space="preserve"> </w:t>
      </w:r>
      <w:r>
        <w:rPr>
          <w:color w:val="050707"/>
          <w:w w:val="110"/>
        </w:rPr>
        <w:t>denies</w:t>
      </w:r>
      <w:r>
        <w:rPr>
          <w:color w:val="050707"/>
          <w:spacing w:val="-2"/>
          <w:w w:val="110"/>
        </w:rPr>
        <w:t xml:space="preserve"> </w:t>
      </w:r>
      <w:r>
        <w:rPr>
          <w:color w:val="050707"/>
          <w:w w:val="110"/>
        </w:rPr>
        <w:t>benefits</w:t>
      </w:r>
      <w:r>
        <w:rPr>
          <w:color w:val="050707"/>
          <w:spacing w:val="-9"/>
          <w:w w:val="110"/>
        </w:rPr>
        <w:t xml:space="preserve"> </w:t>
      </w:r>
      <w:r>
        <w:rPr>
          <w:color w:val="050707"/>
          <w:w w:val="110"/>
        </w:rPr>
        <w:t xml:space="preserve">that would otherwise be provided where the principal purpose or one of the principal purposes of any arrangement or transaction was to obtain those benefits, replaces Articles </w:t>
      </w:r>
      <w:r>
        <w:rPr>
          <w:color w:val="050707"/>
        </w:rPr>
        <w:t>10(6),</w:t>
      </w:r>
      <w:r>
        <w:rPr>
          <w:color w:val="050707"/>
          <w:spacing w:val="-8"/>
        </w:rPr>
        <w:t xml:space="preserve"> </w:t>
      </w:r>
      <w:r>
        <w:rPr>
          <w:color w:val="050707"/>
        </w:rPr>
        <w:t>11(8),</w:t>
      </w:r>
      <w:r>
        <w:rPr>
          <w:color w:val="050707"/>
          <w:spacing w:val="-2"/>
        </w:rPr>
        <w:t xml:space="preserve"> </w:t>
      </w:r>
      <w:r>
        <w:rPr>
          <w:color w:val="050707"/>
        </w:rPr>
        <w:t>12(7) and</w:t>
      </w:r>
      <w:r>
        <w:rPr>
          <w:color w:val="050707"/>
          <w:spacing w:val="-9"/>
        </w:rPr>
        <w:t xml:space="preserve"> </w:t>
      </w:r>
      <w:r>
        <w:rPr>
          <w:color w:val="050707"/>
        </w:rPr>
        <w:t>13(7) of</w:t>
      </w:r>
      <w:r>
        <w:rPr>
          <w:color w:val="050707"/>
          <w:spacing w:val="33"/>
        </w:rPr>
        <w:t xml:space="preserve"> </w:t>
      </w:r>
      <w:r>
        <w:rPr>
          <w:color w:val="050707"/>
        </w:rPr>
        <w:t xml:space="preserve">this Agreement. The PPT may also </w:t>
      </w:r>
      <w:r>
        <w:rPr>
          <w:color w:val="050707"/>
          <w:w w:val="110"/>
        </w:rPr>
        <w:t>apply to other provisions of this Agreement according to its terms.</w:t>
      </w:r>
      <w:r>
        <w:rPr>
          <w:color w:val="050707"/>
          <w:spacing w:val="-1"/>
          <w:w w:val="110"/>
        </w:rPr>
        <w:t xml:space="preserve"> </w:t>
      </w:r>
      <w:r>
        <w:rPr>
          <w:color w:val="050707"/>
          <w:w w:val="110"/>
        </w:rPr>
        <w:t>The optional language of MLI Art.</w:t>
      </w:r>
      <w:r>
        <w:rPr>
          <w:color w:val="050707"/>
          <w:spacing w:val="-4"/>
          <w:w w:val="110"/>
        </w:rPr>
        <w:t xml:space="preserve"> </w:t>
      </w:r>
      <w:r>
        <w:rPr>
          <w:color w:val="050707"/>
          <w:w w:val="110"/>
        </w:rPr>
        <w:t>7(4) does not apply. The Simplified Limitation on</w:t>
      </w:r>
      <w:r>
        <w:rPr>
          <w:color w:val="050707"/>
          <w:spacing w:val="-3"/>
          <w:w w:val="110"/>
        </w:rPr>
        <w:t xml:space="preserve"> </w:t>
      </w:r>
      <w:r>
        <w:rPr>
          <w:color w:val="050707"/>
          <w:w w:val="110"/>
        </w:rPr>
        <w:t>Benefits Provision</w:t>
      </w:r>
      <w:r>
        <w:rPr>
          <w:color w:val="050707"/>
          <w:spacing w:val="-4"/>
          <w:w w:val="110"/>
        </w:rPr>
        <w:t xml:space="preserve"> </w:t>
      </w:r>
      <w:r>
        <w:rPr>
          <w:color w:val="050707"/>
          <w:w w:val="110"/>
        </w:rPr>
        <w:t>(S-LOB) does not apply.</w:t>
      </w:r>
    </w:p>
    <w:p w14:paraId="0D4AAB20" w14:textId="77777777" w:rsidR="0090429E" w:rsidRDefault="00552052">
      <w:pPr>
        <w:pStyle w:val="BodyText"/>
        <w:spacing w:before="114" w:line="288" w:lineRule="auto"/>
        <w:ind w:left="217" w:right="102" w:hanging="6"/>
      </w:pPr>
      <w:r>
        <w:rPr>
          <w:b/>
          <w:color w:val="1A498A"/>
          <w:w w:val="110"/>
        </w:rPr>
        <w:t>Mutual Agreement Procedure (MLI Article 16).</w:t>
      </w:r>
      <w:r>
        <w:rPr>
          <w:b/>
          <w:color w:val="1A498A"/>
          <w:spacing w:val="-1"/>
          <w:w w:val="110"/>
        </w:rPr>
        <w:t xml:space="preserve"> </w:t>
      </w:r>
      <w:r>
        <w:rPr>
          <w:color w:val="050707"/>
          <w:w w:val="110"/>
        </w:rPr>
        <w:t>The provisions of</w:t>
      </w:r>
      <w:r>
        <w:rPr>
          <w:color w:val="050707"/>
          <w:spacing w:val="-7"/>
          <w:w w:val="110"/>
        </w:rPr>
        <w:t xml:space="preserve"> </w:t>
      </w:r>
      <w:r>
        <w:rPr>
          <w:color w:val="050707"/>
          <w:w w:val="110"/>
        </w:rPr>
        <w:t>this</w:t>
      </w:r>
      <w:r>
        <w:rPr>
          <w:color w:val="050707"/>
          <w:spacing w:val="-8"/>
          <w:w w:val="110"/>
        </w:rPr>
        <w:t xml:space="preserve"> </w:t>
      </w:r>
      <w:r>
        <w:rPr>
          <w:color w:val="050707"/>
          <w:w w:val="110"/>
        </w:rPr>
        <w:t>Agreement related</w:t>
      </w:r>
      <w:r>
        <w:rPr>
          <w:color w:val="050707"/>
          <w:spacing w:val="-4"/>
          <w:w w:val="110"/>
        </w:rPr>
        <w:t xml:space="preserve"> </w:t>
      </w:r>
      <w:r>
        <w:rPr>
          <w:color w:val="050707"/>
          <w:w w:val="110"/>
        </w:rPr>
        <w:t>to dispute</w:t>
      </w:r>
      <w:r>
        <w:rPr>
          <w:color w:val="050707"/>
          <w:spacing w:val="-1"/>
          <w:w w:val="110"/>
        </w:rPr>
        <w:t xml:space="preserve"> </w:t>
      </w:r>
      <w:r>
        <w:rPr>
          <w:color w:val="050707"/>
          <w:w w:val="110"/>
        </w:rPr>
        <w:t>resolution</w:t>
      </w:r>
      <w:r>
        <w:rPr>
          <w:color w:val="050707"/>
          <w:spacing w:val="-1"/>
          <w:w w:val="110"/>
        </w:rPr>
        <w:t xml:space="preserve"> </w:t>
      </w:r>
      <w:r>
        <w:rPr>
          <w:color w:val="050707"/>
          <w:w w:val="110"/>
        </w:rPr>
        <w:t>are retained</w:t>
      </w:r>
      <w:r>
        <w:rPr>
          <w:color w:val="050707"/>
          <w:spacing w:val="-5"/>
          <w:w w:val="110"/>
        </w:rPr>
        <w:t xml:space="preserve"> </w:t>
      </w:r>
      <w:r>
        <w:rPr>
          <w:color w:val="050707"/>
          <w:w w:val="110"/>
        </w:rPr>
        <w:t>as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they</w:t>
      </w:r>
      <w:r>
        <w:rPr>
          <w:color w:val="050707"/>
          <w:spacing w:val="-3"/>
          <w:w w:val="110"/>
        </w:rPr>
        <w:t xml:space="preserve"> </w:t>
      </w:r>
      <w:r>
        <w:rPr>
          <w:color w:val="050707"/>
          <w:w w:val="110"/>
        </w:rPr>
        <w:t>are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considered consistent in</w:t>
      </w:r>
      <w:r>
        <w:rPr>
          <w:color w:val="050707"/>
          <w:spacing w:val="-13"/>
          <w:w w:val="110"/>
        </w:rPr>
        <w:t xml:space="preserve"> </w:t>
      </w:r>
      <w:r>
        <w:rPr>
          <w:color w:val="050707"/>
          <w:w w:val="110"/>
        </w:rPr>
        <w:t>content</w:t>
      </w:r>
      <w:r>
        <w:rPr>
          <w:color w:val="050707"/>
          <w:spacing w:val="-8"/>
          <w:w w:val="110"/>
        </w:rPr>
        <w:t xml:space="preserve"> </w:t>
      </w:r>
      <w:r>
        <w:rPr>
          <w:color w:val="050707"/>
          <w:w w:val="110"/>
        </w:rPr>
        <w:t>with</w:t>
      </w:r>
      <w:r>
        <w:rPr>
          <w:color w:val="050707"/>
          <w:spacing w:val="-9"/>
          <w:w w:val="110"/>
        </w:rPr>
        <w:t xml:space="preserve"> </w:t>
      </w:r>
      <w:r>
        <w:rPr>
          <w:color w:val="050707"/>
          <w:w w:val="110"/>
        </w:rPr>
        <w:t>the provisions of MLI Art.</w:t>
      </w:r>
      <w:r>
        <w:rPr>
          <w:color w:val="050707"/>
          <w:spacing w:val="-15"/>
          <w:w w:val="110"/>
        </w:rPr>
        <w:t xml:space="preserve"> </w:t>
      </w:r>
      <w:proofErr w:type="gramStart"/>
      <w:r>
        <w:rPr>
          <w:color w:val="050707"/>
          <w:w w:val="110"/>
        </w:rPr>
        <w:t>16, and</w:t>
      </w:r>
      <w:proofErr w:type="gramEnd"/>
      <w:r>
        <w:rPr>
          <w:color w:val="050707"/>
          <w:w w:val="110"/>
        </w:rPr>
        <w:t xml:space="preserve"> meet the minimum standard.</w:t>
      </w:r>
    </w:p>
    <w:sectPr w:rsidR="0090429E">
      <w:type w:val="continuous"/>
      <w:pgSz w:w="12240" w:h="15840"/>
      <w:pgMar w:top="840" w:right="620" w:bottom="280" w:left="520" w:header="378" w:footer="0" w:gutter="0"/>
      <w:cols w:num="2" w:space="720" w:equalWidth="0">
        <w:col w:w="5423" w:space="195"/>
        <w:col w:w="54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AB2A" w14:textId="77777777" w:rsidR="00552052" w:rsidRDefault="00552052">
      <w:r>
        <w:separator/>
      </w:r>
    </w:p>
  </w:endnote>
  <w:endnote w:type="continuationSeparator" w:id="0">
    <w:p w14:paraId="0D4AAB2C" w14:textId="77777777" w:rsidR="00552052" w:rsidRDefault="0055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AB26" w14:textId="77777777" w:rsidR="00552052" w:rsidRDefault="00552052">
      <w:r>
        <w:separator/>
      </w:r>
    </w:p>
  </w:footnote>
  <w:footnote w:type="continuationSeparator" w:id="0">
    <w:p w14:paraId="0D4AAB28" w14:textId="77777777" w:rsidR="00552052" w:rsidRDefault="0055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AB25" w14:textId="77777777" w:rsidR="0090429E" w:rsidRDefault="005520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D4AAB26" wp14:editId="0D4AAB27">
              <wp:simplePos x="0" y="0"/>
              <wp:positionH relativeFrom="page">
                <wp:posOffset>317450</wp:posOffset>
              </wp:positionH>
              <wp:positionV relativeFrom="page">
                <wp:posOffset>402421</wp:posOffset>
              </wp:positionV>
              <wp:extent cx="71202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02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0255">
                            <a:moveTo>
                              <a:pt x="0" y="0"/>
                            </a:moveTo>
                            <a:lnTo>
                              <a:pt x="7119919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9CD2C5E" id="Graphic 1" o:spid="_x0000_s1026" style="position:absolute;margin-left:25pt;margin-top:31.7pt;width:560.65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0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" path="m,l7119919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D4AAB28" wp14:editId="0D4AAB29">
              <wp:simplePos x="0" y="0"/>
              <wp:positionH relativeFrom="page">
                <wp:posOffset>312122</wp:posOffset>
              </wp:positionH>
              <wp:positionV relativeFrom="page">
                <wp:posOffset>227161</wp:posOffset>
              </wp:positionV>
              <wp:extent cx="136525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AAB2C" w14:textId="77777777" w:rsidR="0090429E" w:rsidRDefault="00552052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50707"/>
                              <w:spacing w:val="-2"/>
                              <w:sz w:val="17"/>
                              <w:u w:val="thick" w:color="050707"/>
                            </w:rPr>
                            <w:t>Bloomberg</w:t>
                          </w:r>
                          <w:r>
                            <w:rPr>
                              <w:b/>
                              <w:color w:val="050707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0707"/>
                              <w:spacing w:val="-2"/>
                              <w:sz w:val="17"/>
                            </w:rPr>
                            <w:t>Tax</w:t>
                          </w:r>
                          <w:r>
                            <w:rPr>
                              <w:b/>
                              <w:color w:val="050707"/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50707"/>
                              <w:spacing w:val="-2"/>
                              <w:sz w:val="24"/>
                            </w:rPr>
                            <w:t>I</w:t>
                          </w:r>
                          <w:r>
                            <w:rPr>
                              <w:color w:val="050707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F"/>
                              <w:spacing w:val="-2"/>
                              <w:sz w:val="17"/>
                            </w:rPr>
                            <w:t>Rese</w:t>
                          </w:r>
                          <w:r>
                            <w:rPr>
                              <w:color w:val="444444"/>
                              <w:spacing w:val="-2"/>
                              <w:sz w:val="17"/>
                            </w:rPr>
                            <w:t>ar</w:t>
                          </w:r>
                          <w:r>
                            <w:rPr>
                              <w:color w:val="050707"/>
                              <w:spacing w:val="-2"/>
                              <w:sz w:val="17"/>
                            </w:rPr>
                            <w:t>c</w:t>
                          </w:r>
                          <w:r>
                            <w:rPr>
                              <w:color w:val="444444"/>
                              <w:spacing w:val="-2"/>
                              <w:sz w:val="17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AAB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.6pt;margin-top:17.9pt;width:107.5pt;height:15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" filled="f" stroked="f">
              <v:textbox inset="0,0,0,0">
                <w:txbxContent>
                  <w:p w14:paraId="0D4AAB2C" w14:textId="77777777" w:rsidR="0090429E" w:rsidRDefault="00552052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b/>
                        <w:color w:val="050707"/>
                        <w:spacing w:val="-2"/>
                        <w:sz w:val="17"/>
                        <w:u w:val="thick" w:color="050707"/>
                      </w:rPr>
                      <w:t>Bloomberg</w:t>
                    </w:r>
                    <w:r>
                      <w:rPr>
                        <w:b/>
                        <w:color w:val="050707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050707"/>
                        <w:spacing w:val="-2"/>
                        <w:sz w:val="17"/>
                      </w:rPr>
                      <w:t>Tax</w:t>
                    </w:r>
                    <w:r>
                      <w:rPr>
                        <w:b/>
                        <w:color w:val="050707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color w:val="050707"/>
                        <w:spacing w:val="-2"/>
                        <w:sz w:val="24"/>
                      </w:rPr>
                      <w:t>I</w:t>
                    </w:r>
                    <w:r>
                      <w:rPr>
                        <w:color w:val="050707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1C1C1F"/>
                        <w:spacing w:val="-2"/>
                        <w:sz w:val="17"/>
                      </w:rPr>
                      <w:t>Rese</w:t>
                    </w:r>
                    <w:r>
                      <w:rPr>
                        <w:color w:val="444444"/>
                        <w:spacing w:val="-2"/>
                        <w:sz w:val="17"/>
                      </w:rPr>
                      <w:t>ar</w:t>
                    </w:r>
                    <w:r>
                      <w:rPr>
                        <w:color w:val="050707"/>
                        <w:spacing w:val="-2"/>
                        <w:sz w:val="17"/>
                      </w:rPr>
                      <w:t>c</w:t>
                    </w:r>
                    <w:r>
                      <w:rPr>
                        <w:color w:val="444444"/>
                        <w:spacing w:val="-2"/>
                        <w:sz w:val="17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D4AAB2A" wp14:editId="0D4AAB2B">
              <wp:simplePos x="0" y="0"/>
              <wp:positionH relativeFrom="page">
                <wp:posOffset>6209651</wp:posOffset>
              </wp:positionH>
              <wp:positionV relativeFrom="page">
                <wp:posOffset>250185</wp:posOffset>
              </wp:positionV>
              <wp:extent cx="11214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AAB2D" w14:textId="77777777" w:rsidR="0090429E" w:rsidRDefault="00552052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A69AF"/>
                              <w:w w:val="105"/>
                              <w:sz w:val="20"/>
                            </w:rPr>
                            <w:t>MLI</w:t>
                          </w:r>
                          <w:r>
                            <w:rPr>
                              <w:b/>
                              <w:color w:val="3A69AF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69AF"/>
                              <w:spacing w:val="-2"/>
                              <w:w w:val="105"/>
                              <w:sz w:val="20"/>
                            </w:rPr>
                            <w:t>Modifications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AAB2A" id="Textbox 3" o:spid="_x0000_s1027" type="#_x0000_t202" style="position:absolute;margin-left:488.95pt;margin-top:19.7pt;width:88.3pt;height:13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" filled="f" stroked="f">
              <v:textbox inset="0,0,0,0">
                <w:txbxContent>
                  <w:p w14:paraId="0D4AAB2D" w14:textId="77777777" w:rsidR="0090429E" w:rsidRDefault="00552052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A69AF"/>
                        <w:w w:val="105"/>
                        <w:sz w:val="20"/>
                      </w:rPr>
                      <w:t>MLI</w:t>
                    </w:r>
                    <w:r>
                      <w:rPr>
                        <w:b/>
                        <w:color w:val="3A69AF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A69AF"/>
                        <w:spacing w:val="-2"/>
                        <w:w w:val="105"/>
                        <w:sz w:val="20"/>
                      </w:rPr>
                      <w:t>Modifications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9E"/>
    <w:rsid w:val="00061EE7"/>
    <w:rsid w:val="000E4C38"/>
    <w:rsid w:val="000E7375"/>
    <w:rsid w:val="003272B2"/>
    <w:rsid w:val="003B5346"/>
    <w:rsid w:val="003E658F"/>
    <w:rsid w:val="004B59E8"/>
    <w:rsid w:val="005035D0"/>
    <w:rsid w:val="00530E5F"/>
    <w:rsid w:val="00552052"/>
    <w:rsid w:val="005F195A"/>
    <w:rsid w:val="00735CAD"/>
    <w:rsid w:val="00785911"/>
    <w:rsid w:val="008E058A"/>
    <w:rsid w:val="008E3AA2"/>
    <w:rsid w:val="0090429E"/>
    <w:rsid w:val="009E484D"/>
    <w:rsid w:val="009F6442"/>
    <w:rsid w:val="00A97D97"/>
    <w:rsid w:val="00B75EB4"/>
    <w:rsid w:val="00B941AE"/>
    <w:rsid w:val="00BE24FF"/>
    <w:rsid w:val="00C51ED4"/>
    <w:rsid w:val="00CD0666"/>
    <w:rsid w:val="00E45E21"/>
    <w:rsid w:val="00EB0785"/>
    <w:rsid w:val="00EC2567"/>
    <w:rsid w:val="00ED3A51"/>
    <w:rsid w:val="00F02605"/>
    <w:rsid w:val="00F170E9"/>
    <w:rsid w:val="00F42D21"/>
    <w:rsid w:val="00FB4704"/>
    <w:rsid w:val="00FB659E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AB0D"/>
  <w15:docId w15:val="{872C87C4-4B38-447C-AAE4-DABAEC10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1"/>
      <w:ind w:left="2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A6A0-4A68-494A-A8EE-4124404572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>Bloomberg Industry Group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MLI Modifications_ Malaysia-Poland.pdf</dc:title>
  <dc:creator>Baird, Sally</dc:creator>
  <cp:lastModifiedBy>Cruz, Ricky</cp:lastModifiedBy>
  <cp:revision>2</cp:revision>
  <dcterms:created xsi:type="dcterms:W3CDTF">2024-10-21T18:45:00Z</dcterms:created>
  <dcterms:modified xsi:type="dcterms:W3CDTF">2024-10-21T18:45:00Z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2024-10-21T00:00:00Z</vt:filetime>
  </property>
  <property fmtid="{D5CDD505-2E9C-101B-9397-08002B2CF9AE}" pid="5" name="Producer">
    <vt:lpwstr>Acrobat Distiller 24.0 (Windows)</vt:lpwstr>
  </property>
</Properties>
</file>